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13205D" w14:textId="009A6BDC" w:rsidR="00C43719" w:rsidRDefault="00C43719" w:rsidP="005738FB">
      <w:pPr>
        <w:pStyle w:val="StylStyl1dkovn15dku"/>
        <w:tabs>
          <w:tab w:val="left" w:pos="3780"/>
        </w:tabs>
        <w:spacing w:after="200" w:line="276" w:lineRule="auto"/>
        <w:contextualSpacing/>
        <w:jc w:val="center"/>
        <w:rPr>
          <w:rFonts w:asciiTheme="minorHAnsi" w:hAnsiTheme="minorHAnsi" w:cstheme="minorHAnsi"/>
          <w:b/>
          <w:bCs/>
          <w:sz w:val="32"/>
          <w:szCs w:val="32"/>
        </w:rPr>
      </w:pPr>
      <w:bookmarkStart w:id="0" w:name="_Hlk54269780"/>
      <w:bookmarkEnd w:id="0"/>
    </w:p>
    <w:p w14:paraId="3F289317" w14:textId="6945F12A" w:rsidR="00C43719" w:rsidRDefault="00C43719" w:rsidP="005738FB">
      <w:pPr>
        <w:pStyle w:val="StylStyl1dkovn15dku"/>
        <w:tabs>
          <w:tab w:val="left" w:pos="3780"/>
        </w:tabs>
        <w:spacing w:after="200" w:line="276" w:lineRule="auto"/>
        <w:contextualSpacing/>
        <w:jc w:val="center"/>
        <w:rPr>
          <w:rFonts w:asciiTheme="minorHAnsi" w:hAnsiTheme="minorHAnsi" w:cstheme="minorHAnsi"/>
          <w:b/>
          <w:bCs/>
          <w:sz w:val="32"/>
          <w:szCs w:val="32"/>
        </w:rPr>
      </w:pPr>
    </w:p>
    <w:p w14:paraId="3B41C7AD" w14:textId="77777777" w:rsidR="00C43719" w:rsidRDefault="00C43719" w:rsidP="005738FB">
      <w:pPr>
        <w:pStyle w:val="StylStyl1dkovn15dku"/>
        <w:tabs>
          <w:tab w:val="left" w:pos="3780"/>
        </w:tabs>
        <w:spacing w:after="200" w:line="276" w:lineRule="auto"/>
        <w:contextualSpacing/>
        <w:jc w:val="center"/>
        <w:rPr>
          <w:rFonts w:asciiTheme="minorHAnsi" w:hAnsiTheme="minorHAnsi" w:cstheme="minorHAnsi"/>
          <w:b/>
          <w:bCs/>
          <w:sz w:val="32"/>
          <w:szCs w:val="32"/>
        </w:rPr>
      </w:pPr>
      <w:bookmarkStart w:id="1" w:name="_GoBack"/>
      <w:bookmarkEnd w:id="1"/>
    </w:p>
    <w:p w14:paraId="258160C4" w14:textId="6F69F945" w:rsidR="00C43719" w:rsidRDefault="00C43719" w:rsidP="005738FB">
      <w:pPr>
        <w:pStyle w:val="StylStyl1dkovn15dku"/>
        <w:tabs>
          <w:tab w:val="left" w:pos="3780"/>
        </w:tabs>
        <w:spacing w:after="200" w:line="276" w:lineRule="auto"/>
        <w:contextualSpacing/>
        <w:jc w:val="center"/>
        <w:rPr>
          <w:rFonts w:asciiTheme="minorHAnsi" w:hAnsiTheme="minorHAnsi" w:cstheme="minorHAnsi"/>
          <w:b/>
          <w:bCs/>
          <w:sz w:val="32"/>
          <w:szCs w:val="32"/>
        </w:rPr>
      </w:pPr>
    </w:p>
    <w:p w14:paraId="4F8CC380" w14:textId="77777777" w:rsidR="00C43719" w:rsidRDefault="00C43719" w:rsidP="005738FB">
      <w:pPr>
        <w:pStyle w:val="StylStyl1dkovn15dku"/>
        <w:tabs>
          <w:tab w:val="left" w:pos="3780"/>
        </w:tabs>
        <w:spacing w:after="200" w:line="276" w:lineRule="auto"/>
        <w:contextualSpacing/>
        <w:jc w:val="center"/>
        <w:rPr>
          <w:rFonts w:asciiTheme="minorHAnsi" w:hAnsiTheme="minorHAnsi" w:cstheme="minorHAnsi"/>
          <w:b/>
          <w:bCs/>
          <w:sz w:val="32"/>
          <w:szCs w:val="32"/>
        </w:rPr>
      </w:pPr>
    </w:p>
    <w:p w14:paraId="04E498A2" w14:textId="77777777" w:rsidR="00C43719" w:rsidRDefault="00C43719" w:rsidP="005738FB">
      <w:pPr>
        <w:pStyle w:val="StylStyl1dkovn15dku"/>
        <w:tabs>
          <w:tab w:val="left" w:pos="3780"/>
        </w:tabs>
        <w:spacing w:after="200" w:line="276" w:lineRule="auto"/>
        <w:contextualSpacing/>
        <w:jc w:val="center"/>
        <w:rPr>
          <w:rFonts w:asciiTheme="minorHAnsi" w:hAnsiTheme="minorHAnsi" w:cstheme="minorHAnsi"/>
          <w:b/>
          <w:bCs/>
          <w:sz w:val="32"/>
          <w:szCs w:val="32"/>
        </w:rPr>
      </w:pPr>
    </w:p>
    <w:p w14:paraId="75EDA9E0" w14:textId="69CD528B" w:rsidR="00714D12" w:rsidRPr="0074413A" w:rsidRDefault="00714D12" w:rsidP="005738FB">
      <w:pPr>
        <w:pStyle w:val="StylStyl1dkovn15dku"/>
        <w:tabs>
          <w:tab w:val="left" w:pos="3780"/>
        </w:tabs>
        <w:spacing w:after="200" w:line="276" w:lineRule="auto"/>
        <w:contextualSpacing/>
        <w:jc w:val="center"/>
        <w:rPr>
          <w:rFonts w:asciiTheme="minorHAnsi" w:hAnsiTheme="minorHAnsi" w:cstheme="minorHAnsi"/>
          <w:b/>
          <w:bCs/>
          <w:sz w:val="32"/>
          <w:szCs w:val="32"/>
        </w:rPr>
      </w:pPr>
      <w:r w:rsidRPr="0074413A">
        <w:rPr>
          <w:rFonts w:asciiTheme="minorHAnsi" w:hAnsiTheme="minorHAnsi" w:cstheme="minorHAnsi"/>
          <w:b/>
          <w:bCs/>
          <w:sz w:val="32"/>
          <w:szCs w:val="32"/>
        </w:rPr>
        <w:t>UNIVERZITA PALACKÉHO V OLOMOUCI</w:t>
      </w:r>
    </w:p>
    <w:p w14:paraId="399AF72D" w14:textId="77777777" w:rsidR="00714D12" w:rsidRPr="00B520B0" w:rsidRDefault="00714D12" w:rsidP="005738FB">
      <w:pPr>
        <w:pStyle w:val="StylStyl1dkovn15dku"/>
        <w:tabs>
          <w:tab w:val="left" w:pos="3780"/>
        </w:tabs>
        <w:spacing w:after="200" w:line="276" w:lineRule="auto"/>
        <w:contextualSpacing/>
        <w:rPr>
          <w:rFonts w:asciiTheme="minorHAnsi" w:hAnsiTheme="minorHAnsi" w:cstheme="minorHAnsi"/>
          <w:b/>
          <w:bCs/>
        </w:rPr>
      </w:pPr>
    </w:p>
    <w:p w14:paraId="09095C7B" w14:textId="77777777" w:rsidR="00714D12" w:rsidRPr="00B520B0" w:rsidRDefault="00714D12" w:rsidP="005738FB">
      <w:pPr>
        <w:pStyle w:val="StylStyl1dkovn15dku"/>
        <w:tabs>
          <w:tab w:val="left" w:pos="3780"/>
        </w:tabs>
        <w:spacing w:after="200" w:line="276" w:lineRule="auto"/>
        <w:contextualSpacing/>
        <w:jc w:val="center"/>
        <w:rPr>
          <w:rFonts w:asciiTheme="minorHAnsi" w:hAnsiTheme="minorHAnsi" w:cstheme="minorHAnsi"/>
          <w:bCs/>
          <w:sz w:val="36"/>
          <w:szCs w:val="40"/>
        </w:rPr>
      </w:pPr>
      <w:r w:rsidRPr="00B520B0">
        <w:rPr>
          <w:rFonts w:asciiTheme="minorHAnsi" w:hAnsiTheme="minorHAnsi" w:cstheme="minorHAnsi"/>
          <w:bCs/>
          <w:sz w:val="36"/>
          <w:szCs w:val="40"/>
        </w:rPr>
        <w:t>Lékařská fakulta</w:t>
      </w:r>
    </w:p>
    <w:p w14:paraId="472D9A13" w14:textId="77777777" w:rsidR="00714D12" w:rsidRPr="00B520B0" w:rsidRDefault="00714D12" w:rsidP="005738FB">
      <w:pPr>
        <w:pStyle w:val="StylStyl1dkovn15dku"/>
        <w:tabs>
          <w:tab w:val="left" w:pos="3780"/>
        </w:tabs>
        <w:spacing w:after="200" w:line="276" w:lineRule="auto"/>
        <w:ind w:left="851"/>
        <w:contextualSpacing/>
        <w:jc w:val="center"/>
        <w:rPr>
          <w:rFonts w:asciiTheme="minorHAnsi" w:hAnsiTheme="minorHAnsi" w:cstheme="minorHAnsi"/>
          <w:bCs/>
          <w:sz w:val="22"/>
          <w:szCs w:val="24"/>
        </w:rPr>
      </w:pPr>
    </w:p>
    <w:p w14:paraId="3B7C9801" w14:textId="77777777" w:rsidR="00714D12" w:rsidRPr="00B520B0" w:rsidRDefault="00714D12" w:rsidP="005738FB">
      <w:pPr>
        <w:pStyle w:val="StylStyl1dkovn15dku"/>
        <w:tabs>
          <w:tab w:val="left" w:pos="3780"/>
        </w:tabs>
        <w:spacing w:after="200" w:line="276" w:lineRule="auto"/>
        <w:ind w:left="851"/>
        <w:contextualSpacing/>
        <w:jc w:val="center"/>
        <w:rPr>
          <w:rFonts w:asciiTheme="minorHAnsi" w:hAnsiTheme="minorHAnsi" w:cstheme="minorHAnsi"/>
          <w:bCs/>
          <w:sz w:val="22"/>
          <w:szCs w:val="24"/>
        </w:rPr>
      </w:pPr>
    </w:p>
    <w:p w14:paraId="35E034AE" w14:textId="77777777" w:rsidR="00714D12" w:rsidRPr="00B520B0" w:rsidRDefault="00714D12" w:rsidP="005738FB">
      <w:pPr>
        <w:pStyle w:val="StylStyl1dkovn15dku"/>
        <w:tabs>
          <w:tab w:val="left" w:pos="3780"/>
        </w:tabs>
        <w:spacing w:after="200" w:line="276" w:lineRule="auto"/>
        <w:contextualSpacing/>
        <w:rPr>
          <w:rFonts w:asciiTheme="minorHAnsi" w:hAnsiTheme="minorHAnsi" w:cstheme="minorHAnsi"/>
          <w:bCs/>
          <w:sz w:val="22"/>
          <w:szCs w:val="24"/>
        </w:rPr>
      </w:pPr>
    </w:p>
    <w:p w14:paraId="7551DAA3" w14:textId="77777777" w:rsidR="00714D12" w:rsidRPr="00B520B0" w:rsidRDefault="00714D12" w:rsidP="005738FB">
      <w:pPr>
        <w:pStyle w:val="StylStyl1dkovn15dku"/>
        <w:tabs>
          <w:tab w:val="left" w:pos="3780"/>
        </w:tabs>
        <w:spacing w:after="200" w:line="276" w:lineRule="auto"/>
        <w:contextualSpacing/>
        <w:rPr>
          <w:rFonts w:asciiTheme="minorHAnsi" w:hAnsiTheme="minorHAnsi" w:cstheme="minorHAnsi"/>
          <w:bCs/>
          <w:sz w:val="22"/>
          <w:szCs w:val="24"/>
        </w:rPr>
      </w:pPr>
    </w:p>
    <w:p w14:paraId="603DA0D7" w14:textId="77777777" w:rsidR="00714D12" w:rsidRPr="00B520B0" w:rsidRDefault="00714D12" w:rsidP="005738FB">
      <w:pPr>
        <w:pStyle w:val="StylStyl1dkovn15dku"/>
        <w:tabs>
          <w:tab w:val="left" w:pos="3780"/>
        </w:tabs>
        <w:spacing w:after="200" w:line="276" w:lineRule="auto"/>
        <w:contextualSpacing/>
        <w:jc w:val="center"/>
        <w:rPr>
          <w:rFonts w:asciiTheme="minorHAnsi" w:hAnsiTheme="minorHAnsi" w:cstheme="minorHAnsi"/>
          <w:sz w:val="22"/>
        </w:rPr>
      </w:pPr>
      <w:r w:rsidRPr="00B520B0">
        <w:rPr>
          <w:rFonts w:asciiTheme="minorHAnsi" w:hAnsiTheme="minorHAnsi" w:cstheme="minorHAnsi"/>
          <w:noProof/>
          <w:sz w:val="22"/>
        </w:rPr>
        <w:drawing>
          <wp:inline distT="0" distB="0" distL="0" distR="0" wp14:anchorId="1F1CBEE2" wp14:editId="2CD3B613">
            <wp:extent cx="1052195" cy="1190625"/>
            <wp:effectExtent l="1905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052195" cy="1190625"/>
                    </a:xfrm>
                    <a:prstGeom prst="rect">
                      <a:avLst/>
                    </a:prstGeom>
                    <a:noFill/>
                    <a:ln w="9525">
                      <a:noFill/>
                      <a:miter lim="800000"/>
                      <a:headEnd/>
                      <a:tailEnd/>
                    </a:ln>
                  </pic:spPr>
                </pic:pic>
              </a:graphicData>
            </a:graphic>
          </wp:inline>
        </w:drawing>
      </w:r>
    </w:p>
    <w:p w14:paraId="37503B3D" w14:textId="77777777" w:rsidR="00714D12" w:rsidRPr="00B520B0" w:rsidRDefault="00714D12" w:rsidP="005738FB">
      <w:pPr>
        <w:pStyle w:val="StylStyl1dkovn15dku"/>
        <w:tabs>
          <w:tab w:val="left" w:pos="3780"/>
        </w:tabs>
        <w:spacing w:after="200" w:line="276" w:lineRule="auto"/>
        <w:ind w:left="851"/>
        <w:contextualSpacing/>
        <w:jc w:val="center"/>
        <w:rPr>
          <w:rFonts w:asciiTheme="minorHAnsi" w:hAnsiTheme="minorHAnsi" w:cstheme="minorHAnsi"/>
          <w:sz w:val="22"/>
        </w:rPr>
      </w:pPr>
    </w:p>
    <w:p w14:paraId="1BFD528D" w14:textId="77777777" w:rsidR="00714D12" w:rsidRPr="00B520B0" w:rsidRDefault="00714D12" w:rsidP="005738FB">
      <w:pPr>
        <w:pStyle w:val="StylStyl1dkovn15dku"/>
        <w:tabs>
          <w:tab w:val="left" w:pos="3780"/>
        </w:tabs>
        <w:spacing w:after="200" w:line="276" w:lineRule="auto"/>
        <w:ind w:left="851"/>
        <w:contextualSpacing/>
        <w:jc w:val="center"/>
        <w:rPr>
          <w:rFonts w:asciiTheme="minorHAnsi" w:hAnsiTheme="minorHAnsi" w:cstheme="minorHAnsi"/>
          <w:sz w:val="22"/>
        </w:rPr>
      </w:pPr>
    </w:p>
    <w:p w14:paraId="6054B852" w14:textId="77777777" w:rsidR="00714D12" w:rsidRPr="00B520B0" w:rsidRDefault="00714D12" w:rsidP="005738FB">
      <w:pPr>
        <w:pStyle w:val="StylStyl1dkovn15dku"/>
        <w:tabs>
          <w:tab w:val="left" w:pos="3780"/>
        </w:tabs>
        <w:spacing w:after="200" w:line="276" w:lineRule="auto"/>
        <w:contextualSpacing/>
        <w:rPr>
          <w:rFonts w:asciiTheme="minorHAnsi" w:hAnsiTheme="minorHAnsi" w:cstheme="minorHAnsi"/>
          <w:bCs/>
          <w:sz w:val="22"/>
          <w:szCs w:val="24"/>
        </w:rPr>
      </w:pPr>
    </w:p>
    <w:p w14:paraId="2D301E79" w14:textId="50F60162" w:rsidR="00714D12" w:rsidRPr="00B520B0" w:rsidRDefault="00780DDF" w:rsidP="005738FB">
      <w:pPr>
        <w:contextualSpacing/>
        <w:jc w:val="center"/>
        <w:rPr>
          <w:rFonts w:cstheme="minorHAnsi"/>
          <w:b/>
          <w:sz w:val="32"/>
          <w:szCs w:val="36"/>
        </w:rPr>
      </w:pPr>
      <w:bookmarkStart w:id="2" w:name="_Hlk66472432"/>
      <w:r w:rsidRPr="00780DDF">
        <w:rPr>
          <w:b/>
          <w:sz w:val="32"/>
          <w:szCs w:val="32"/>
        </w:rPr>
        <w:t>Molekulárně cytogenetické změny u nádorů CNS</w:t>
      </w:r>
    </w:p>
    <w:bookmarkEnd w:id="2"/>
    <w:p w14:paraId="2A0DC506" w14:textId="77777777" w:rsidR="00714D12" w:rsidRPr="00B520B0" w:rsidRDefault="00714D12" w:rsidP="005738FB">
      <w:pPr>
        <w:contextualSpacing/>
        <w:jc w:val="center"/>
        <w:rPr>
          <w:rFonts w:cstheme="minorHAnsi"/>
          <w:b/>
          <w:sz w:val="32"/>
          <w:szCs w:val="36"/>
        </w:rPr>
      </w:pPr>
    </w:p>
    <w:p w14:paraId="6D4C5271" w14:textId="77777777" w:rsidR="00714D12" w:rsidRPr="00B520B0" w:rsidRDefault="00714D12" w:rsidP="005738FB">
      <w:pPr>
        <w:contextualSpacing/>
        <w:jc w:val="center"/>
        <w:rPr>
          <w:rFonts w:cstheme="minorHAnsi"/>
          <w:b/>
          <w:bCs/>
          <w:sz w:val="32"/>
          <w:szCs w:val="36"/>
        </w:rPr>
      </w:pPr>
      <w:r w:rsidRPr="00B520B0">
        <w:rPr>
          <w:rFonts w:cstheme="minorHAnsi"/>
          <w:b/>
          <w:bCs/>
          <w:sz w:val="32"/>
          <w:szCs w:val="36"/>
        </w:rPr>
        <w:t>DOKTORSKÁ DIZERTAČNÍ PRÁCE</w:t>
      </w:r>
    </w:p>
    <w:p w14:paraId="24039C08" w14:textId="77777777" w:rsidR="00714D12" w:rsidRPr="00B520B0" w:rsidRDefault="00714D12" w:rsidP="005738FB">
      <w:pPr>
        <w:contextualSpacing/>
        <w:rPr>
          <w:rFonts w:cstheme="minorHAnsi"/>
          <w:b/>
          <w:szCs w:val="24"/>
        </w:rPr>
      </w:pPr>
    </w:p>
    <w:p w14:paraId="3985B6CC" w14:textId="2094274C" w:rsidR="00714D12" w:rsidRPr="00B520B0" w:rsidRDefault="00714D12" w:rsidP="005738FB">
      <w:pPr>
        <w:contextualSpacing/>
        <w:jc w:val="center"/>
        <w:rPr>
          <w:rFonts w:cstheme="minorHAnsi"/>
          <w:sz w:val="20"/>
          <w:szCs w:val="24"/>
        </w:rPr>
      </w:pPr>
      <w:r w:rsidRPr="00B520B0">
        <w:rPr>
          <w:rFonts w:cstheme="minorHAnsi"/>
          <w:sz w:val="20"/>
          <w:szCs w:val="24"/>
        </w:rPr>
        <w:t xml:space="preserve">Mgr. </w:t>
      </w:r>
      <w:r>
        <w:rPr>
          <w:rFonts w:cstheme="minorHAnsi"/>
          <w:sz w:val="20"/>
          <w:szCs w:val="24"/>
        </w:rPr>
        <w:t>Zuzana Šporiková</w:t>
      </w:r>
      <w:r w:rsidR="00741EFD">
        <w:rPr>
          <w:rFonts w:cstheme="minorHAnsi"/>
          <w:sz w:val="20"/>
          <w:szCs w:val="24"/>
        </w:rPr>
        <w:t xml:space="preserve"> </w:t>
      </w:r>
    </w:p>
    <w:p w14:paraId="59C28C6B" w14:textId="77777777" w:rsidR="00714D12" w:rsidRPr="00B520B0" w:rsidRDefault="00714D12" w:rsidP="005738FB">
      <w:pPr>
        <w:contextualSpacing/>
        <w:jc w:val="center"/>
        <w:rPr>
          <w:rFonts w:cstheme="minorHAnsi"/>
          <w:sz w:val="20"/>
        </w:rPr>
      </w:pPr>
    </w:p>
    <w:p w14:paraId="1791DCAF" w14:textId="77777777" w:rsidR="00714D12" w:rsidRPr="00B520B0" w:rsidRDefault="00714D12" w:rsidP="005738FB">
      <w:pPr>
        <w:contextualSpacing/>
        <w:jc w:val="center"/>
        <w:rPr>
          <w:rFonts w:cstheme="minorHAnsi"/>
          <w:sz w:val="20"/>
        </w:rPr>
      </w:pPr>
    </w:p>
    <w:p w14:paraId="51CBEA0F" w14:textId="77777777" w:rsidR="00714D12" w:rsidRPr="00B520B0" w:rsidRDefault="00714D12" w:rsidP="005738FB">
      <w:pPr>
        <w:contextualSpacing/>
        <w:jc w:val="center"/>
        <w:rPr>
          <w:rFonts w:cstheme="minorHAnsi"/>
          <w:sz w:val="20"/>
        </w:rPr>
      </w:pPr>
    </w:p>
    <w:p w14:paraId="16DF1C0A" w14:textId="022570A1" w:rsidR="00714D12" w:rsidRDefault="00714D12" w:rsidP="005738FB">
      <w:pPr>
        <w:contextualSpacing/>
        <w:jc w:val="center"/>
        <w:rPr>
          <w:rFonts w:cstheme="minorHAnsi"/>
          <w:sz w:val="20"/>
        </w:rPr>
      </w:pPr>
      <w:r w:rsidRPr="00B520B0">
        <w:rPr>
          <w:rFonts w:cstheme="minorHAnsi"/>
          <w:sz w:val="20"/>
        </w:rPr>
        <w:t>Olomouc 20</w:t>
      </w:r>
      <w:r>
        <w:rPr>
          <w:rFonts w:cstheme="minorHAnsi"/>
          <w:sz w:val="20"/>
        </w:rPr>
        <w:t>21</w:t>
      </w:r>
    </w:p>
    <w:p w14:paraId="39EE4155" w14:textId="3956A874" w:rsidR="00714D12" w:rsidRPr="00CB75D7" w:rsidRDefault="00714D12" w:rsidP="005738FB">
      <w:pPr>
        <w:pStyle w:val="StylStyl1dkovn15dku"/>
        <w:tabs>
          <w:tab w:val="left" w:pos="3780"/>
        </w:tabs>
        <w:spacing w:after="200" w:line="276" w:lineRule="auto"/>
        <w:ind w:left="851"/>
        <w:contextualSpacing/>
        <w:rPr>
          <w:rFonts w:asciiTheme="minorHAnsi" w:hAnsiTheme="minorHAnsi" w:cstheme="minorHAnsi"/>
          <w:bCs/>
          <w:sz w:val="22"/>
          <w:szCs w:val="28"/>
        </w:rPr>
      </w:pPr>
      <w:r w:rsidRPr="00B520B0">
        <w:rPr>
          <w:rFonts w:cstheme="minorHAnsi"/>
          <w:sz w:val="18"/>
        </w:rPr>
        <w:br w:type="page"/>
      </w:r>
      <w:r w:rsidRPr="00CB75D7">
        <w:rPr>
          <w:rFonts w:asciiTheme="minorHAnsi" w:hAnsiTheme="minorHAnsi" w:cstheme="minorHAnsi"/>
          <w:bCs/>
          <w:sz w:val="22"/>
          <w:szCs w:val="28"/>
        </w:rPr>
        <w:lastRenderedPageBreak/>
        <w:t>Doktorand:</w:t>
      </w:r>
      <w:r w:rsidRPr="00CB75D7">
        <w:rPr>
          <w:rFonts w:asciiTheme="minorHAnsi" w:hAnsiTheme="minorHAnsi" w:cstheme="minorHAnsi"/>
          <w:bCs/>
          <w:sz w:val="22"/>
          <w:szCs w:val="28"/>
        </w:rPr>
        <w:tab/>
      </w:r>
      <w:r w:rsidRPr="00CB75D7">
        <w:rPr>
          <w:rFonts w:asciiTheme="minorHAnsi" w:hAnsiTheme="minorHAnsi" w:cstheme="minorHAnsi"/>
          <w:bCs/>
          <w:sz w:val="22"/>
          <w:szCs w:val="28"/>
        </w:rPr>
        <w:tab/>
        <w:t>Mgr. Zuzana Šporiková</w:t>
      </w:r>
    </w:p>
    <w:p w14:paraId="044D1CCB" w14:textId="77777777" w:rsidR="00714D12" w:rsidRPr="00CB75D7" w:rsidRDefault="00714D12" w:rsidP="005738FB">
      <w:pPr>
        <w:pStyle w:val="StylStyl1dkovn15dku"/>
        <w:tabs>
          <w:tab w:val="left" w:pos="3780"/>
        </w:tabs>
        <w:spacing w:after="200" w:line="276" w:lineRule="auto"/>
        <w:ind w:left="851"/>
        <w:contextualSpacing/>
        <w:rPr>
          <w:rFonts w:asciiTheme="minorHAnsi" w:hAnsiTheme="minorHAnsi" w:cstheme="minorHAnsi"/>
          <w:bCs/>
          <w:sz w:val="22"/>
          <w:szCs w:val="28"/>
        </w:rPr>
      </w:pPr>
      <w:r w:rsidRPr="00CB75D7">
        <w:rPr>
          <w:rFonts w:asciiTheme="minorHAnsi" w:hAnsiTheme="minorHAnsi" w:cstheme="minorHAnsi"/>
          <w:bCs/>
          <w:sz w:val="22"/>
          <w:szCs w:val="28"/>
        </w:rPr>
        <w:t>Doktorský studijní program:</w:t>
      </w:r>
      <w:r w:rsidRPr="00CB75D7">
        <w:rPr>
          <w:rFonts w:asciiTheme="minorHAnsi" w:hAnsiTheme="minorHAnsi" w:cstheme="minorHAnsi"/>
          <w:bCs/>
          <w:sz w:val="22"/>
          <w:szCs w:val="28"/>
        </w:rPr>
        <w:tab/>
      </w:r>
      <w:r w:rsidRPr="00CB75D7">
        <w:rPr>
          <w:rFonts w:asciiTheme="minorHAnsi" w:hAnsiTheme="minorHAnsi" w:cstheme="minorHAnsi"/>
          <w:bCs/>
          <w:sz w:val="22"/>
          <w:szCs w:val="28"/>
        </w:rPr>
        <w:tab/>
        <w:t>Pediatrie</w:t>
      </w:r>
    </w:p>
    <w:p w14:paraId="1D565317" w14:textId="77777777" w:rsidR="00714D12" w:rsidRPr="00CB75D7" w:rsidRDefault="00714D12" w:rsidP="005738FB">
      <w:pPr>
        <w:pStyle w:val="StylStyl1dkovn15dku"/>
        <w:tabs>
          <w:tab w:val="left" w:pos="3780"/>
        </w:tabs>
        <w:spacing w:after="200" w:line="276" w:lineRule="auto"/>
        <w:ind w:left="851"/>
        <w:contextualSpacing/>
        <w:rPr>
          <w:rFonts w:asciiTheme="minorHAnsi" w:hAnsiTheme="minorHAnsi" w:cstheme="minorHAnsi"/>
          <w:bCs/>
          <w:sz w:val="22"/>
          <w:szCs w:val="28"/>
        </w:rPr>
      </w:pPr>
      <w:r w:rsidRPr="00CB75D7">
        <w:rPr>
          <w:rFonts w:asciiTheme="minorHAnsi" w:hAnsiTheme="minorHAnsi" w:cstheme="minorHAnsi"/>
          <w:bCs/>
          <w:sz w:val="22"/>
          <w:szCs w:val="28"/>
        </w:rPr>
        <w:t>Pracoviště:</w:t>
      </w:r>
      <w:r w:rsidRPr="00CB75D7">
        <w:rPr>
          <w:rFonts w:asciiTheme="minorHAnsi" w:hAnsiTheme="minorHAnsi" w:cstheme="minorHAnsi"/>
          <w:bCs/>
          <w:sz w:val="22"/>
          <w:szCs w:val="28"/>
        </w:rPr>
        <w:tab/>
      </w:r>
      <w:r w:rsidRPr="00CB75D7">
        <w:rPr>
          <w:rFonts w:asciiTheme="minorHAnsi" w:hAnsiTheme="minorHAnsi" w:cstheme="minorHAnsi"/>
          <w:bCs/>
          <w:sz w:val="22"/>
          <w:szCs w:val="28"/>
        </w:rPr>
        <w:tab/>
        <w:t>Ústav molekulární a translační medicíny</w:t>
      </w:r>
    </w:p>
    <w:p w14:paraId="13BE6DCD" w14:textId="77777777" w:rsidR="00714D12" w:rsidRPr="00CB75D7" w:rsidRDefault="00714D12" w:rsidP="005738FB">
      <w:pPr>
        <w:pStyle w:val="StylStyl1dkovn15dku"/>
        <w:tabs>
          <w:tab w:val="left" w:pos="3780"/>
          <w:tab w:val="left" w:pos="4253"/>
        </w:tabs>
        <w:spacing w:after="200" w:line="276" w:lineRule="auto"/>
        <w:ind w:left="4253"/>
        <w:contextualSpacing/>
        <w:rPr>
          <w:rFonts w:asciiTheme="minorHAnsi" w:hAnsiTheme="minorHAnsi" w:cstheme="minorHAnsi"/>
          <w:bCs/>
          <w:sz w:val="22"/>
          <w:szCs w:val="28"/>
        </w:rPr>
      </w:pPr>
      <w:r w:rsidRPr="00CB75D7">
        <w:rPr>
          <w:rFonts w:asciiTheme="minorHAnsi" w:hAnsiTheme="minorHAnsi" w:cstheme="minorHAnsi"/>
          <w:bCs/>
          <w:sz w:val="22"/>
          <w:szCs w:val="28"/>
        </w:rPr>
        <w:t>Lékařská fakulta Univerzity Palackého v Olomouci a Fakultní nemocnice Olomouc</w:t>
      </w:r>
    </w:p>
    <w:p w14:paraId="0B872027" w14:textId="77777777" w:rsidR="00714D12" w:rsidRPr="00CB75D7" w:rsidRDefault="00714D12" w:rsidP="005738FB">
      <w:pPr>
        <w:pStyle w:val="StylStyl1dkovn15dku"/>
        <w:tabs>
          <w:tab w:val="left" w:pos="3780"/>
        </w:tabs>
        <w:spacing w:after="200" w:line="276" w:lineRule="auto"/>
        <w:ind w:left="4253"/>
        <w:contextualSpacing/>
        <w:rPr>
          <w:rFonts w:asciiTheme="minorHAnsi" w:hAnsiTheme="minorHAnsi" w:cstheme="minorHAnsi"/>
          <w:bCs/>
          <w:sz w:val="22"/>
          <w:szCs w:val="28"/>
        </w:rPr>
      </w:pPr>
      <w:r w:rsidRPr="00CB75D7">
        <w:rPr>
          <w:rFonts w:asciiTheme="minorHAnsi" w:hAnsiTheme="minorHAnsi" w:cstheme="minorHAnsi"/>
          <w:bCs/>
          <w:sz w:val="22"/>
          <w:szCs w:val="28"/>
        </w:rPr>
        <w:t xml:space="preserve">Hněvotínská 5 </w:t>
      </w:r>
    </w:p>
    <w:p w14:paraId="59E92101" w14:textId="77777777" w:rsidR="00714D12" w:rsidRPr="00CB75D7" w:rsidRDefault="00714D12" w:rsidP="005738FB">
      <w:pPr>
        <w:pStyle w:val="StylStyl1dkovn15dku"/>
        <w:tabs>
          <w:tab w:val="left" w:pos="3780"/>
        </w:tabs>
        <w:spacing w:after="200" w:line="276" w:lineRule="auto"/>
        <w:ind w:left="851"/>
        <w:contextualSpacing/>
        <w:rPr>
          <w:rFonts w:asciiTheme="minorHAnsi" w:hAnsiTheme="minorHAnsi" w:cstheme="minorHAnsi"/>
          <w:bCs/>
          <w:sz w:val="22"/>
          <w:szCs w:val="28"/>
        </w:rPr>
      </w:pPr>
      <w:r w:rsidRPr="00CB75D7">
        <w:rPr>
          <w:rFonts w:asciiTheme="minorHAnsi" w:hAnsiTheme="minorHAnsi" w:cstheme="minorHAnsi"/>
          <w:bCs/>
          <w:sz w:val="22"/>
          <w:szCs w:val="28"/>
        </w:rPr>
        <w:tab/>
      </w:r>
      <w:r w:rsidRPr="00CB75D7">
        <w:rPr>
          <w:rFonts w:asciiTheme="minorHAnsi" w:hAnsiTheme="minorHAnsi" w:cstheme="minorHAnsi"/>
          <w:bCs/>
          <w:sz w:val="22"/>
          <w:szCs w:val="28"/>
        </w:rPr>
        <w:tab/>
        <w:t>Olomouc</w:t>
      </w:r>
    </w:p>
    <w:p w14:paraId="5FA3FCFA" w14:textId="07B1C113" w:rsidR="00714D12" w:rsidRPr="00CB75D7" w:rsidRDefault="00714D12" w:rsidP="005738FB">
      <w:pPr>
        <w:pStyle w:val="StylStyl1dkovn15dku"/>
        <w:tabs>
          <w:tab w:val="left" w:pos="3780"/>
        </w:tabs>
        <w:spacing w:after="200" w:line="276" w:lineRule="auto"/>
        <w:ind w:left="851"/>
        <w:contextualSpacing/>
        <w:rPr>
          <w:rFonts w:asciiTheme="minorHAnsi" w:hAnsiTheme="minorHAnsi" w:cstheme="minorHAnsi"/>
          <w:bCs/>
          <w:sz w:val="22"/>
          <w:szCs w:val="28"/>
        </w:rPr>
      </w:pPr>
      <w:r w:rsidRPr="00CB75D7">
        <w:rPr>
          <w:rFonts w:asciiTheme="minorHAnsi" w:hAnsiTheme="minorHAnsi" w:cstheme="minorHAnsi"/>
          <w:bCs/>
          <w:sz w:val="22"/>
          <w:szCs w:val="28"/>
        </w:rPr>
        <w:t>Školitel:</w:t>
      </w:r>
      <w:r w:rsidRPr="00CB75D7">
        <w:rPr>
          <w:rFonts w:asciiTheme="minorHAnsi" w:hAnsiTheme="minorHAnsi" w:cstheme="minorHAnsi"/>
          <w:bCs/>
          <w:sz w:val="22"/>
          <w:szCs w:val="28"/>
        </w:rPr>
        <w:tab/>
      </w:r>
      <w:r w:rsidRPr="00CB75D7">
        <w:rPr>
          <w:rFonts w:asciiTheme="minorHAnsi" w:hAnsiTheme="minorHAnsi" w:cstheme="minorHAnsi"/>
          <w:bCs/>
          <w:sz w:val="22"/>
          <w:szCs w:val="28"/>
        </w:rPr>
        <w:tab/>
      </w:r>
      <w:r w:rsidR="006153D3">
        <w:rPr>
          <w:rFonts w:asciiTheme="minorHAnsi" w:hAnsiTheme="minorHAnsi" w:cstheme="minorHAnsi"/>
          <w:bCs/>
          <w:sz w:val="22"/>
          <w:szCs w:val="28"/>
        </w:rPr>
        <w:t>Mgr. Vladimíra Koudeláková, Ph.D.</w:t>
      </w:r>
    </w:p>
    <w:p w14:paraId="312CE5F4" w14:textId="77777777" w:rsidR="00714D12" w:rsidRPr="00B520B0" w:rsidRDefault="00714D12" w:rsidP="005738FB">
      <w:pPr>
        <w:contextualSpacing/>
        <w:rPr>
          <w:rFonts w:eastAsia="Times New Roman" w:cstheme="minorHAnsi"/>
          <w:bCs/>
          <w:sz w:val="20"/>
          <w:szCs w:val="24"/>
        </w:rPr>
      </w:pPr>
      <w:r w:rsidRPr="00B520B0">
        <w:rPr>
          <w:rFonts w:cstheme="minorHAnsi"/>
          <w:bCs/>
          <w:sz w:val="18"/>
          <w:szCs w:val="24"/>
        </w:rPr>
        <w:br w:type="page"/>
      </w:r>
    </w:p>
    <w:p w14:paraId="24D69A5D" w14:textId="663577D0" w:rsidR="00D7358C" w:rsidRPr="00D7358C" w:rsidRDefault="0045050A" w:rsidP="00AA0A32">
      <w:pPr>
        <w:jc w:val="both"/>
        <w:rPr>
          <w:rFonts w:ascii="Times New Roman" w:hAnsi="Times New Roman" w:cs="Times New Roman"/>
          <w:sz w:val="24"/>
          <w:szCs w:val="24"/>
          <w:highlight w:val="yellow"/>
          <w:lang w:val="en-GB"/>
        </w:rPr>
      </w:pPr>
      <w:r w:rsidRPr="00D345C5">
        <w:lastRenderedPageBreak/>
        <w:t xml:space="preserve">Prohlašuji, že jsem dizertační práci vypracovala samostatně a uvedla jsem veškerou použitou literaturu, ze které jsem čerpala. Práce byla realizována pod odborným dohledem školitele, </w:t>
      </w:r>
      <w:r w:rsidR="00D345C5" w:rsidRPr="00D345C5">
        <w:t>RNDr</w:t>
      </w:r>
      <w:r w:rsidRPr="00D345C5">
        <w:t xml:space="preserve">. </w:t>
      </w:r>
      <w:r w:rsidR="00D345C5" w:rsidRPr="00D345C5">
        <w:t>Radka Trojance</w:t>
      </w:r>
      <w:r w:rsidRPr="00D345C5">
        <w:t xml:space="preserve"> Ph.D.</w:t>
      </w:r>
      <w:r w:rsidR="009D7238">
        <w:t xml:space="preserve">, </w:t>
      </w:r>
      <w:r w:rsidR="00D345C5" w:rsidRPr="00D345C5">
        <w:t>MBA</w:t>
      </w:r>
      <w:r w:rsidRPr="00D345C5">
        <w:t xml:space="preserve">, </w:t>
      </w:r>
      <w:r w:rsidRPr="00AA0A32">
        <w:t xml:space="preserve">a </w:t>
      </w:r>
      <w:r w:rsidR="00AA0A32">
        <w:t xml:space="preserve">byla </w:t>
      </w:r>
      <w:r w:rsidRPr="00AA0A32">
        <w:t>podporována grant</w:t>
      </w:r>
      <w:r w:rsidR="00AA0A32" w:rsidRPr="00AA0A32">
        <w:t>y: Ministerstva zdravotnictví České republiky [NV19-04-00281</w:t>
      </w:r>
      <w:r w:rsidR="00AA0A32">
        <w:t xml:space="preserve"> a </w:t>
      </w:r>
      <w:r w:rsidR="00AA0A32" w:rsidRPr="00AA0A32">
        <w:t>NU21-03-00195], BBMRI-CZ [LM2018125], Univerzity Palackého</w:t>
      </w:r>
      <w:r w:rsidR="00AA0A32">
        <w:t xml:space="preserve"> </w:t>
      </w:r>
      <w:r w:rsidR="00AA0A32" w:rsidRPr="00AA0A32">
        <w:t xml:space="preserve">[IGA LF_2020_007], </w:t>
      </w:r>
      <w:r w:rsidR="00D7358C" w:rsidRPr="00AA0A32">
        <w:t>Technology Agency of the Czech Republic [TE02000058]</w:t>
      </w:r>
      <w:r w:rsidR="00AA0A32" w:rsidRPr="00AA0A32">
        <w:t xml:space="preserve"> a </w:t>
      </w:r>
      <w:r w:rsidR="00D7358C" w:rsidRPr="00AA0A32">
        <w:t xml:space="preserve">the European Regional Development Fund - Project ENOCH [CZ.02.1.01/0.0/0.0/16_019/0000868], </w:t>
      </w:r>
      <w:r w:rsidR="00AA0A32" w:rsidRPr="00AA0A32">
        <w:t>Ministerstvo školství, mládeže a tělovýchovy ČR</w:t>
      </w:r>
      <w:r w:rsidR="00AA0A32">
        <w:t xml:space="preserve"> </w:t>
      </w:r>
      <w:r w:rsidR="00D7358C" w:rsidRPr="00AA0A32">
        <w:t>[grant LM2018132].</w:t>
      </w:r>
    </w:p>
    <w:p w14:paraId="6E191869" w14:textId="1EE81D6E" w:rsidR="0007496C" w:rsidRDefault="0007496C" w:rsidP="005738FB"/>
    <w:p w14:paraId="49BDCA1F" w14:textId="10FFD3D7" w:rsidR="0045050A" w:rsidRDefault="0045050A" w:rsidP="005738FB"/>
    <w:p w14:paraId="416EAB02" w14:textId="4DA345A4" w:rsidR="0045050A" w:rsidRDefault="0045050A" w:rsidP="005738FB"/>
    <w:p w14:paraId="0BB37D39" w14:textId="7FD7A29C" w:rsidR="0045050A" w:rsidRDefault="0045050A" w:rsidP="005738FB"/>
    <w:p w14:paraId="0E862FA3" w14:textId="4CDE4885" w:rsidR="0045050A" w:rsidRDefault="0045050A" w:rsidP="005738FB"/>
    <w:p w14:paraId="0690FB06" w14:textId="02FACD74" w:rsidR="0045050A" w:rsidRDefault="0045050A" w:rsidP="005738FB"/>
    <w:p w14:paraId="6AA89E6D" w14:textId="61D299C8" w:rsidR="0045050A" w:rsidRDefault="0045050A" w:rsidP="005738FB"/>
    <w:p w14:paraId="67628ADC" w14:textId="4A7607C4" w:rsidR="0045050A" w:rsidRDefault="0045050A" w:rsidP="005738FB"/>
    <w:p w14:paraId="2D14CEFC" w14:textId="125558CA" w:rsidR="0045050A" w:rsidRDefault="0045050A" w:rsidP="005738FB"/>
    <w:p w14:paraId="6F3BFC8B" w14:textId="6B54656B" w:rsidR="0045050A" w:rsidRDefault="0045050A" w:rsidP="005738FB"/>
    <w:p w14:paraId="1FC39CB4" w14:textId="2E5F6F59" w:rsidR="0045050A" w:rsidRDefault="0045050A" w:rsidP="005738FB"/>
    <w:p w14:paraId="1E3F6786" w14:textId="01735062" w:rsidR="0045050A" w:rsidRDefault="0045050A" w:rsidP="005738FB"/>
    <w:p w14:paraId="3FDF64C4" w14:textId="782990A3" w:rsidR="0045050A" w:rsidRDefault="0045050A" w:rsidP="005738FB"/>
    <w:p w14:paraId="6D9EB5EC" w14:textId="7CB6108C" w:rsidR="0045050A" w:rsidRDefault="0045050A" w:rsidP="005738FB"/>
    <w:p w14:paraId="572EA6F5" w14:textId="33C7E79C" w:rsidR="0045050A" w:rsidRDefault="0045050A" w:rsidP="005738FB"/>
    <w:p w14:paraId="170D2703" w14:textId="4CB9CE87" w:rsidR="0045050A" w:rsidRDefault="0045050A" w:rsidP="005738FB"/>
    <w:p w14:paraId="0F34DC59" w14:textId="79F60ADC" w:rsidR="00AA0A32" w:rsidRDefault="00AA0A32" w:rsidP="005738FB"/>
    <w:p w14:paraId="6F0B9387" w14:textId="2A279AC1" w:rsidR="00AA0A32" w:rsidRDefault="00AA0A32" w:rsidP="005738FB"/>
    <w:p w14:paraId="4C68A991" w14:textId="663DF624" w:rsidR="00AA0A32" w:rsidRDefault="00AA0A32" w:rsidP="005738FB"/>
    <w:p w14:paraId="7218B471" w14:textId="36DD8430" w:rsidR="00AA0A32" w:rsidRDefault="00AA0A32" w:rsidP="005738FB"/>
    <w:p w14:paraId="6B24F409" w14:textId="77777777" w:rsidR="00AA0A32" w:rsidRDefault="00AA0A32" w:rsidP="005738FB"/>
    <w:p w14:paraId="03B4220F" w14:textId="308B43DC" w:rsidR="00AA0A32" w:rsidRDefault="00AA0A32" w:rsidP="005738FB"/>
    <w:p w14:paraId="69B7216A" w14:textId="77777777" w:rsidR="00AA0A32" w:rsidRDefault="00AA0A32" w:rsidP="005738FB"/>
    <w:p w14:paraId="733D7794" w14:textId="77777777" w:rsidR="0045050A" w:rsidRPr="006B3482" w:rsidRDefault="0045050A" w:rsidP="005738FB">
      <w:pPr>
        <w:contextualSpacing/>
        <w:rPr>
          <w:rFonts w:cstheme="minorHAnsi"/>
          <w:sz w:val="20"/>
          <w:szCs w:val="24"/>
        </w:rPr>
      </w:pPr>
      <w:r w:rsidRPr="006B3482">
        <w:rPr>
          <w:rFonts w:cstheme="minorHAnsi"/>
          <w:b/>
          <w:szCs w:val="24"/>
        </w:rPr>
        <w:t>Poděkování</w:t>
      </w:r>
    </w:p>
    <w:p w14:paraId="18215EDB" w14:textId="7D4A764F" w:rsidR="0045050A" w:rsidRDefault="0045050A" w:rsidP="006B3482">
      <w:pPr>
        <w:contextualSpacing/>
        <w:jc w:val="both"/>
        <w:rPr>
          <w:rFonts w:cstheme="minorHAnsi"/>
          <w:szCs w:val="24"/>
        </w:rPr>
      </w:pPr>
      <w:r w:rsidRPr="006B3482">
        <w:rPr>
          <w:rFonts w:cstheme="minorHAnsi"/>
          <w:szCs w:val="24"/>
        </w:rPr>
        <w:t>Děkuji m</w:t>
      </w:r>
      <w:r w:rsidR="006153D3">
        <w:rPr>
          <w:rFonts w:cstheme="minorHAnsi"/>
          <w:szCs w:val="24"/>
        </w:rPr>
        <w:t>ým</w:t>
      </w:r>
      <w:r w:rsidRPr="006B3482">
        <w:rPr>
          <w:rFonts w:cstheme="minorHAnsi"/>
          <w:szCs w:val="24"/>
        </w:rPr>
        <w:t xml:space="preserve"> školitel</w:t>
      </w:r>
      <w:r w:rsidR="006153D3">
        <w:rPr>
          <w:rFonts w:cstheme="minorHAnsi"/>
          <w:szCs w:val="24"/>
        </w:rPr>
        <w:t>ům</w:t>
      </w:r>
      <w:r w:rsidR="00562F69">
        <w:rPr>
          <w:rFonts w:cstheme="minorHAnsi"/>
          <w:szCs w:val="24"/>
        </w:rPr>
        <w:t xml:space="preserve"> RNDr. Radku Trojancovi, Ph.D.</w:t>
      </w:r>
      <w:r w:rsidR="009D7238">
        <w:rPr>
          <w:rFonts w:cstheme="minorHAnsi"/>
          <w:szCs w:val="24"/>
        </w:rPr>
        <w:t>, MBA</w:t>
      </w:r>
      <w:r w:rsidR="00D345C5" w:rsidRPr="006B3482">
        <w:rPr>
          <w:rFonts w:cstheme="minorHAnsi"/>
          <w:szCs w:val="24"/>
        </w:rPr>
        <w:t xml:space="preserve"> </w:t>
      </w:r>
      <w:r w:rsidR="006153D3">
        <w:rPr>
          <w:rFonts w:cstheme="minorHAnsi"/>
          <w:szCs w:val="24"/>
        </w:rPr>
        <w:t>a Mgr. Vladimíře Koudelákové, Ph.D.</w:t>
      </w:r>
      <w:r w:rsidR="00D345C5" w:rsidRPr="006B3482">
        <w:rPr>
          <w:rFonts w:cstheme="minorHAnsi"/>
          <w:szCs w:val="24"/>
        </w:rPr>
        <w:t xml:space="preserve">za zaštítění </w:t>
      </w:r>
      <w:r w:rsidR="006B3482" w:rsidRPr="006B3482">
        <w:rPr>
          <w:rFonts w:cstheme="minorHAnsi"/>
          <w:szCs w:val="24"/>
        </w:rPr>
        <w:t xml:space="preserve">celkové práce na Ústavu molekulární a translační medicíny. </w:t>
      </w:r>
      <w:r w:rsidR="00D345C5" w:rsidRPr="006B3482">
        <w:rPr>
          <w:rFonts w:cstheme="minorHAnsi"/>
          <w:szCs w:val="24"/>
        </w:rPr>
        <w:t>Mé poděkování patří obzvláště doc. MUDr. Ondřeji Kalitovi, Ph.D. MBA za pomoc při publikacích a za jeho vzácný čas</w:t>
      </w:r>
      <w:r w:rsidR="006153D3">
        <w:rPr>
          <w:rFonts w:cstheme="minorHAnsi"/>
          <w:szCs w:val="24"/>
        </w:rPr>
        <w:t xml:space="preserve">, </w:t>
      </w:r>
      <w:r w:rsidRPr="006B3482">
        <w:rPr>
          <w:rFonts w:cstheme="minorHAnsi"/>
          <w:szCs w:val="24"/>
        </w:rPr>
        <w:t>Mgr. Janě Vrbkové, Ph.D. bych chtěla poděkovat za statistickou analýzu dat pro publikac</w:t>
      </w:r>
      <w:r w:rsidR="00562F69">
        <w:rPr>
          <w:rFonts w:cstheme="minorHAnsi"/>
          <w:szCs w:val="24"/>
        </w:rPr>
        <w:t>i</w:t>
      </w:r>
      <w:r w:rsidR="006B3482" w:rsidRPr="006B3482">
        <w:rPr>
          <w:rFonts w:cstheme="minorHAnsi"/>
          <w:szCs w:val="24"/>
        </w:rPr>
        <w:t xml:space="preserve">. </w:t>
      </w:r>
      <w:r w:rsidRPr="006B3482">
        <w:rPr>
          <w:rFonts w:cstheme="minorHAnsi"/>
          <w:szCs w:val="24"/>
        </w:rPr>
        <w:t xml:space="preserve">Mé poděkování také patří </w:t>
      </w:r>
      <w:r w:rsidR="006B3482">
        <w:rPr>
          <w:rFonts w:cstheme="minorHAnsi"/>
          <w:szCs w:val="24"/>
        </w:rPr>
        <w:t>doc.</w:t>
      </w:r>
      <w:r w:rsidRPr="006B3482">
        <w:rPr>
          <w:rFonts w:cstheme="minorHAnsi"/>
          <w:szCs w:val="24"/>
        </w:rPr>
        <w:t xml:space="preserve"> MUDr. Mariánu Hajdúchovi, Ph.D. za odborné vedení projektů</w:t>
      </w:r>
      <w:r w:rsidR="009D7238">
        <w:rPr>
          <w:rFonts w:cstheme="minorHAnsi"/>
          <w:szCs w:val="24"/>
        </w:rPr>
        <w:t xml:space="preserve"> a v neposlední řadě i celému týmu spolupracovníků ÚMTM.</w:t>
      </w:r>
    </w:p>
    <w:p w14:paraId="7C0EFFB3" w14:textId="66746478" w:rsidR="008F1049" w:rsidRDefault="008F1049" w:rsidP="006B3482">
      <w:pPr>
        <w:contextualSpacing/>
        <w:jc w:val="both"/>
        <w:rPr>
          <w:rFonts w:cstheme="minorHAnsi"/>
          <w:szCs w:val="24"/>
        </w:rPr>
      </w:pPr>
    </w:p>
    <w:p w14:paraId="1A3F45E8" w14:textId="2354B884" w:rsidR="008F1049" w:rsidRPr="00CB75D7" w:rsidRDefault="008F1049" w:rsidP="006B3482">
      <w:pPr>
        <w:contextualSpacing/>
        <w:jc w:val="both"/>
        <w:rPr>
          <w:rFonts w:cstheme="minorHAnsi"/>
          <w:szCs w:val="24"/>
        </w:rPr>
      </w:pPr>
      <w:r>
        <w:rPr>
          <w:rFonts w:cstheme="minorHAnsi"/>
          <w:szCs w:val="24"/>
        </w:rPr>
        <w:t>Obrovský dík patří i celé podporující rodině.</w:t>
      </w:r>
    </w:p>
    <w:p w14:paraId="4D15FD8B" w14:textId="5FAC934A" w:rsidR="0045050A" w:rsidRPr="00CB75D7" w:rsidRDefault="0045050A" w:rsidP="005738FB">
      <w:pPr>
        <w:rPr>
          <w:sz w:val="24"/>
          <w:szCs w:val="24"/>
        </w:rPr>
      </w:pPr>
    </w:p>
    <w:p w14:paraId="7A9B56E5" w14:textId="3461874D" w:rsidR="0045050A" w:rsidRPr="00CB75D7" w:rsidRDefault="0045050A" w:rsidP="005738FB">
      <w:pPr>
        <w:rPr>
          <w:sz w:val="24"/>
          <w:szCs w:val="24"/>
        </w:rPr>
      </w:pPr>
    </w:p>
    <w:p w14:paraId="21572521" w14:textId="2738200F" w:rsidR="00B960E7" w:rsidRDefault="00B960E7" w:rsidP="005738FB">
      <w:pPr>
        <w:rPr>
          <w:sz w:val="24"/>
          <w:szCs w:val="24"/>
        </w:rPr>
      </w:pPr>
    </w:p>
    <w:p w14:paraId="2F32945A" w14:textId="77777777" w:rsidR="00B960E7" w:rsidRPr="00CB75D7" w:rsidRDefault="00B960E7" w:rsidP="005738FB">
      <w:pPr>
        <w:rPr>
          <w:sz w:val="24"/>
          <w:szCs w:val="24"/>
        </w:rPr>
      </w:pPr>
    </w:p>
    <w:p w14:paraId="0F336F93" w14:textId="77777777" w:rsidR="0045050A" w:rsidRPr="00CB75D7" w:rsidRDefault="0045050A" w:rsidP="005738FB">
      <w:pPr>
        <w:contextualSpacing/>
        <w:jc w:val="both"/>
        <w:rPr>
          <w:rFonts w:cstheme="minorHAnsi"/>
          <w:bCs/>
        </w:rPr>
      </w:pPr>
      <w:r w:rsidRPr="00CB75D7">
        <w:rPr>
          <w:rFonts w:cstheme="minorHAnsi"/>
          <w:bCs/>
        </w:rPr>
        <w:t xml:space="preserve">V Olomouci,                                                                         </w:t>
      </w:r>
    </w:p>
    <w:p w14:paraId="56B23F4E" w14:textId="72815288" w:rsidR="0045050A" w:rsidRPr="00CB75D7" w:rsidRDefault="0045050A" w:rsidP="005738FB">
      <w:r w:rsidRPr="00CB75D7">
        <w:t>Mgr. Zuzana Šporiková</w:t>
      </w:r>
    </w:p>
    <w:p w14:paraId="6648156E" w14:textId="766AF7B2" w:rsidR="0045050A" w:rsidRDefault="0045050A" w:rsidP="005738FB">
      <w:pPr>
        <w:rPr>
          <w:sz w:val="20"/>
          <w:szCs w:val="20"/>
        </w:rPr>
      </w:pPr>
    </w:p>
    <w:p w14:paraId="00AD6699" w14:textId="1745A3AC" w:rsidR="0045050A" w:rsidRDefault="0045050A" w:rsidP="005738FB">
      <w:pPr>
        <w:rPr>
          <w:sz w:val="20"/>
          <w:szCs w:val="20"/>
        </w:rPr>
      </w:pPr>
    </w:p>
    <w:p w14:paraId="65A4B7C7" w14:textId="7B2B3EC5" w:rsidR="0045050A" w:rsidRDefault="0045050A" w:rsidP="005738FB">
      <w:pPr>
        <w:rPr>
          <w:sz w:val="20"/>
          <w:szCs w:val="20"/>
        </w:rPr>
      </w:pPr>
    </w:p>
    <w:p w14:paraId="4513FC42" w14:textId="2AC15103" w:rsidR="0045050A" w:rsidRDefault="0045050A" w:rsidP="005738FB">
      <w:pPr>
        <w:rPr>
          <w:sz w:val="20"/>
          <w:szCs w:val="20"/>
        </w:rPr>
      </w:pPr>
    </w:p>
    <w:p w14:paraId="554D9C2E" w14:textId="1D6D847A" w:rsidR="0045050A" w:rsidRDefault="0045050A" w:rsidP="005738FB">
      <w:pPr>
        <w:rPr>
          <w:sz w:val="20"/>
          <w:szCs w:val="20"/>
        </w:rPr>
      </w:pPr>
    </w:p>
    <w:p w14:paraId="0D800827" w14:textId="03C56CC1" w:rsidR="0045050A" w:rsidRDefault="0045050A" w:rsidP="005738FB">
      <w:pPr>
        <w:rPr>
          <w:sz w:val="20"/>
          <w:szCs w:val="20"/>
        </w:rPr>
      </w:pPr>
    </w:p>
    <w:p w14:paraId="47E9DE83" w14:textId="720A1C7B" w:rsidR="0045050A" w:rsidRDefault="0045050A" w:rsidP="005738FB">
      <w:pPr>
        <w:rPr>
          <w:sz w:val="20"/>
          <w:szCs w:val="20"/>
        </w:rPr>
      </w:pPr>
    </w:p>
    <w:p w14:paraId="08F3932C" w14:textId="0361B576" w:rsidR="0045050A" w:rsidRDefault="0045050A" w:rsidP="005738FB">
      <w:pPr>
        <w:rPr>
          <w:sz w:val="20"/>
          <w:szCs w:val="20"/>
        </w:rPr>
      </w:pPr>
    </w:p>
    <w:p w14:paraId="567B255D" w14:textId="4271FD50" w:rsidR="0045050A" w:rsidRDefault="0045050A" w:rsidP="005738FB">
      <w:pPr>
        <w:rPr>
          <w:sz w:val="20"/>
          <w:szCs w:val="20"/>
        </w:rPr>
      </w:pPr>
    </w:p>
    <w:p w14:paraId="2A0FBDE1" w14:textId="38F43615" w:rsidR="00B960E7" w:rsidRDefault="00B960E7" w:rsidP="005738FB">
      <w:pPr>
        <w:rPr>
          <w:sz w:val="20"/>
          <w:szCs w:val="20"/>
        </w:rPr>
      </w:pPr>
    </w:p>
    <w:p w14:paraId="0BCB9933" w14:textId="1CC0FDA4" w:rsidR="00B960E7" w:rsidRDefault="00B960E7" w:rsidP="005738FB">
      <w:pPr>
        <w:rPr>
          <w:sz w:val="20"/>
          <w:szCs w:val="20"/>
        </w:rPr>
      </w:pPr>
    </w:p>
    <w:p w14:paraId="32CF3453" w14:textId="52173363" w:rsidR="00B960E7" w:rsidRDefault="00B960E7" w:rsidP="005738FB">
      <w:pPr>
        <w:rPr>
          <w:sz w:val="20"/>
          <w:szCs w:val="20"/>
        </w:rPr>
      </w:pPr>
    </w:p>
    <w:p w14:paraId="5F1B31A2" w14:textId="314BF76F" w:rsidR="00B960E7" w:rsidRDefault="00B960E7" w:rsidP="005738FB">
      <w:pPr>
        <w:rPr>
          <w:sz w:val="20"/>
          <w:szCs w:val="20"/>
        </w:rPr>
      </w:pPr>
    </w:p>
    <w:p w14:paraId="4A602029" w14:textId="77777777" w:rsidR="00B960E7" w:rsidRDefault="00B960E7" w:rsidP="005738FB">
      <w:pPr>
        <w:rPr>
          <w:sz w:val="20"/>
          <w:szCs w:val="20"/>
        </w:rPr>
      </w:pPr>
    </w:p>
    <w:p w14:paraId="5DB07004" w14:textId="6A6B4AA0" w:rsidR="0045050A" w:rsidRDefault="0045050A" w:rsidP="005738FB">
      <w:pPr>
        <w:rPr>
          <w:sz w:val="20"/>
          <w:szCs w:val="20"/>
        </w:rPr>
      </w:pPr>
    </w:p>
    <w:p w14:paraId="311AD031" w14:textId="6CB1A923" w:rsidR="006B3482" w:rsidRDefault="006B3482" w:rsidP="005738FB">
      <w:pPr>
        <w:rPr>
          <w:sz w:val="20"/>
          <w:szCs w:val="20"/>
        </w:rPr>
      </w:pPr>
    </w:p>
    <w:p w14:paraId="76B28C89" w14:textId="77777777" w:rsidR="006B3482" w:rsidRDefault="006B3482" w:rsidP="005738FB">
      <w:pPr>
        <w:rPr>
          <w:sz w:val="20"/>
          <w:szCs w:val="20"/>
        </w:rPr>
      </w:pPr>
    </w:p>
    <w:p w14:paraId="500B4881" w14:textId="5BE95BF2" w:rsidR="0045050A" w:rsidRDefault="0045050A" w:rsidP="005738FB">
      <w:pPr>
        <w:rPr>
          <w:sz w:val="20"/>
          <w:szCs w:val="20"/>
        </w:rPr>
      </w:pPr>
    </w:p>
    <w:bookmarkStart w:id="3" w:name="_Toc88741440" w:displacedByCustomXml="next"/>
    <w:sdt>
      <w:sdtPr>
        <w:rPr>
          <w:rFonts w:eastAsiaTheme="minorEastAsia" w:cstheme="minorBidi"/>
          <w:b/>
          <w:color w:val="auto"/>
          <w:sz w:val="22"/>
          <w:szCs w:val="22"/>
        </w:rPr>
        <w:id w:val="-465128337"/>
        <w:docPartObj>
          <w:docPartGallery w:val="Table of Contents"/>
          <w:docPartUnique/>
        </w:docPartObj>
      </w:sdtPr>
      <w:sdtEndPr>
        <w:rPr>
          <w:b w:val="0"/>
          <w:bCs/>
        </w:rPr>
      </w:sdtEndPr>
      <w:sdtContent>
        <w:p w14:paraId="6B184A98" w14:textId="2B04CC6F" w:rsidR="00040049" w:rsidRDefault="00040049" w:rsidP="00EA79DA">
          <w:pPr>
            <w:pStyle w:val="Nadpis1"/>
          </w:pPr>
          <w:r>
            <w:t>Obsah</w:t>
          </w:r>
          <w:bookmarkEnd w:id="3"/>
        </w:p>
        <w:p w14:paraId="20472D32" w14:textId="5C5DCC06" w:rsidR="00925C31" w:rsidRDefault="00301FC7">
          <w:pPr>
            <w:pStyle w:val="Obsah1"/>
            <w:tabs>
              <w:tab w:val="left" w:pos="440"/>
              <w:tab w:val="right" w:leader="dot" w:pos="9062"/>
            </w:tabs>
            <w:rPr>
              <w:noProof/>
            </w:rPr>
          </w:pPr>
          <w:r>
            <w:fldChar w:fldCharType="begin"/>
          </w:r>
          <w:r>
            <w:instrText xml:space="preserve"> TOC \o "1-5" \h \z \u </w:instrText>
          </w:r>
          <w:r>
            <w:fldChar w:fldCharType="separate"/>
          </w:r>
          <w:hyperlink w:anchor="_Toc88741440" w:history="1">
            <w:r w:rsidR="00925C31" w:rsidRPr="00B50780">
              <w:rPr>
                <w:rStyle w:val="Hypertextovodkaz"/>
                <w:noProof/>
              </w:rPr>
              <w:t>1.</w:t>
            </w:r>
            <w:r w:rsidR="00925C31">
              <w:rPr>
                <w:noProof/>
              </w:rPr>
              <w:tab/>
            </w:r>
            <w:r w:rsidR="00925C31" w:rsidRPr="00B50780">
              <w:rPr>
                <w:rStyle w:val="Hypertextovodkaz"/>
                <w:noProof/>
              </w:rPr>
              <w:t>Obsah</w:t>
            </w:r>
            <w:r w:rsidR="00925C31">
              <w:rPr>
                <w:noProof/>
                <w:webHidden/>
              </w:rPr>
              <w:tab/>
            </w:r>
            <w:r w:rsidR="00925C31">
              <w:rPr>
                <w:noProof/>
                <w:webHidden/>
              </w:rPr>
              <w:fldChar w:fldCharType="begin"/>
            </w:r>
            <w:r w:rsidR="00925C31">
              <w:rPr>
                <w:noProof/>
                <w:webHidden/>
              </w:rPr>
              <w:instrText xml:space="preserve"> PAGEREF _Toc88741440 \h </w:instrText>
            </w:r>
            <w:r w:rsidR="00925C31">
              <w:rPr>
                <w:noProof/>
                <w:webHidden/>
              </w:rPr>
            </w:r>
            <w:r w:rsidR="00925C31">
              <w:rPr>
                <w:noProof/>
                <w:webHidden/>
              </w:rPr>
              <w:fldChar w:fldCharType="separate"/>
            </w:r>
            <w:r w:rsidR="00C43719">
              <w:rPr>
                <w:noProof/>
                <w:webHidden/>
              </w:rPr>
              <w:t>5</w:t>
            </w:r>
            <w:r w:rsidR="00925C31">
              <w:rPr>
                <w:noProof/>
                <w:webHidden/>
              </w:rPr>
              <w:fldChar w:fldCharType="end"/>
            </w:r>
          </w:hyperlink>
        </w:p>
        <w:p w14:paraId="659D9966" w14:textId="17AFD587" w:rsidR="00925C31" w:rsidRDefault="00C43719">
          <w:pPr>
            <w:pStyle w:val="Obsah1"/>
            <w:tabs>
              <w:tab w:val="left" w:pos="440"/>
              <w:tab w:val="right" w:leader="dot" w:pos="9062"/>
            </w:tabs>
            <w:rPr>
              <w:noProof/>
            </w:rPr>
          </w:pPr>
          <w:hyperlink w:anchor="_Toc88741441" w:history="1">
            <w:r w:rsidR="00925C31" w:rsidRPr="00B50780">
              <w:rPr>
                <w:rStyle w:val="Hypertextovodkaz"/>
                <w:noProof/>
              </w:rPr>
              <w:t>1.</w:t>
            </w:r>
            <w:r w:rsidR="00925C31">
              <w:rPr>
                <w:noProof/>
              </w:rPr>
              <w:tab/>
            </w:r>
            <w:r w:rsidR="00925C31" w:rsidRPr="00B50780">
              <w:rPr>
                <w:rStyle w:val="Hypertextovodkaz"/>
                <w:noProof/>
              </w:rPr>
              <w:t>Teoretická část</w:t>
            </w:r>
            <w:r w:rsidR="00925C31">
              <w:rPr>
                <w:noProof/>
                <w:webHidden/>
              </w:rPr>
              <w:tab/>
            </w:r>
            <w:r w:rsidR="00925C31">
              <w:rPr>
                <w:noProof/>
                <w:webHidden/>
              </w:rPr>
              <w:fldChar w:fldCharType="begin"/>
            </w:r>
            <w:r w:rsidR="00925C31">
              <w:rPr>
                <w:noProof/>
                <w:webHidden/>
              </w:rPr>
              <w:instrText xml:space="preserve"> PAGEREF _Toc88741441 \h </w:instrText>
            </w:r>
            <w:r w:rsidR="00925C31">
              <w:rPr>
                <w:noProof/>
                <w:webHidden/>
              </w:rPr>
            </w:r>
            <w:r w:rsidR="00925C31">
              <w:rPr>
                <w:noProof/>
                <w:webHidden/>
              </w:rPr>
              <w:fldChar w:fldCharType="separate"/>
            </w:r>
            <w:r>
              <w:rPr>
                <w:noProof/>
                <w:webHidden/>
              </w:rPr>
              <w:t>8</w:t>
            </w:r>
            <w:r w:rsidR="00925C31">
              <w:rPr>
                <w:noProof/>
                <w:webHidden/>
              </w:rPr>
              <w:fldChar w:fldCharType="end"/>
            </w:r>
          </w:hyperlink>
        </w:p>
        <w:p w14:paraId="6A12CDC5" w14:textId="3188E726" w:rsidR="00925C31" w:rsidRDefault="00C43719">
          <w:pPr>
            <w:pStyle w:val="Obsah2"/>
            <w:tabs>
              <w:tab w:val="left" w:pos="880"/>
              <w:tab w:val="right" w:leader="dot" w:pos="9062"/>
            </w:tabs>
            <w:rPr>
              <w:noProof/>
            </w:rPr>
          </w:pPr>
          <w:hyperlink w:anchor="_Toc88741442" w:history="1">
            <w:r w:rsidR="00925C31" w:rsidRPr="00B50780">
              <w:rPr>
                <w:rStyle w:val="Hypertextovodkaz"/>
                <w:noProof/>
              </w:rPr>
              <w:t>1.1.</w:t>
            </w:r>
            <w:r w:rsidR="00925C31">
              <w:rPr>
                <w:noProof/>
              </w:rPr>
              <w:tab/>
            </w:r>
            <w:r w:rsidR="00925C31" w:rsidRPr="00B50780">
              <w:rPr>
                <w:rStyle w:val="Hypertextovodkaz"/>
                <w:noProof/>
              </w:rPr>
              <w:t>Gliální nádory (gliomy)</w:t>
            </w:r>
            <w:r w:rsidR="00925C31">
              <w:rPr>
                <w:noProof/>
                <w:webHidden/>
              </w:rPr>
              <w:tab/>
            </w:r>
            <w:r w:rsidR="00925C31">
              <w:rPr>
                <w:noProof/>
                <w:webHidden/>
              </w:rPr>
              <w:fldChar w:fldCharType="begin"/>
            </w:r>
            <w:r w:rsidR="00925C31">
              <w:rPr>
                <w:noProof/>
                <w:webHidden/>
              </w:rPr>
              <w:instrText xml:space="preserve"> PAGEREF _Toc88741442 \h </w:instrText>
            </w:r>
            <w:r w:rsidR="00925C31">
              <w:rPr>
                <w:noProof/>
                <w:webHidden/>
              </w:rPr>
            </w:r>
            <w:r w:rsidR="00925C31">
              <w:rPr>
                <w:noProof/>
                <w:webHidden/>
              </w:rPr>
              <w:fldChar w:fldCharType="separate"/>
            </w:r>
            <w:r>
              <w:rPr>
                <w:noProof/>
                <w:webHidden/>
              </w:rPr>
              <w:t>8</w:t>
            </w:r>
            <w:r w:rsidR="00925C31">
              <w:rPr>
                <w:noProof/>
                <w:webHidden/>
              </w:rPr>
              <w:fldChar w:fldCharType="end"/>
            </w:r>
          </w:hyperlink>
        </w:p>
        <w:p w14:paraId="6E6CF819" w14:textId="7F16E5EF" w:rsidR="00925C31" w:rsidRDefault="00C43719">
          <w:pPr>
            <w:pStyle w:val="Obsah2"/>
            <w:tabs>
              <w:tab w:val="left" w:pos="880"/>
              <w:tab w:val="right" w:leader="dot" w:pos="9062"/>
            </w:tabs>
            <w:rPr>
              <w:noProof/>
            </w:rPr>
          </w:pPr>
          <w:hyperlink w:anchor="_Toc88741443" w:history="1">
            <w:r w:rsidR="00925C31" w:rsidRPr="00B50780">
              <w:rPr>
                <w:rStyle w:val="Hypertextovodkaz"/>
                <w:noProof/>
              </w:rPr>
              <w:t>1.2.</w:t>
            </w:r>
            <w:r w:rsidR="00925C31">
              <w:rPr>
                <w:noProof/>
              </w:rPr>
              <w:tab/>
            </w:r>
            <w:r w:rsidR="00925C31" w:rsidRPr="00B50780">
              <w:rPr>
                <w:rStyle w:val="Hypertextovodkaz"/>
                <w:noProof/>
              </w:rPr>
              <w:t>Diagnostika a standardní terapie gliálních nádorů</w:t>
            </w:r>
            <w:r w:rsidR="00925C31">
              <w:rPr>
                <w:noProof/>
                <w:webHidden/>
              </w:rPr>
              <w:tab/>
            </w:r>
            <w:r w:rsidR="00925C31">
              <w:rPr>
                <w:noProof/>
                <w:webHidden/>
              </w:rPr>
              <w:fldChar w:fldCharType="begin"/>
            </w:r>
            <w:r w:rsidR="00925C31">
              <w:rPr>
                <w:noProof/>
                <w:webHidden/>
              </w:rPr>
              <w:instrText xml:space="preserve"> PAGEREF _Toc88741443 \h </w:instrText>
            </w:r>
            <w:r w:rsidR="00925C31">
              <w:rPr>
                <w:noProof/>
                <w:webHidden/>
              </w:rPr>
            </w:r>
            <w:r w:rsidR="00925C31">
              <w:rPr>
                <w:noProof/>
                <w:webHidden/>
              </w:rPr>
              <w:fldChar w:fldCharType="separate"/>
            </w:r>
            <w:r>
              <w:rPr>
                <w:noProof/>
                <w:webHidden/>
              </w:rPr>
              <w:t>10</w:t>
            </w:r>
            <w:r w:rsidR="00925C31">
              <w:rPr>
                <w:noProof/>
                <w:webHidden/>
              </w:rPr>
              <w:fldChar w:fldCharType="end"/>
            </w:r>
          </w:hyperlink>
        </w:p>
        <w:p w14:paraId="6576C8BF" w14:textId="4311B85D" w:rsidR="00925C31" w:rsidRDefault="00C43719">
          <w:pPr>
            <w:pStyle w:val="Obsah3"/>
            <w:tabs>
              <w:tab w:val="left" w:pos="1320"/>
              <w:tab w:val="right" w:leader="dot" w:pos="9062"/>
            </w:tabs>
            <w:rPr>
              <w:rFonts w:cstheme="minorBidi"/>
              <w:noProof/>
            </w:rPr>
          </w:pPr>
          <w:hyperlink w:anchor="_Toc88741444" w:history="1">
            <w:r w:rsidR="00925C31" w:rsidRPr="00B50780">
              <w:rPr>
                <w:rStyle w:val="Hypertextovodkaz"/>
                <w:noProof/>
              </w:rPr>
              <w:t>1.2.1.</w:t>
            </w:r>
            <w:r w:rsidR="00925C31">
              <w:rPr>
                <w:rFonts w:cstheme="minorBidi"/>
                <w:noProof/>
              </w:rPr>
              <w:tab/>
            </w:r>
            <w:r w:rsidR="00925C31" w:rsidRPr="00B50780">
              <w:rPr>
                <w:rStyle w:val="Hypertextovodkaz"/>
                <w:noProof/>
              </w:rPr>
              <w:t>Zobrazovací metody</w:t>
            </w:r>
            <w:r w:rsidR="00925C31">
              <w:rPr>
                <w:noProof/>
                <w:webHidden/>
              </w:rPr>
              <w:tab/>
            </w:r>
            <w:r w:rsidR="00925C31">
              <w:rPr>
                <w:noProof/>
                <w:webHidden/>
              </w:rPr>
              <w:fldChar w:fldCharType="begin"/>
            </w:r>
            <w:r w:rsidR="00925C31">
              <w:rPr>
                <w:noProof/>
                <w:webHidden/>
              </w:rPr>
              <w:instrText xml:space="preserve"> PAGEREF _Toc88741444 \h </w:instrText>
            </w:r>
            <w:r w:rsidR="00925C31">
              <w:rPr>
                <w:noProof/>
                <w:webHidden/>
              </w:rPr>
            </w:r>
            <w:r w:rsidR="00925C31">
              <w:rPr>
                <w:noProof/>
                <w:webHidden/>
              </w:rPr>
              <w:fldChar w:fldCharType="separate"/>
            </w:r>
            <w:r>
              <w:rPr>
                <w:noProof/>
                <w:webHidden/>
              </w:rPr>
              <w:t>10</w:t>
            </w:r>
            <w:r w:rsidR="00925C31">
              <w:rPr>
                <w:noProof/>
                <w:webHidden/>
              </w:rPr>
              <w:fldChar w:fldCharType="end"/>
            </w:r>
          </w:hyperlink>
        </w:p>
        <w:p w14:paraId="1900365C" w14:textId="72607557" w:rsidR="00925C31" w:rsidRDefault="00C43719">
          <w:pPr>
            <w:pStyle w:val="Obsah3"/>
            <w:tabs>
              <w:tab w:val="left" w:pos="1320"/>
              <w:tab w:val="right" w:leader="dot" w:pos="9062"/>
            </w:tabs>
            <w:rPr>
              <w:rFonts w:cstheme="minorBidi"/>
              <w:noProof/>
            </w:rPr>
          </w:pPr>
          <w:hyperlink w:anchor="_Toc88741445" w:history="1">
            <w:r w:rsidR="00925C31" w:rsidRPr="00B50780">
              <w:rPr>
                <w:rStyle w:val="Hypertextovodkaz"/>
                <w:noProof/>
              </w:rPr>
              <w:t>1.2.2.</w:t>
            </w:r>
            <w:r w:rsidR="00925C31">
              <w:rPr>
                <w:rFonts w:cstheme="minorBidi"/>
                <w:noProof/>
              </w:rPr>
              <w:tab/>
            </w:r>
            <w:r w:rsidR="00925C31" w:rsidRPr="00B50780">
              <w:rPr>
                <w:rStyle w:val="Hypertextovodkaz"/>
                <w:noProof/>
              </w:rPr>
              <w:t>Resekce nádoru</w:t>
            </w:r>
            <w:r w:rsidR="00925C31">
              <w:rPr>
                <w:noProof/>
                <w:webHidden/>
              </w:rPr>
              <w:tab/>
            </w:r>
            <w:r w:rsidR="00925C31">
              <w:rPr>
                <w:noProof/>
                <w:webHidden/>
              </w:rPr>
              <w:fldChar w:fldCharType="begin"/>
            </w:r>
            <w:r w:rsidR="00925C31">
              <w:rPr>
                <w:noProof/>
                <w:webHidden/>
              </w:rPr>
              <w:instrText xml:space="preserve"> PAGEREF _Toc88741445 \h </w:instrText>
            </w:r>
            <w:r w:rsidR="00925C31">
              <w:rPr>
                <w:noProof/>
                <w:webHidden/>
              </w:rPr>
            </w:r>
            <w:r w:rsidR="00925C31">
              <w:rPr>
                <w:noProof/>
                <w:webHidden/>
              </w:rPr>
              <w:fldChar w:fldCharType="separate"/>
            </w:r>
            <w:r>
              <w:rPr>
                <w:noProof/>
                <w:webHidden/>
              </w:rPr>
              <w:t>10</w:t>
            </w:r>
            <w:r w:rsidR="00925C31">
              <w:rPr>
                <w:noProof/>
                <w:webHidden/>
              </w:rPr>
              <w:fldChar w:fldCharType="end"/>
            </w:r>
          </w:hyperlink>
        </w:p>
        <w:p w14:paraId="38321B46" w14:textId="1CAD000F" w:rsidR="00925C31" w:rsidRDefault="00C43719">
          <w:pPr>
            <w:pStyle w:val="Obsah3"/>
            <w:tabs>
              <w:tab w:val="left" w:pos="1320"/>
              <w:tab w:val="right" w:leader="dot" w:pos="9062"/>
            </w:tabs>
            <w:rPr>
              <w:rFonts w:cstheme="minorBidi"/>
              <w:noProof/>
            </w:rPr>
          </w:pPr>
          <w:hyperlink w:anchor="_Toc88741446" w:history="1">
            <w:r w:rsidR="00925C31" w:rsidRPr="00B50780">
              <w:rPr>
                <w:rStyle w:val="Hypertextovodkaz"/>
                <w:noProof/>
              </w:rPr>
              <w:t>1.2.3.</w:t>
            </w:r>
            <w:r w:rsidR="00925C31">
              <w:rPr>
                <w:rFonts w:cstheme="minorBidi"/>
                <w:noProof/>
              </w:rPr>
              <w:tab/>
            </w:r>
            <w:r w:rsidR="00925C31" w:rsidRPr="00B50780">
              <w:rPr>
                <w:rStyle w:val="Hypertextovodkaz"/>
                <w:noProof/>
              </w:rPr>
              <w:t>Standardní terapie</w:t>
            </w:r>
            <w:r w:rsidR="00925C31">
              <w:rPr>
                <w:noProof/>
                <w:webHidden/>
              </w:rPr>
              <w:tab/>
            </w:r>
            <w:r w:rsidR="00925C31">
              <w:rPr>
                <w:noProof/>
                <w:webHidden/>
              </w:rPr>
              <w:fldChar w:fldCharType="begin"/>
            </w:r>
            <w:r w:rsidR="00925C31">
              <w:rPr>
                <w:noProof/>
                <w:webHidden/>
              </w:rPr>
              <w:instrText xml:space="preserve"> PAGEREF _Toc88741446 \h </w:instrText>
            </w:r>
            <w:r w:rsidR="00925C31">
              <w:rPr>
                <w:noProof/>
                <w:webHidden/>
              </w:rPr>
            </w:r>
            <w:r w:rsidR="00925C31">
              <w:rPr>
                <w:noProof/>
                <w:webHidden/>
              </w:rPr>
              <w:fldChar w:fldCharType="separate"/>
            </w:r>
            <w:r>
              <w:rPr>
                <w:noProof/>
                <w:webHidden/>
              </w:rPr>
              <w:t>11</w:t>
            </w:r>
            <w:r w:rsidR="00925C31">
              <w:rPr>
                <w:noProof/>
                <w:webHidden/>
              </w:rPr>
              <w:fldChar w:fldCharType="end"/>
            </w:r>
          </w:hyperlink>
        </w:p>
        <w:p w14:paraId="754D1A94" w14:textId="67789C13" w:rsidR="00925C31" w:rsidRDefault="00C43719">
          <w:pPr>
            <w:pStyle w:val="Obsah3"/>
            <w:tabs>
              <w:tab w:val="left" w:pos="1320"/>
              <w:tab w:val="right" w:leader="dot" w:pos="9062"/>
            </w:tabs>
            <w:rPr>
              <w:rFonts w:cstheme="minorBidi"/>
              <w:noProof/>
            </w:rPr>
          </w:pPr>
          <w:hyperlink w:anchor="_Toc88741447" w:history="1">
            <w:r w:rsidR="00925C31" w:rsidRPr="00B50780">
              <w:rPr>
                <w:rStyle w:val="Hypertextovodkaz"/>
                <w:noProof/>
              </w:rPr>
              <w:t>1.2.4.</w:t>
            </w:r>
            <w:r w:rsidR="00925C31">
              <w:rPr>
                <w:rFonts w:cstheme="minorBidi"/>
                <w:noProof/>
              </w:rPr>
              <w:tab/>
            </w:r>
            <w:r w:rsidR="00925C31" w:rsidRPr="00B50780">
              <w:rPr>
                <w:rStyle w:val="Hypertextovodkaz"/>
                <w:noProof/>
              </w:rPr>
              <w:t>Experimentální terapie</w:t>
            </w:r>
            <w:r w:rsidR="00925C31">
              <w:rPr>
                <w:noProof/>
                <w:webHidden/>
              </w:rPr>
              <w:tab/>
            </w:r>
            <w:r w:rsidR="00925C31">
              <w:rPr>
                <w:noProof/>
                <w:webHidden/>
              </w:rPr>
              <w:fldChar w:fldCharType="begin"/>
            </w:r>
            <w:r w:rsidR="00925C31">
              <w:rPr>
                <w:noProof/>
                <w:webHidden/>
              </w:rPr>
              <w:instrText xml:space="preserve"> PAGEREF _Toc88741447 \h </w:instrText>
            </w:r>
            <w:r w:rsidR="00925C31">
              <w:rPr>
                <w:noProof/>
                <w:webHidden/>
              </w:rPr>
            </w:r>
            <w:r w:rsidR="00925C31">
              <w:rPr>
                <w:noProof/>
                <w:webHidden/>
              </w:rPr>
              <w:fldChar w:fldCharType="separate"/>
            </w:r>
            <w:r>
              <w:rPr>
                <w:noProof/>
                <w:webHidden/>
              </w:rPr>
              <w:t>12</w:t>
            </w:r>
            <w:r w:rsidR="00925C31">
              <w:rPr>
                <w:noProof/>
                <w:webHidden/>
              </w:rPr>
              <w:fldChar w:fldCharType="end"/>
            </w:r>
          </w:hyperlink>
        </w:p>
        <w:p w14:paraId="2A018AEA" w14:textId="731B9A31" w:rsidR="00925C31" w:rsidRDefault="00C43719">
          <w:pPr>
            <w:pStyle w:val="Obsah3"/>
            <w:tabs>
              <w:tab w:val="left" w:pos="1320"/>
              <w:tab w:val="right" w:leader="dot" w:pos="9062"/>
            </w:tabs>
            <w:rPr>
              <w:rFonts w:cstheme="minorBidi"/>
              <w:noProof/>
            </w:rPr>
          </w:pPr>
          <w:hyperlink w:anchor="_Toc88741448" w:history="1">
            <w:r w:rsidR="00925C31" w:rsidRPr="00B50780">
              <w:rPr>
                <w:rStyle w:val="Hypertextovodkaz"/>
                <w:noProof/>
              </w:rPr>
              <w:t>1.2.5.</w:t>
            </w:r>
            <w:r w:rsidR="00925C31">
              <w:rPr>
                <w:rFonts w:cstheme="minorBidi"/>
                <w:noProof/>
              </w:rPr>
              <w:tab/>
            </w:r>
            <w:r w:rsidR="00925C31" w:rsidRPr="00B50780">
              <w:rPr>
                <w:rStyle w:val="Hypertextovodkaz"/>
                <w:noProof/>
              </w:rPr>
              <w:t>Souhrn kapitoly</w:t>
            </w:r>
            <w:r w:rsidR="00925C31">
              <w:rPr>
                <w:noProof/>
                <w:webHidden/>
              </w:rPr>
              <w:tab/>
            </w:r>
            <w:r w:rsidR="00925C31">
              <w:rPr>
                <w:noProof/>
                <w:webHidden/>
              </w:rPr>
              <w:fldChar w:fldCharType="begin"/>
            </w:r>
            <w:r w:rsidR="00925C31">
              <w:rPr>
                <w:noProof/>
                <w:webHidden/>
              </w:rPr>
              <w:instrText xml:space="preserve"> PAGEREF _Toc88741448 \h </w:instrText>
            </w:r>
            <w:r w:rsidR="00925C31">
              <w:rPr>
                <w:noProof/>
                <w:webHidden/>
              </w:rPr>
            </w:r>
            <w:r w:rsidR="00925C31">
              <w:rPr>
                <w:noProof/>
                <w:webHidden/>
              </w:rPr>
              <w:fldChar w:fldCharType="separate"/>
            </w:r>
            <w:r>
              <w:rPr>
                <w:noProof/>
                <w:webHidden/>
              </w:rPr>
              <w:t>13</w:t>
            </w:r>
            <w:r w:rsidR="00925C31">
              <w:rPr>
                <w:noProof/>
                <w:webHidden/>
              </w:rPr>
              <w:fldChar w:fldCharType="end"/>
            </w:r>
          </w:hyperlink>
        </w:p>
        <w:p w14:paraId="183B0342" w14:textId="19D408AC" w:rsidR="00925C31" w:rsidRDefault="00C43719">
          <w:pPr>
            <w:pStyle w:val="Obsah2"/>
            <w:tabs>
              <w:tab w:val="left" w:pos="880"/>
              <w:tab w:val="right" w:leader="dot" w:pos="9062"/>
            </w:tabs>
            <w:rPr>
              <w:noProof/>
            </w:rPr>
          </w:pPr>
          <w:hyperlink w:anchor="_Toc88741449" w:history="1">
            <w:r w:rsidR="00925C31" w:rsidRPr="00B50780">
              <w:rPr>
                <w:rStyle w:val="Hypertextovodkaz"/>
                <w:noProof/>
              </w:rPr>
              <w:t>1.3.</w:t>
            </w:r>
            <w:r w:rsidR="00925C31">
              <w:rPr>
                <w:noProof/>
              </w:rPr>
              <w:tab/>
            </w:r>
            <w:r w:rsidR="00925C31" w:rsidRPr="00B50780">
              <w:rPr>
                <w:rStyle w:val="Hypertextovodkaz"/>
                <w:noProof/>
              </w:rPr>
              <w:t>Klasifikace gliomů</w:t>
            </w:r>
            <w:r w:rsidR="00925C31">
              <w:rPr>
                <w:noProof/>
                <w:webHidden/>
              </w:rPr>
              <w:tab/>
            </w:r>
            <w:r w:rsidR="00925C31">
              <w:rPr>
                <w:noProof/>
                <w:webHidden/>
              </w:rPr>
              <w:fldChar w:fldCharType="begin"/>
            </w:r>
            <w:r w:rsidR="00925C31">
              <w:rPr>
                <w:noProof/>
                <w:webHidden/>
              </w:rPr>
              <w:instrText xml:space="preserve"> PAGEREF _Toc88741449 \h </w:instrText>
            </w:r>
            <w:r w:rsidR="00925C31">
              <w:rPr>
                <w:noProof/>
                <w:webHidden/>
              </w:rPr>
            </w:r>
            <w:r w:rsidR="00925C31">
              <w:rPr>
                <w:noProof/>
                <w:webHidden/>
              </w:rPr>
              <w:fldChar w:fldCharType="separate"/>
            </w:r>
            <w:r>
              <w:rPr>
                <w:noProof/>
                <w:webHidden/>
              </w:rPr>
              <w:t>15</w:t>
            </w:r>
            <w:r w:rsidR="00925C31">
              <w:rPr>
                <w:noProof/>
                <w:webHidden/>
              </w:rPr>
              <w:fldChar w:fldCharType="end"/>
            </w:r>
          </w:hyperlink>
        </w:p>
        <w:p w14:paraId="2AF8C30F" w14:textId="769B1683" w:rsidR="00925C31" w:rsidRDefault="00C43719">
          <w:pPr>
            <w:pStyle w:val="Obsah3"/>
            <w:tabs>
              <w:tab w:val="left" w:pos="1320"/>
              <w:tab w:val="right" w:leader="dot" w:pos="9062"/>
            </w:tabs>
            <w:rPr>
              <w:rFonts w:cstheme="minorBidi"/>
              <w:noProof/>
            </w:rPr>
          </w:pPr>
          <w:hyperlink w:anchor="_Toc88741450" w:history="1">
            <w:r w:rsidR="00925C31" w:rsidRPr="00B50780">
              <w:rPr>
                <w:rStyle w:val="Hypertextovodkaz"/>
                <w:noProof/>
              </w:rPr>
              <w:t>1.3.1.</w:t>
            </w:r>
            <w:r w:rsidR="00925C31">
              <w:rPr>
                <w:rFonts w:cstheme="minorBidi"/>
                <w:noProof/>
              </w:rPr>
              <w:tab/>
            </w:r>
            <w:r w:rsidR="00925C31" w:rsidRPr="00B50780">
              <w:rPr>
                <w:rStyle w:val="Hypertextovodkaz"/>
                <w:noProof/>
              </w:rPr>
              <w:t>Klasifikace gliomů dle WHO 2007</w:t>
            </w:r>
            <w:r w:rsidR="00925C31">
              <w:rPr>
                <w:noProof/>
                <w:webHidden/>
              </w:rPr>
              <w:tab/>
            </w:r>
            <w:r w:rsidR="00925C31">
              <w:rPr>
                <w:noProof/>
                <w:webHidden/>
              </w:rPr>
              <w:fldChar w:fldCharType="begin"/>
            </w:r>
            <w:r w:rsidR="00925C31">
              <w:rPr>
                <w:noProof/>
                <w:webHidden/>
              </w:rPr>
              <w:instrText xml:space="preserve"> PAGEREF _Toc88741450 \h </w:instrText>
            </w:r>
            <w:r w:rsidR="00925C31">
              <w:rPr>
                <w:noProof/>
                <w:webHidden/>
              </w:rPr>
            </w:r>
            <w:r w:rsidR="00925C31">
              <w:rPr>
                <w:noProof/>
                <w:webHidden/>
              </w:rPr>
              <w:fldChar w:fldCharType="separate"/>
            </w:r>
            <w:r>
              <w:rPr>
                <w:noProof/>
                <w:webHidden/>
              </w:rPr>
              <w:t>15</w:t>
            </w:r>
            <w:r w:rsidR="00925C31">
              <w:rPr>
                <w:noProof/>
                <w:webHidden/>
              </w:rPr>
              <w:fldChar w:fldCharType="end"/>
            </w:r>
          </w:hyperlink>
        </w:p>
        <w:p w14:paraId="245FE640" w14:textId="5527D4ED" w:rsidR="00925C31" w:rsidRDefault="00C43719">
          <w:pPr>
            <w:pStyle w:val="Obsah3"/>
            <w:tabs>
              <w:tab w:val="left" w:pos="1320"/>
              <w:tab w:val="right" w:leader="dot" w:pos="9062"/>
            </w:tabs>
            <w:rPr>
              <w:rFonts w:cstheme="minorBidi"/>
              <w:noProof/>
            </w:rPr>
          </w:pPr>
          <w:hyperlink w:anchor="_Toc88741451" w:history="1">
            <w:r w:rsidR="00925C31" w:rsidRPr="00B50780">
              <w:rPr>
                <w:rStyle w:val="Hypertextovodkaz"/>
                <w:noProof/>
              </w:rPr>
              <w:t>1.3.2.</w:t>
            </w:r>
            <w:r w:rsidR="00925C31">
              <w:rPr>
                <w:rFonts w:cstheme="minorBidi"/>
                <w:noProof/>
              </w:rPr>
              <w:tab/>
            </w:r>
            <w:r w:rsidR="00925C31" w:rsidRPr="00B50780">
              <w:rPr>
                <w:rStyle w:val="Hypertextovodkaz"/>
                <w:noProof/>
              </w:rPr>
              <w:t>Klasifikace gliomů s doplněním z roku 2016</w:t>
            </w:r>
            <w:r w:rsidR="00925C31">
              <w:rPr>
                <w:noProof/>
                <w:webHidden/>
              </w:rPr>
              <w:tab/>
            </w:r>
            <w:r w:rsidR="00925C31">
              <w:rPr>
                <w:noProof/>
                <w:webHidden/>
              </w:rPr>
              <w:fldChar w:fldCharType="begin"/>
            </w:r>
            <w:r w:rsidR="00925C31">
              <w:rPr>
                <w:noProof/>
                <w:webHidden/>
              </w:rPr>
              <w:instrText xml:space="preserve"> PAGEREF _Toc88741451 \h </w:instrText>
            </w:r>
            <w:r w:rsidR="00925C31">
              <w:rPr>
                <w:noProof/>
                <w:webHidden/>
              </w:rPr>
            </w:r>
            <w:r w:rsidR="00925C31">
              <w:rPr>
                <w:noProof/>
                <w:webHidden/>
              </w:rPr>
              <w:fldChar w:fldCharType="separate"/>
            </w:r>
            <w:r>
              <w:rPr>
                <w:noProof/>
                <w:webHidden/>
              </w:rPr>
              <w:t>15</w:t>
            </w:r>
            <w:r w:rsidR="00925C31">
              <w:rPr>
                <w:noProof/>
                <w:webHidden/>
              </w:rPr>
              <w:fldChar w:fldCharType="end"/>
            </w:r>
          </w:hyperlink>
        </w:p>
        <w:p w14:paraId="0E10E9E3" w14:textId="1A2BDC6C" w:rsidR="00925C31" w:rsidRDefault="00C43719">
          <w:pPr>
            <w:pStyle w:val="Obsah4"/>
            <w:tabs>
              <w:tab w:val="left" w:pos="1760"/>
              <w:tab w:val="right" w:leader="dot" w:pos="9062"/>
            </w:tabs>
            <w:rPr>
              <w:noProof/>
            </w:rPr>
          </w:pPr>
          <w:hyperlink w:anchor="_Toc88741452" w:history="1">
            <w:r w:rsidR="00925C31" w:rsidRPr="00B50780">
              <w:rPr>
                <w:rStyle w:val="Hypertextovodkaz"/>
                <w:noProof/>
              </w:rPr>
              <w:t>1.3.2.1.</w:t>
            </w:r>
            <w:r w:rsidR="00925C31">
              <w:rPr>
                <w:noProof/>
              </w:rPr>
              <w:tab/>
            </w:r>
            <w:r w:rsidR="00925C31" w:rsidRPr="00B50780">
              <w:rPr>
                <w:rStyle w:val="Hypertextovodkaz"/>
                <w:noProof/>
              </w:rPr>
              <w:t>Difúzní astrocytární a oligodendrogliální nádory</w:t>
            </w:r>
            <w:r w:rsidR="00925C31">
              <w:rPr>
                <w:noProof/>
                <w:webHidden/>
              </w:rPr>
              <w:tab/>
            </w:r>
            <w:r w:rsidR="00925C31">
              <w:rPr>
                <w:noProof/>
                <w:webHidden/>
              </w:rPr>
              <w:fldChar w:fldCharType="begin"/>
            </w:r>
            <w:r w:rsidR="00925C31">
              <w:rPr>
                <w:noProof/>
                <w:webHidden/>
              </w:rPr>
              <w:instrText xml:space="preserve"> PAGEREF _Toc88741452 \h </w:instrText>
            </w:r>
            <w:r w:rsidR="00925C31">
              <w:rPr>
                <w:noProof/>
                <w:webHidden/>
              </w:rPr>
            </w:r>
            <w:r w:rsidR="00925C31">
              <w:rPr>
                <w:noProof/>
                <w:webHidden/>
              </w:rPr>
              <w:fldChar w:fldCharType="separate"/>
            </w:r>
            <w:r>
              <w:rPr>
                <w:noProof/>
                <w:webHidden/>
              </w:rPr>
              <w:t>16</w:t>
            </w:r>
            <w:r w:rsidR="00925C31">
              <w:rPr>
                <w:noProof/>
                <w:webHidden/>
              </w:rPr>
              <w:fldChar w:fldCharType="end"/>
            </w:r>
          </w:hyperlink>
        </w:p>
        <w:p w14:paraId="39E96BA1" w14:textId="50E863F6" w:rsidR="00925C31" w:rsidRDefault="00C43719">
          <w:pPr>
            <w:pStyle w:val="Obsah5"/>
            <w:tabs>
              <w:tab w:val="right" w:leader="dot" w:pos="9062"/>
            </w:tabs>
            <w:rPr>
              <w:noProof/>
            </w:rPr>
          </w:pPr>
          <w:hyperlink w:anchor="_Toc88741453" w:history="1">
            <w:r w:rsidR="00925C31" w:rsidRPr="00B50780">
              <w:rPr>
                <w:rStyle w:val="Hypertextovodkaz"/>
                <w:noProof/>
              </w:rPr>
              <w:t>Difúzní astrocytom</w:t>
            </w:r>
            <w:r w:rsidR="00925C31">
              <w:rPr>
                <w:noProof/>
                <w:webHidden/>
              </w:rPr>
              <w:tab/>
            </w:r>
            <w:r w:rsidR="00925C31">
              <w:rPr>
                <w:noProof/>
                <w:webHidden/>
              </w:rPr>
              <w:fldChar w:fldCharType="begin"/>
            </w:r>
            <w:r w:rsidR="00925C31">
              <w:rPr>
                <w:noProof/>
                <w:webHidden/>
              </w:rPr>
              <w:instrText xml:space="preserve"> PAGEREF _Toc88741453 \h </w:instrText>
            </w:r>
            <w:r w:rsidR="00925C31">
              <w:rPr>
                <w:noProof/>
                <w:webHidden/>
              </w:rPr>
            </w:r>
            <w:r w:rsidR="00925C31">
              <w:rPr>
                <w:noProof/>
                <w:webHidden/>
              </w:rPr>
              <w:fldChar w:fldCharType="separate"/>
            </w:r>
            <w:r>
              <w:rPr>
                <w:noProof/>
                <w:webHidden/>
              </w:rPr>
              <w:t>17</w:t>
            </w:r>
            <w:r w:rsidR="00925C31">
              <w:rPr>
                <w:noProof/>
                <w:webHidden/>
              </w:rPr>
              <w:fldChar w:fldCharType="end"/>
            </w:r>
          </w:hyperlink>
        </w:p>
        <w:p w14:paraId="4AD2C1E0" w14:textId="50D84490" w:rsidR="00925C31" w:rsidRDefault="00C43719">
          <w:pPr>
            <w:pStyle w:val="Obsah5"/>
            <w:tabs>
              <w:tab w:val="right" w:leader="dot" w:pos="9062"/>
            </w:tabs>
            <w:rPr>
              <w:noProof/>
            </w:rPr>
          </w:pPr>
          <w:hyperlink w:anchor="_Toc88741454" w:history="1">
            <w:r w:rsidR="00925C31" w:rsidRPr="00B50780">
              <w:rPr>
                <w:rStyle w:val="Hypertextovodkaz"/>
                <w:noProof/>
              </w:rPr>
              <w:t>Anaplastický astrocytom</w:t>
            </w:r>
            <w:r w:rsidR="00925C31">
              <w:rPr>
                <w:noProof/>
                <w:webHidden/>
              </w:rPr>
              <w:tab/>
            </w:r>
            <w:r w:rsidR="00925C31">
              <w:rPr>
                <w:noProof/>
                <w:webHidden/>
              </w:rPr>
              <w:fldChar w:fldCharType="begin"/>
            </w:r>
            <w:r w:rsidR="00925C31">
              <w:rPr>
                <w:noProof/>
                <w:webHidden/>
              </w:rPr>
              <w:instrText xml:space="preserve"> PAGEREF _Toc88741454 \h </w:instrText>
            </w:r>
            <w:r w:rsidR="00925C31">
              <w:rPr>
                <w:noProof/>
                <w:webHidden/>
              </w:rPr>
            </w:r>
            <w:r w:rsidR="00925C31">
              <w:rPr>
                <w:noProof/>
                <w:webHidden/>
              </w:rPr>
              <w:fldChar w:fldCharType="separate"/>
            </w:r>
            <w:r>
              <w:rPr>
                <w:noProof/>
                <w:webHidden/>
              </w:rPr>
              <w:t>17</w:t>
            </w:r>
            <w:r w:rsidR="00925C31">
              <w:rPr>
                <w:noProof/>
                <w:webHidden/>
              </w:rPr>
              <w:fldChar w:fldCharType="end"/>
            </w:r>
          </w:hyperlink>
        </w:p>
        <w:p w14:paraId="126485AB" w14:textId="76AFD862" w:rsidR="00925C31" w:rsidRDefault="00C43719">
          <w:pPr>
            <w:pStyle w:val="Obsah5"/>
            <w:tabs>
              <w:tab w:val="right" w:leader="dot" w:pos="9062"/>
            </w:tabs>
            <w:rPr>
              <w:noProof/>
            </w:rPr>
          </w:pPr>
          <w:hyperlink w:anchor="_Toc88741455" w:history="1">
            <w:r w:rsidR="00925C31" w:rsidRPr="00B50780">
              <w:rPr>
                <w:rStyle w:val="Hypertextovodkaz"/>
                <w:noProof/>
              </w:rPr>
              <w:t>Glioblastom</w:t>
            </w:r>
            <w:r w:rsidR="00925C31">
              <w:rPr>
                <w:noProof/>
                <w:webHidden/>
              </w:rPr>
              <w:tab/>
            </w:r>
            <w:r w:rsidR="00925C31">
              <w:rPr>
                <w:noProof/>
                <w:webHidden/>
              </w:rPr>
              <w:fldChar w:fldCharType="begin"/>
            </w:r>
            <w:r w:rsidR="00925C31">
              <w:rPr>
                <w:noProof/>
                <w:webHidden/>
              </w:rPr>
              <w:instrText xml:space="preserve"> PAGEREF _Toc88741455 \h </w:instrText>
            </w:r>
            <w:r w:rsidR="00925C31">
              <w:rPr>
                <w:noProof/>
                <w:webHidden/>
              </w:rPr>
            </w:r>
            <w:r w:rsidR="00925C31">
              <w:rPr>
                <w:noProof/>
                <w:webHidden/>
              </w:rPr>
              <w:fldChar w:fldCharType="separate"/>
            </w:r>
            <w:r>
              <w:rPr>
                <w:noProof/>
                <w:webHidden/>
              </w:rPr>
              <w:t>18</w:t>
            </w:r>
            <w:r w:rsidR="00925C31">
              <w:rPr>
                <w:noProof/>
                <w:webHidden/>
              </w:rPr>
              <w:fldChar w:fldCharType="end"/>
            </w:r>
          </w:hyperlink>
        </w:p>
        <w:p w14:paraId="3568BC0D" w14:textId="3A21A291" w:rsidR="00925C31" w:rsidRDefault="00C43719">
          <w:pPr>
            <w:pStyle w:val="Obsah5"/>
            <w:tabs>
              <w:tab w:val="right" w:leader="dot" w:pos="9062"/>
            </w:tabs>
            <w:rPr>
              <w:noProof/>
            </w:rPr>
          </w:pPr>
          <w:hyperlink w:anchor="_Toc88741456" w:history="1">
            <w:r w:rsidR="00925C31" w:rsidRPr="00B50780">
              <w:rPr>
                <w:rStyle w:val="Hypertextovodkaz"/>
                <w:noProof/>
              </w:rPr>
              <w:t xml:space="preserve">Difúzní středočárový gliom </w:t>
            </w:r>
            <w:r w:rsidR="00925C31" w:rsidRPr="00B50780">
              <w:rPr>
                <w:rStyle w:val="Hypertextovodkaz"/>
                <w:i/>
                <w:iCs/>
                <w:noProof/>
              </w:rPr>
              <w:t>H3K27M</w:t>
            </w:r>
            <w:r w:rsidR="00925C31" w:rsidRPr="00B50780">
              <w:rPr>
                <w:rStyle w:val="Hypertextovodkaz"/>
                <w:noProof/>
              </w:rPr>
              <w:t xml:space="preserve"> mutovaný</w:t>
            </w:r>
            <w:r w:rsidR="00925C31">
              <w:rPr>
                <w:noProof/>
                <w:webHidden/>
              </w:rPr>
              <w:tab/>
            </w:r>
            <w:r w:rsidR="00925C31">
              <w:rPr>
                <w:noProof/>
                <w:webHidden/>
              </w:rPr>
              <w:fldChar w:fldCharType="begin"/>
            </w:r>
            <w:r w:rsidR="00925C31">
              <w:rPr>
                <w:noProof/>
                <w:webHidden/>
              </w:rPr>
              <w:instrText xml:space="preserve"> PAGEREF _Toc88741456 \h </w:instrText>
            </w:r>
            <w:r w:rsidR="00925C31">
              <w:rPr>
                <w:noProof/>
                <w:webHidden/>
              </w:rPr>
            </w:r>
            <w:r w:rsidR="00925C31">
              <w:rPr>
                <w:noProof/>
                <w:webHidden/>
              </w:rPr>
              <w:fldChar w:fldCharType="separate"/>
            </w:r>
            <w:r>
              <w:rPr>
                <w:noProof/>
                <w:webHidden/>
              </w:rPr>
              <w:t>18</w:t>
            </w:r>
            <w:r w:rsidR="00925C31">
              <w:rPr>
                <w:noProof/>
                <w:webHidden/>
              </w:rPr>
              <w:fldChar w:fldCharType="end"/>
            </w:r>
          </w:hyperlink>
        </w:p>
        <w:p w14:paraId="0E030AC7" w14:textId="6F7F7190" w:rsidR="00925C31" w:rsidRDefault="00C43719">
          <w:pPr>
            <w:pStyle w:val="Obsah5"/>
            <w:tabs>
              <w:tab w:val="right" w:leader="dot" w:pos="9062"/>
            </w:tabs>
            <w:rPr>
              <w:noProof/>
            </w:rPr>
          </w:pPr>
          <w:hyperlink w:anchor="_Toc88741457" w:history="1">
            <w:r w:rsidR="00925C31" w:rsidRPr="00B50780">
              <w:rPr>
                <w:rStyle w:val="Hypertextovodkaz"/>
                <w:noProof/>
              </w:rPr>
              <w:t>Oligodendrogliom</w:t>
            </w:r>
            <w:r w:rsidR="00925C31">
              <w:rPr>
                <w:noProof/>
                <w:webHidden/>
              </w:rPr>
              <w:tab/>
            </w:r>
            <w:r w:rsidR="00925C31">
              <w:rPr>
                <w:noProof/>
                <w:webHidden/>
              </w:rPr>
              <w:fldChar w:fldCharType="begin"/>
            </w:r>
            <w:r w:rsidR="00925C31">
              <w:rPr>
                <w:noProof/>
                <w:webHidden/>
              </w:rPr>
              <w:instrText xml:space="preserve"> PAGEREF _Toc88741457 \h </w:instrText>
            </w:r>
            <w:r w:rsidR="00925C31">
              <w:rPr>
                <w:noProof/>
                <w:webHidden/>
              </w:rPr>
            </w:r>
            <w:r w:rsidR="00925C31">
              <w:rPr>
                <w:noProof/>
                <w:webHidden/>
              </w:rPr>
              <w:fldChar w:fldCharType="separate"/>
            </w:r>
            <w:r>
              <w:rPr>
                <w:noProof/>
                <w:webHidden/>
              </w:rPr>
              <w:t>18</w:t>
            </w:r>
            <w:r w:rsidR="00925C31">
              <w:rPr>
                <w:noProof/>
                <w:webHidden/>
              </w:rPr>
              <w:fldChar w:fldCharType="end"/>
            </w:r>
          </w:hyperlink>
        </w:p>
        <w:p w14:paraId="25C135C8" w14:textId="06D7D14A" w:rsidR="00925C31" w:rsidRDefault="00C43719">
          <w:pPr>
            <w:pStyle w:val="Obsah5"/>
            <w:tabs>
              <w:tab w:val="right" w:leader="dot" w:pos="9062"/>
            </w:tabs>
            <w:rPr>
              <w:noProof/>
            </w:rPr>
          </w:pPr>
          <w:hyperlink w:anchor="_Toc88741458" w:history="1">
            <w:r w:rsidR="00925C31" w:rsidRPr="00B50780">
              <w:rPr>
                <w:rStyle w:val="Hypertextovodkaz"/>
                <w:noProof/>
              </w:rPr>
              <w:t>Anaplastický oligodendrogliom</w:t>
            </w:r>
            <w:r w:rsidR="00925C31">
              <w:rPr>
                <w:noProof/>
                <w:webHidden/>
              </w:rPr>
              <w:tab/>
            </w:r>
            <w:r w:rsidR="00925C31">
              <w:rPr>
                <w:noProof/>
                <w:webHidden/>
              </w:rPr>
              <w:fldChar w:fldCharType="begin"/>
            </w:r>
            <w:r w:rsidR="00925C31">
              <w:rPr>
                <w:noProof/>
                <w:webHidden/>
              </w:rPr>
              <w:instrText xml:space="preserve"> PAGEREF _Toc88741458 \h </w:instrText>
            </w:r>
            <w:r w:rsidR="00925C31">
              <w:rPr>
                <w:noProof/>
                <w:webHidden/>
              </w:rPr>
            </w:r>
            <w:r w:rsidR="00925C31">
              <w:rPr>
                <w:noProof/>
                <w:webHidden/>
              </w:rPr>
              <w:fldChar w:fldCharType="separate"/>
            </w:r>
            <w:r>
              <w:rPr>
                <w:noProof/>
                <w:webHidden/>
              </w:rPr>
              <w:t>19</w:t>
            </w:r>
            <w:r w:rsidR="00925C31">
              <w:rPr>
                <w:noProof/>
                <w:webHidden/>
              </w:rPr>
              <w:fldChar w:fldCharType="end"/>
            </w:r>
          </w:hyperlink>
        </w:p>
        <w:p w14:paraId="00390A0F" w14:textId="20A01D65" w:rsidR="00925C31" w:rsidRDefault="00C43719">
          <w:pPr>
            <w:pStyle w:val="Obsah5"/>
            <w:tabs>
              <w:tab w:val="right" w:leader="dot" w:pos="9062"/>
            </w:tabs>
            <w:rPr>
              <w:noProof/>
            </w:rPr>
          </w:pPr>
          <w:hyperlink w:anchor="_Toc88741459" w:history="1">
            <w:r w:rsidR="00925C31" w:rsidRPr="00B50780">
              <w:rPr>
                <w:rStyle w:val="Hypertextovodkaz"/>
                <w:noProof/>
              </w:rPr>
              <w:t>Oligoastrocytom</w:t>
            </w:r>
            <w:r w:rsidR="00925C31">
              <w:rPr>
                <w:noProof/>
                <w:webHidden/>
              </w:rPr>
              <w:tab/>
            </w:r>
            <w:r w:rsidR="00925C31">
              <w:rPr>
                <w:noProof/>
                <w:webHidden/>
              </w:rPr>
              <w:fldChar w:fldCharType="begin"/>
            </w:r>
            <w:r w:rsidR="00925C31">
              <w:rPr>
                <w:noProof/>
                <w:webHidden/>
              </w:rPr>
              <w:instrText xml:space="preserve"> PAGEREF _Toc88741459 \h </w:instrText>
            </w:r>
            <w:r w:rsidR="00925C31">
              <w:rPr>
                <w:noProof/>
                <w:webHidden/>
              </w:rPr>
            </w:r>
            <w:r w:rsidR="00925C31">
              <w:rPr>
                <w:noProof/>
                <w:webHidden/>
              </w:rPr>
              <w:fldChar w:fldCharType="separate"/>
            </w:r>
            <w:r>
              <w:rPr>
                <w:noProof/>
                <w:webHidden/>
              </w:rPr>
              <w:t>19</w:t>
            </w:r>
            <w:r w:rsidR="00925C31">
              <w:rPr>
                <w:noProof/>
                <w:webHidden/>
              </w:rPr>
              <w:fldChar w:fldCharType="end"/>
            </w:r>
          </w:hyperlink>
        </w:p>
        <w:p w14:paraId="2743911B" w14:textId="0EC88721" w:rsidR="00925C31" w:rsidRDefault="00C43719">
          <w:pPr>
            <w:pStyle w:val="Obsah5"/>
            <w:tabs>
              <w:tab w:val="right" w:leader="dot" w:pos="9062"/>
            </w:tabs>
            <w:rPr>
              <w:noProof/>
            </w:rPr>
          </w:pPr>
          <w:hyperlink w:anchor="_Toc88741460" w:history="1">
            <w:r w:rsidR="00925C31" w:rsidRPr="00B50780">
              <w:rPr>
                <w:rStyle w:val="Hypertextovodkaz"/>
                <w:noProof/>
              </w:rPr>
              <w:t>Anaplastický oligoastrocytom</w:t>
            </w:r>
            <w:r w:rsidR="00925C31">
              <w:rPr>
                <w:noProof/>
                <w:webHidden/>
              </w:rPr>
              <w:tab/>
            </w:r>
            <w:r w:rsidR="00925C31">
              <w:rPr>
                <w:noProof/>
                <w:webHidden/>
              </w:rPr>
              <w:fldChar w:fldCharType="begin"/>
            </w:r>
            <w:r w:rsidR="00925C31">
              <w:rPr>
                <w:noProof/>
                <w:webHidden/>
              </w:rPr>
              <w:instrText xml:space="preserve"> PAGEREF _Toc88741460 \h </w:instrText>
            </w:r>
            <w:r w:rsidR="00925C31">
              <w:rPr>
                <w:noProof/>
                <w:webHidden/>
              </w:rPr>
            </w:r>
            <w:r w:rsidR="00925C31">
              <w:rPr>
                <w:noProof/>
                <w:webHidden/>
              </w:rPr>
              <w:fldChar w:fldCharType="separate"/>
            </w:r>
            <w:r>
              <w:rPr>
                <w:noProof/>
                <w:webHidden/>
              </w:rPr>
              <w:t>19</w:t>
            </w:r>
            <w:r w:rsidR="00925C31">
              <w:rPr>
                <w:noProof/>
                <w:webHidden/>
              </w:rPr>
              <w:fldChar w:fldCharType="end"/>
            </w:r>
          </w:hyperlink>
        </w:p>
        <w:p w14:paraId="6622805D" w14:textId="6FB5304E" w:rsidR="00925C31" w:rsidRDefault="00C43719">
          <w:pPr>
            <w:pStyle w:val="Obsah4"/>
            <w:tabs>
              <w:tab w:val="left" w:pos="1760"/>
              <w:tab w:val="right" w:leader="dot" w:pos="9062"/>
            </w:tabs>
            <w:rPr>
              <w:noProof/>
            </w:rPr>
          </w:pPr>
          <w:hyperlink w:anchor="_Toc88741461" w:history="1">
            <w:r w:rsidR="00925C31" w:rsidRPr="00B50780">
              <w:rPr>
                <w:rStyle w:val="Hypertextovodkaz"/>
                <w:noProof/>
              </w:rPr>
              <w:t>1.3.2.2.</w:t>
            </w:r>
            <w:r w:rsidR="00925C31">
              <w:rPr>
                <w:noProof/>
              </w:rPr>
              <w:tab/>
            </w:r>
            <w:r w:rsidR="00925C31" w:rsidRPr="00B50780">
              <w:rPr>
                <w:rStyle w:val="Hypertextovodkaz"/>
                <w:noProof/>
              </w:rPr>
              <w:t>Ostatní astrocytární nádory</w:t>
            </w:r>
            <w:r w:rsidR="00925C31">
              <w:rPr>
                <w:noProof/>
                <w:webHidden/>
              </w:rPr>
              <w:tab/>
            </w:r>
            <w:r w:rsidR="00925C31">
              <w:rPr>
                <w:noProof/>
                <w:webHidden/>
              </w:rPr>
              <w:fldChar w:fldCharType="begin"/>
            </w:r>
            <w:r w:rsidR="00925C31">
              <w:rPr>
                <w:noProof/>
                <w:webHidden/>
              </w:rPr>
              <w:instrText xml:space="preserve"> PAGEREF _Toc88741461 \h </w:instrText>
            </w:r>
            <w:r w:rsidR="00925C31">
              <w:rPr>
                <w:noProof/>
                <w:webHidden/>
              </w:rPr>
            </w:r>
            <w:r w:rsidR="00925C31">
              <w:rPr>
                <w:noProof/>
                <w:webHidden/>
              </w:rPr>
              <w:fldChar w:fldCharType="separate"/>
            </w:r>
            <w:r>
              <w:rPr>
                <w:noProof/>
                <w:webHidden/>
              </w:rPr>
              <w:t>19</w:t>
            </w:r>
            <w:r w:rsidR="00925C31">
              <w:rPr>
                <w:noProof/>
                <w:webHidden/>
              </w:rPr>
              <w:fldChar w:fldCharType="end"/>
            </w:r>
          </w:hyperlink>
        </w:p>
        <w:p w14:paraId="54A369EB" w14:textId="641AA043" w:rsidR="00925C31" w:rsidRDefault="00C43719">
          <w:pPr>
            <w:pStyle w:val="Obsah4"/>
            <w:tabs>
              <w:tab w:val="left" w:pos="1760"/>
              <w:tab w:val="right" w:leader="dot" w:pos="9062"/>
            </w:tabs>
            <w:rPr>
              <w:noProof/>
            </w:rPr>
          </w:pPr>
          <w:hyperlink w:anchor="_Toc88741462" w:history="1">
            <w:r w:rsidR="00925C31" w:rsidRPr="00B50780">
              <w:rPr>
                <w:rStyle w:val="Hypertextovodkaz"/>
                <w:noProof/>
              </w:rPr>
              <w:t>1.3.2.3.</w:t>
            </w:r>
            <w:r w:rsidR="00925C31">
              <w:rPr>
                <w:noProof/>
              </w:rPr>
              <w:tab/>
            </w:r>
            <w:r w:rsidR="00925C31" w:rsidRPr="00B50780">
              <w:rPr>
                <w:rStyle w:val="Hypertextovodkaz"/>
                <w:noProof/>
              </w:rPr>
              <w:t>Ependymální nádory</w:t>
            </w:r>
            <w:r w:rsidR="00925C31">
              <w:rPr>
                <w:noProof/>
                <w:webHidden/>
              </w:rPr>
              <w:tab/>
            </w:r>
            <w:r w:rsidR="00925C31">
              <w:rPr>
                <w:noProof/>
                <w:webHidden/>
              </w:rPr>
              <w:fldChar w:fldCharType="begin"/>
            </w:r>
            <w:r w:rsidR="00925C31">
              <w:rPr>
                <w:noProof/>
                <w:webHidden/>
              </w:rPr>
              <w:instrText xml:space="preserve"> PAGEREF _Toc88741462 \h </w:instrText>
            </w:r>
            <w:r w:rsidR="00925C31">
              <w:rPr>
                <w:noProof/>
                <w:webHidden/>
              </w:rPr>
            </w:r>
            <w:r w:rsidR="00925C31">
              <w:rPr>
                <w:noProof/>
                <w:webHidden/>
              </w:rPr>
              <w:fldChar w:fldCharType="separate"/>
            </w:r>
            <w:r>
              <w:rPr>
                <w:noProof/>
                <w:webHidden/>
              </w:rPr>
              <w:t>20</w:t>
            </w:r>
            <w:r w:rsidR="00925C31">
              <w:rPr>
                <w:noProof/>
                <w:webHidden/>
              </w:rPr>
              <w:fldChar w:fldCharType="end"/>
            </w:r>
          </w:hyperlink>
        </w:p>
        <w:p w14:paraId="1C23390F" w14:textId="7EBC0B66" w:rsidR="00925C31" w:rsidRDefault="00C43719">
          <w:pPr>
            <w:pStyle w:val="Obsah3"/>
            <w:tabs>
              <w:tab w:val="left" w:pos="1320"/>
              <w:tab w:val="right" w:leader="dot" w:pos="9062"/>
            </w:tabs>
            <w:rPr>
              <w:rFonts w:cstheme="minorBidi"/>
              <w:noProof/>
            </w:rPr>
          </w:pPr>
          <w:hyperlink w:anchor="_Toc88741463" w:history="1">
            <w:r w:rsidR="00925C31" w:rsidRPr="00B50780">
              <w:rPr>
                <w:rStyle w:val="Hypertextovodkaz"/>
                <w:noProof/>
              </w:rPr>
              <w:t>1.3.3.</w:t>
            </w:r>
            <w:r w:rsidR="00925C31">
              <w:rPr>
                <w:rFonts w:cstheme="minorBidi"/>
                <w:noProof/>
              </w:rPr>
              <w:tab/>
            </w:r>
            <w:r w:rsidR="00925C31" w:rsidRPr="00B50780">
              <w:rPr>
                <w:rStyle w:val="Hypertextovodkaz"/>
                <w:noProof/>
              </w:rPr>
              <w:t>Souhrn kapitoly</w:t>
            </w:r>
            <w:r w:rsidR="00925C31">
              <w:rPr>
                <w:noProof/>
                <w:webHidden/>
              </w:rPr>
              <w:tab/>
            </w:r>
            <w:r w:rsidR="00925C31">
              <w:rPr>
                <w:noProof/>
                <w:webHidden/>
              </w:rPr>
              <w:fldChar w:fldCharType="begin"/>
            </w:r>
            <w:r w:rsidR="00925C31">
              <w:rPr>
                <w:noProof/>
                <w:webHidden/>
              </w:rPr>
              <w:instrText xml:space="preserve"> PAGEREF _Toc88741463 \h </w:instrText>
            </w:r>
            <w:r w:rsidR="00925C31">
              <w:rPr>
                <w:noProof/>
                <w:webHidden/>
              </w:rPr>
            </w:r>
            <w:r w:rsidR="00925C31">
              <w:rPr>
                <w:noProof/>
                <w:webHidden/>
              </w:rPr>
              <w:fldChar w:fldCharType="separate"/>
            </w:r>
            <w:r>
              <w:rPr>
                <w:noProof/>
                <w:webHidden/>
              </w:rPr>
              <w:t>20</w:t>
            </w:r>
            <w:r w:rsidR="00925C31">
              <w:rPr>
                <w:noProof/>
                <w:webHidden/>
              </w:rPr>
              <w:fldChar w:fldCharType="end"/>
            </w:r>
          </w:hyperlink>
        </w:p>
        <w:p w14:paraId="0E50C261" w14:textId="3019B331" w:rsidR="00925C31" w:rsidRDefault="00C43719">
          <w:pPr>
            <w:pStyle w:val="Obsah2"/>
            <w:tabs>
              <w:tab w:val="left" w:pos="880"/>
              <w:tab w:val="right" w:leader="dot" w:pos="9062"/>
            </w:tabs>
            <w:rPr>
              <w:noProof/>
            </w:rPr>
          </w:pPr>
          <w:hyperlink w:anchor="_Toc88741464" w:history="1">
            <w:r w:rsidR="00925C31" w:rsidRPr="00B50780">
              <w:rPr>
                <w:rStyle w:val="Hypertextovodkaz"/>
                <w:noProof/>
              </w:rPr>
              <w:t>1.4.</w:t>
            </w:r>
            <w:r w:rsidR="00925C31">
              <w:rPr>
                <w:noProof/>
              </w:rPr>
              <w:tab/>
            </w:r>
            <w:r w:rsidR="00925C31" w:rsidRPr="00B50780">
              <w:rPr>
                <w:rStyle w:val="Hypertextovodkaz"/>
                <w:noProof/>
              </w:rPr>
              <w:t>Molekulárně cytogenetické změny u gliomů</w:t>
            </w:r>
            <w:r w:rsidR="00925C31">
              <w:rPr>
                <w:noProof/>
                <w:webHidden/>
              </w:rPr>
              <w:tab/>
            </w:r>
            <w:r w:rsidR="00925C31">
              <w:rPr>
                <w:noProof/>
                <w:webHidden/>
              </w:rPr>
              <w:fldChar w:fldCharType="begin"/>
            </w:r>
            <w:r w:rsidR="00925C31">
              <w:rPr>
                <w:noProof/>
                <w:webHidden/>
              </w:rPr>
              <w:instrText xml:space="preserve"> PAGEREF _Toc88741464 \h </w:instrText>
            </w:r>
            <w:r w:rsidR="00925C31">
              <w:rPr>
                <w:noProof/>
                <w:webHidden/>
              </w:rPr>
            </w:r>
            <w:r w:rsidR="00925C31">
              <w:rPr>
                <w:noProof/>
                <w:webHidden/>
              </w:rPr>
              <w:fldChar w:fldCharType="separate"/>
            </w:r>
            <w:r>
              <w:rPr>
                <w:noProof/>
                <w:webHidden/>
              </w:rPr>
              <w:t>21</w:t>
            </w:r>
            <w:r w:rsidR="00925C31">
              <w:rPr>
                <w:noProof/>
                <w:webHidden/>
              </w:rPr>
              <w:fldChar w:fldCharType="end"/>
            </w:r>
          </w:hyperlink>
        </w:p>
        <w:p w14:paraId="4B3DB31E" w14:textId="3B189D1F" w:rsidR="00925C31" w:rsidRDefault="00C43719">
          <w:pPr>
            <w:pStyle w:val="Obsah3"/>
            <w:tabs>
              <w:tab w:val="left" w:pos="1320"/>
              <w:tab w:val="right" w:leader="dot" w:pos="9062"/>
            </w:tabs>
            <w:rPr>
              <w:rFonts w:cstheme="minorBidi"/>
              <w:noProof/>
            </w:rPr>
          </w:pPr>
          <w:hyperlink w:anchor="_Toc88741465" w:history="1">
            <w:r w:rsidR="00925C31" w:rsidRPr="00B50780">
              <w:rPr>
                <w:rStyle w:val="Hypertextovodkaz"/>
                <w:noProof/>
              </w:rPr>
              <w:t>1.4.1.</w:t>
            </w:r>
            <w:r w:rsidR="00925C31">
              <w:rPr>
                <w:rFonts w:cstheme="minorBidi"/>
                <w:noProof/>
              </w:rPr>
              <w:tab/>
            </w:r>
            <w:r w:rsidR="00925C31" w:rsidRPr="00B50780">
              <w:rPr>
                <w:rStyle w:val="Hypertextovodkaz"/>
                <w:noProof/>
              </w:rPr>
              <w:t>Hereditární nádorové syndromy spojené s výskytem gliomů</w:t>
            </w:r>
            <w:r w:rsidR="00925C31">
              <w:rPr>
                <w:noProof/>
                <w:webHidden/>
              </w:rPr>
              <w:tab/>
            </w:r>
            <w:r w:rsidR="00925C31">
              <w:rPr>
                <w:noProof/>
                <w:webHidden/>
              </w:rPr>
              <w:fldChar w:fldCharType="begin"/>
            </w:r>
            <w:r w:rsidR="00925C31">
              <w:rPr>
                <w:noProof/>
                <w:webHidden/>
              </w:rPr>
              <w:instrText xml:space="preserve"> PAGEREF _Toc88741465 \h </w:instrText>
            </w:r>
            <w:r w:rsidR="00925C31">
              <w:rPr>
                <w:noProof/>
                <w:webHidden/>
              </w:rPr>
            </w:r>
            <w:r w:rsidR="00925C31">
              <w:rPr>
                <w:noProof/>
                <w:webHidden/>
              </w:rPr>
              <w:fldChar w:fldCharType="separate"/>
            </w:r>
            <w:r>
              <w:rPr>
                <w:noProof/>
                <w:webHidden/>
              </w:rPr>
              <w:t>21</w:t>
            </w:r>
            <w:r w:rsidR="00925C31">
              <w:rPr>
                <w:noProof/>
                <w:webHidden/>
              </w:rPr>
              <w:fldChar w:fldCharType="end"/>
            </w:r>
          </w:hyperlink>
        </w:p>
        <w:p w14:paraId="190D625D" w14:textId="3DD2C702" w:rsidR="00925C31" w:rsidRDefault="00C43719">
          <w:pPr>
            <w:pStyle w:val="Obsah3"/>
            <w:tabs>
              <w:tab w:val="left" w:pos="1320"/>
              <w:tab w:val="right" w:leader="dot" w:pos="9062"/>
            </w:tabs>
            <w:rPr>
              <w:rFonts w:cstheme="minorBidi"/>
              <w:noProof/>
            </w:rPr>
          </w:pPr>
          <w:hyperlink w:anchor="_Toc88741466" w:history="1">
            <w:r w:rsidR="00925C31" w:rsidRPr="00B50780">
              <w:rPr>
                <w:rStyle w:val="Hypertextovodkaz"/>
                <w:noProof/>
              </w:rPr>
              <w:t>1.4.2.</w:t>
            </w:r>
            <w:r w:rsidR="00925C31">
              <w:rPr>
                <w:rFonts w:cstheme="minorBidi"/>
                <w:noProof/>
              </w:rPr>
              <w:tab/>
            </w:r>
            <w:r w:rsidR="00925C31" w:rsidRPr="00B50780">
              <w:rPr>
                <w:rStyle w:val="Hypertextovodkaz"/>
                <w:noProof/>
              </w:rPr>
              <w:t>Rizikové faktory</w:t>
            </w:r>
            <w:r w:rsidR="00925C31">
              <w:rPr>
                <w:noProof/>
                <w:webHidden/>
              </w:rPr>
              <w:tab/>
            </w:r>
            <w:r w:rsidR="00925C31">
              <w:rPr>
                <w:noProof/>
                <w:webHidden/>
              </w:rPr>
              <w:fldChar w:fldCharType="begin"/>
            </w:r>
            <w:r w:rsidR="00925C31">
              <w:rPr>
                <w:noProof/>
                <w:webHidden/>
              </w:rPr>
              <w:instrText xml:space="preserve"> PAGEREF _Toc88741466 \h </w:instrText>
            </w:r>
            <w:r w:rsidR="00925C31">
              <w:rPr>
                <w:noProof/>
                <w:webHidden/>
              </w:rPr>
            </w:r>
            <w:r w:rsidR="00925C31">
              <w:rPr>
                <w:noProof/>
                <w:webHidden/>
              </w:rPr>
              <w:fldChar w:fldCharType="separate"/>
            </w:r>
            <w:r>
              <w:rPr>
                <w:noProof/>
                <w:webHidden/>
              </w:rPr>
              <w:t>21</w:t>
            </w:r>
            <w:r w:rsidR="00925C31">
              <w:rPr>
                <w:noProof/>
                <w:webHidden/>
              </w:rPr>
              <w:fldChar w:fldCharType="end"/>
            </w:r>
          </w:hyperlink>
        </w:p>
        <w:p w14:paraId="318342CF" w14:textId="005317BE" w:rsidR="00925C31" w:rsidRDefault="00C43719">
          <w:pPr>
            <w:pStyle w:val="Obsah3"/>
            <w:tabs>
              <w:tab w:val="left" w:pos="1320"/>
              <w:tab w:val="right" w:leader="dot" w:pos="9062"/>
            </w:tabs>
            <w:rPr>
              <w:rFonts w:cstheme="minorBidi"/>
              <w:noProof/>
            </w:rPr>
          </w:pPr>
          <w:hyperlink w:anchor="_Toc88741467" w:history="1">
            <w:r w:rsidR="00925C31" w:rsidRPr="00B50780">
              <w:rPr>
                <w:rStyle w:val="Hypertextovodkaz"/>
                <w:noProof/>
              </w:rPr>
              <w:t>1.4.3.</w:t>
            </w:r>
            <w:r w:rsidR="00925C31">
              <w:rPr>
                <w:rFonts w:cstheme="minorBidi"/>
                <w:noProof/>
              </w:rPr>
              <w:tab/>
            </w:r>
            <w:r w:rsidR="00925C31" w:rsidRPr="00B50780">
              <w:rPr>
                <w:rStyle w:val="Hypertextovodkaz"/>
                <w:noProof/>
              </w:rPr>
              <w:t>Získané molekulárně cytogenetické změny u gliomů</w:t>
            </w:r>
            <w:r w:rsidR="00925C31">
              <w:rPr>
                <w:noProof/>
                <w:webHidden/>
              </w:rPr>
              <w:tab/>
            </w:r>
            <w:r w:rsidR="00925C31">
              <w:rPr>
                <w:noProof/>
                <w:webHidden/>
              </w:rPr>
              <w:fldChar w:fldCharType="begin"/>
            </w:r>
            <w:r w:rsidR="00925C31">
              <w:rPr>
                <w:noProof/>
                <w:webHidden/>
              </w:rPr>
              <w:instrText xml:space="preserve"> PAGEREF _Toc88741467 \h </w:instrText>
            </w:r>
            <w:r w:rsidR="00925C31">
              <w:rPr>
                <w:noProof/>
                <w:webHidden/>
              </w:rPr>
            </w:r>
            <w:r w:rsidR="00925C31">
              <w:rPr>
                <w:noProof/>
                <w:webHidden/>
              </w:rPr>
              <w:fldChar w:fldCharType="separate"/>
            </w:r>
            <w:r>
              <w:rPr>
                <w:noProof/>
                <w:webHidden/>
              </w:rPr>
              <w:t>22</w:t>
            </w:r>
            <w:r w:rsidR="00925C31">
              <w:rPr>
                <w:noProof/>
                <w:webHidden/>
              </w:rPr>
              <w:fldChar w:fldCharType="end"/>
            </w:r>
          </w:hyperlink>
        </w:p>
        <w:p w14:paraId="13A6BB72" w14:textId="592B1BC8" w:rsidR="00925C31" w:rsidRDefault="00C43719">
          <w:pPr>
            <w:pStyle w:val="Obsah4"/>
            <w:tabs>
              <w:tab w:val="left" w:pos="1760"/>
              <w:tab w:val="right" w:leader="dot" w:pos="9062"/>
            </w:tabs>
            <w:rPr>
              <w:noProof/>
            </w:rPr>
          </w:pPr>
          <w:hyperlink w:anchor="_Toc88741468" w:history="1">
            <w:r w:rsidR="00925C31" w:rsidRPr="00B50780">
              <w:rPr>
                <w:rStyle w:val="Hypertextovodkaz"/>
                <w:noProof/>
              </w:rPr>
              <w:t>1.4.3.1.</w:t>
            </w:r>
            <w:r w:rsidR="00925C31">
              <w:rPr>
                <w:noProof/>
              </w:rPr>
              <w:tab/>
            </w:r>
            <w:r w:rsidR="00925C31" w:rsidRPr="00B50780">
              <w:rPr>
                <w:rStyle w:val="Hypertextovodkaz"/>
                <w:noProof/>
              </w:rPr>
              <w:t>Mutace genu</w:t>
            </w:r>
            <w:r w:rsidR="00925C31" w:rsidRPr="00B50780">
              <w:rPr>
                <w:rStyle w:val="Hypertextovodkaz"/>
                <w:i/>
                <w:noProof/>
              </w:rPr>
              <w:t xml:space="preserve"> IDH</w:t>
            </w:r>
            <w:r w:rsidR="00925C31">
              <w:rPr>
                <w:noProof/>
                <w:webHidden/>
              </w:rPr>
              <w:tab/>
            </w:r>
            <w:r w:rsidR="00925C31">
              <w:rPr>
                <w:noProof/>
                <w:webHidden/>
              </w:rPr>
              <w:fldChar w:fldCharType="begin"/>
            </w:r>
            <w:r w:rsidR="00925C31">
              <w:rPr>
                <w:noProof/>
                <w:webHidden/>
              </w:rPr>
              <w:instrText xml:space="preserve"> PAGEREF _Toc88741468 \h </w:instrText>
            </w:r>
            <w:r w:rsidR="00925C31">
              <w:rPr>
                <w:noProof/>
                <w:webHidden/>
              </w:rPr>
            </w:r>
            <w:r w:rsidR="00925C31">
              <w:rPr>
                <w:noProof/>
                <w:webHidden/>
              </w:rPr>
              <w:fldChar w:fldCharType="separate"/>
            </w:r>
            <w:r>
              <w:rPr>
                <w:noProof/>
                <w:webHidden/>
              </w:rPr>
              <w:t>22</w:t>
            </w:r>
            <w:r w:rsidR="00925C31">
              <w:rPr>
                <w:noProof/>
                <w:webHidden/>
              </w:rPr>
              <w:fldChar w:fldCharType="end"/>
            </w:r>
          </w:hyperlink>
        </w:p>
        <w:p w14:paraId="7E71B963" w14:textId="52F65873" w:rsidR="00925C31" w:rsidRDefault="00C43719">
          <w:pPr>
            <w:pStyle w:val="Obsah4"/>
            <w:tabs>
              <w:tab w:val="left" w:pos="1760"/>
              <w:tab w:val="right" w:leader="dot" w:pos="9062"/>
            </w:tabs>
            <w:rPr>
              <w:noProof/>
            </w:rPr>
          </w:pPr>
          <w:hyperlink w:anchor="_Toc88741469" w:history="1">
            <w:r w:rsidR="00925C31" w:rsidRPr="00B50780">
              <w:rPr>
                <w:rStyle w:val="Hypertextovodkaz"/>
                <w:noProof/>
              </w:rPr>
              <w:t>1.4.3.2.</w:t>
            </w:r>
            <w:r w:rsidR="00925C31">
              <w:rPr>
                <w:noProof/>
              </w:rPr>
              <w:tab/>
            </w:r>
            <w:r w:rsidR="00925C31" w:rsidRPr="00B50780">
              <w:rPr>
                <w:rStyle w:val="Hypertextovodkaz"/>
                <w:noProof/>
              </w:rPr>
              <w:t xml:space="preserve">Metylace </w:t>
            </w:r>
            <w:r w:rsidR="00925C31" w:rsidRPr="00B50780">
              <w:rPr>
                <w:rStyle w:val="Hypertextovodkaz"/>
                <w:i/>
                <w:noProof/>
              </w:rPr>
              <w:t>MGMT</w:t>
            </w:r>
            <w:r w:rsidR="00925C31">
              <w:rPr>
                <w:noProof/>
                <w:webHidden/>
              </w:rPr>
              <w:tab/>
            </w:r>
            <w:r w:rsidR="00925C31">
              <w:rPr>
                <w:noProof/>
                <w:webHidden/>
              </w:rPr>
              <w:fldChar w:fldCharType="begin"/>
            </w:r>
            <w:r w:rsidR="00925C31">
              <w:rPr>
                <w:noProof/>
                <w:webHidden/>
              </w:rPr>
              <w:instrText xml:space="preserve"> PAGEREF _Toc88741469 \h </w:instrText>
            </w:r>
            <w:r w:rsidR="00925C31">
              <w:rPr>
                <w:noProof/>
                <w:webHidden/>
              </w:rPr>
            </w:r>
            <w:r w:rsidR="00925C31">
              <w:rPr>
                <w:noProof/>
                <w:webHidden/>
              </w:rPr>
              <w:fldChar w:fldCharType="separate"/>
            </w:r>
            <w:r>
              <w:rPr>
                <w:noProof/>
                <w:webHidden/>
              </w:rPr>
              <w:t>24</w:t>
            </w:r>
            <w:r w:rsidR="00925C31">
              <w:rPr>
                <w:noProof/>
                <w:webHidden/>
              </w:rPr>
              <w:fldChar w:fldCharType="end"/>
            </w:r>
          </w:hyperlink>
        </w:p>
        <w:p w14:paraId="6BE1F4E9" w14:textId="17792DBA" w:rsidR="00925C31" w:rsidRDefault="00C43719">
          <w:pPr>
            <w:pStyle w:val="Obsah4"/>
            <w:tabs>
              <w:tab w:val="left" w:pos="1760"/>
              <w:tab w:val="right" w:leader="dot" w:pos="9062"/>
            </w:tabs>
            <w:rPr>
              <w:noProof/>
            </w:rPr>
          </w:pPr>
          <w:hyperlink w:anchor="_Toc88741470" w:history="1">
            <w:r w:rsidR="00925C31" w:rsidRPr="00B50780">
              <w:rPr>
                <w:rStyle w:val="Hypertextovodkaz"/>
                <w:noProof/>
              </w:rPr>
              <w:t>1.4.3.3.</w:t>
            </w:r>
            <w:r w:rsidR="00925C31">
              <w:rPr>
                <w:noProof/>
              </w:rPr>
              <w:tab/>
            </w:r>
            <w:r w:rsidR="00925C31" w:rsidRPr="00B50780">
              <w:rPr>
                <w:rStyle w:val="Hypertextovodkaz"/>
                <w:noProof/>
              </w:rPr>
              <w:t xml:space="preserve">Mutace genu </w:t>
            </w:r>
            <w:r w:rsidR="00925C31" w:rsidRPr="00B50780">
              <w:rPr>
                <w:rStyle w:val="Hypertextovodkaz"/>
                <w:i/>
                <w:noProof/>
              </w:rPr>
              <w:t>EGFR</w:t>
            </w:r>
            <w:r w:rsidR="00925C31">
              <w:rPr>
                <w:noProof/>
                <w:webHidden/>
              </w:rPr>
              <w:tab/>
            </w:r>
            <w:r w:rsidR="00925C31">
              <w:rPr>
                <w:noProof/>
                <w:webHidden/>
              </w:rPr>
              <w:fldChar w:fldCharType="begin"/>
            </w:r>
            <w:r w:rsidR="00925C31">
              <w:rPr>
                <w:noProof/>
                <w:webHidden/>
              </w:rPr>
              <w:instrText xml:space="preserve"> PAGEREF _Toc88741470 \h </w:instrText>
            </w:r>
            <w:r w:rsidR="00925C31">
              <w:rPr>
                <w:noProof/>
                <w:webHidden/>
              </w:rPr>
            </w:r>
            <w:r w:rsidR="00925C31">
              <w:rPr>
                <w:noProof/>
                <w:webHidden/>
              </w:rPr>
              <w:fldChar w:fldCharType="separate"/>
            </w:r>
            <w:r>
              <w:rPr>
                <w:noProof/>
                <w:webHidden/>
              </w:rPr>
              <w:t>24</w:t>
            </w:r>
            <w:r w:rsidR="00925C31">
              <w:rPr>
                <w:noProof/>
                <w:webHidden/>
              </w:rPr>
              <w:fldChar w:fldCharType="end"/>
            </w:r>
          </w:hyperlink>
        </w:p>
        <w:p w14:paraId="567D88DA" w14:textId="783FFFE7" w:rsidR="00925C31" w:rsidRDefault="00C43719">
          <w:pPr>
            <w:pStyle w:val="Obsah4"/>
            <w:tabs>
              <w:tab w:val="left" w:pos="1760"/>
              <w:tab w:val="right" w:leader="dot" w:pos="9062"/>
            </w:tabs>
            <w:rPr>
              <w:noProof/>
            </w:rPr>
          </w:pPr>
          <w:hyperlink w:anchor="_Toc88741471" w:history="1">
            <w:r w:rsidR="00925C31" w:rsidRPr="00B50780">
              <w:rPr>
                <w:rStyle w:val="Hypertextovodkaz"/>
                <w:noProof/>
              </w:rPr>
              <w:t>1.4.3.4.</w:t>
            </w:r>
            <w:r w:rsidR="00925C31">
              <w:rPr>
                <w:noProof/>
              </w:rPr>
              <w:tab/>
            </w:r>
            <w:r w:rsidR="00925C31" w:rsidRPr="00B50780">
              <w:rPr>
                <w:rStyle w:val="Hypertextovodkaz"/>
                <w:noProof/>
              </w:rPr>
              <w:t>Kodelece chromozomálních ramen 1p/19q</w:t>
            </w:r>
            <w:r w:rsidR="00925C31">
              <w:rPr>
                <w:noProof/>
                <w:webHidden/>
              </w:rPr>
              <w:tab/>
            </w:r>
            <w:r w:rsidR="00925C31">
              <w:rPr>
                <w:noProof/>
                <w:webHidden/>
              </w:rPr>
              <w:fldChar w:fldCharType="begin"/>
            </w:r>
            <w:r w:rsidR="00925C31">
              <w:rPr>
                <w:noProof/>
                <w:webHidden/>
              </w:rPr>
              <w:instrText xml:space="preserve"> PAGEREF _Toc88741471 \h </w:instrText>
            </w:r>
            <w:r w:rsidR="00925C31">
              <w:rPr>
                <w:noProof/>
                <w:webHidden/>
              </w:rPr>
            </w:r>
            <w:r w:rsidR="00925C31">
              <w:rPr>
                <w:noProof/>
                <w:webHidden/>
              </w:rPr>
              <w:fldChar w:fldCharType="separate"/>
            </w:r>
            <w:r>
              <w:rPr>
                <w:noProof/>
                <w:webHidden/>
              </w:rPr>
              <w:t>25</w:t>
            </w:r>
            <w:r w:rsidR="00925C31">
              <w:rPr>
                <w:noProof/>
                <w:webHidden/>
              </w:rPr>
              <w:fldChar w:fldCharType="end"/>
            </w:r>
          </w:hyperlink>
        </w:p>
        <w:p w14:paraId="28F7F6ED" w14:textId="78FD80DD" w:rsidR="00925C31" w:rsidRDefault="00C43719">
          <w:pPr>
            <w:pStyle w:val="Obsah4"/>
            <w:tabs>
              <w:tab w:val="left" w:pos="1760"/>
              <w:tab w:val="right" w:leader="dot" w:pos="9062"/>
            </w:tabs>
            <w:rPr>
              <w:noProof/>
            </w:rPr>
          </w:pPr>
          <w:hyperlink w:anchor="_Toc88741472" w:history="1">
            <w:r w:rsidR="00925C31" w:rsidRPr="00B50780">
              <w:rPr>
                <w:rStyle w:val="Hypertextovodkaz"/>
                <w:i/>
                <w:noProof/>
              </w:rPr>
              <w:t>1.4.3.5.</w:t>
            </w:r>
            <w:r w:rsidR="00925C31">
              <w:rPr>
                <w:noProof/>
              </w:rPr>
              <w:tab/>
            </w:r>
            <w:r w:rsidR="00925C31" w:rsidRPr="00B50780">
              <w:rPr>
                <w:rStyle w:val="Hypertextovodkaz"/>
                <w:noProof/>
              </w:rPr>
              <w:t xml:space="preserve">Mutace genu </w:t>
            </w:r>
            <w:r w:rsidR="00925C31" w:rsidRPr="00B50780">
              <w:rPr>
                <w:rStyle w:val="Hypertextovodkaz"/>
                <w:i/>
                <w:noProof/>
              </w:rPr>
              <w:t>TERT</w:t>
            </w:r>
            <w:r w:rsidR="00925C31">
              <w:rPr>
                <w:noProof/>
                <w:webHidden/>
              </w:rPr>
              <w:tab/>
            </w:r>
            <w:r w:rsidR="00925C31">
              <w:rPr>
                <w:noProof/>
                <w:webHidden/>
              </w:rPr>
              <w:fldChar w:fldCharType="begin"/>
            </w:r>
            <w:r w:rsidR="00925C31">
              <w:rPr>
                <w:noProof/>
                <w:webHidden/>
              </w:rPr>
              <w:instrText xml:space="preserve"> PAGEREF _Toc88741472 \h </w:instrText>
            </w:r>
            <w:r w:rsidR="00925C31">
              <w:rPr>
                <w:noProof/>
                <w:webHidden/>
              </w:rPr>
            </w:r>
            <w:r w:rsidR="00925C31">
              <w:rPr>
                <w:noProof/>
                <w:webHidden/>
              </w:rPr>
              <w:fldChar w:fldCharType="separate"/>
            </w:r>
            <w:r>
              <w:rPr>
                <w:noProof/>
                <w:webHidden/>
              </w:rPr>
              <w:t>25</w:t>
            </w:r>
            <w:r w:rsidR="00925C31">
              <w:rPr>
                <w:noProof/>
                <w:webHidden/>
              </w:rPr>
              <w:fldChar w:fldCharType="end"/>
            </w:r>
          </w:hyperlink>
        </w:p>
        <w:p w14:paraId="4BC8B2DF" w14:textId="7B6D8141" w:rsidR="00925C31" w:rsidRDefault="00C43719">
          <w:pPr>
            <w:pStyle w:val="Obsah4"/>
            <w:tabs>
              <w:tab w:val="left" w:pos="1760"/>
              <w:tab w:val="right" w:leader="dot" w:pos="9062"/>
            </w:tabs>
            <w:rPr>
              <w:noProof/>
            </w:rPr>
          </w:pPr>
          <w:hyperlink w:anchor="_Toc88741473" w:history="1">
            <w:r w:rsidR="00925C31" w:rsidRPr="00B50780">
              <w:rPr>
                <w:rStyle w:val="Hypertextovodkaz"/>
                <w:noProof/>
              </w:rPr>
              <w:t>1.4.3.6.</w:t>
            </w:r>
            <w:r w:rsidR="00925C31">
              <w:rPr>
                <w:noProof/>
              </w:rPr>
              <w:tab/>
            </w:r>
            <w:r w:rsidR="00925C31" w:rsidRPr="00B50780">
              <w:rPr>
                <w:rStyle w:val="Hypertextovodkaz"/>
                <w:noProof/>
              </w:rPr>
              <w:t xml:space="preserve">Mutace genu </w:t>
            </w:r>
            <w:r w:rsidR="00925C31" w:rsidRPr="00B50780">
              <w:rPr>
                <w:rStyle w:val="Hypertextovodkaz"/>
                <w:i/>
                <w:noProof/>
              </w:rPr>
              <w:t>ATRX</w:t>
            </w:r>
            <w:r w:rsidR="00925C31">
              <w:rPr>
                <w:noProof/>
                <w:webHidden/>
              </w:rPr>
              <w:tab/>
            </w:r>
            <w:r w:rsidR="00925C31">
              <w:rPr>
                <w:noProof/>
                <w:webHidden/>
              </w:rPr>
              <w:fldChar w:fldCharType="begin"/>
            </w:r>
            <w:r w:rsidR="00925C31">
              <w:rPr>
                <w:noProof/>
                <w:webHidden/>
              </w:rPr>
              <w:instrText xml:space="preserve"> PAGEREF _Toc88741473 \h </w:instrText>
            </w:r>
            <w:r w:rsidR="00925C31">
              <w:rPr>
                <w:noProof/>
                <w:webHidden/>
              </w:rPr>
            </w:r>
            <w:r w:rsidR="00925C31">
              <w:rPr>
                <w:noProof/>
                <w:webHidden/>
              </w:rPr>
              <w:fldChar w:fldCharType="separate"/>
            </w:r>
            <w:r>
              <w:rPr>
                <w:noProof/>
                <w:webHidden/>
              </w:rPr>
              <w:t>26</w:t>
            </w:r>
            <w:r w:rsidR="00925C31">
              <w:rPr>
                <w:noProof/>
                <w:webHidden/>
              </w:rPr>
              <w:fldChar w:fldCharType="end"/>
            </w:r>
          </w:hyperlink>
        </w:p>
        <w:p w14:paraId="6D82E781" w14:textId="4F5E5C28" w:rsidR="00925C31" w:rsidRDefault="00C43719">
          <w:pPr>
            <w:pStyle w:val="Obsah4"/>
            <w:tabs>
              <w:tab w:val="left" w:pos="1760"/>
              <w:tab w:val="right" w:leader="dot" w:pos="9062"/>
            </w:tabs>
            <w:rPr>
              <w:noProof/>
            </w:rPr>
          </w:pPr>
          <w:hyperlink w:anchor="_Toc88741474" w:history="1">
            <w:r w:rsidR="00925C31" w:rsidRPr="00B50780">
              <w:rPr>
                <w:rStyle w:val="Hypertextovodkaz"/>
                <w:noProof/>
              </w:rPr>
              <w:t>1.4.3.7.</w:t>
            </w:r>
            <w:r w:rsidR="00925C31">
              <w:rPr>
                <w:noProof/>
              </w:rPr>
              <w:tab/>
            </w:r>
            <w:r w:rsidR="00925C31" w:rsidRPr="00B50780">
              <w:rPr>
                <w:rStyle w:val="Hypertextovodkaz"/>
                <w:noProof/>
              </w:rPr>
              <w:t xml:space="preserve">Mutace genu </w:t>
            </w:r>
            <w:r w:rsidR="00925C31" w:rsidRPr="00B50780">
              <w:rPr>
                <w:rStyle w:val="Hypertextovodkaz"/>
                <w:i/>
                <w:noProof/>
              </w:rPr>
              <w:t>TP53</w:t>
            </w:r>
            <w:r w:rsidR="00925C31">
              <w:rPr>
                <w:noProof/>
                <w:webHidden/>
              </w:rPr>
              <w:tab/>
            </w:r>
            <w:r w:rsidR="00925C31">
              <w:rPr>
                <w:noProof/>
                <w:webHidden/>
              </w:rPr>
              <w:fldChar w:fldCharType="begin"/>
            </w:r>
            <w:r w:rsidR="00925C31">
              <w:rPr>
                <w:noProof/>
                <w:webHidden/>
              </w:rPr>
              <w:instrText xml:space="preserve"> PAGEREF _Toc88741474 \h </w:instrText>
            </w:r>
            <w:r w:rsidR="00925C31">
              <w:rPr>
                <w:noProof/>
                <w:webHidden/>
              </w:rPr>
            </w:r>
            <w:r w:rsidR="00925C31">
              <w:rPr>
                <w:noProof/>
                <w:webHidden/>
              </w:rPr>
              <w:fldChar w:fldCharType="separate"/>
            </w:r>
            <w:r>
              <w:rPr>
                <w:noProof/>
                <w:webHidden/>
              </w:rPr>
              <w:t>26</w:t>
            </w:r>
            <w:r w:rsidR="00925C31">
              <w:rPr>
                <w:noProof/>
                <w:webHidden/>
              </w:rPr>
              <w:fldChar w:fldCharType="end"/>
            </w:r>
          </w:hyperlink>
        </w:p>
        <w:p w14:paraId="51F83F8A" w14:textId="5D7E513E" w:rsidR="00925C31" w:rsidRDefault="00C43719">
          <w:pPr>
            <w:pStyle w:val="Obsah4"/>
            <w:tabs>
              <w:tab w:val="left" w:pos="1760"/>
              <w:tab w:val="right" w:leader="dot" w:pos="9062"/>
            </w:tabs>
            <w:rPr>
              <w:noProof/>
            </w:rPr>
          </w:pPr>
          <w:hyperlink w:anchor="_Toc88741475" w:history="1">
            <w:r w:rsidR="00925C31" w:rsidRPr="00B50780">
              <w:rPr>
                <w:rStyle w:val="Hypertextovodkaz"/>
                <w:noProof/>
              </w:rPr>
              <w:t>1.4.3.8.</w:t>
            </w:r>
            <w:r w:rsidR="00925C31">
              <w:rPr>
                <w:noProof/>
              </w:rPr>
              <w:tab/>
            </w:r>
            <w:r w:rsidR="00925C31" w:rsidRPr="00B50780">
              <w:rPr>
                <w:rStyle w:val="Hypertextovodkaz"/>
                <w:noProof/>
              </w:rPr>
              <w:t xml:space="preserve">Mutace genu </w:t>
            </w:r>
            <w:r w:rsidR="00925C31" w:rsidRPr="00B50780">
              <w:rPr>
                <w:rStyle w:val="Hypertextovodkaz"/>
                <w:i/>
                <w:noProof/>
              </w:rPr>
              <w:t>MDM2</w:t>
            </w:r>
            <w:r w:rsidR="00925C31">
              <w:rPr>
                <w:noProof/>
                <w:webHidden/>
              </w:rPr>
              <w:tab/>
            </w:r>
            <w:r w:rsidR="00925C31">
              <w:rPr>
                <w:noProof/>
                <w:webHidden/>
              </w:rPr>
              <w:fldChar w:fldCharType="begin"/>
            </w:r>
            <w:r w:rsidR="00925C31">
              <w:rPr>
                <w:noProof/>
                <w:webHidden/>
              </w:rPr>
              <w:instrText xml:space="preserve"> PAGEREF _Toc88741475 \h </w:instrText>
            </w:r>
            <w:r w:rsidR="00925C31">
              <w:rPr>
                <w:noProof/>
                <w:webHidden/>
              </w:rPr>
            </w:r>
            <w:r w:rsidR="00925C31">
              <w:rPr>
                <w:noProof/>
                <w:webHidden/>
              </w:rPr>
              <w:fldChar w:fldCharType="separate"/>
            </w:r>
            <w:r>
              <w:rPr>
                <w:noProof/>
                <w:webHidden/>
              </w:rPr>
              <w:t>27</w:t>
            </w:r>
            <w:r w:rsidR="00925C31">
              <w:rPr>
                <w:noProof/>
                <w:webHidden/>
              </w:rPr>
              <w:fldChar w:fldCharType="end"/>
            </w:r>
          </w:hyperlink>
        </w:p>
        <w:p w14:paraId="3BAA7EC1" w14:textId="53FFB3E3" w:rsidR="00925C31" w:rsidRDefault="00C43719">
          <w:pPr>
            <w:pStyle w:val="Obsah4"/>
            <w:tabs>
              <w:tab w:val="left" w:pos="1760"/>
              <w:tab w:val="right" w:leader="dot" w:pos="9062"/>
            </w:tabs>
            <w:rPr>
              <w:noProof/>
            </w:rPr>
          </w:pPr>
          <w:hyperlink w:anchor="_Toc88741476" w:history="1">
            <w:r w:rsidR="00925C31" w:rsidRPr="00B50780">
              <w:rPr>
                <w:rStyle w:val="Hypertextovodkaz"/>
                <w:noProof/>
              </w:rPr>
              <w:t>1.4.3.9.</w:t>
            </w:r>
            <w:r w:rsidR="00925C31">
              <w:rPr>
                <w:noProof/>
              </w:rPr>
              <w:tab/>
            </w:r>
            <w:r w:rsidR="00925C31" w:rsidRPr="00B50780">
              <w:rPr>
                <w:rStyle w:val="Hypertextovodkaz"/>
                <w:noProof/>
              </w:rPr>
              <w:t xml:space="preserve">Mutace genu </w:t>
            </w:r>
            <w:r w:rsidR="00925C31" w:rsidRPr="00B50780">
              <w:rPr>
                <w:rStyle w:val="Hypertextovodkaz"/>
                <w:i/>
                <w:noProof/>
              </w:rPr>
              <w:t>PTEN</w:t>
            </w:r>
            <w:r w:rsidR="00925C31">
              <w:rPr>
                <w:noProof/>
                <w:webHidden/>
              </w:rPr>
              <w:tab/>
            </w:r>
            <w:r w:rsidR="00925C31">
              <w:rPr>
                <w:noProof/>
                <w:webHidden/>
              </w:rPr>
              <w:fldChar w:fldCharType="begin"/>
            </w:r>
            <w:r w:rsidR="00925C31">
              <w:rPr>
                <w:noProof/>
                <w:webHidden/>
              </w:rPr>
              <w:instrText xml:space="preserve"> PAGEREF _Toc88741476 \h </w:instrText>
            </w:r>
            <w:r w:rsidR="00925C31">
              <w:rPr>
                <w:noProof/>
                <w:webHidden/>
              </w:rPr>
            </w:r>
            <w:r w:rsidR="00925C31">
              <w:rPr>
                <w:noProof/>
                <w:webHidden/>
              </w:rPr>
              <w:fldChar w:fldCharType="separate"/>
            </w:r>
            <w:r>
              <w:rPr>
                <w:noProof/>
                <w:webHidden/>
              </w:rPr>
              <w:t>27</w:t>
            </w:r>
            <w:r w:rsidR="00925C31">
              <w:rPr>
                <w:noProof/>
                <w:webHidden/>
              </w:rPr>
              <w:fldChar w:fldCharType="end"/>
            </w:r>
          </w:hyperlink>
        </w:p>
        <w:p w14:paraId="16CD81FD" w14:textId="3ADD91E7" w:rsidR="00925C31" w:rsidRDefault="00C43719">
          <w:pPr>
            <w:pStyle w:val="Obsah4"/>
            <w:tabs>
              <w:tab w:val="left" w:pos="1760"/>
              <w:tab w:val="right" w:leader="dot" w:pos="9062"/>
            </w:tabs>
            <w:rPr>
              <w:noProof/>
            </w:rPr>
          </w:pPr>
          <w:hyperlink w:anchor="_Toc88741477" w:history="1">
            <w:r w:rsidR="00925C31" w:rsidRPr="00B50780">
              <w:rPr>
                <w:rStyle w:val="Hypertextovodkaz"/>
                <w:noProof/>
              </w:rPr>
              <w:t>1.4.3.10.</w:t>
            </w:r>
            <w:r w:rsidR="00925C31">
              <w:rPr>
                <w:noProof/>
              </w:rPr>
              <w:tab/>
            </w:r>
            <w:r w:rsidR="00925C31" w:rsidRPr="00B50780">
              <w:rPr>
                <w:rStyle w:val="Hypertextovodkaz"/>
                <w:noProof/>
              </w:rPr>
              <w:t>Mutace genu CDKN2A</w:t>
            </w:r>
            <w:r w:rsidR="00925C31">
              <w:rPr>
                <w:noProof/>
                <w:webHidden/>
              </w:rPr>
              <w:tab/>
            </w:r>
            <w:r w:rsidR="00925C31">
              <w:rPr>
                <w:noProof/>
                <w:webHidden/>
              </w:rPr>
              <w:fldChar w:fldCharType="begin"/>
            </w:r>
            <w:r w:rsidR="00925C31">
              <w:rPr>
                <w:noProof/>
                <w:webHidden/>
              </w:rPr>
              <w:instrText xml:space="preserve"> PAGEREF _Toc88741477 \h </w:instrText>
            </w:r>
            <w:r w:rsidR="00925C31">
              <w:rPr>
                <w:noProof/>
                <w:webHidden/>
              </w:rPr>
            </w:r>
            <w:r w:rsidR="00925C31">
              <w:rPr>
                <w:noProof/>
                <w:webHidden/>
              </w:rPr>
              <w:fldChar w:fldCharType="separate"/>
            </w:r>
            <w:r>
              <w:rPr>
                <w:noProof/>
                <w:webHidden/>
              </w:rPr>
              <w:t>28</w:t>
            </w:r>
            <w:r w:rsidR="00925C31">
              <w:rPr>
                <w:noProof/>
                <w:webHidden/>
              </w:rPr>
              <w:fldChar w:fldCharType="end"/>
            </w:r>
          </w:hyperlink>
        </w:p>
        <w:p w14:paraId="65009283" w14:textId="7F24DA07" w:rsidR="00925C31" w:rsidRDefault="00C43719">
          <w:pPr>
            <w:pStyle w:val="Obsah4"/>
            <w:tabs>
              <w:tab w:val="left" w:pos="1760"/>
              <w:tab w:val="right" w:leader="dot" w:pos="9062"/>
            </w:tabs>
            <w:rPr>
              <w:noProof/>
            </w:rPr>
          </w:pPr>
          <w:hyperlink w:anchor="_Toc88741478" w:history="1">
            <w:r w:rsidR="00925C31" w:rsidRPr="00B50780">
              <w:rPr>
                <w:rStyle w:val="Hypertextovodkaz"/>
                <w:noProof/>
              </w:rPr>
              <w:t>1.4.3.11.</w:t>
            </w:r>
            <w:r w:rsidR="00925C31">
              <w:rPr>
                <w:noProof/>
              </w:rPr>
              <w:tab/>
            </w:r>
            <w:r w:rsidR="00925C31" w:rsidRPr="00B50780">
              <w:rPr>
                <w:rStyle w:val="Hypertextovodkaz"/>
                <w:noProof/>
              </w:rPr>
              <w:t xml:space="preserve">Mutace genu </w:t>
            </w:r>
            <w:r w:rsidR="00925C31" w:rsidRPr="00B50780">
              <w:rPr>
                <w:rStyle w:val="Hypertextovodkaz"/>
                <w:i/>
                <w:noProof/>
              </w:rPr>
              <w:t>CCND1</w:t>
            </w:r>
            <w:r w:rsidR="00925C31">
              <w:rPr>
                <w:noProof/>
                <w:webHidden/>
              </w:rPr>
              <w:tab/>
            </w:r>
            <w:r w:rsidR="00925C31">
              <w:rPr>
                <w:noProof/>
                <w:webHidden/>
              </w:rPr>
              <w:fldChar w:fldCharType="begin"/>
            </w:r>
            <w:r w:rsidR="00925C31">
              <w:rPr>
                <w:noProof/>
                <w:webHidden/>
              </w:rPr>
              <w:instrText xml:space="preserve"> PAGEREF _Toc88741478 \h </w:instrText>
            </w:r>
            <w:r w:rsidR="00925C31">
              <w:rPr>
                <w:noProof/>
                <w:webHidden/>
              </w:rPr>
            </w:r>
            <w:r w:rsidR="00925C31">
              <w:rPr>
                <w:noProof/>
                <w:webHidden/>
              </w:rPr>
              <w:fldChar w:fldCharType="separate"/>
            </w:r>
            <w:r>
              <w:rPr>
                <w:noProof/>
                <w:webHidden/>
              </w:rPr>
              <w:t>28</w:t>
            </w:r>
            <w:r w:rsidR="00925C31">
              <w:rPr>
                <w:noProof/>
                <w:webHidden/>
              </w:rPr>
              <w:fldChar w:fldCharType="end"/>
            </w:r>
          </w:hyperlink>
        </w:p>
        <w:p w14:paraId="62018FFE" w14:textId="34B06E57" w:rsidR="00925C31" w:rsidRDefault="00C43719">
          <w:pPr>
            <w:pStyle w:val="Obsah4"/>
            <w:tabs>
              <w:tab w:val="left" w:pos="1760"/>
              <w:tab w:val="right" w:leader="dot" w:pos="9062"/>
            </w:tabs>
            <w:rPr>
              <w:noProof/>
            </w:rPr>
          </w:pPr>
          <w:hyperlink w:anchor="_Toc88741479" w:history="1">
            <w:r w:rsidR="00925C31" w:rsidRPr="00B50780">
              <w:rPr>
                <w:rStyle w:val="Hypertextovodkaz"/>
                <w:noProof/>
              </w:rPr>
              <w:t>1.4.3.12.</w:t>
            </w:r>
            <w:r w:rsidR="00925C31">
              <w:rPr>
                <w:noProof/>
              </w:rPr>
              <w:tab/>
            </w:r>
            <w:r w:rsidR="00925C31" w:rsidRPr="00B50780">
              <w:rPr>
                <w:rStyle w:val="Hypertextovodkaz"/>
                <w:noProof/>
              </w:rPr>
              <w:t xml:space="preserve">Mutace </w:t>
            </w:r>
            <w:r w:rsidR="00925C31" w:rsidRPr="00B50780">
              <w:rPr>
                <w:rStyle w:val="Hypertextovodkaz"/>
                <w:i/>
                <w:noProof/>
              </w:rPr>
              <w:t>H3K27M</w:t>
            </w:r>
            <w:r w:rsidR="00925C31">
              <w:rPr>
                <w:noProof/>
                <w:webHidden/>
              </w:rPr>
              <w:tab/>
            </w:r>
            <w:r w:rsidR="00925C31">
              <w:rPr>
                <w:noProof/>
                <w:webHidden/>
              </w:rPr>
              <w:fldChar w:fldCharType="begin"/>
            </w:r>
            <w:r w:rsidR="00925C31">
              <w:rPr>
                <w:noProof/>
                <w:webHidden/>
              </w:rPr>
              <w:instrText xml:space="preserve"> PAGEREF _Toc88741479 \h </w:instrText>
            </w:r>
            <w:r w:rsidR="00925C31">
              <w:rPr>
                <w:noProof/>
                <w:webHidden/>
              </w:rPr>
            </w:r>
            <w:r w:rsidR="00925C31">
              <w:rPr>
                <w:noProof/>
                <w:webHidden/>
              </w:rPr>
              <w:fldChar w:fldCharType="separate"/>
            </w:r>
            <w:r>
              <w:rPr>
                <w:noProof/>
                <w:webHidden/>
              </w:rPr>
              <w:t>29</w:t>
            </w:r>
            <w:r w:rsidR="00925C31">
              <w:rPr>
                <w:noProof/>
                <w:webHidden/>
              </w:rPr>
              <w:fldChar w:fldCharType="end"/>
            </w:r>
          </w:hyperlink>
        </w:p>
        <w:p w14:paraId="70FDEC65" w14:textId="7C2D6502" w:rsidR="00925C31" w:rsidRDefault="00C43719">
          <w:pPr>
            <w:pStyle w:val="Obsah4"/>
            <w:tabs>
              <w:tab w:val="left" w:pos="1760"/>
              <w:tab w:val="right" w:leader="dot" w:pos="9062"/>
            </w:tabs>
            <w:rPr>
              <w:noProof/>
            </w:rPr>
          </w:pPr>
          <w:hyperlink w:anchor="_Toc88741480" w:history="1">
            <w:r w:rsidR="00925C31" w:rsidRPr="00B50780">
              <w:rPr>
                <w:rStyle w:val="Hypertextovodkaz"/>
                <w:noProof/>
              </w:rPr>
              <w:t>1.4.3.13.</w:t>
            </w:r>
            <w:r w:rsidR="00925C31">
              <w:rPr>
                <w:noProof/>
              </w:rPr>
              <w:tab/>
            </w:r>
            <w:r w:rsidR="00925C31" w:rsidRPr="00B50780">
              <w:rPr>
                <w:rStyle w:val="Hypertextovodkaz"/>
                <w:noProof/>
              </w:rPr>
              <w:t>Další aberace</w:t>
            </w:r>
            <w:r w:rsidR="00925C31">
              <w:rPr>
                <w:noProof/>
                <w:webHidden/>
              </w:rPr>
              <w:tab/>
            </w:r>
            <w:r w:rsidR="00925C31">
              <w:rPr>
                <w:noProof/>
                <w:webHidden/>
              </w:rPr>
              <w:fldChar w:fldCharType="begin"/>
            </w:r>
            <w:r w:rsidR="00925C31">
              <w:rPr>
                <w:noProof/>
                <w:webHidden/>
              </w:rPr>
              <w:instrText xml:space="preserve"> PAGEREF _Toc88741480 \h </w:instrText>
            </w:r>
            <w:r w:rsidR="00925C31">
              <w:rPr>
                <w:noProof/>
                <w:webHidden/>
              </w:rPr>
            </w:r>
            <w:r w:rsidR="00925C31">
              <w:rPr>
                <w:noProof/>
                <w:webHidden/>
              </w:rPr>
              <w:fldChar w:fldCharType="separate"/>
            </w:r>
            <w:r>
              <w:rPr>
                <w:noProof/>
                <w:webHidden/>
              </w:rPr>
              <w:t>29</w:t>
            </w:r>
            <w:r w:rsidR="00925C31">
              <w:rPr>
                <w:noProof/>
                <w:webHidden/>
              </w:rPr>
              <w:fldChar w:fldCharType="end"/>
            </w:r>
          </w:hyperlink>
        </w:p>
        <w:p w14:paraId="5862D8D3" w14:textId="4312CCC8" w:rsidR="00925C31" w:rsidRDefault="00C43719">
          <w:pPr>
            <w:pStyle w:val="Obsah3"/>
            <w:tabs>
              <w:tab w:val="left" w:pos="1320"/>
              <w:tab w:val="right" w:leader="dot" w:pos="9062"/>
            </w:tabs>
            <w:rPr>
              <w:rFonts w:cstheme="minorBidi"/>
              <w:noProof/>
            </w:rPr>
          </w:pPr>
          <w:hyperlink w:anchor="_Toc88741481" w:history="1">
            <w:r w:rsidR="00925C31" w:rsidRPr="00B50780">
              <w:rPr>
                <w:rStyle w:val="Hypertextovodkaz"/>
                <w:noProof/>
              </w:rPr>
              <w:t>1.4.4.</w:t>
            </w:r>
            <w:r w:rsidR="00925C31">
              <w:rPr>
                <w:rFonts w:cstheme="minorBidi"/>
                <w:noProof/>
              </w:rPr>
              <w:tab/>
            </w:r>
            <w:r w:rsidR="00925C31" w:rsidRPr="00B50780">
              <w:rPr>
                <w:rStyle w:val="Hypertextovodkaz"/>
                <w:noProof/>
              </w:rPr>
              <w:t>Cílená léčba</w:t>
            </w:r>
            <w:r w:rsidR="00925C31">
              <w:rPr>
                <w:noProof/>
                <w:webHidden/>
              </w:rPr>
              <w:tab/>
            </w:r>
            <w:r w:rsidR="00925C31">
              <w:rPr>
                <w:noProof/>
                <w:webHidden/>
              </w:rPr>
              <w:fldChar w:fldCharType="begin"/>
            </w:r>
            <w:r w:rsidR="00925C31">
              <w:rPr>
                <w:noProof/>
                <w:webHidden/>
              </w:rPr>
              <w:instrText xml:space="preserve"> PAGEREF _Toc88741481 \h </w:instrText>
            </w:r>
            <w:r w:rsidR="00925C31">
              <w:rPr>
                <w:noProof/>
                <w:webHidden/>
              </w:rPr>
            </w:r>
            <w:r w:rsidR="00925C31">
              <w:rPr>
                <w:noProof/>
                <w:webHidden/>
              </w:rPr>
              <w:fldChar w:fldCharType="separate"/>
            </w:r>
            <w:r>
              <w:rPr>
                <w:noProof/>
                <w:webHidden/>
              </w:rPr>
              <w:t>30</w:t>
            </w:r>
            <w:r w:rsidR="00925C31">
              <w:rPr>
                <w:noProof/>
                <w:webHidden/>
              </w:rPr>
              <w:fldChar w:fldCharType="end"/>
            </w:r>
          </w:hyperlink>
        </w:p>
        <w:p w14:paraId="6324F37D" w14:textId="13778CF7" w:rsidR="00925C31" w:rsidRDefault="00C43719">
          <w:pPr>
            <w:pStyle w:val="Obsah3"/>
            <w:tabs>
              <w:tab w:val="left" w:pos="1320"/>
              <w:tab w:val="right" w:leader="dot" w:pos="9062"/>
            </w:tabs>
            <w:rPr>
              <w:rFonts w:cstheme="minorBidi"/>
              <w:noProof/>
            </w:rPr>
          </w:pPr>
          <w:hyperlink w:anchor="_Toc88741482" w:history="1">
            <w:r w:rsidR="00925C31" w:rsidRPr="00B50780">
              <w:rPr>
                <w:rStyle w:val="Hypertextovodkaz"/>
                <w:noProof/>
              </w:rPr>
              <w:t>1.4.5.</w:t>
            </w:r>
            <w:r w:rsidR="00925C31">
              <w:rPr>
                <w:rFonts w:cstheme="minorBidi"/>
                <w:noProof/>
              </w:rPr>
              <w:tab/>
            </w:r>
            <w:r w:rsidR="00925C31" w:rsidRPr="00B50780">
              <w:rPr>
                <w:rStyle w:val="Hypertextovodkaz"/>
                <w:noProof/>
              </w:rPr>
              <w:t>Souhrn kapitoly</w:t>
            </w:r>
            <w:r w:rsidR="00925C31">
              <w:rPr>
                <w:noProof/>
                <w:webHidden/>
              </w:rPr>
              <w:tab/>
            </w:r>
            <w:r w:rsidR="00925C31">
              <w:rPr>
                <w:noProof/>
                <w:webHidden/>
              </w:rPr>
              <w:fldChar w:fldCharType="begin"/>
            </w:r>
            <w:r w:rsidR="00925C31">
              <w:rPr>
                <w:noProof/>
                <w:webHidden/>
              </w:rPr>
              <w:instrText xml:space="preserve"> PAGEREF _Toc88741482 \h </w:instrText>
            </w:r>
            <w:r w:rsidR="00925C31">
              <w:rPr>
                <w:noProof/>
                <w:webHidden/>
              </w:rPr>
            </w:r>
            <w:r w:rsidR="00925C31">
              <w:rPr>
                <w:noProof/>
                <w:webHidden/>
              </w:rPr>
              <w:fldChar w:fldCharType="separate"/>
            </w:r>
            <w:r>
              <w:rPr>
                <w:noProof/>
                <w:webHidden/>
              </w:rPr>
              <w:t>30</w:t>
            </w:r>
            <w:r w:rsidR="00925C31">
              <w:rPr>
                <w:noProof/>
                <w:webHidden/>
              </w:rPr>
              <w:fldChar w:fldCharType="end"/>
            </w:r>
          </w:hyperlink>
        </w:p>
        <w:p w14:paraId="1B9DDE46" w14:textId="601F008A" w:rsidR="00925C31" w:rsidRDefault="00C43719">
          <w:pPr>
            <w:pStyle w:val="Obsah1"/>
            <w:tabs>
              <w:tab w:val="left" w:pos="440"/>
              <w:tab w:val="right" w:leader="dot" w:pos="9062"/>
            </w:tabs>
            <w:rPr>
              <w:noProof/>
            </w:rPr>
          </w:pPr>
          <w:hyperlink w:anchor="_Toc88741483" w:history="1">
            <w:r w:rsidR="00925C31" w:rsidRPr="00B50780">
              <w:rPr>
                <w:rStyle w:val="Hypertextovodkaz"/>
                <w:noProof/>
              </w:rPr>
              <w:t>2.</w:t>
            </w:r>
            <w:r w:rsidR="00925C31">
              <w:rPr>
                <w:noProof/>
              </w:rPr>
              <w:tab/>
            </w:r>
            <w:r w:rsidR="00925C31" w:rsidRPr="00B50780">
              <w:rPr>
                <w:rStyle w:val="Hypertextovodkaz"/>
                <w:noProof/>
              </w:rPr>
              <w:t>Experimentální část</w:t>
            </w:r>
            <w:r w:rsidR="00925C31">
              <w:rPr>
                <w:noProof/>
                <w:webHidden/>
              </w:rPr>
              <w:tab/>
            </w:r>
            <w:r w:rsidR="00925C31">
              <w:rPr>
                <w:noProof/>
                <w:webHidden/>
              </w:rPr>
              <w:fldChar w:fldCharType="begin"/>
            </w:r>
            <w:r w:rsidR="00925C31">
              <w:rPr>
                <w:noProof/>
                <w:webHidden/>
              </w:rPr>
              <w:instrText xml:space="preserve"> PAGEREF _Toc88741483 \h </w:instrText>
            </w:r>
            <w:r w:rsidR="00925C31">
              <w:rPr>
                <w:noProof/>
                <w:webHidden/>
              </w:rPr>
            </w:r>
            <w:r w:rsidR="00925C31">
              <w:rPr>
                <w:noProof/>
                <w:webHidden/>
              </w:rPr>
              <w:fldChar w:fldCharType="separate"/>
            </w:r>
            <w:r>
              <w:rPr>
                <w:noProof/>
                <w:webHidden/>
              </w:rPr>
              <w:t>32</w:t>
            </w:r>
            <w:r w:rsidR="00925C31">
              <w:rPr>
                <w:noProof/>
                <w:webHidden/>
              </w:rPr>
              <w:fldChar w:fldCharType="end"/>
            </w:r>
          </w:hyperlink>
        </w:p>
        <w:p w14:paraId="1264F16F" w14:textId="4F4D8443" w:rsidR="00925C31" w:rsidRDefault="00C43719">
          <w:pPr>
            <w:pStyle w:val="Obsah2"/>
            <w:tabs>
              <w:tab w:val="left" w:pos="880"/>
              <w:tab w:val="right" w:leader="dot" w:pos="9062"/>
            </w:tabs>
            <w:rPr>
              <w:noProof/>
            </w:rPr>
          </w:pPr>
          <w:hyperlink w:anchor="_Toc88741484" w:history="1">
            <w:r w:rsidR="00925C31" w:rsidRPr="00B50780">
              <w:rPr>
                <w:rStyle w:val="Hypertextovodkaz"/>
                <w:noProof/>
              </w:rPr>
              <w:t>2.1.</w:t>
            </w:r>
            <w:r w:rsidR="00925C31">
              <w:rPr>
                <w:noProof/>
              </w:rPr>
              <w:tab/>
            </w:r>
            <w:r w:rsidR="00925C31" w:rsidRPr="00B50780">
              <w:rPr>
                <w:rStyle w:val="Hypertextovodkaz"/>
                <w:noProof/>
              </w:rPr>
              <w:t>Cíle práce</w:t>
            </w:r>
            <w:r w:rsidR="00925C31">
              <w:rPr>
                <w:noProof/>
                <w:webHidden/>
              </w:rPr>
              <w:tab/>
            </w:r>
            <w:r w:rsidR="00925C31">
              <w:rPr>
                <w:noProof/>
                <w:webHidden/>
              </w:rPr>
              <w:fldChar w:fldCharType="begin"/>
            </w:r>
            <w:r w:rsidR="00925C31">
              <w:rPr>
                <w:noProof/>
                <w:webHidden/>
              </w:rPr>
              <w:instrText xml:space="preserve"> PAGEREF _Toc88741484 \h </w:instrText>
            </w:r>
            <w:r w:rsidR="00925C31">
              <w:rPr>
                <w:noProof/>
                <w:webHidden/>
              </w:rPr>
            </w:r>
            <w:r w:rsidR="00925C31">
              <w:rPr>
                <w:noProof/>
                <w:webHidden/>
              </w:rPr>
              <w:fldChar w:fldCharType="separate"/>
            </w:r>
            <w:r>
              <w:rPr>
                <w:noProof/>
                <w:webHidden/>
              </w:rPr>
              <w:t>32</w:t>
            </w:r>
            <w:r w:rsidR="00925C31">
              <w:rPr>
                <w:noProof/>
                <w:webHidden/>
              </w:rPr>
              <w:fldChar w:fldCharType="end"/>
            </w:r>
          </w:hyperlink>
        </w:p>
        <w:p w14:paraId="458EE62C" w14:textId="52CC6B89" w:rsidR="00925C31" w:rsidRDefault="00C43719">
          <w:pPr>
            <w:pStyle w:val="Obsah2"/>
            <w:tabs>
              <w:tab w:val="left" w:pos="880"/>
              <w:tab w:val="right" w:leader="dot" w:pos="9062"/>
            </w:tabs>
            <w:rPr>
              <w:noProof/>
            </w:rPr>
          </w:pPr>
          <w:hyperlink w:anchor="_Toc88741485" w:history="1">
            <w:r w:rsidR="00925C31" w:rsidRPr="00B50780">
              <w:rPr>
                <w:rStyle w:val="Hypertextovodkaz"/>
                <w:noProof/>
              </w:rPr>
              <w:t>2.2.</w:t>
            </w:r>
            <w:r w:rsidR="00925C31">
              <w:rPr>
                <w:noProof/>
              </w:rPr>
              <w:tab/>
            </w:r>
            <w:r w:rsidR="00925C31" w:rsidRPr="00B50780">
              <w:rPr>
                <w:rStyle w:val="Hypertextovodkaz"/>
                <w:noProof/>
              </w:rPr>
              <w:t>Mutace IDH1/2 u českých pacientů s difuzním gliomem: retrospektivní masivně paralelní analýza z jednoho centra</w:t>
            </w:r>
            <w:r w:rsidR="00925C31">
              <w:rPr>
                <w:noProof/>
                <w:webHidden/>
              </w:rPr>
              <w:tab/>
            </w:r>
            <w:r w:rsidR="00925C31">
              <w:rPr>
                <w:noProof/>
                <w:webHidden/>
              </w:rPr>
              <w:fldChar w:fldCharType="begin"/>
            </w:r>
            <w:r w:rsidR="00925C31">
              <w:rPr>
                <w:noProof/>
                <w:webHidden/>
              </w:rPr>
              <w:instrText xml:space="preserve"> PAGEREF _Toc88741485 \h </w:instrText>
            </w:r>
            <w:r w:rsidR="00925C31">
              <w:rPr>
                <w:noProof/>
                <w:webHidden/>
              </w:rPr>
            </w:r>
            <w:r w:rsidR="00925C31">
              <w:rPr>
                <w:noProof/>
                <w:webHidden/>
              </w:rPr>
              <w:fldChar w:fldCharType="separate"/>
            </w:r>
            <w:r>
              <w:rPr>
                <w:noProof/>
                <w:webHidden/>
              </w:rPr>
              <w:t>33</w:t>
            </w:r>
            <w:r w:rsidR="00925C31">
              <w:rPr>
                <w:noProof/>
                <w:webHidden/>
              </w:rPr>
              <w:fldChar w:fldCharType="end"/>
            </w:r>
          </w:hyperlink>
        </w:p>
        <w:p w14:paraId="1620FE54" w14:textId="30C148F6" w:rsidR="00925C31" w:rsidRDefault="00C43719">
          <w:pPr>
            <w:pStyle w:val="Obsah3"/>
            <w:tabs>
              <w:tab w:val="left" w:pos="1320"/>
              <w:tab w:val="right" w:leader="dot" w:pos="9062"/>
            </w:tabs>
            <w:rPr>
              <w:rFonts w:cstheme="minorBidi"/>
              <w:noProof/>
            </w:rPr>
          </w:pPr>
          <w:hyperlink w:anchor="_Toc88741486" w:history="1">
            <w:r w:rsidR="00925C31" w:rsidRPr="00B50780">
              <w:rPr>
                <w:rStyle w:val="Hypertextovodkaz"/>
                <w:noProof/>
              </w:rPr>
              <w:t>2.2.1.</w:t>
            </w:r>
            <w:r w:rsidR="00925C31">
              <w:rPr>
                <w:rFonts w:cstheme="minorBidi"/>
                <w:noProof/>
              </w:rPr>
              <w:tab/>
            </w:r>
            <w:r w:rsidR="00925C31" w:rsidRPr="00B50780">
              <w:rPr>
                <w:rStyle w:val="Hypertextovodkaz"/>
                <w:noProof/>
              </w:rPr>
              <w:t>Úvod</w:t>
            </w:r>
            <w:r w:rsidR="00925C31">
              <w:rPr>
                <w:noProof/>
                <w:webHidden/>
              </w:rPr>
              <w:tab/>
            </w:r>
            <w:r w:rsidR="00925C31">
              <w:rPr>
                <w:noProof/>
                <w:webHidden/>
              </w:rPr>
              <w:fldChar w:fldCharType="begin"/>
            </w:r>
            <w:r w:rsidR="00925C31">
              <w:rPr>
                <w:noProof/>
                <w:webHidden/>
              </w:rPr>
              <w:instrText xml:space="preserve"> PAGEREF _Toc88741486 \h </w:instrText>
            </w:r>
            <w:r w:rsidR="00925C31">
              <w:rPr>
                <w:noProof/>
                <w:webHidden/>
              </w:rPr>
            </w:r>
            <w:r w:rsidR="00925C31">
              <w:rPr>
                <w:noProof/>
                <w:webHidden/>
              </w:rPr>
              <w:fldChar w:fldCharType="separate"/>
            </w:r>
            <w:r>
              <w:rPr>
                <w:noProof/>
                <w:webHidden/>
              </w:rPr>
              <w:t>33</w:t>
            </w:r>
            <w:r w:rsidR="00925C31">
              <w:rPr>
                <w:noProof/>
                <w:webHidden/>
              </w:rPr>
              <w:fldChar w:fldCharType="end"/>
            </w:r>
          </w:hyperlink>
        </w:p>
        <w:p w14:paraId="0AC995EA" w14:textId="0CFE9F89" w:rsidR="00925C31" w:rsidRDefault="00C43719">
          <w:pPr>
            <w:pStyle w:val="Obsah3"/>
            <w:tabs>
              <w:tab w:val="left" w:pos="1320"/>
              <w:tab w:val="right" w:leader="dot" w:pos="9062"/>
            </w:tabs>
            <w:rPr>
              <w:rFonts w:cstheme="minorBidi"/>
              <w:noProof/>
            </w:rPr>
          </w:pPr>
          <w:hyperlink w:anchor="_Toc88741487" w:history="1">
            <w:r w:rsidR="00925C31" w:rsidRPr="00B50780">
              <w:rPr>
                <w:rStyle w:val="Hypertextovodkaz"/>
                <w:noProof/>
              </w:rPr>
              <w:t>2.2.2.</w:t>
            </w:r>
            <w:r w:rsidR="00925C31">
              <w:rPr>
                <w:rFonts w:cstheme="minorBidi"/>
                <w:noProof/>
              </w:rPr>
              <w:tab/>
            </w:r>
            <w:r w:rsidR="00925C31" w:rsidRPr="00B50780">
              <w:rPr>
                <w:rStyle w:val="Hypertextovodkaz"/>
                <w:noProof/>
              </w:rPr>
              <w:t>Materiál a metodika</w:t>
            </w:r>
            <w:r w:rsidR="00925C31">
              <w:rPr>
                <w:noProof/>
                <w:webHidden/>
              </w:rPr>
              <w:tab/>
            </w:r>
            <w:r w:rsidR="00925C31">
              <w:rPr>
                <w:noProof/>
                <w:webHidden/>
              </w:rPr>
              <w:fldChar w:fldCharType="begin"/>
            </w:r>
            <w:r w:rsidR="00925C31">
              <w:rPr>
                <w:noProof/>
                <w:webHidden/>
              </w:rPr>
              <w:instrText xml:space="preserve"> PAGEREF _Toc88741487 \h </w:instrText>
            </w:r>
            <w:r w:rsidR="00925C31">
              <w:rPr>
                <w:noProof/>
                <w:webHidden/>
              </w:rPr>
            </w:r>
            <w:r w:rsidR="00925C31">
              <w:rPr>
                <w:noProof/>
                <w:webHidden/>
              </w:rPr>
              <w:fldChar w:fldCharType="separate"/>
            </w:r>
            <w:r>
              <w:rPr>
                <w:noProof/>
                <w:webHidden/>
              </w:rPr>
              <w:t>34</w:t>
            </w:r>
            <w:r w:rsidR="00925C31">
              <w:rPr>
                <w:noProof/>
                <w:webHidden/>
              </w:rPr>
              <w:fldChar w:fldCharType="end"/>
            </w:r>
          </w:hyperlink>
        </w:p>
        <w:p w14:paraId="7288EABA" w14:textId="36B40E7B" w:rsidR="00925C31" w:rsidRDefault="00C43719">
          <w:pPr>
            <w:pStyle w:val="Obsah3"/>
            <w:tabs>
              <w:tab w:val="left" w:pos="1320"/>
              <w:tab w:val="right" w:leader="dot" w:pos="9062"/>
            </w:tabs>
            <w:rPr>
              <w:rFonts w:cstheme="minorBidi"/>
              <w:noProof/>
            </w:rPr>
          </w:pPr>
          <w:hyperlink w:anchor="_Toc88741488" w:history="1">
            <w:r w:rsidR="00925C31" w:rsidRPr="00B50780">
              <w:rPr>
                <w:rStyle w:val="Hypertextovodkaz"/>
                <w:noProof/>
              </w:rPr>
              <w:t>2.2.3.</w:t>
            </w:r>
            <w:r w:rsidR="00925C31">
              <w:rPr>
                <w:rFonts w:cstheme="minorBidi"/>
                <w:noProof/>
              </w:rPr>
              <w:tab/>
            </w:r>
            <w:r w:rsidR="00925C31" w:rsidRPr="00B50780">
              <w:rPr>
                <w:rStyle w:val="Hypertextovodkaz"/>
                <w:noProof/>
              </w:rPr>
              <w:t>Výsledky</w:t>
            </w:r>
            <w:r w:rsidR="00925C31">
              <w:rPr>
                <w:noProof/>
                <w:webHidden/>
              </w:rPr>
              <w:tab/>
            </w:r>
            <w:r w:rsidR="00925C31">
              <w:rPr>
                <w:noProof/>
                <w:webHidden/>
              </w:rPr>
              <w:fldChar w:fldCharType="begin"/>
            </w:r>
            <w:r w:rsidR="00925C31">
              <w:rPr>
                <w:noProof/>
                <w:webHidden/>
              </w:rPr>
              <w:instrText xml:space="preserve"> PAGEREF _Toc88741488 \h </w:instrText>
            </w:r>
            <w:r w:rsidR="00925C31">
              <w:rPr>
                <w:noProof/>
                <w:webHidden/>
              </w:rPr>
            </w:r>
            <w:r w:rsidR="00925C31">
              <w:rPr>
                <w:noProof/>
                <w:webHidden/>
              </w:rPr>
              <w:fldChar w:fldCharType="separate"/>
            </w:r>
            <w:r>
              <w:rPr>
                <w:noProof/>
                <w:webHidden/>
              </w:rPr>
              <w:t>36</w:t>
            </w:r>
            <w:r w:rsidR="00925C31">
              <w:rPr>
                <w:noProof/>
                <w:webHidden/>
              </w:rPr>
              <w:fldChar w:fldCharType="end"/>
            </w:r>
          </w:hyperlink>
        </w:p>
        <w:p w14:paraId="09A1CEAB" w14:textId="6EE450D0" w:rsidR="00925C31" w:rsidRDefault="00C43719">
          <w:pPr>
            <w:pStyle w:val="Obsah4"/>
            <w:tabs>
              <w:tab w:val="left" w:pos="1760"/>
              <w:tab w:val="right" w:leader="dot" w:pos="9062"/>
            </w:tabs>
            <w:rPr>
              <w:noProof/>
            </w:rPr>
          </w:pPr>
          <w:hyperlink w:anchor="_Toc88741489" w:history="1">
            <w:r w:rsidR="00925C31" w:rsidRPr="00B50780">
              <w:rPr>
                <w:rStyle w:val="Hypertextovodkaz"/>
                <w:noProof/>
              </w:rPr>
              <w:t>2.2.3.1.</w:t>
            </w:r>
            <w:r w:rsidR="00925C31">
              <w:rPr>
                <w:noProof/>
              </w:rPr>
              <w:tab/>
            </w:r>
            <w:r w:rsidR="00925C31" w:rsidRPr="00B50780">
              <w:rPr>
                <w:rStyle w:val="Hypertextovodkaz"/>
                <w:noProof/>
              </w:rPr>
              <w:t>Imunohistochemie</w:t>
            </w:r>
            <w:r w:rsidR="00925C31">
              <w:rPr>
                <w:noProof/>
                <w:webHidden/>
              </w:rPr>
              <w:tab/>
            </w:r>
            <w:r w:rsidR="00925C31">
              <w:rPr>
                <w:noProof/>
                <w:webHidden/>
              </w:rPr>
              <w:fldChar w:fldCharType="begin"/>
            </w:r>
            <w:r w:rsidR="00925C31">
              <w:rPr>
                <w:noProof/>
                <w:webHidden/>
              </w:rPr>
              <w:instrText xml:space="preserve"> PAGEREF _Toc88741489 \h </w:instrText>
            </w:r>
            <w:r w:rsidR="00925C31">
              <w:rPr>
                <w:noProof/>
                <w:webHidden/>
              </w:rPr>
            </w:r>
            <w:r w:rsidR="00925C31">
              <w:rPr>
                <w:noProof/>
                <w:webHidden/>
              </w:rPr>
              <w:fldChar w:fldCharType="separate"/>
            </w:r>
            <w:r>
              <w:rPr>
                <w:noProof/>
                <w:webHidden/>
              </w:rPr>
              <w:t>36</w:t>
            </w:r>
            <w:r w:rsidR="00925C31">
              <w:rPr>
                <w:noProof/>
                <w:webHidden/>
              </w:rPr>
              <w:fldChar w:fldCharType="end"/>
            </w:r>
          </w:hyperlink>
        </w:p>
        <w:p w14:paraId="1F823B95" w14:textId="55D70362" w:rsidR="00925C31" w:rsidRDefault="00C43719">
          <w:pPr>
            <w:pStyle w:val="Obsah4"/>
            <w:tabs>
              <w:tab w:val="left" w:pos="1760"/>
              <w:tab w:val="right" w:leader="dot" w:pos="9062"/>
            </w:tabs>
            <w:rPr>
              <w:noProof/>
            </w:rPr>
          </w:pPr>
          <w:hyperlink w:anchor="_Toc88741490" w:history="1">
            <w:r w:rsidR="00925C31" w:rsidRPr="00B50780">
              <w:rPr>
                <w:rStyle w:val="Hypertextovodkaz"/>
                <w:noProof/>
              </w:rPr>
              <w:t>2.2.3.2.</w:t>
            </w:r>
            <w:r w:rsidR="00925C31">
              <w:rPr>
                <w:noProof/>
              </w:rPr>
              <w:tab/>
            </w:r>
            <w:r w:rsidR="00925C31" w:rsidRPr="00B50780">
              <w:rPr>
                <w:rStyle w:val="Hypertextovodkaz"/>
                <w:noProof/>
              </w:rPr>
              <w:t>FISH</w:t>
            </w:r>
            <w:r w:rsidR="00925C31">
              <w:rPr>
                <w:noProof/>
                <w:webHidden/>
              </w:rPr>
              <w:tab/>
            </w:r>
            <w:r w:rsidR="00925C31">
              <w:rPr>
                <w:noProof/>
                <w:webHidden/>
              </w:rPr>
              <w:fldChar w:fldCharType="begin"/>
            </w:r>
            <w:r w:rsidR="00925C31">
              <w:rPr>
                <w:noProof/>
                <w:webHidden/>
              </w:rPr>
              <w:instrText xml:space="preserve"> PAGEREF _Toc88741490 \h </w:instrText>
            </w:r>
            <w:r w:rsidR="00925C31">
              <w:rPr>
                <w:noProof/>
                <w:webHidden/>
              </w:rPr>
            </w:r>
            <w:r w:rsidR="00925C31">
              <w:rPr>
                <w:noProof/>
                <w:webHidden/>
              </w:rPr>
              <w:fldChar w:fldCharType="separate"/>
            </w:r>
            <w:r>
              <w:rPr>
                <w:noProof/>
                <w:webHidden/>
              </w:rPr>
              <w:t>37</w:t>
            </w:r>
            <w:r w:rsidR="00925C31">
              <w:rPr>
                <w:noProof/>
                <w:webHidden/>
              </w:rPr>
              <w:fldChar w:fldCharType="end"/>
            </w:r>
          </w:hyperlink>
        </w:p>
        <w:p w14:paraId="62348537" w14:textId="6DF518C2" w:rsidR="00925C31" w:rsidRDefault="00C43719">
          <w:pPr>
            <w:pStyle w:val="Obsah4"/>
            <w:tabs>
              <w:tab w:val="left" w:pos="1760"/>
              <w:tab w:val="right" w:leader="dot" w:pos="9062"/>
            </w:tabs>
            <w:rPr>
              <w:noProof/>
            </w:rPr>
          </w:pPr>
          <w:hyperlink w:anchor="_Toc88741491" w:history="1">
            <w:r w:rsidR="00925C31" w:rsidRPr="00B50780">
              <w:rPr>
                <w:rStyle w:val="Hypertextovodkaz"/>
                <w:noProof/>
              </w:rPr>
              <w:t>2.2.3.3.</w:t>
            </w:r>
            <w:r w:rsidR="00925C31">
              <w:rPr>
                <w:noProof/>
              </w:rPr>
              <w:tab/>
            </w:r>
            <w:r w:rsidR="00925C31" w:rsidRPr="00B50780">
              <w:rPr>
                <w:rStyle w:val="Hypertextovodkaz"/>
                <w:noProof/>
              </w:rPr>
              <w:t xml:space="preserve">Sekvenování IHC </w:t>
            </w:r>
            <w:r w:rsidR="00925C31" w:rsidRPr="00B50780">
              <w:rPr>
                <w:rStyle w:val="Hypertextovodkaz"/>
                <w:i/>
                <w:noProof/>
              </w:rPr>
              <w:t>IDH1</w:t>
            </w:r>
            <w:r w:rsidR="00925C31" w:rsidRPr="00B50780">
              <w:rPr>
                <w:rStyle w:val="Hypertextovodkaz"/>
                <w:noProof/>
              </w:rPr>
              <w:t xml:space="preserve"> wild type pacientů mladších 55 let</w:t>
            </w:r>
            <w:r w:rsidR="00925C31">
              <w:rPr>
                <w:noProof/>
                <w:webHidden/>
              </w:rPr>
              <w:tab/>
            </w:r>
            <w:r w:rsidR="00925C31">
              <w:rPr>
                <w:noProof/>
                <w:webHidden/>
              </w:rPr>
              <w:fldChar w:fldCharType="begin"/>
            </w:r>
            <w:r w:rsidR="00925C31">
              <w:rPr>
                <w:noProof/>
                <w:webHidden/>
              </w:rPr>
              <w:instrText xml:space="preserve"> PAGEREF _Toc88741491 \h </w:instrText>
            </w:r>
            <w:r w:rsidR="00925C31">
              <w:rPr>
                <w:noProof/>
                <w:webHidden/>
              </w:rPr>
            </w:r>
            <w:r w:rsidR="00925C31">
              <w:rPr>
                <w:noProof/>
                <w:webHidden/>
              </w:rPr>
              <w:fldChar w:fldCharType="separate"/>
            </w:r>
            <w:r>
              <w:rPr>
                <w:noProof/>
                <w:webHidden/>
              </w:rPr>
              <w:t>37</w:t>
            </w:r>
            <w:r w:rsidR="00925C31">
              <w:rPr>
                <w:noProof/>
                <w:webHidden/>
              </w:rPr>
              <w:fldChar w:fldCharType="end"/>
            </w:r>
          </w:hyperlink>
        </w:p>
        <w:p w14:paraId="13E770C4" w14:textId="6715749C" w:rsidR="00925C31" w:rsidRDefault="00C43719">
          <w:pPr>
            <w:pStyle w:val="Obsah4"/>
            <w:tabs>
              <w:tab w:val="left" w:pos="1760"/>
              <w:tab w:val="right" w:leader="dot" w:pos="9062"/>
            </w:tabs>
            <w:rPr>
              <w:noProof/>
            </w:rPr>
          </w:pPr>
          <w:hyperlink w:anchor="_Toc88741492" w:history="1">
            <w:r w:rsidR="00925C31" w:rsidRPr="00B50780">
              <w:rPr>
                <w:rStyle w:val="Hypertextovodkaz"/>
                <w:noProof/>
              </w:rPr>
              <w:t>2.2.3.4.</w:t>
            </w:r>
            <w:r w:rsidR="00925C31">
              <w:rPr>
                <w:noProof/>
              </w:rPr>
              <w:tab/>
            </w:r>
            <w:r w:rsidR="00925C31" w:rsidRPr="00B50780">
              <w:rPr>
                <w:rStyle w:val="Hypertextovodkaz"/>
                <w:noProof/>
              </w:rPr>
              <w:t>Kontrola kvality sekvenovacích metod</w:t>
            </w:r>
            <w:r w:rsidR="00925C31">
              <w:rPr>
                <w:noProof/>
                <w:webHidden/>
              </w:rPr>
              <w:tab/>
            </w:r>
            <w:r w:rsidR="00925C31">
              <w:rPr>
                <w:noProof/>
                <w:webHidden/>
              </w:rPr>
              <w:fldChar w:fldCharType="begin"/>
            </w:r>
            <w:r w:rsidR="00925C31">
              <w:rPr>
                <w:noProof/>
                <w:webHidden/>
              </w:rPr>
              <w:instrText xml:space="preserve"> PAGEREF _Toc88741492 \h </w:instrText>
            </w:r>
            <w:r w:rsidR="00925C31">
              <w:rPr>
                <w:noProof/>
                <w:webHidden/>
              </w:rPr>
            </w:r>
            <w:r w:rsidR="00925C31">
              <w:rPr>
                <w:noProof/>
                <w:webHidden/>
              </w:rPr>
              <w:fldChar w:fldCharType="separate"/>
            </w:r>
            <w:r>
              <w:rPr>
                <w:noProof/>
                <w:webHidden/>
              </w:rPr>
              <w:t>37</w:t>
            </w:r>
            <w:r w:rsidR="00925C31">
              <w:rPr>
                <w:noProof/>
                <w:webHidden/>
              </w:rPr>
              <w:fldChar w:fldCharType="end"/>
            </w:r>
          </w:hyperlink>
        </w:p>
        <w:p w14:paraId="30DDC441" w14:textId="2E04EF5D" w:rsidR="00925C31" w:rsidRDefault="00C43719">
          <w:pPr>
            <w:pStyle w:val="Obsah3"/>
            <w:tabs>
              <w:tab w:val="left" w:pos="1320"/>
              <w:tab w:val="right" w:leader="dot" w:pos="9062"/>
            </w:tabs>
            <w:rPr>
              <w:rFonts w:cstheme="minorBidi"/>
              <w:noProof/>
            </w:rPr>
          </w:pPr>
          <w:hyperlink w:anchor="_Toc88741493" w:history="1">
            <w:r w:rsidR="00925C31" w:rsidRPr="00B50780">
              <w:rPr>
                <w:rStyle w:val="Hypertextovodkaz"/>
                <w:noProof/>
              </w:rPr>
              <w:t>2.2.4.</w:t>
            </w:r>
            <w:r w:rsidR="00925C31">
              <w:rPr>
                <w:rFonts w:cstheme="minorBidi"/>
                <w:noProof/>
              </w:rPr>
              <w:tab/>
            </w:r>
            <w:r w:rsidR="00925C31" w:rsidRPr="00B50780">
              <w:rPr>
                <w:rStyle w:val="Hypertextovodkaz"/>
                <w:noProof/>
              </w:rPr>
              <w:t>Diskuze</w:t>
            </w:r>
            <w:r w:rsidR="00925C31">
              <w:rPr>
                <w:noProof/>
                <w:webHidden/>
              </w:rPr>
              <w:tab/>
            </w:r>
            <w:r w:rsidR="00925C31">
              <w:rPr>
                <w:noProof/>
                <w:webHidden/>
              </w:rPr>
              <w:fldChar w:fldCharType="begin"/>
            </w:r>
            <w:r w:rsidR="00925C31">
              <w:rPr>
                <w:noProof/>
                <w:webHidden/>
              </w:rPr>
              <w:instrText xml:space="preserve"> PAGEREF _Toc88741493 \h </w:instrText>
            </w:r>
            <w:r w:rsidR="00925C31">
              <w:rPr>
                <w:noProof/>
                <w:webHidden/>
              </w:rPr>
            </w:r>
            <w:r w:rsidR="00925C31">
              <w:rPr>
                <w:noProof/>
                <w:webHidden/>
              </w:rPr>
              <w:fldChar w:fldCharType="separate"/>
            </w:r>
            <w:r>
              <w:rPr>
                <w:noProof/>
                <w:webHidden/>
              </w:rPr>
              <w:t>39</w:t>
            </w:r>
            <w:r w:rsidR="00925C31">
              <w:rPr>
                <w:noProof/>
                <w:webHidden/>
              </w:rPr>
              <w:fldChar w:fldCharType="end"/>
            </w:r>
          </w:hyperlink>
        </w:p>
        <w:p w14:paraId="46BEBC2B" w14:textId="0056EDDC" w:rsidR="00925C31" w:rsidRDefault="00C43719">
          <w:pPr>
            <w:pStyle w:val="Obsah3"/>
            <w:tabs>
              <w:tab w:val="left" w:pos="1320"/>
              <w:tab w:val="right" w:leader="dot" w:pos="9062"/>
            </w:tabs>
            <w:rPr>
              <w:rFonts w:cstheme="minorBidi"/>
              <w:noProof/>
            </w:rPr>
          </w:pPr>
          <w:hyperlink w:anchor="_Toc88741494" w:history="1">
            <w:r w:rsidR="00925C31" w:rsidRPr="00B50780">
              <w:rPr>
                <w:rStyle w:val="Hypertextovodkaz"/>
                <w:noProof/>
              </w:rPr>
              <w:t>2.2.5.</w:t>
            </w:r>
            <w:r w:rsidR="00925C31">
              <w:rPr>
                <w:rFonts w:cstheme="minorBidi"/>
                <w:noProof/>
              </w:rPr>
              <w:tab/>
            </w:r>
            <w:r w:rsidR="00925C31" w:rsidRPr="00B50780">
              <w:rPr>
                <w:rStyle w:val="Hypertextovodkaz"/>
                <w:noProof/>
              </w:rPr>
              <w:t>Závěr</w:t>
            </w:r>
            <w:r w:rsidR="00925C31">
              <w:rPr>
                <w:noProof/>
                <w:webHidden/>
              </w:rPr>
              <w:tab/>
            </w:r>
            <w:r w:rsidR="00925C31">
              <w:rPr>
                <w:noProof/>
                <w:webHidden/>
              </w:rPr>
              <w:fldChar w:fldCharType="begin"/>
            </w:r>
            <w:r w:rsidR="00925C31">
              <w:rPr>
                <w:noProof/>
                <w:webHidden/>
              </w:rPr>
              <w:instrText xml:space="preserve"> PAGEREF _Toc88741494 \h </w:instrText>
            </w:r>
            <w:r w:rsidR="00925C31">
              <w:rPr>
                <w:noProof/>
                <w:webHidden/>
              </w:rPr>
            </w:r>
            <w:r w:rsidR="00925C31">
              <w:rPr>
                <w:noProof/>
                <w:webHidden/>
              </w:rPr>
              <w:fldChar w:fldCharType="separate"/>
            </w:r>
            <w:r>
              <w:rPr>
                <w:noProof/>
                <w:webHidden/>
              </w:rPr>
              <w:t>40</w:t>
            </w:r>
            <w:r w:rsidR="00925C31">
              <w:rPr>
                <w:noProof/>
                <w:webHidden/>
              </w:rPr>
              <w:fldChar w:fldCharType="end"/>
            </w:r>
          </w:hyperlink>
        </w:p>
        <w:p w14:paraId="1E458D33" w14:textId="05AD55F9" w:rsidR="00925C31" w:rsidRDefault="00C43719">
          <w:pPr>
            <w:pStyle w:val="Obsah3"/>
            <w:tabs>
              <w:tab w:val="left" w:pos="1320"/>
              <w:tab w:val="right" w:leader="dot" w:pos="9062"/>
            </w:tabs>
            <w:rPr>
              <w:rFonts w:cstheme="minorBidi"/>
              <w:noProof/>
            </w:rPr>
          </w:pPr>
          <w:hyperlink w:anchor="_Toc88741495" w:history="1">
            <w:r w:rsidR="00925C31" w:rsidRPr="00B50780">
              <w:rPr>
                <w:rStyle w:val="Hypertextovodkaz"/>
                <w:noProof/>
              </w:rPr>
              <w:t>2.2.6.</w:t>
            </w:r>
            <w:r w:rsidR="00925C31">
              <w:rPr>
                <w:rFonts w:cstheme="minorBidi"/>
                <w:noProof/>
              </w:rPr>
              <w:tab/>
            </w:r>
            <w:r w:rsidR="00925C31" w:rsidRPr="00B50780">
              <w:rPr>
                <w:rStyle w:val="Hypertextovodkaz"/>
                <w:noProof/>
              </w:rPr>
              <w:t>Podíl autora dizertační práce na daném tématu</w:t>
            </w:r>
            <w:r w:rsidR="00925C31">
              <w:rPr>
                <w:noProof/>
                <w:webHidden/>
              </w:rPr>
              <w:tab/>
            </w:r>
            <w:r w:rsidR="00925C31">
              <w:rPr>
                <w:noProof/>
                <w:webHidden/>
              </w:rPr>
              <w:fldChar w:fldCharType="begin"/>
            </w:r>
            <w:r w:rsidR="00925C31">
              <w:rPr>
                <w:noProof/>
                <w:webHidden/>
              </w:rPr>
              <w:instrText xml:space="preserve"> PAGEREF _Toc88741495 \h </w:instrText>
            </w:r>
            <w:r w:rsidR="00925C31">
              <w:rPr>
                <w:noProof/>
                <w:webHidden/>
              </w:rPr>
            </w:r>
            <w:r w:rsidR="00925C31">
              <w:rPr>
                <w:noProof/>
                <w:webHidden/>
              </w:rPr>
              <w:fldChar w:fldCharType="separate"/>
            </w:r>
            <w:r>
              <w:rPr>
                <w:noProof/>
                <w:webHidden/>
              </w:rPr>
              <w:t>41</w:t>
            </w:r>
            <w:r w:rsidR="00925C31">
              <w:rPr>
                <w:noProof/>
                <w:webHidden/>
              </w:rPr>
              <w:fldChar w:fldCharType="end"/>
            </w:r>
          </w:hyperlink>
        </w:p>
        <w:p w14:paraId="6D468D41" w14:textId="42D41D68" w:rsidR="00925C31" w:rsidRDefault="00C43719">
          <w:pPr>
            <w:pStyle w:val="Obsah2"/>
            <w:tabs>
              <w:tab w:val="left" w:pos="880"/>
              <w:tab w:val="right" w:leader="dot" w:pos="9062"/>
            </w:tabs>
            <w:rPr>
              <w:noProof/>
            </w:rPr>
          </w:pPr>
          <w:hyperlink w:anchor="_Toc88741496" w:history="1">
            <w:r w:rsidR="00925C31" w:rsidRPr="00B50780">
              <w:rPr>
                <w:rStyle w:val="Hypertextovodkaz"/>
                <w:noProof/>
              </w:rPr>
              <w:t>2.3.</w:t>
            </w:r>
            <w:r w:rsidR="00925C31">
              <w:rPr>
                <w:noProof/>
              </w:rPr>
              <w:tab/>
            </w:r>
            <w:r w:rsidR="00925C31" w:rsidRPr="00B50780">
              <w:rPr>
                <w:rStyle w:val="Hypertextovodkaz"/>
                <w:noProof/>
              </w:rPr>
              <w:t xml:space="preserve">Vliv genových aberací na přežití u pacientů s resekovaným glioblastomem </w:t>
            </w:r>
            <w:r w:rsidR="00925C31" w:rsidRPr="00B50780">
              <w:rPr>
                <w:rStyle w:val="Hypertextovodkaz"/>
                <w:i/>
                <w:iCs/>
                <w:noProof/>
              </w:rPr>
              <w:t>IDH</w:t>
            </w:r>
            <w:r w:rsidR="00925C31" w:rsidRPr="00B50780">
              <w:rPr>
                <w:rStyle w:val="Hypertextovodkaz"/>
                <w:noProof/>
              </w:rPr>
              <w:t xml:space="preserve"> wild type z jednoho centra</w:t>
            </w:r>
            <w:r w:rsidR="00925C31">
              <w:rPr>
                <w:noProof/>
                <w:webHidden/>
              </w:rPr>
              <w:tab/>
            </w:r>
            <w:r w:rsidR="00925C31">
              <w:rPr>
                <w:noProof/>
                <w:webHidden/>
              </w:rPr>
              <w:fldChar w:fldCharType="begin"/>
            </w:r>
            <w:r w:rsidR="00925C31">
              <w:rPr>
                <w:noProof/>
                <w:webHidden/>
              </w:rPr>
              <w:instrText xml:space="preserve"> PAGEREF _Toc88741496 \h </w:instrText>
            </w:r>
            <w:r w:rsidR="00925C31">
              <w:rPr>
                <w:noProof/>
                <w:webHidden/>
              </w:rPr>
            </w:r>
            <w:r w:rsidR="00925C31">
              <w:rPr>
                <w:noProof/>
                <w:webHidden/>
              </w:rPr>
              <w:fldChar w:fldCharType="separate"/>
            </w:r>
            <w:r>
              <w:rPr>
                <w:noProof/>
                <w:webHidden/>
              </w:rPr>
              <w:t>42</w:t>
            </w:r>
            <w:r w:rsidR="00925C31">
              <w:rPr>
                <w:noProof/>
                <w:webHidden/>
              </w:rPr>
              <w:fldChar w:fldCharType="end"/>
            </w:r>
          </w:hyperlink>
        </w:p>
        <w:p w14:paraId="46A5EB80" w14:textId="62C1339A" w:rsidR="00925C31" w:rsidRDefault="00C43719">
          <w:pPr>
            <w:pStyle w:val="Obsah3"/>
            <w:tabs>
              <w:tab w:val="left" w:pos="1320"/>
              <w:tab w:val="right" w:leader="dot" w:pos="9062"/>
            </w:tabs>
            <w:rPr>
              <w:rFonts w:cstheme="minorBidi"/>
              <w:noProof/>
            </w:rPr>
          </w:pPr>
          <w:hyperlink w:anchor="_Toc88741497" w:history="1">
            <w:r w:rsidR="00925C31" w:rsidRPr="00B50780">
              <w:rPr>
                <w:rStyle w:val="Hypertextovodkaz"/>
                <w:noProof/>
              </w:rPr>
              <w:t>2.3.1.</w:t>
            </w:r>
            <w:r w:rsidR="00925C31">
              <w:rPr>
                <w:rFonts w:cstheme="minorBidi"/>
                <w:noProof/>
              </w:rPr>
              <w:tab/>
            </w:r>
            <w:r w:rsidR="00925C31" w:rsidRPr="00B50780">
              <w:rPr>
                <w:rStyle w:val="Hypertextovodkaz"/>
                <w:noProof/>
              </w:rPr>
              <w:t>Úvod</w:t>
            </w:r>
            <w:r w:rsidR="00925C31">
              <w:rPr>
                <w:noProof/>
                <w:webHidden/>
              </w:rPr>
              <w:tab/>
            </w:r>
            <w:r w:rsidR="00925C31">
              <w:rPr>
                <w:noProof/>
                <w:webHidden/>
              </w:rPr>
              <w:fldChar w:fldCharType="begin"/>
            </w:r>
            <w:r w:rsidR="00925C31">
              <w:rPr>
                <w:noProof/>
                <w:webHidden/>
              </w:rPr>
              <w:instrText xml:space="preserve"> PAGEREF _Toc88741497 \h </w:instrText>
            </w:r>
            <w:r w:rsidR="00925C31">
              <w:rPr>
                <w:noProof/>
                <w:webHidden/>
              </w:rPr>
            </w:r>
            <w:r w:rsidR="00925C31">
              <w:rPr>
                <w:noProof/>
                <w:webHidden/>
              </w:rPr>
              <w:fldChar w:fldCharType="separate"/>
            </w:r>
            <w:r>
              <w:rPr>
                <w:noProof/>
                <w:webHidden/>
              </w:rPr>
              <w:t>42</w:t>
            </w:r>
            <w:r w:rsidR="00925C31">
              <w:rPr>
                <w:noProof/>
                <w:webHidden/>
              </w:rPr>
              <w:fldChar w:fldCharType="end"/>
            </w:r>
          </w:hyperlink>
        </w:p>
        <w:p w14:paraId="66487520" w14:textId="0A7B1E1F" w:rsidR="00925C31" w:rsidRDefault="00C43719">
          <w:pPr>
            <w:pStyle w:val="Obsah3"/>
            <w:tabs>
              <w:tab w:val="left" w:pos="1320"/>
              <w:tab w:val="right" w:leader="dot" w:pos="9062"/>
            </w:tabs>
            <w:rPr>
              <w:rFonts w:cstheme="minorBidi"/>
              <w:noProof/>
            </w:rPr>
          </w:pPr>
          <w:hyperlink w:anchor="_Toc88741498" w:history="1">
            <w:r w:rsidR="00925C31" w:rsidRPr="00B50780">
              <w:rPr>
                <w:rStyle w:val="Hypertextovodkaz"/>
                <w:noProof/>
              </w:rPr>
              <w:t>2.3.2.</w:t>
            </w:r>
            <w:r w:rsidR="00925C31">
              <w:rPr>
                <w:rFonts w:cstheme="minorBidi"/>
                <w:noProof/>
              </w:rPr>
              <w:tab/>
            </w:r>
            <w:r w:rsidR="00925C31" w:rsidRPr="00B50780">
              <w:rPr>
                <w:rStyle w:val="Hypertextovodkaz"/>
                <w:noProof/>
              </w:rPr>
              <w:t>Materiál a metodika</w:t>
            </w:r>
            <w:r w:rsidR="00925C31">
              <w:rPr>
                <w:noProof/>
                <w:webHidden/>
              </w:rPr>
              <w:tab/>
            </w:r>
            <w:r w:rsidR="00925C31">
              <w:rPr>
                <w:noProof/>
                <w:webHidden/>
              </w:rPr>
              <w:fldChar w:fldCharType="begin"/>
            </w:r>
            <w:r w:rsidR="00925C31">
              <w:rPr>
                <w:noProof/>
                <w:webHidden/>
              </w:rPr>
              <w:instrText xml:space="preserve"> PAGEREF _Toc88741498 \h </w:instrText>
            </w:r>
            <w:r w:rsidR="00925C31">
              <w:rPr>
                <w:noProof/>
                <w:webHidden/>
              </w:rPr>
            </w:r>
            <w:r w:rsidR="00925C31">
              <w:rPr>
                <w:noProof/>
                <w:webHidden/>
              </w:rPr>
              <w:fldChar w:fldCharType="separate"/>
            </w:r>
            <w:r>
              <w:rPr>
                <w:noProof/>
                <w:webHidden/>
              </w:rPr>
              <w:t>42</w:t>
            </w:r>
            <w:r w:rsidR="00925C31">
              <w:rPr>
                <w:noProof/>
                <w:webHidden/>
              </w:rPr>
              <w:fldChar w:fldCharType="end"/>
            </w:r>
          </w:hyperlink>
        </w:p>
        <w:p w14:paraId="04C22E7C" w14:textId="035CC119" w:rsidR="00925C31" w:rsidRDefault="00C43719">
          <w:pPr>
            <w:pStyle w:val="Obsah4"/>
            <w:tabs>
              <w:tab w:val="left" w:pos="1760"/>
              <w:tab w:val="right" w:leader="dot" w:pos="9062"/>
            </w:tabs>
            <w:rPr>
              <w:noProof/>
            </w:rPr>
          </w:pPr>
          <w:hyperlink w:anchor="_Toc88741499" w:history="1">
            <w:r w:rsidR="00925C31" w:rsidRPr="00B50780">
              <w:rPr>
                <w:rStyle w:val="Hypertextovodkaz"/>
                <w:noProof/>
              </w:rPr>
              <w:t>2.3.2.1.</w:t>
            </w:r>
            <w:r w:rsidR="00925C31">
              <w:rPr>
                <w:noProof/>
              </w:rPr>
              <w:tab/>
            </w:r>
            <w:r w:rsidR="00925C31" w:rsidRPr="00B50780">
              <w:rPr>
                <w:rStyle w:val="Hypertextovodkaz"/>
                <w:noProof/>
              </w:rPr>
              <w:t>Pacienti</w:t>
            </w:r>
            <w:r w:rsidR="00925C31">
              <w:rPr>
                <w:noProof/>
                <w:webHidden/>
              </w:rPr>
              <w:tab/>
            </w:r>
            <w:r w:rsidR="00925C31">
              <w:rPr>
                <w:noProof/>
                <w:webHidden/>
              </w:rPr>
              <w:fldChar w:fldCharType="begin"/>
            </w:r>
            <w:r w:rsidR="00925C31">
              <w:rPr>
                <w:noProof/>
                <w:webHidden/>
              </w:rPr>
              <w:instrText xml:space="preserve"> PAGEREF _Toc88741499 \h </w:instrText>
            </w:r>
            <w:r w:rsidR="00925C31">
              <w:rPr>
                <w:noProof/>
                <w:webHidden/>
              </w:rPr>
            </w:r>
            <w:r w:rsidR="00925C31">
              <w:rPr>
                <w:noProof/>
                <w:webHidden/>
              </w:rPr>
              <w:fldChar w:fldCharType="separate"/>
            </w:r>
            <w:r>
              <w:rPr>
                <w:noProof/>
                <w:webHidden/>
              </w:rPr>
              <w:t>42</w:t>
            </w:r>
            <w:r w:rsidR="00925C31">
              <w:rPr>
                <w:noProof/>
                <w:webHidden/>
              </w:rPr>
              <w:fldChar w:fldCharType="end"/>
            </w:r>
          </w:hyperlink>
        </w:p>
        <w:p w14:paraId="287E0711" w14:textId="7DBCF99A" w:rsidR="00925C31" w:rsidRDefault="00C43719">
          <w:pPr>
            <w:pStyle w:val="Obsah4"/>
            <w:tabs>
              <w:tab w:val="left" w:pos="1760"/>
              <w:tab w:val="right" w:leader="dot" w:pos="9062"/>
            </w:tabs>
            <w:rPr>
              <w:noProof/>
            </w:rPr>
          </w:pPr>
          <w:hyperlink w:anchor="_Toc88741500" w:history="1">
            <w:r w:rsidR="00925C31" w:rsidRPr="00B50780">
              <w:rPr>
                <w:rStyle w:val="Hypertextovodkaz"/>
                <w:noProof/>
              </w:rPr>
              <w:t>2.3.2.2.</w:t>
            </w:r>
            <w:r w:rsidR="00925C31">
              <w:rPr>
                <w:noProof/>
              </w:rPr>
              <w:tab/>
            </w:r>
            <w:r w:rsidR="00925C31" w:rsidRPr="00B50780">
              <w:rPr>
                <w:rStyle w:val="Hypertextovodkaz"/>
                <w:noProof/>
              </w:rPr>
              <w:t xml:space="preserve">Imunohistochemické stanovení statusu </w:t>
            </w:r>
            <w:r w:rsidR="00925C31" w:rsidRPr="00B50780">
              <w:rPr>
                <w:rStyle w:val="Hypertextovodkaz"/>
                <w:i/>
                <w:noProof/>
              </w:rPr>
              <w:t>IDH1</w:t>
            </w:r>
            <w:r w:rsidR="00925C31" w:rsidRPr="00B50780">
              <w:rPr>
                <w:rStyle w:val="Hypertextovodkaz"/>
                <w:noProof/>
              </w:rPr>
              <w:t xml:space="preserve"> R132H</w:t>
            </w:r>
            <w:r w:rsidR="00925C31">
              <w:rPr>
                <w:noProof/>
                <w:webHidden/>
              </w:rPr>
              <w:tab/>
            </w:r>
            <w:r w:rsidR="00925C31">
              <w:rPr>
                <w:noProof/>
                <w:webHidden/>
              </w:rPr>
              <w:fldChar w:fldCharType="begin"/>
            </w:r>
            <w:r w:rsidR="00925C31">
              <w:rPr>
                <w:noProof/>
                <w:webHidden/>
              </w:rPr>
              <w:instrText xml:space="preserve"> PAGEREF _Toc88741500 \h </w:instrText>
            </w:r>
            <w:r w:rsidR="00925C31">
              <w:rPr>
                <w:noProof/>
                <w:webHidden/>
              </w:rPr>
            </w:r>
            <w:r w:rsidR="00925C31">
              <w:rPr>
                <w:noProof/>
                <w:webHidden/>
              </w:rPr>
              <w:fldChar w:fldCharType="separate"/>
            </w:r>
            <w:r>
              <w:rPr>
                <w:noProof/>
                <w:webHidden/>
              </w:rPr>
              <w:t>43</w:t>
            </w:r>
            <w:r w:rsidR="00925C31">
              <w:rPr>
                <w:noProof/>
                <w:webHidden/>
              </w:rPr>
              <w:fldChar w:fldCharType="end"/>
            </w:r>
          </w:hyperlink>
        </w:p>
        <w:p w14:paraId="05E1DD9D" w14:textId="5523D685" w:rsidR="00925C31" w:rsidRDefault="00C43719">
          <w:pPr>
            <w:pStyle w:val="Obsah4"/>
            <w:tabs>
              <w:tab w:val="left" w:pos="1760"/>
              <w:tab w:val="right" w:leader="dot" w:pos="9062"/>
            </w:tabs>
            <w:rPr>
              <w:noProof/>
            </w:rPr>
          </w:pPr>
          <w:hyperlink w:anchor="_Toc88741501" w:history="1">
            <w:r w:rsidR="00925C31" w:rsidRPr="00B50780">
              <w:rPr>
                <w:rStyle w:val="Hypertextovodkaz"/>
                <w:noProof/>
              </w:rPr>
              <w:t>2.3.2.3.</w:t>
            </w:r>
            <w:r w:rsidR="00925C31">
              <w:rPr>
                <w:noProof/>
              </w:rPr>
              <w:tab/>
            </w:r>
            <w:r w:rsidR="00925C31" w:rsidRPr="00B50780">
              <w:rPr>
                <w:rStyle w:val="Hypertextovodkaz"/>
                <w:noProof/>
              </w:rPr>
              <w:t xml:space="preserve">Imunohistochemické vyšetření statusu </w:t>
            </w:r>
            <w:r w:rsidR="00925C31" w:rsidRPr="00B50780">
              <w:rPr>
                <w:rStyle w:val="Hypertextovodkaz"/>
                <w:i/>
                <w:noProof/>
              </w:rPr>
              <w:t>Ki67</w:t>
            </w:r>
            <w:r w:rsidR="00925C31">
              <w:rPr>
                <w:noProof/>
                <w:webHidden/>
              </w:rPr>
              <w:tab/>
            </w:r>
            <w:r w:rsidR="00925C31">
              <w:rPr>
                <w:noProof/>
                <w:webHidden/>
              </w:rPr>
              <w:fldChar w:fldCharType="begin"/>
            </w:r>
            <w:r w:rsidR="00925C31">
              <w:rPr>
                <w:noProof/>
                <w:webHidden/>
              </w:rPr>
              <w:instrText xml:space="preserve"> PAGEREF _Toc88741501 \h </w:instrText>
            </w:r>
            <w:r w:rsidR="00925C31">
              <w:rPr>
                <w:noProof/>
                <w:webHidden/>
              </w:rPr>
            </w:r>
            <w:r w:rsidR="00925C31">
              <w:rPr>
                <w:noProof/>
                <w:webHidden/>
              </w:rPr>
              <w:fldChar w:fldCharType="separate"/>
            </w:r>
            <w:r>
              <w:rPr>
                <w:noProof/>
                <w:webHidden/>
              </w:rPr>
              <w:t>43</w:t>
            </w:r>
            <w:r w:rsidR="00925C31">
              <w:rPr>
                <w:noProof/>
                <w:webHidden/>
              </w:rPr>
              <w:fldChar w:fldCharType="end"/>
            </w:r>
          </w:hyperlink>
        </w:p>
        <w:p w14:paraId="44FF799F" w14:textId="4A7C2D55" w:rsidR="00925C31" w:rsidRDefault="00C43719">
          <w:pPr>
            <w:pStyle w:val="Obsah4"/>
            <w:tabs>
              <w:tab w:val="left" w:pos="1760"/>
              <w:tab w:val="right" w:leader="dot" w:pos="9062"/>
            </w:tabs>
            <w:rPr>
              <w:noProof/>
            </w:rPr>
          </w:pPr>
          <w:hyperlink w:anchor="_Toc88741502" w:history="1">
            <w:r w:rsidR="00925C31" w:rsidRPr="00B50780">
              <w:rPr>
                <w:rStyle w:val="Hypertextovodkaz"/>
                <w:noProof/>
              </w:rPr>
              <w:t>2.3.2.4.</w:t>
            </w:r>
            <w:r w:rsidR="00925C31">
              <w:rPr>
                <w:noProof/>
              </w:rPr>
              <w:tab/>
            </w:r>
            <w:r w:rsidR="00925C31" w:rsidRPr="00B50780">
              <w:rPr>
                <w:rStyle w:val="Hypertextovodkaz"/>
                <w:noProof/>
              </w:rPr>
              <w:t xml:space="preserve">Genotypizace </w:t>
            </w:r>
            <w:r w:rsidR="00925C31" w:rsidRPr="00B50780">
              <w:rPr>
                <w:rStyle w:val="Hypertextovodkaz"/>
                <w:i/>
                <w:noProof/>
              </w:rPr>
              <w:t>IDH1</w:t>
            </w:r>
            <w:r w:rsidR="00925C31" w:rsidRPr="00B50780">
              <w:rPr>
                <w:rStyle w:val="Hypertextovodkaz"/>
                <w:noProof/>
              </w:rPr>
              <w:t xml:space="preserve"> R132 a </w:t>
            </w:r>
            <w:r w:rsidR="00925C31" w:rsidRPr="00B50780">
              <w:rPr>
                <w:rStyle w:val="Hypertextovodkaz"/>
                <w:i/>
                <w:noProof/>
              </w:rPr>
              <w:t>IDH2</w:t>
            </w:r>
            <w:r w:rsidR="00925C31" w:rsidRPr="00B50780">
              <w:rPr>
                <w:rStyle w:val="Hypertextovodkaz"/>
                <w:noProof/>
              </w:rPr>
              <w:t xml:space="preserve"> R172</w:t>
            </w:r>
            <w:r w:rsidR="00925C31">
              <w:rPr>
                <w:noProof/>
                <w:webHidden/>
              </w:rPr>
              <w:tab/>
            </w:r>
            <w:r w:rsidR="00925C31">
              <w:rPr>
                <w:noProof/>
                <w:webHidden/>
              </w:rPr>
              <w:fldChar w:fldCharType="begin"/>
            </w:r>
            <w:r w:rsidR="00925C31">
              <w:rPr>
                <w:noProof/>
                <w:webHidden/>
              </w:rPr>
              <w:instrText xml:space="preserve"> PAGEREF _Toc88741502 \h </w:instrText>
            </w:r>
            <w:r w:rsidR="00925C31">
              <w:rPr>
                <w:noProof/>
                <w:webHidden/>
              </w:rPr>
            </w:r>
            <w:r w:rsidR="00925C31">
              <w:rPr>
                <w:noProof/>
                <w:webHidden/>
              </w:rPr>
              <w:fldChar w:fldCharType="separate"/>
            </w:r>
            <w:r>
              <w:rPr>
                <w:noProof/>
                <w:webHidden/>
              </w:rPr>
              <w:t>44</w:t>
            </w:r>
            <w:r w:rsidR="00925C31">
              <w:rPr>
                <w:noProof/>
                <w:webHidden/>
              </w:rPr>
              <w:fldChar w:fldCharType="end"/>
            </w:r>
          </w:hyperlink>
        </w:p>
        <w:p w14:paraId="17E99B56" w14:textId="7EA372A7" w:rsidR="00925C31" w:rsidRDefault="00C43719">
          <w:pPr>
            <w:pStyle w:val="Obsah4"/>
            <w:tabs>
              <w:tab w:val="left" w:pos="1760"/>
              <w:tab w:val="right" w:leader="dot" w:pos="9062"/>
            </w:tabs>
            <w:rPr>
              <w:noProof/>
            </w:rPr>
          </w:pPr>
          <w:hyperlink w:anchor="_Toc88741503" w:history="1">
            <w:r w:rsidR="00925C31" w:rsidRPr="00B50780">
              <w:rPr>
                <w:rStyle w:val="Hypertextovodkaz"/>
                <w:noProof/>
              </w:rPr>
              <w:t>2.3.2.5.</w:t>
            </w:r>
            <w:r w:rsidR="00925C31">
              <w:rPr>
                <w:noProof/>
              </w:rPr>
              <w:tab/>
            </w:r>
            <w:r w:rsidR="00925C31" w:rsidRPr="00B50780">
              <w:rPr>
                <w:rStyle w:val="Hypertextovodkaz"/>
                <w:noProof/>
              </w:rPr>
              <w:t>FISH analýza</w:t>
            </w:r>
            <w:r w:rsidR="00925C31">
              <w:rPr>
                <w:noProof/>
                <w:webHidden/>
              </w:rPr>
              <w:tab/>
            </w:r>
            <w:r w:rsidR="00925C31">
              <w:rPr>
                <w:noProof/>
                <w:webHidden/>
              </w:rPr>
              <w:fldChar w:fldCharType="begin"/>
            </w:r>
            <w:r w:rsidR="00925C31">
              <w:rPr>
                <w:noProof/>
                <w:webHidden/>
              </w:rPr>
              <w:instrText xml:space="preserve"> PAGEREF _Toc88741503 \h </w:instrText>
            </w:r>
            <w:r w:rsidR="00925C31">
              <w:rPr>
                <w:noProof/>
                <w:webHidden/>
              </w:rPr>
            </w:r>
            <w:r w:rsidR="00925C31">
              <w:rPr>
                <w:noProof/>
                <w:webHidden/>
              </w:rPr>
              <w:fldChar w:fldCharType="separate"/>
            </w:r>
            <w:r>
              <w:rPr>
                <w:noProof/>
                <w:webHidden/>
              </w:rPr>
              <w:t>44</w:t>
            </w:r>
            <w:r w:rsidR="00925C31">
              <w:rPr>
                <w:noProof/>
                <w:webHidden/>
              </w:rPr>
              <w:fldChar w:fldCharType="end"/>
            </w:r>
          </w:hyperlink>
        </w:p>
        <w:p w14:paraId="77F8EC29" w14:textId="4685F422" w:rsidR="00925C31" w:rsidRDefault="00C43719">
          <w:pPr>
            <w:pStyle w:val="Obsah4"/>
            <w:tabs>
              <w:tab w:val="left" w:pos="1760"/>
              <w:tab w:val="right" w:leader="dot" w:pos="9062"/>
            </w:tabs>
            <w:rPr>
              <w:noProof/>
            </w:rPr>
          </w:pPr>
          <w:hyperlink w:anchor="_Toc88741504" w:history="1">
            <w:r w:rsidR="00925C31" w:rsidRPr="00B50780">
              <w:rPr>
                <w:rStyle w:val="Hypertextovodkaz"/>
                <w:noProof/>
              </w:rPr>
              <w:t>2.3.2.6.</w:t>
            </w:r>
            <w:r w:rsidR="00925C31">
              <w:rPr>
                <w:noProof/>
              </w:rPr>
              <w:tab/>
            </w:r>
            <w:r w:rsidR="00925C31" w:rsidRPr="00B50780">
              <w:rPr>
                <w:rStyle w:val="Hypertextovodkaz"/>
                <w:noProof/>
              </w:rPr>
              <w:t>Nastavení cut off hodnot počtu kopií</w:t>
            </w:r>
            <w:r w:rsidR="00925C31">
              <w:rPr>
                <w:noProof/>
                <w:webHidden/>
              </w:rPr>
              <w:tab/>
            </w:r>
            <w:r w:rsidR="00925C31">
              <w:rPr>
                <w:noProof/>
                <w:webHidden/>
              </w:rPr>
              <w:fldChar w:fldCharType="begin"/>
            </w:r>
            <w:r w:rsidR="00925C31">
              <w:rPr>
                <w:noProof/>
                <w:webHidden/>
              </w:rPr>
              <w:instrText xml:space="preserve"> PAGEREF _Toc88741504 \h </w:instrText>
            </w:r>
            <w:r w:rsidR="00925C31">
              <w:rPr>
                <w:noProof/>
                <w:webHidden/>
              </w:rPr>
            </w:r>
            <w:r w:rsidR="00925C31">
              <w:rPr>
                <w:noProof/>
                <w:webHidden/>
              </w:rPr>
              <w:fldChar w:fldCharType="separate"/>
            </w:r>
            <w:r>
              <w:rPr>
                <w:noProof/>
                <w:webHidden/>
              </w:rPr>
              <w:t>44</w:t>
            </w:r>
            <w:r w:rsidR="00925C31">
              <w:rPr>
                <w:noProof/>
                <w:webHidden/>
              </w:rPr>
              <w:fldChar w:fldCharType="end"/>
            </w:r>
          </w:hyperlink>
        </w:p>
        <w:p w14:paraId="2388CA65" w14:textId="69E15277" w:rsidR="00925C31" w:rsidRDefault="00C43719">
          <w:pPr>
            <w:pStyle w:val="Obsah4"/>
            <w:tabs>
              <w:tab w:val="left" w:pos="1760"/>
              <w:tab w:val="right" w:leader="dot" w:pos="9062"/>
            </w:tabs>
            <w:rPr>
              <w:noProof/>
            </w:rPr>
          </w:pPr>
          <w:hyperlink w:anchor="_Toc88741505" w:history="1">
            <w:r w:rsidR="00925C31" w:rsidRPr="00B50780">
              <w:rPr>
                <w:rStyle w:val="Hypertextovodkaz"/>
                <w:noProof/>
              </w:rPr>
              <w:t>2.3.2.7.</w:t>
            </w:r>
            <w:r w:rsidR="00925C31">
              <w:rPr>
                <w:noProof/>
              </w:rPr>
              <w:tab/>
            </w:r>
            <w:r w:rsidR="00925C31" w:rsidRPr="00B50780">
              <w:rPr>
                <w:rStyle w:val="Hypertextovodkaz"/>
                <w:noProof/>
              </w:rPr>
              <w:t>MGMT metylační status</w:t>
            </w:r>
            <w:r w:rsidR="00925C31">
              <w:rPr>
                <w:noProof/>
                <w:webHidden/>
              </w:rPr>
              <w:tab/>
            </w:r>
            <w:r w:rsidR="00925C31">
              <w:rPr>
                <w:noProof/>
                <w:webHidden/>
              </w:rPr>
              <w:fldChar w:fldCharType="begin"/>
            </w:r>
            <w:r w:rsidR="00925C31">
              <w:rPr>
                <w:noProof/>
                <w:webHidden/>
              </w:rPr>
              <w:instrText xml:space="preserve"> PAGEREF _Toc88741505 \h </w:instrText>
            </w:r>
            <w:r w:rsidR="00925C31">
              <w:rPr>
                <w:noProof/>
                <w:webHidden/>
              </w:rPr>
            </w:r>
            <w:r w:rsidR="00925C31">
              <w:rPr>
                <w:noProof/>
                <w:webHidden/>
              </w:rPr>
              <w:fldChar w:fldCharType="separate"/>
            </w:r>
            <w:r>
              <w:rPr>
                <w:noProof/>
                <w:webHidden/>
              </w:rPr>
              <w:t>45</w:t>
            </w:r>
            <w:r w:rsidR="00925C31">
              <w:rPr>
                <w:noProof/>
                <w:webHidden/>
              </w:rPr>
              <w:fldChar w:fldCharType="end"/>
            </w:r>
          </w:hyperlink>
        </w:p>
        <w:p w14:paraId="51C954F0" w14:textId="2D51D153" w:rsidR="00925C31" w:rsidRDefault="00C43719">
          <w:pPr>
            <w:pStyle w:val="Obsah4"/>
            <w:tabs>
              <w:tab w:val="left" w:pos="1760"/>
              <w:tab w:val="right" w:leader="dot" w:pos="9062"/>
            </w:tabs>
            <w:rPr>
              <w:noProof/>
            </w:rPr>
          </w:pPr>
          <w:hyperlink w:anchor="_Toc88741506" w:history="1">
            <w:r w:rsidR="00925C31" w:rsidRPr="00B50780">
              <w:rPr>
                <w:rStyle w:val="Hypertextovodkaz"/>
                <w:noProof/>
              </w:rPr>
              <w:t>2.3.2.8.</w:t>
            </w:r>
            <w:r w:rsidR="00925C31">
              <w:rPr>
                <w:noProof/>
              </w:rPr>
              <w:tab/>
            </w:r>
            <w:r w:rsidR="00925C31" w:rsidRPr="00B50780">
              <w:rPr>
                <w:rStyle w:val="Hypertextovodkaz"/>
                <w:noProof/>
              </w:rPr>
              <w:t>Statistická analýza</w:t>
            </w:r>
            <w:r w:rsidR="00925C31">
              <w:rPr>
                <w:noProof/>
                <w:webHidden/>
              </w:rPr>
              <w:tab/>
            </w:r>
            <w:r w:rsidR="00925C31">
              <w:rPr>
                <w:noProof/>
                <w:webHidden/>
              </w:rPr>
              <w:fldChar w:fldCharType="begin"/>
            </w:r>
            <w:r w:rsidR="00925C31">
              <w:rPr>
                <w:noProof/>
                <w:webHidden/>
              </w:rPr>
              <w:instrText xml:space="preserve"> PAGEREF _Toc88741506 \h </w:instrText>
            </w:r>
            <w:r w:rsidR="00925C31">
              <w:rPr>
                <w:noProof/>
                <w:webHidden/>
              </w:rPr>
            </w:r>
            <w:r w:rsidR="00925C31">
              <w:rPr>
                <w:noProof/>
                <w:webHidden/>
              </w:rPr>
              <w:fldChar w:fldCharType="separate"/>
            </w:r>
            <w:r>
              <w:rPr>
                <w:noProof/>
                <w:webHidden/>
              </w:rPr>
              <w:t>45</w:t>
            </w:r>
            <w:r w:rsidR="00925C31">
              <w:rPr>
                <w:noProof/>
                <w:webHidden/>
              </w:rPr>
              <w:fldChar w:fldCharType="end"/>
            </w:r>
          </w:hyperlink>
        </w:p>
        <w:p w14:paraId="33CC69A2" w14:textId="1C83C553" w:rsidR="00925C31" w:rsidRDefault="00C43719">
          <w:pPr>
            <w:pStyle w:val="Obsah3"/>
            <w:tabs>
              <w:tab w:val="left" w:pos="1320"/>
              <w:tab w:val="right" w:leader="dot" w:pos="9062"/>
            </w:tabs>
            <w:rPr>
              <w:rFonts w:cstheme="minorBidi"/>
              <w:noProof/>
            </w:rPr>
          </w:pPr>
          <w:hyperlink w:anchor="_Toc88741507" w:history="1">
            <w:r w:rsidR="00925C31" w:rsidRPr="00B50780">
              <w:rPr>
                <w:rStyle w:val="Hypertextovodkaz"/>
                <w:noProof/>
              </w:rPr>
              <w:t>2.3.3.</w:t>
            </w:r>
            <w:r w:rsidR="00925C31">
              <w:rPr>
                <w:rFonts w:cstheme="minorBidi"/>
                <w:noProof/>
              </w:rPr>
              <w:tab/>
            </w:r>
            <w:r w:rsidR="00925C31" w:rsidRPr="00B50780">
              <w:rPr>
                <w:rStyle w:val="Hypertextovodkaz"/>
                <w:noProof/>
              </w:rPr>
              <w:t>Výsledky</w:t>
            </w:r>
            <w:r w:rsidR="00925C31">
              <w:rPr>
                <w:noProof/>
                <w:webHidden/>
              </w:rPr>
              <w:tab/>
            </w:r>
            <w:r w:rsidR="00925C31">
              <w:rPr>
                <w:noProof/>
                <w:webHidden/>
              </w:rPr>
              <w:fldChar w:fldCharType="begin"/>
            </w:r>
            <w:r w:rsidR="00925C31">
              <w:rPr>
                <w:noProof/>
                <w:webHidden/>
              </w:rPr>
              <w:instrText xml:space="preserve"> PAGEREF _Toc88741507 \h </w:instrText>
            </w:r>
            <w:r w:rsidR="00925C31">
              <w:rPr>
                <w:noProof/>
                <w:webHidden/>
              </w:rPr>
            </w:r>
            <w:r w:rsidR="00925C31">
              <w:rPr>
                <w:noProof/>
                <w:webHidden/>
              </w:rPr>
              <w:fldChar w:fldCharType="separate"/>
            </w:r>
            <w:r>
              <w:rPr>
                <w:noProof/>
                <w:webHidden/>
              </w:rPr>
              <w:t>45</w:t>
            </w:r>
            <w:r w:rsidR="00925C31">
              <w:rPr>
                <w:noProof/>
                <w:webHidden/>
              </w:rPr>
              <w:fldChar w:fldCharType="end"/>
            </w:r>
          </w:hyperlink>
        </w:p>
        <w:p w14:paraId="43FD3BA6" w14:textId="559033F6" w:rsidR="00925C31" w:rsidRDefault="00C43719">
          <w:pPr>
            <w:pStyle w:val="Obsah4"/>
            <w:tabs>
              <w:tab w:val="left" w:pos="1760"/>
              <w:tab w:val="right" w:leader="dot" w:pos="9062"/>
            </w:tabs>
            <w:rPr>
              <w:noProof/>
            </w:rPr>
          </w:pPr>
          <w:hyperlink w:anchor="_Toc88741508" w:history="1">
            <w:r w:rsidR="00925C31" w:rsidRPr="00B50780">
              <w:rPr>
                <w:rStyle w:val="Hypertextovodkaz"/>
                <w:noProof/>
              </w:rPr>
              <w:t>2.3.3.1.</w:t>
            </w:r>
            <w:r w:rsidR="00925C31">
              <w:rPr>
                <w:noProof/>
              </w:rPr>
              <w:tab/>
            </w:r>
            <w:r w:rsidR="00925C31" w:rsidRPr="00B50780">
              <w:rPr>
                <w:rStyle w:val="Hypertextovodkaz"/>
                <w:noProof/>
              </w:rPr>
              <w:t>Základní charakteristika pacientů</w:t>
            </w:r>
            <w:r w:rsidR="00925C31">
              <w:rPr>
                <w:noProof/>
                <w:webHidden/>
              </w:rPr>
              <w:tab/>
            </w:r>
            <w:r w:rsidR="00925C31">
              <w:rPr>
                <w:noProof/>
                <w:webHidden/>
              </w:rPr>
              <w:fldChar w:fldCharType="begin"/>
            </w:r>
            <w:r w:rsidR="00925C31">
              <w:rPr>
                <w:noProof/>
                <w:webHidden/>
              </w:rPr>
              <w:instrText xml:space="preserve"> PAGEREF _Toc88741508 \h </w:instrText>
            </w:r>
            <w:r w:rsidR="00925C31">
              <w:rPr>
                <w:noProof/>
                <w:webHidden/>
              </w:rPr>
            </w:r>
            <w:r w:rsidR="00925C31">
              <w:rPr>
                <w:noProof/>
                <w:webHidden/>
              </w:rPr>
              <w:fldChar w:fldCharType="separate"/>
            </w:r>
            <w:r>
              <w:rPr>
                <w:noProof/>
                <w:webHidden/>
              </w:rPr>
              <w:t>45</w:t>
            </w:r>
            <w:r w:rsidR="00925C31">
              <w:rPr>
                <w:noProof/>
                <w:webHidden/>
              </w:rPr>
              <w:fldChar w:fldCharType="end"/>
            </w:r>
          </w:hyperlink>
        </w:p>
        <w:p w14:paraId="64E63A4D" w14:textId="0F1BDE32" w:rsidR="00925C31" w:rsidRDefault="00C43719">
          <w:pPr>
            <w:pStyle w:val="Obsah4"/>
            <w:tabs>
              <w:tab w:val="left" w:pos="1760"/>
              <w:tab w:val="right" w:leader="dot" w:pos="9062"/>
            </w:tabs>
            <w:rPr>
              <w:noProof/>
            </w:rPr>
          </w:pPr>
          <w:hyperlink w:anchor="_Toc88741509" w:history="1">
            <w:r w:rsidR="00925C31" w:rsidRPr="00B50780">
              <w:rPr>
                <w:rStyle w:val="Hypertextovodkaz"/>
                <w:noProof/>
              </w:rPr>
              <w:t>2.3.3.2.</w:t>
            </w:r>
            <w:r w:rsidR="00925C31">
              <w:rPr>
                <w:noProof/>
              </w:rPr>
              <w:tab/>
            </w:r>
            <w:r w:rsidR="00925C31" w:rsidRPr="00B50780">
              <w:rPr>
                <w:rStyle w:val="Hypertextovodkaz"/>
                <w:noProof/>
              </w:rPr>
              <w:t xml:space="preserve">Pacienti GBM </w:t>
            </w:r>
            <w:r w:rsidR="00925C31" w:rsidRPr="00B50780">
              <w:rPr>
                <w:rStyle w:val="Hypertextovodkaz"/>
                <w:i/>
                <w:noProof/>
              </w:rPr>
              <w:t>IDH</w:t>
            </w:r>
            <w:r w:rsidR="00925C31" w:rsidRPr="00B50780">
              <w:rPr>
                <w:rStyle w:val="Hypertextovodkaz"/>
                <w:noProof/>
              </w:rPr>
              <w:t xml:space="preserve"> wild type léčení chemoradioterapií</w:t>
            </w:r>
            <w:r w:rsidR="00925C31">
              <w:rPr>
                <w:noProof/>
                <w:webHidden/>
              </w:rPr>
              <w:tab/>
            </w:r>
            <w:r w:rsidR="00925C31">
              <w:rPr>
                <w:noProof/>
                <w:webHidden/>
              </w:rPr>
              <w:fldChar w:fldCharType="begin"/>
            </w:r>
            <w:r w:rsidR="00925C31">
              <w:rPr>
                <w:noProof/>
                <w:webHidden/>
              </w:rPr>
              <w:instrText xml:space="preserve"> PAGEREF _Toc88741509 \h </w:instrText>
            </w:r>
            <w:r w:rsidR="00925C31">
              <w:rPr>
                <w:noProof/>
                <w:webHidden/>
              </w:rPr>
            </w:r>
            <w:r w:rsidR="00925C31">
              <w:rPr>
                <w:noProof/>
                <w:webHidden/>
              </w:rPr>
              <w:fldChar w:fldCharType="separate"/>
            </w:r>
            <w:r>
              <w:rPr>
                <w:noProof/>
                <w:webHidden/>
              </w:rPr>
              <w:t>47</w:t>
            </w:r>
            <w:r w:rsidR="00925C31">
              <w:rPr>
                <w:noProof/>
                <w:webHidden/>
              </w:rPr>
              <w:fldChar w:fldCharType="end"/>
            </w:r>
          </w:hyperlink>
        </w:p>
        <w:p w14:paraId="6F57847F" w14:textId="02F2DB78" w:rsidR="00925C31" w:rsidRDefault="00C43719">
          <w:pPr>
            <w:pStyle w:val="Obsah4"/>
            <w:tabs>
              <w:tab w:val="left" w:pos="1760"/>
              <w:tab w:val="right" w:leader="dot" w:pos="9062"/>
            </w:tabs>
            <w:rPr>
              <w:noProof/>
            </w:rPr>
          </w:pPr>
          <w:hyperlink w:anchor="_Toc88741510" w:history="1">
            <w:r w:rsidR="00925C31" w:rsidRPr="00B50780">
              <w:rPr>
                <w:rStyle w:val="Hypertextovodkaz"/>
                <w:noProof/>
              </w:rPr>
              <w:t>2.3.3.3.</w:t>
            </w:r>
            <w:r w:rsidR="00925C31">
              <w:rPr>
                <w:noProof/>
              </w:rPr>
              <w:tab/>
            </w:r>
            <w:r w:rsidR="00925C31" w:rsidRPr="00B50780">
              <w:rPr>
                <w:rStyle w:val="Hypertextovodkaz"/>
                <w:noProof/>
              </w:rPr>
              <w:t xml:space="preserve">Pacienti GBM </w:t>
            </w:r>
            <w:r w:rsidR="00925C31" w:rsidRPr="00B50780">
              <w:rPr>
                <w:rStyle w:val="Hypertextovodkaz"/>
                <w:i/>
                <w:noProof/>
              </w:rPr>
              <w:t>IDH</w:t>
            </w:r>
            <w:r w:rsidR="00925C31" w:rsidRPr="00B50780">
              <w:rPr>
                <w:rStyle w:val="Hypertextovodkaz"/>
                <w:noProof/>
              </w:rPr>
              <w:t xml:space="preserve"> wild type léčení radioterapií</w:t>
            </w:r>
            <w:r w:rsidR="00925C31">
              <w:rPr>
                <w:noProof/>
                <w:webHidden/>
              </w:rPr>
              <w:tab/>
            </w:r>
            <w:r w:rsidR="00925C31">
              <w:rPr>
                <w:noProof/>
                <w:webHidden/>
              </w:rPr>
              <w:fldChar w:fldCharType="begin"/>
            </w:r>
            <w:r w:rsidR="00925C31">
              <w:rPr>
                <w:noProof/>
                <w:webHidden/>
              </w:rPr>
              <w:instrText xml:space="preserve"> PAGEREF _Toc88741510 \h </w:instrText>
            </w:r>
            <w:r w:rsidR="00925C31">
              <w:rPr>
                <w:noProof/>
                <w:webHidden/>
              </w:rPr>
            </w:r>
            <w:r w:rsidR="00925C31">
              <w:rPr>
                <w:noProof/>
                <w:webHidden/>
              </w:rPr>
              <w:fldChar w:fldCharType="separate"/>
            </w:r>
            <w:r>
              <w:rPr>
                <w:noProof/>
                <w:webHidden/>
              </w:rPr>
              <w:t>47</w:t>
            </w:r>
            <w:r w:rsidR="00925C31">
              <w:rPr>
                <w:noProof/>
                <w:webHidden/>
              </w:rPr>
              <w:fldChar w:fldCharType="end"/>
            </w:r>
          </w:hyperlink>
        </w:p>
        <w:p w14:paraId="0B82E4E4" w14:textId="04A02950" w:rsidR="00925C31" w:rsidRDefault="00C43719">
          <w:pPr>
            <w:pStyle w:val="Obsah4"/>
            <w:tabs>
              <w:tab w:val="left" w:pos="1760"/>
              <w:tab w:val="right" w:leader="dot" w:pos="9062"/>
            </w:tabs>
            <w:rPr>
              <w:noProof/>
            </w:rPr>
          </w:pPr>
          <w:hyperlink w:anchor="_Toc88741511" w:history="1">
            <w:r w:rsidR="00925C31" w:rsidRPr="00B50780">
              <w:rPr>
                <w:rStyle w:val="Hypertextovodkaz"/>
                <w:noProof/>
              </w:rPr>
              <w:t>2.3.3.4.</w:t>
            </w:r>
            <w:r w:rsidR="00925C31">
              <w:rPr>
                <w:noProof/>
              </w:rPr>
              <w:tab/>
            </w:r>
            <w:r w:rsidR="00925C31" w:rsidRPr="00B50780">
              <w:rPr>
                <w:rStyle w:val="Hypertextovodkaz"/>
                <w:noProof/>
              </w:rPr>
              <w:t xml:space="preserve">Pacienti GBM </w:t>
            </w:r>
            <w:r w:rsidR="00925C31" w:rsidRPr="00B50780">
              <w:rPr>
                <w:rStyle w:val="Hypertextovodkaz"/>
                <w:i/>
                <w:noProof/>
              </w:rPr>
              <w:t>IDH</w:t>
            </w:r>
            <w:r w:rsidR="00925C31" w:rsidRPr="00B50780">
              <w:rPr>
                <w:rStyle w:val="Hypertextovodkaz"/>
                <w:noProof/>
              </w:rPr>
              <w:t xml:space="preserve"> wt bez terapie</w:t>
            </w:r>
            <w:r w:rsidR="00925C31">
              <w:rPr>
                <w:noProof/>
                <w:webHidden/>
              </w:rPr>
              <w:tab/>
            </w:r>
            <w:r w:rsidR="00925C31">
              <w:rPr>
                <w:noProof/>
                <w:webHidden/>
              </w:rPr>
              <w:fldChar w:fldCharType="begin"/>
            </w:r>
            <w:r w:rsidR="00925C31">
              <w:rPr>
                <w:noProof/>
                <w:webHidden/>
              </w:rPr>
              <w:instrText xml:space="preserve"> PAGEREF _Toc88741511 \h </w:instrText>
            </w:r>
            <w:r w:rsidR="00925C31">
              <w:rPr>
                <w:noProof/>
                <w:webHidden/>
              </w:rPr>
            </w:r>
            <w:r w:rsidR="00925C31">
              <w:rPr>
                <w:noProof/>
                <w:webHidden/>
              </w:rPr>
              <w:fldChar w:fldCharType="separate"/>
            </w:r>
            <w:r>
              <w:rPr>
                <w:noProof/>
                <w:webHidden/>
              </w:rPr>
              <w:t>48</w:t>
            </w:r>
            <w:r w:rsidR="00925C31">
              <w:rPr>
                <w:noProof/>
                <w:webHidden/>
              </w:rPr>
              <w:fldChar w:fldCharType="end"/>
            </w:r>
          </w:hyperlink>
        </w:p>
        <w:p w14:paraId="3793AFE8" w14:textId="134D2BAC" w:rsidR="00925C31" w:rsidRDefault="00C43719">
          <w:pPr>
            <w:pStyle w:val="Obsah4"/>
            <w:tabs>
              <w:tab w:val="left" w:pos="1760"/>
              <w:tab w:val="right" w:leader="dot" w:pos="9062"/>
            </w:tabs>
            <w:rPr>
              <w:noProof/>
            </w:rPr>
          </w:pPr>
          <w:hyperlink w:anchor="_Toc88741512" w:history="1">
            <w:r w:rsidR="00925C31" w:rsidRPr="00B50780">
              <w:rPr>
                <w:rStyle w:val="Hypertextovodkaz"/>
                <w:noProof/>
              </w:rPr>
              <w:t>2.3.3.5.</w:t>
            </w:r>
            <w:r w:rsidR="00925C31">
              <w:rPr>
                <w:noProof/>
              </w:rPr>
              <w:tab/>
            </w:r>
            <w:r w:rsidR="00925C31" w:rsidRPr="00B50780">
              <w:rPr>
                <w:rStyle w:val="Hypertextovodkaz"/>
                <w:noProof/>
              </w:rPr>
              <w:t xml:space="preserve">Statistická data celé kohorty GBM </w:t>
            </w:r>
            <w:r w:rsidR="00925C31" w:rsidRPr="00B50780">
              <w:rPr>
                <w:rStyle w:val="Hypertextovodkaz"/>
                <w:i/>
                <w:noProof/>
              </w:rPr>
              <w:t>IDH</w:t>
            </w:r>
            <w:r w:rsidR="00925C31" w:rsidRPr="00B50780">
              <w:rPr>
                <w:rStyle w:val="Hypertextovodkaz"/>
                <w:noProof/>
              </w:rPr>
              <w:t xml:space="preserve"> wt</w:t>
            </w:r>
            <w:r w:rsidR="00925C31">
              <w:rPr>
                <w:noProof/>
                <w:webHidden/>
              </w:rPr>
              <w:tab/>
            </w:r>
            <w:r w:rsidR="00925C31">
              <w:rPr>
                <w:noProof/>
                <w:webHidden/>
              </w:rPr>
              <w:fldChar w:fldCharType="begin"/>
            </w:r>
            <w:r w:rsidR="00925C31">
              <w:rPr>
                <w:noProof/>
                <w:webHidden/>
              </w:rPr>
              <w:instrText xml:space="preserve"> PAGEREF _Toc88741512 \h </w:instrText>
            </w:r>
            <w:r w:rsidR="00925C31">
              <w:rPr>
                <w:noProof/>
                <w:webHidden/>
              </w:rPr>
            </w:r>
            <w:r w:rsidR="00925C31">
              <w:rPr>
                <w:noProof/>
                <w:webHidden/>
              </w:rPr>
              <w:fldChar w:fldCharType="separate"/>
            </w:r>
            <w:r>
              <w:rPr>
                <w:noProof/>
                <w:webHidden/>
              </w:rPr>
              <w:t>48</w:t>
            </w:r>
            <w:r w:rsidR="00925C31">
              <w:rPr>
                <w:noProof/>
                <w:webHidden/>
              </w:rPr>
              <w:fldChar w:fldCharType="end"/>
            </w:r>
          </w:hyperlink>
        </w:p>
        <w:p w14:paraId="37D03026" w14:textId="6388A643" w:rsidR="00925C31" w:rsidRDefault="00C43719">
          <w:pPr>
            <w:pStyle w:val="Obsah4"/>
            <w:tabs>
              <w:tab w:val="left" w:pos="1760"/>
              <w:tab w:val="right" w:leader="dot" w:pos="9062"/>
            </w:tabs>
            <w:rPr>
              <w:noProof/>
            </w:rPr>
          </w:pPr>
          <w:hyperlink w:anchor="_Toc88741513" w:history="1">
            <w:r w:rsidR="00925C31" w:rsidRPr="00B50780">
              <w:rPr>
                <w:rStyle w:val="Hypertextovodkaz"/>
                <w:noProof/>
              </w:rPr>
              <w:t>2.3.3.6.</w:t>
            </w:r>
            <w:r w:rsidR="00925C31">
              <w:rPr>
                <w:noProof/>
              </w:rPr>
              <w:tab/>
            </w:r>
            <w:r w:rsidR="00925C31" w:rsidRPr="00B50780">
              <w:rPr>
                <w:rStyle w:val="Hypertextovodkaz"/>
                <w:noProof/>
              </w:rPr>
              <w:t>Shrnutí výsledků</w:t>
            </w:r>
            <w:r w:rsidR="00925C31">
              <w:rPr>
                <w:noProof/>
                <w:webHidden/>
              </w:rPr>
              <w:tab/>
            </w:r>
            <w:r w:rsidR="00925C31">
              <w:rPr>
                <w:noProof/>
                <w:webHidden/>
              </w:rPr>
              <w:fldChar w:fldCharType="begin"/>
            </w:r>
            <w:r w:rsidR="00925C31">
              <w:rPr>
                <w:noProof/>
                <w:webHidden/>
              </w:rPr>
              <w:instrText xml:space="preserve"> PAGEREF _Toc88741513 \h </w:instrText>
            </w:r>
            <w:r w:rsidR="00925C31">
              <w:rPr>
                <w:noProof/>
                <w:webHidden/>
              </w:rPr>
            </w:r>
            <w:r w:rsidR="00925C31">
              <w:rPr>
                <w:noProof/>
                <w:webHidden/>
              </w:rPr>
              <w:fldChar w:fldCharType="separate"/>
            </w:r>
            <w:r>
              <w:rPr>
                <w:noProof/>
                <w:webHidden/>
              </w:rPr>
              <w:t>52</w:t>
            </w:r>
            <w:r w:rsidR="00925C31">
              <w:rPr>
                <w:noProof/>
                <w:webHidden/>
              </w:rPr>
              <w:fldChar w:fldCharType="end"/>
            </w:r>
          </w:hyperlink>
        </w:p>
        <w:p w14:paraId="48D3E59D" w14:textId="3D0EC99F" w:rsidR="00925C31" w:rsidRDefault="00C43719">
          <w:pPr>
            <w:pStyle w:val="Obsah3"/>
            <w:tabs>
              <w:tab w:val="left" w:pos="1320"/>
              <w:tab w:val="right" w:leader="dot" w:pos="9062"/>
            </w:tabs>
            <w:rPr>
              <w:rFonts w:cstheme="minorBidi"/>
              <w:noProof/>
            </w:rPr>
          </w:pPr>
          <w:hyperlink w:anchor="_Toc88741514" w:history="1">
            <w:r w:rsidR="00925C31" w:rsidRPr="00B50780">
              <w:rPr>
                <w:rStyle w:val="Hypertextovodkaz"/>
                <w:noProof/>
              </w:rPr>
              <w:t>2.3.4.</w:t>
            </w:r>
            <w:r w:rsidR="00925C31">
              <w:rPr>
                <w:rFonts w:cstheme="minorBidi"/>
                <w:noProof/>
              </w:rPr>
              <w:tab/>
            </w:r>
            <w:r w:rsidR="00925C31" w:rsidRPr="00B50780">
              <w:rPr>
                <w:rStyle w:val="Hypertextovodkaz"/>
                <w:noProof/>
              </w:rPr>
              <w:t>Diskuze</w:t>
            </w:r>
            <w:r w:rsidR="00925C31">
              <w:rPr>
                <w:noProof/>
                <w:webHidden/>
              </w:rPr>
              <w:tab/>
            </w:r>
            <w:r w:rsidR="00925C31">
              <w:rPr>
                <w:noProof/>
                <w:webHidden/>
              </w:rPr>
              <w:fldChar w:fldCharType="begin"/>
            </w:r>
            <w:r w:rsidR="00925C31">
              <w:rPr>
                <w:noProof/>
                <w:webHidden/>
              </w:rPr>
              <w:instrText xml:space="preserve"> PAGEREF _Toc88741514 \h </w:instrText>
            </w:r>
            <w:r w:rsidR="00925C31">
              <w:rPr>
                <w:noProof/>
                <w:webHidden/>
              </w:rPr>
            </w:r>
            <w:r w:rsidR="00925C31">
              <w:rPr>
                <w:noProof/>
                <w:webHidden/>
              </w:rPr>
              <w:fldChar w:fldCharType="separate"/>
            </w:r>
            <w:r>
              <w:rPr>
                <w:noProof/>
                <w:webHidden/>
              </w:rPr>
              <w:t>52</w:t>
            </w:r>
            <w:r w:rsidR="00925C31">
              <w:rPr>
                <w:noProof/>
                <w:webHidden/>
              </w:rPr>
              <w:fldChar w:fldCharType="end"/>
            </w:r>
          </w:hyperlink>
        </w:p>
        <w:p w14:paraId="041CA0A4" w14:textId="3B9E4A30" w:rsidR="00925C31" w:rsidRDefault="00C43719">
          <w:pPr>
            <w:pStyle w:val="Obsah3"/>
            <w:tabs>
              <w:tab w:val="left" w:pos="1320"/>
              <w:tab w:val="right" w:leader="dot" w:pos="9062"/>
            </w:tabs>
            <w:rPr>
              <w:rFonts w:cstheme="minorBidi"/>
              <w:noProof/>
            </w:rPr>
          </w:pPr>
          <w:hyperlink w:anchor="_Toc88741515" w:history="1">
            <w:r w:rsidR="00925C31" w:rsidRPr="00B50780">
              <w:rPr>
                <w:rStyle w:val="Hypertextovodkaz"/>
                <w:noProof/>
              </w:rPr>
              <w:t>2.3.5.</w:t>
            </w:r>
            <w:r w:rsidR="00925C31">
              <w:rPr>
                <w:rFonts w:cstheme="minorBidi"/>
                <w:noProof/>
              </w:rPr>
              <w:tab/>
            </w:r>
            <w:r w:rsidR="00925C31" w:rsidRPr="00B50780">
              <w:rPr>
                <w:rStyle w:val="Hypertextovodkaz"/>
                <w:noProof/>
              </w:rPr>
              <w:t>Závěr</w:t>
            </w:r>
            <w:r w:rsidR="00925C31">
              <w:rPr>
                <w:noProof/>
                <w:webHidden/>
              </w:rPr>
              <w:tab/>
            </w:r>
            <w:r w:rsidR="00925C31">
              <w:rPr>
                <w:noProof/>
                <w:webHidden/>
              </w:rPr>
              <w:fldChar w:fldCharType="begin"/>
            </w:r>
            <w:r w:rsidR="00925C31">
              <w:rPr>
                <w:noProof/>
                <w:webHidden/>
              </w:rPr>
              <w:instrText xml:space="preserve"> PAGEREF _Toc88741515 \h </w:instrText>
            </w:r>
            <w:r w:rsidR="00925C31">
              <w:rPr>
                <w:noProof/>
                <w:webHidden/>
              </w:rPr>
            </w:r>
            <w:r w:rsidR="00925C31">
              <w:rPr>
                <w:noProof/>
                <w:webHidden/>
              </w:rPr>
              <w:fldChar w:fldCharType="separate"/>
            </w:r>
            <w:r>
              <w:rPr>
                <w:noProof/>
                <w:webHidden/>
              </w:rPr>
              <w:t>54</w:t>
            </w:r>
            <w:r w:rsidR="00925C31">
              <w:rPr>
                <w:noProof/>
                <w:webHidden/>
              </w:rPr>
              <w:fldChar w:fldCharType="end"/>
            </w:r>
          </w:hyperlink>
        </w:p>
        <w:p w14:paraId="594B5692" w14:textId="49E93120" w:rsidR="00925C31" w:rsidRDefault="00C43719">
          <w:pPr>
            <w:pStyle w:val="Obsah3"/>
            <w:tabs>
              <w:tab w:val="left" w:pos="1320"/>
              <w:tab w:val="right" w:leader="dot" w:pos="9062"/>
            </w:tabs>
            <w:rPr>
              <w:rFonts w:cstheme="minorBidi"/>
              <w:noProof/>
            </w:rPr>
          </w:pPr>
          <w:hyperlink w:anchor="_Toc88741516" w:history="1">
            <w:r w:rsidR="00925C31" w:rsidRPr="00B50780">
              <w:rPr>
                <w:rStyle w:val="Hypertextovodkaz"/>
                <w:noProof/>
              </w:rPr>
              <w:t>2.3.6.</w:t>
            </w:r>
            <w:r w:rsidR="00925C31">
              <w:rPr>
                <w:rFonts w:cstheme="minorBidi"/>
                <w:noProof/>
              </w:rPr>
              <w:tab/>
            </w:r>
            <w:r w:rsidR="00925C31" w:rsidRPr="00B50780">
              <w:rPr>
                <w:rStyle w:val="Hypertextovodkaz"/>
                <w:noProof/>
              </w:rPr>
              <w:t>Podíl autora dizertační práce na daném tématu</w:t>
            </w:r>
            <w:r w:rsidR="00925C31">
              <w:rPr>
                <w:noProof/>
                <w:webHidden/>
              </w:rPr>
              <w:tab/>
            </w:r>
            <w:r w:rsidR="00925C31">
              <w:rPr>
                <w:noProof/>
                <w:webHidden/>
              </w:rPr>
              <w:fldChar w:fldCharType="begin"/>
            </w:r>
            <w:r w:rsidR="00925C31">
              <w:rPr>
                <w:noProof/>
                <w:webHidden/>
              </w:rPr>
              <w:instrText xml:space="preserve"> PAGEREF _Toc88741516 \h </w:instrText>
            </w:r>
            <w:r w:rsidR="00925C31">
              <w:rPr>
                <w:noProof/>
                <w:webHidden/>
              </w:rPr>
            </w:r>
            <w:r w:rsidR="00925C31">
              <w:rPr>
                <w:noProof/>
                <w:webHidden/>
              </w:rPr>
              <w:fldChar w:fldCharType="separate"/>
            </w:r>
            <w:r>
              <w:rPr>
                <w:noProof/>
                <w:webHidden/>
              </w:rPr>
              <w:t>54</w:t>
            </w:r>
            <w:r w:rsidR="00925C31">
              <w:rPr>
                <w:noProof/>
                <w:webHidden/>
              </w:rPr>
              <w:fldChar w:fldCharType="end"/>
            </w:r>
          </w:hyperlink>
        </w:p>
        <w:p w14:paraId="3A44F236" w14:textId="4E025FA5" w:rsidR="00925C31" w:rsidRDefault="00C43719">
          <w:pPr>
            <w:pStyle w:val="Obsah1"/>
            <w:tabs>
              <w:tab w:val="left" w:pos="440"/>
              <w:tab w:val="right" w:leader="dot" w:pos="9062"/>
            </w:tabs>
            <w:rPr>
              <w:noProof/>
            </w:rPr>
          </w:pPr>
          <w:hyperlink w:anchor="_Toc88741517" w:history="1">
            <w:r w:rsidR="00925C31" w:rsidRPr="00B50780">
              <w:rPr>
                <w:rStyle w:val="Hypertextovodkaz"/>
                <w:noProof/>
              </w:rPr>
              <w:t>3.</w:t>
            </w:r>
            <w:r w:rsidR="00925C31">
              <w:rPr>
                <w:noProof/>
              </w:rPr>
              <w:tab/>
            </w:r>
            <w:r w:rsidR="00925C31" w:rsidRPr="00B50780">
              <w:rPr>
                <w:rStyle w:val="Hypertextovodkaz"/>
                <w:noProof/>
              </w:rPr>
              <w:t>Souhrn</w:t>
            </w:r>
            <w:r w:rsidR="00925C31">
              <w:rPr>
                <w:noProof/>
                <w:webHidden/>
              </w:rPr>
              <w:tab/>
            </w:r>
            <w:r w:rsidR="00925C31">
              <w:rPr>
                <w:noProof/>
                <w:webHidden/>
              </w:rPr>
              <w:fldChar w:fldCharType="begin"/>
            </w:r>
            <w:r w:rsidR="00925C31">
              <w:rPr>
                <w:noProof/>
                <w:webHidden/>
              </w:rPr>
              <w:instrText xml:space="preserve"> PAGEREF _Toc88741517 \h </w:instrText>
            </w:r>
            <w:r w:rsidR="00925C31">
              <w:rPr>
                <w:noProof/>
                <w:webHidden/>
              </w:rPr>
            </w:r>
            <w:r w:rsidR="00925C31">
              <w:rPr>
                <w:noProof/>
                <w:webHidden/>
              </w:rPr>
              <w:fldChar w:fldCharType="separate"/>
            </w:r>
            <w:r>
              <w:rPr>
                <w:noProof/>
                <w:webHidden/>
              </w:rPr>
              <w:t>55</w:t>
            </w:r>
            <w:r w:rsidR="00925C31">
              <w:rPr>
                <w:noProof/>
                <w:webHidden/>
              </w:rPr>
              <w:fldChar w:fldCharType="end"/>
            </w:r>
          </w:hyperlink>
        </w:p>
        <w:p w14:paraId="020CCCED" w14:textId="6DFBB8CE" w:rsidR="00925C31" w:rsidRDefault="00C43719">
          <w:pPr>
            <w:pStyle w:val="Obsah1"/>
            <w:tabs>
              <w:tab w:val="left" w:pos="440"/>
              <w:tab w:val="right" w:leader="dot" w:pos="9062"/>
            </w:tabs>
            <w:rPr>
              <w:noProof/>
            </w:rPr>
          </w:pPr>
          <w:hyperlink w:anchor="_Toc88741518" w:history="1">
            <w:r w:rsidR="00925C31" w:rsidRPr="00B50780">
              <w:rPr>
                <w:rStyle w:val="Hypertextovodkaz"/>
                <w:noProof/>
              </w:rPr>
              <w:t>4.</w:t>
            </w:r>
            <w:r w:rsidR="00925C31">
              <w:rPr>
                <w:noProof/>
              </w:rPr>
              <w:tab/>
            </w:r>
            <w:r w:rsidR="00925C31" w:rsidRPr="00B50780">
              <w:rPr>
                <w:rStyle w:val="Hypertextovodkaz"/>
                <w:noProof/>
              </w:rPr>
              <w:t>Summary</w:t>
            </w:r>
            <w:r w:rsidR="00925C31">
              <w:rPr>
                <w:noProof/>
                <w:webHidden/>
              </w:rPr>
              <w:tab/>
            </w:r>
            <w:r w:rsidR="00925C31">
              <w:rPr>
                <w:noProof/>
                <w:webHidden/>
              </w:rPr>
              <w:fldChar w:fldCharType="begin"/>
            </w:r>
            <w:r w:rsidR="00925C31">
              <w:rPr>
                <w:noProof/>
                <w:webHidden/>
              </w:rPr>
              <w:instrText xml:space="preserve"> PAGEREF _Toc88741518 \h </w:instrText>
            </w:r>
            <w:r w:rsidR="00925C31">
              <w:rPr>
                <w:noProof/>
                <w:webHidden/>
              </w:rPr>
            </w:r>
            <w:r w:rsidR="00925C31">
              <w:rPr>
                <w:noProof/>
                <w:webHidden/>
              </w:rPr>
              <w:fldChar w:fldCharType="separate"/>
            </w:r>
            <w:r>
              <w:rPr>
                <w:noProof/>
                <w:webHidden/>
              </w:rPr>
              <w:t>56</w:t>
            </w:r>
            <w:r w:rsidR="00925C31">
              <w:rPr>
                <w:noProof/>
                <w:webHidden/>
              </w:rPr>
              <w:fldChar w:fldCharType="end"/>
            </w:r>
          </w:hyperlink>
        </w:p>
        <w:p w14:paraId="401E4244" w14:textId="772385E9" w:rsidR="00925C31" w:rsidRDefault="00C43719">
          <w:pPr>
            <w:pStyle w:val="Obsah1"/>
            <w:tabs>
              <w:tab w:val="left" w:pos="440"/>
              <w:tab w:val="right" w:leader="dot" w:pos="9062"/>
            </w:tabs>
            <w:rPr>
              <w:noProof/>
            </w:rPr>
          </w:pPr>
          <w:hyperlink w:anchor="_Toc88741519" w:history="1">
            <w:r w:rsidR="00925C31" w:rsidRPr="00B50780">
              <w:rPr>
                <w:rStyle w:val="Hypertextovodkaz"/>
                <w:noProof/>
              </w:rPr>
              <w:t>5.</w:t>
            </w:r>
            <w:r w:rsidR="00925C31">
              <w:rPr>
                <w:noProof/>
              </w:rPr>
              <w:tab/>
            </w:r>
            <w:r w:rsidR="00925C31" w:rsidRPr="00B50780">
              <w:rPr>
                <w:rStyle w:val="Hypertextovodkaz"/>
                <w:noProof/>
              </w:rPr>
              <w:t>Seznam obrázků a tabulek</w:t>
            </w:r>
            <w:r w:rsidR="00925C31">
              <w:rPr>
                <w:noProof/>
                <w:webHidden/>
              </w:rPr>
              <w:tab/>
            </w:r>
            <w:r w:rsidR="00925C31">
              <w:rPr>
                <w:noProof/>
                <w:webHidden/>
              </w:rPr>
              <w:fldChar w:fldCharType="begin"/>
            </w:r>
            <w:r w:rsidR="00925C31">
              <w:rPr>
                <w:noProof/>
                <w:webHidden/>
              </w:rPr>
              <w:instrText xml:space="preserve"> PAGEREF _Toc88741519 \h </w:instrText>
            </w:r>
            <w:r w:rsidR="00925C31">
              <w:rPr>
                <w:noProof/>
                <w:webHidden/>
              </w:rPr>
            </w:r>
            <w:r w:rsidR="00925C31">
              <w:rPr>
                <w:noProof/>
                <w:webHidden/>
              </w:rPr>
              <w:fldChar w:fldCharType="separate"/>
            </w:r>
            <w:r>
              <w:rPr>
                <w:noProof/>
                <w:webHidden/>
              </w:rPr>
              <w:t>57</w:t>
            </w:r>
            <w:r w:rsidR="00925C31">
              <w:rPr>
                <w:noProof/>
                <w:webHidden/>
              </w:rPr>
              <w:fldChar w:fldCharType="end"/>
            </w:r>
          </w:hyperlink>
        </w:p>
        <w:p w14:paraId="63E0FDF3" w14:textId="164092C6" w:rsidR="00925C31" w:rsidRDefault="00C43719">
          <w:pPr>
            <w:pStyle w:val="Obsah1"/>
            <w:tabs>
              <w:tab w:val="left" w:pos="440"/>
              <w:tab w:val="right" w:leader="dot" w:pos="9062"/>
            </w:tabs>
            <w:rPr>
              <w:noProof/>
            </w:rPr>
          </w:pPr>
          <w:hyperlink w:anchor="_Toc88741520" w:history="1">
            <w:r w:rsidR="00925C31" w:rsidRPr="00B50780">
              <w:rPr>
                <w:rStyle w:val="Hypertextovodkaz"/>
                <w:noProof/>
              </w:rPr>
              <w:t>6.</w:t>
            </w:r>
            <w:r w:rsidR="00925C31">
              <w:rPr>
                <w:noProof/>
              </w:rPr>
              <w:tab/>
            </w:r>
            <w:r w:rsidR="00925C31" w:rsidRPr="00B50780">
              <w:rPr>
                <w:rStyle w:val="Hypertextovodkaz"/>
                <w:noProof/>
              </w:rPr>
              <w:t>Seznam zkratek</w:t>
            </w:r>
            <w:r w:rsidR="00925C31">
              <w:rPr>
                <w:noProof/>
                <w:webHidden/>
              </w:rPr>
              <w:tab/>
            </w:r>
            <w:r w:rsidR="00925C31">
              <w:rPr>
                <w:noProof/>
                <w:webHidden/>
              </w:rPr>
              <w:fldChar w:fldCharType="begin"/>
            </w:r>
            <w:r w:rsidR="00925C31">
              <w:rPr>
                <w:noProof/>
                <w:webHidden/>
              </w:rPr>
              <w:instrText xml:space="preserve"> PAGEREF _Toc88741520 \h </w:instrText>
            </w:r>
            <w:r w:rsidR="00925C31">
              <w:rPr>
                <w:noProof/>
                <w:webHidden/>
              </w:rPr>
            </w:r>
            <w:r w:rsidR="00925C31">
              <w:rPr>
                <w:noProof/>
                <w:webHidden/>
              </w:rPr>
              <w:fldChar w:fldCharType="separate"/>
            </w:r>
            <w:r>
              <w:rPr>
                <w:noProof/>
                <w:webHidden/>
              </w:rPr>
              <w:t>59</w:t>
            </w:r>
            <w:r w:rsidR="00925C31">
              <w:rPr>
                <w:noProof/>
                <w:webHidden/>
              </w:rPr>
              <w:fldChar w:fldCharType="end"/>
            </w:r>
          </w:hyperlink>
        </w:p>
        <w:p w14:paraId="497B3C8D" w14:textId="56D2640C" w:rsidR="00925C31" w:rsidRDefault="00C43719">
          <w:pPr>
            <w:pStyle w:val="Obsah1"/>
            <w:tabs>
              <w:tab w:val="left" w:pos="440"/>
              <w:tab w:val="right" w:leader="dot" w:pos="9062"/>
            </w:tabs>
            <w:rPr>
              <w:noProof/>
            </w:rPr>
          </w:pPr>
          <w:hyperlink w:anchor="_Toc88741521" w:history="1">
            <w:r w:rsidR="00925C31" w:rsidRPr="00B50780">
              <w:rPr>
                <w:rStyle w:val="Hypertextovodkaz"/>
                <w:noProof/>
              </w:rPr>
              <w:t>7.</w:t>
            </w:r>
            <w:r w:rsidR="00925C31">
              <w:rPr>
                <w:noProof/>
              </w:rPr>
              <w:tab/>
            </w:r>
            <w:r w:rsidR="00925C31" w:rsidRPr="00B50780">
              <w:rPr>
                <w:rStyle w:val="Hypertextovodkaz"/>
                <w:noProof/>
              </w:rPr>
              <w:t>Seznam literatury</w:t>
            </w:r>
            <w:r w:rsidR="00925C31">
              <w:rPr>
                <w:noProof/>
                <w:webHidden/>
              </w:rPr>
              <w:tab/>
            </w:r>
            <w:r w:rsidR="00925C31">
              <w:rPr>
                <w:noProof/>
                <w:webHidden/>
              </w:rPr>
              <w:fldChar w:fldCharType="begin"/>
            </w:r>
            <w:r w:rsidR="00925C31">
              <w:rPr>
                <w:noProof/>
                <w:webHidden/>
              </w:rPr>
              <w:instrText xml:space="preserve"> PAGEREF _Toc88741521 \h </w:instrText>
            </w:r>
            <w:r w:rsidR="00925C31">
              <w:rPr>
                <w:noProof/>
                <w:webHidden/>
              </w:rPr>
            </w:r>
            <w:r w:rsidR="00925C31">
              <w:rPr>
                <w:noProof/>
                <w:webHidden/>
              </w:rPr>
              <w:fldChar w:fldCharType="separate"/>
            </w:r>
            <w:r>
              <w:rPr>
                <w:noProof/>
                <w:webHidden/>
              </w:rPr>
              <w:t>61</w:t>
            </w:r>
            <w:r w:rsidR="00925C31">
              <w:rPr>
                <w:noProof/>
                <w:webHidden/>
              </w:rPr>
              <w:fldChar w:fldCharType="end"/>
            </w:r>
          </w:hyperlink>
        </w:p>
        <w:p w14:paraId="17CECEEF" w14:textId="3717E7D0" w:rsidR="00925C31" w:rsidRDefault="00C43719">
          <w:pPr>
            <w:pStyle w:val="Obsah1"/>
            <w:tabs>
              <w:tab w:val="left" w:pos="440"/>
              <w:tab w:val="right" w:leader="dot" w:pos="9062"/>
            </w:tabs>
            <w:rPr>
              <w:noProof/>
            </w:rPr>
          </w:pPr>
          <w:hyperlink w:anchor="_Toc88741522" w:history="1">
            <w:r w:rsidR="00925C31" w:rsidRPr="00B50780">
              <w:rPr>
                <w:rStyle w:val="Hypertextovodkaz"/>
                <w:noProof/>
              </w:rPr>
              <w:t>8.</w:t>
            </w:r>
            <w:r w:rsidR="00925C31">
              <w:rPr>
                <w:noProof/>
              </w:rPr>
              <w:tab/>
            </w:r>
            <w:r w:rsidR="00925C31" w:rsidRPr="00B50780">
              <w:rPr>
                <w:rStyle w:val="Hypertextovodkaz"/>
                <w:noProof/>
              </w:rPr>
              <w:t>Seznam publikací autora</w:t>
            </w:r>
            <w:r w:rsidR="00925C31">
              <w:rPr>
                <w:noProof/>
                <w:webHidden/>
              </w:rPr>
              <w:tab/>
            </w:r>
            <w:r w:rsidR="00925C31">
              <w:rPr>
                <w:noProof/>
                <w:webHidden/>
              </w:rPr>
              <w:fldChar w:fldCharType="begin"/>
            </w:r>
            <w:r w:rsidR="00925C31">
              <w:rPr>
                <w:noProof/>
                <w:webHidden/>
              </w:rPr>
              <w:instrText xml:space="preserve"> PAGEREF _Toc88741522 \h </w:instrText>
            </w:r>
            <w:r w:rsidR="00925C31">
              <w:rPr>
                <w:noProof/>
                <w:webHidden/>
              </w:rPr>
            </w:r>
            <w:r w:rsidR="00925C31">
              <w:rPr>
                <w:noProof/>
                <w:webHidden/>
              </w:rPr>
              <w:fldChar w:fldCharType="separate"/>
            </w:r>
            <w:r>
              <w:rPr>
                <w:noProof/>
                <w:webHidden/>
              </w:rPr>
              <w:t>78</w:t>
            </w:r>
            <w:r w:rsidR="00925C31">
              <w:rPr>
                <w:noProof/>
                <w:webHidden/>
              </w:rPr>
              <w:fldChar w:fldCharType="end"/>
            </w:r>
          </w:hyperlink>
        </w:p>
        <w:p w14:paraId="73E554E7" w14:textId="413BE734" w:rsidR="00925C31" w:rsidRDefault="00C43719">
          <w:pPr>
            <w:pStyle w:val="Obsah2"/>
            <w:tabs>
              <w:tab w:val="left" w:pos="880"/>
              <w:tab w:val="right" w:leader="dot" w:pos="9062"/>
            </w:tabs>
            <w:rPr>
              <w:noProof/>
            </w:rPr>
          </w:pPr>
          <w:hyperlink w:anchor="_Toc88741523" w:history="1">
            <w:r w:rsidR="00925C31" w:rsidRPr="00B50780">
              <w:rPr>
                <w:rStyle w:val="Hypertextovodkaz"/>
                <w:noProof/>
              </w:rPr>
              <w:t>8.1.</w:t>
            </w:r>
            <w:r w:rsidR="00925C31">
              <w:rPr>
                <w:noProof/>
              </w:rPr>
              <w:tab/>
            </w:r>
            <w:r w:rsidR="00925C31" w:rsidRPr="00B50780">
              <w:rPr>
                <w:rStyle w:val="Hypertextovodkaz"/>
                <w:noProof/>
              </w:rPr>
              <w:t>Původní a přehledové práce</w:t>
            </w:r>
            <w:r w:rsidR="00925C31">
              <w:rPr>
                <w:noProof/>
                <w:webHidden/>
              </w:rPr>
              <w:tab/>
            </w:r>
            <w:r w:rsidR="00925C31">
              <w:rPr>
                <w:noProof/>
                <w:webHidden/>
              </w:rPr>
              <w:fldChar w:fldCharType="begin"/>
            </w:r>
            <w:r w:rsidR="00925C31">
              <w:rPr>
                <w:noProof/>
                <w:webHidden/>
              </w:rPr>
              <w:instrText xml:space="preserve"> PAGEREF _Toc88741523 \h </w:instrText>
            </w:r>
            <w:r w:rsidR="00925C31">
              <w:rPr>
                <w:noProof/>
                <w:webHidden/>
              </w:rPr>
            </w:r>
            <w:r w:rsidR="00925C31">
              <w:rPr>
                <w:noProof/>
                <w:webHidden/>
              </w:rPr>
              <w:fldChar w:fldCharType="separate"/>
            </w:r>
            <w:r>
              <w:rPr>
                <w:noProof/>
                <w:webHidden/>
              </w:rPr>
              <w:t>78</w:t>
            </w:r>
            <w:r w:rsidR="00925C31">
              <w:rPr>
                <w:noProof/>
                <w:webHidden/>
              </w:rPr>
              <w:fldChar w:fldCharType="end"/>
            </w:r>
          </w:hyperlink>
        </w:p>
        <w:p w14:paraId="3FF716F5" w14:textId="4EA1D2F0" w:rsidR="00925C31" w:rsidRDefault="00C43719">
          <w:pPr>
            <w:pStyle w:val="Obsah2"/>
            <w:tabs>
              <w:tab w:val="left" w:pos="880"/>
              <w:tab w:val="right" w:leader="dot" w:pos="9062"/>
            </w:tabs>
            <w:rPr>
              <w:noProof/>
            </w:rPr>
          </w:pPr>
          <w:hyperlink w:anchor="_Toc88741524" w:history="1">
            <w:r w:rsidR="00925C31" w:rsidRPr="00B50780">
              <w:rPr>
                <w:rStyle w:val="Hypertextovodkaz"/>
                <w:noProof/>
              </w:rPr>
              <w:t>8.2.</w:t>
            </w:r>
            <w:r w:rsidR="00925C31">
              <w:rPr>
                <w:noProof/>
              </w:rPr>
              <w:tab/>
            </w:r>
            <w:r w:rsidR="00925C31" w:rsidRPr="00B50780">
              <w:rPr>
                <w:rStyle w:val="Hypertextovodkaz"/>
                <w:noProof/>
              </w:rPr>
              <w:t>Prvoautorské přednášky a postery přednesené na odborných fórech</w:t>
            </w:r>
            <w:r w:rsidR="00925C31">
              <w:rPr>
                <w:noProof/>
                <w:webHidden/>
              </w:rPr>
              <w:tab/>
            </w:r>
            <w:r w:rsidR="00925C31">
              <w:rPr>
                <w:noProof/>
                <w:webHidden/>
              </w:rPr>
              <w:fldChar w:fldCharType="begin"/>
            </w:r>
            <w:r w:rsidR="00925C31">
              <w:rPr>
                <w:noProof/>
                <w:webHidden/>
              </w:rPr>
              <w:instrText xml:space="preserve"> PAGEREF _Toc88741524 \h </w:instrText>
            </w:r>
            <w:r w:rsidR="00925C31">
              <w:rPr>
                <w:noProof/>
                <w:webHidden/>
              </w:rPr>
            </w:r>
            <w:r w:rsidR="00925C31">
              <w:rPr>
                <w:noProof/>
                <w:webHidden/>
              </w:rPr>
              <w:fldChar w:fldCharType="separate"/>
            </w:r>
            <w:r>
              <w:rPr>
                <w:noProof/>
                <w:webHidden/>
              </w:rPr>
              <w:t>78</w:t>
            </w:r>
            <w:r w:rsidR="00925C31">
              <w:rPr>
                <w:noProof/>
                <w:webHidden/>
              </w:rPr>
              <w:fldChar w:fldCharType="end"/>
            </w:r>
          </w:hyperlink>
        </w:p>
        <w:p w14:paraId="0538845B" w14:textId="1FCD775C" w:rsidR="00925C31" w:rsidRDefault="00C43719">
          <w:pPr>
            <w:pStyle w:val="Obsah1"/>
            <w:tabs>
              <w:tab w:val="left" w:pos="440"/>
              <w:tab w:val="right" w:leader="dot" w:pos="9062"/>
            </w:tabs>
            <w:rPr>
              <w:noProof/>
            </w:rPr>
          </w:pPr>
          <w:hyperlink w:anchor="_Toc88741525" w:history="1">
            <w:r w:rsidR="00925C31" w:rsidRPr="00B50780">
              <w:rPr>
                <w:rStyle w:val="Hypertextovodkaz"/>
                <w:noProof/>
              </w:rPr>
              <w:t>9.</w:t>
            </w:r>
            <w:r w:rsidR="00925C31">
              <w:rPr>
                <w:noProof/>
              </w:rPr>
              <w:tab/>
            </w:r>
            <w:r w:rsidR="00925C31" w:rsidRPr="00B50780">
              <w:rPr>
                <w:rStyle w:val="Hypertextovodkaz"/>
                <w:noProof/>
              </w:rPr>
              <w:t xml:space="preserve">Přílohy </w:t>
            </w:r>
            <w:r w:rsidR="00925C31">
              <w:rPr>
                <w:noProof/>
                <w:webHidden/>
              </w:rPr>
              <w:tab/>
            </w:r>
            <w:r w:rsidR="00925C31">
              <w:rPr>
                <w:noProof/>
                <w:webHidden/>
              </w:rPr>
              <w:fldChar w:fldCharType="begin"/>
            </w:r>
            <w:r w:rsidR="00925C31">
              <w:rPr>
                <w:noProof/>
                <w:webHidden/>
              </w:rPr>
              <w:instrText xml:space="preserve"> PAGEREF _Toc88741525 \h </w:instrText>
            </w:r>
            <w:r w:rsidR="00925C31">
              <w:rPr>
                <w:noProof/>
                <w:webHidden/>
              </w:rPr>
            </w:r>
            <w:r w:rsidR="00925C31">
              <w:rPr>
                <w:noProof/>
                <w:webHidden/>
              </w:rPr>
              <w:fldChar w:fldCharType="separate"/>
            </w:r>
            <w:r>
              <w:rPr>
                <w:noProof/>
                <w:webHidden/>
              </w:rPr>
              <w:t>81</w:t>
            </w:r>
            <w:r w:rsidR="00925C31">
              <w:rPr>
                <w:noProof/>
                <w:webHidden/>
              </w:rPr>
              <w:fldChar w:fldCharType="end"/>
            </w:r>
          </w:hyperlink>
        </w:p>
        <w:p w14:paraId="1DF29FAF" w14:textId="530274C9" w:rsidR="00040049" w:rsidRDefault="00301FC7">
          <w:r>
            <w:fldChar w:fldCharType="end"/>
          </w:r>
        </w:p>
      </w:sdtContent>
    </w:sdt>
    <w:p w14:paraId="25172C29" w14:textId="77777777" w:rsidR="00291A64" w:rsidRDefault="00291A64" w:rsidP="007C510A">
      <w:pPr>
        <w:pStyle w:val="Nadpis1"/>
        <w:ind w:left="0" w:firstLine="0"/>
        <w:sectPr w:rsidR="00291A64" w:rsidSect="001F70A3">
          <w:footerReference w:type="default" r:id="rId9"/>
          <w:footerReference w:type="first" r:id="rId10"/>
          <w:pgSz w:w="11906" w:h="16838"/>
          <w:pgMar w:top="1417" w:right="1417" w:bottom="1417" w:left="1417" w:header="708" w:footer="708" w:gutter="0"/>
          <w:cols w:space="708"/>
          <w:titlePg/>
          <w:docGrid w:linePitch="360"/>
        </w:sectPr>
      </w:pPr>
    </w:p>
    <w:p w14:paraId="280D9EE0" w14:textId="3F7E4A7C" w:rsidR="0045050A" w:rsidRPr="00192562" w:rsidRDefault="0045050A" w:rsidP="00EA79DA">
      <w:pPr>
        <w:pStyle w:val="Nadpis1"/>
        <w:numPr>
          <w:ilvl w:val="0"/>
          <w:numId w:val="8"/>
        </w:numPr>
      </w:pPr>
      <w:bookmarkStart w:id="4" w:name="_Toc88741441"/>
      <w:r w:rsidRPr="00192562">
        <w:t>Teoretická část</w:t>
      </w:r>
      <w:bookmarkEnd w:id="4"/>
      <w:r w:rsidRPr="00192562">
        <w:t xml:space="preserve"> </w:t>
      </w:r>
    </w:p>
    <w:p w14:paraId="7C280C4E" w14:textId="1689B562" w:rsidR="008C7576" w:rsidRPr="00C60D5F" w:rsidRDefault="008C7576" w:rsidP="00217B12">
      <w:pPr>
        <w:pStyle w:val="Nadpis2"/>
      </w:pPr>
      <w:bookmarkStart w:id="5" w:name="_Toc88741442"/>
      <w:r w:rsidRPr="00C60D5F">
        <w:t>Gliální nádory</w:t>
      </w:r>
      <w:r w:rsidR="00322F9C" w:rsidRPr="00C60D5F">
        <w:t xml:space="preserve"> (</w:t>
      </w:r>
      <w:r w:rsidR="00192562" w:rsidRPr="00C60D5F">
        <w:t>g</w:t>
      </w:r>
      <w:r w:rsidR="00322F9C" w:rsidRPr="00C60D5F">
        <w:t>liomy)</w:t>
      </w:r>
      <w:bookmarkEnd w:id="5"/>
      <w:r w:rsidR="00192562" w:rsidRPr="00C60D5F">
        <w:t xml:space="preserve"> </w:t>
      </w:r>
    </w:p>
    <w:p w14:paraId="612F4610" w14:textId="77777777" w:rsidR="00EA79DA" w:rsidRDefault="00EA79DA" w:rsidP="00EC4DAF">
      <w:pPr>
        <w:pStyle w:val="Odstavecseseznamem"/>
        <w:tabs>
          <w:tab w:val="left" w:pos="975"/>
        </w:tabs>
        <w:ind w:left="0"/>
        <w:jc w:val="both"/>
      </w:pPr>
    </w:p>
    <w:p w14:paraId="342543C2" w14:textId="1D125991" w:rsidR="0050790E" w:rsidRDefault="00063737" w:rsidP="00EC4DAF">
      <w:pPr>
        <w:pStyle w:val="Odstavecseseznamem"/>
        <w:tabs>
          <w:tab w:val="left" w:pos="975"/>
        </w:tabs>
        <w:ind w:left="0"/>
        <w:jc w:val="both"/>
      </w:pPr>
      <w:r>
        <w:t>Gli</w:t>
      </w:r>
      <w:r w:rsidR="004105E6">
        <w:t>ální nádory</w:t>
      </w:r>
      <w:r w:rsidR="00322F9C">
        <w:t xml:space="preserve"> jsou nejčastější primární nádory mozku u dospělých</w:t>
      </w:r>
      <w:r w:rsidR="004105E6">
        <w:t xml:space="preserve"> vykazující vysokou malignitu a agresivitu</w:t>
      </w:r>
      <w:r w:rsidR="00322F9C">
        <w:t xml:space="preserve">.  Ačkoli jsou relativně vzácné, jsou charakterizovány vysokou mortalitou a morbiditou. </w:t>
      </w:r>
      <w:r w:rsidR="002E1F8C">
        <w:t xml:space="preserve">Tyto nádory jsou odvozeny z </w:t>
      </w:r>
      <w:r w:rsidR="005738FB">
        <w:t>neuro</w:t>
      </w:r>
      <w:r w:rsidR="002E1F8C">
        <w:t>gliálních buněk</w:t>
      </w:r>
      <w:r w:rsidR="005738FB">
        <w:t xml:space="preserve"> nebo jejich progenitorů</w:t>
      </w:r>
      <w:r w:rsidR="002E1F8C">
        <w:fldChar w:fldCharType="begin" w:fldLock="1"/>
      </w:r>
      <w:r w:rsidR="002E1F8C">
        <w:instrText>ADDIN CSL_CITATION {"citationItems":[{"id":"ITEM-1","itemData":{"DOI":"10.1056/NEJM200101113440207","ISSN":"00284793","PMID":"11150363","author":[{"dropping-particle":"","family":"DeAngelis","given":"Lisa M.","non-dropping-particle":"","parse-names":false,"suffix":""}],"container-title":"New England Journal of Medicine","id":"ITEM-1","issue":"2","issued":{"date-parts":[["2001","1","11"]]},"page":"114-123","publisher":"N Engl J Med","title":"Brain tumors","type":"article-journal","volume":"344"},"uris":["http://www.mendeley.com/documents/?uuid=2a53787d-ae1f-341f-a63a-737e98592f2f"]}],"mendeley":{"formattedCitation":"&lt;sup&gt;1&lt;/sup&gt;","plainTextFormattedCitation":"1","previouslyFormattedCitation":"&lt;sup&gt;1&lt;/sup&gt;"},"properties":{"noteIndex":0},"schema":"https://github.com/citation-style-language/schema/raw/master/csl-citation.json"}</w:instrText>
      </w:r>
      <w:r w:rsidR="002E1F8C">
        <w:fldChar w:fldCharType="separate"/>
      </w:r>
      <w:r w:rsidR="002E1F8C" w:rsidRPr="003A1091">
        <w:rPr>
          <w:noProof/>
          <w:vertAlign w:val="superscript"/>
        </w:rPr>
        <w:t>1</w:t>
      </w:r>
      <w:r w:rsidR="002E1F8C">
        <w:fldChar w:fldCharType="end"/>
      </w:r>
      <w:r w:rsidR="002E1F8C">
        <w:t>. Incidence gliomů se</w:t>
      </w:r>
      <w:r w:rsidR="000878D2">
        <w:t xml:space="preserve"> v jednotlivých studiích</w:t>
      </w:r>
      <w:r w:rsidR="002E1F8C">
        <w:t xml:space="preserve"> různí </w:t>
      </w:r>
      <w:r w:rsidR="000878D2">
        <w:t xml:space="preserve">v závislosti na </w:t>
      </w:r>
      <w:r w:rsidR="002E1F8C">
        <w:t>histologick</w:t>
      </w:r>
      <w:r w:rsidR="000878D2">
        <w:t>ém</w:t>
      </w:r>
      <w:r w:rsidR="002E1F8C">
        <w:t xml:space="preserve"> subty</w:t>
      </w:r>
      <w:r w:rsidR="000878D2">
        <w:t>pu</w:t>
      </w:r>
      <w:r w:rsidR="002E1F8C">
        <w:t>, věk</w:t>
      </w:r>
      <w:r w:rsidR="000878D2">
        <w:t>u</w:t>
      </w:r>
      <w:r w:rsidR="002E1F8C">
        <w:t xml:space="preserve"> v době diagnózy, pohlaví, ras</w:t>
      </w:r>
      <w:r w:rsidR="006B3482">
        <w:t>e</w:t>
      </w:r>
      <w:r w:rsidR="002E1F8C">
        <w:t xml:space="preserve"> i </w:t>
      </w:r>
      <w:r>
        <w:t xml:space="preserve">na </w:t>
      </w:r>
      <w:r w:rsidR="002E1F8C">
        <w:t>geografick</w:t>
      </w:r>
      <w:r w:rsidR="000878D2">
        <w:t>é</w:t>
      </w:r>
      <w:r w:rsidR="002E1F8C">
        <w:t xml:space="preserve"> polo</w:t>
      </w:r>
      <w:r>
        <w:t>ze</w:t>
      </w:r>
      <w:r w:rsidR="004105E6">
        <w:fldChar w:fldCharType="begin" w:fldLock="1"/>
      </w:r>
      <w:r w:rsidR="004105E6">
        <w:instrText>ADDIN CSL_CITATION {"citationItems":[{"id":"ITEM-1","itemData":{"DOI":"10.1007/978-3-319-12048-5_1","ISSN":"09273042","PMID":"25468222","abstract":"Gliomas are the most common type of primary intracranial tumors. Some glioma subtypes cause significant mortality and morbidity that are disproportionate to their relatively rare incidence. A very small proportion of glioma cases can be attributed to inherited genetic disorders. Many potential risk factors for glioma have been studied to date, but few provide explanation for the number of brain tumors identified. The most significant of these factors includes increased risk due to exposure to ionizing radiation, and decreased risk with history of allergy or atopic disease. The potential effect of exposure to cellular phones has been studied extensively, but the results remain inconclusive. Recent genomic analyses, using the genome-wide association study (GWAS) design, have identified several inherited risk variants that are associated with increased glioma risk. The following chapter provides an overview of the current state of research in the epidemiology of intracranial glioma.","author":[{"dropping-particle":"","family":"Ostrom","given":"Quinn T.","non-dropping-particle":"","parse-names":false,"suffix":""},{"dropping-particle":"","family":"Gittleman","given":"Haley","non-dropping-particle":"","parse-names":false,"suffix":""},{"dropping-particle":"","family":"Stetson","given":"Lindsay","non-dropping-particle":"","parse-names":false,"suffix":""},{"dropping-particle":"","family":"Virk","given":"Selene M.","non-dropping-particle":"","parse-names":false,"suffix":""},{"dropping-particle":"","family":"Barnholtz-Sloan","given":"Jill S.","non-dropping-particle":"","parse-names":false,"suffix":""}],"container-title":"Cancer Treatment and Research","id":"ITEM-1","issued":{"date-parts":[["2015"]]},"page":"1-14","publisher":"Kluwer Academic Publishers","title":"Epidemiology of Gliomas","type":"article-journal","volume":"163"},"uris":["http://www.mendeley.com/documents/?uuid=be733974-2597-3842-8b45-b09634f07e2a"]}],"mendeley":{"formattedCitation":"&lt;sup&gt;2&lt;/sup&gt;","plainTextFormattedCitation":"2","previouslyFormattedCitation":"&lt;sup&gt;2&lt;/sup&gt;"},"properties":{"noteIndex":0},"schema":"https://github.com/citation-style-language/schema/raw/master/csl-citation.json"}</w:instrText>
      </w:r>
      <w:r w:rsidR="004105E6">
        <w:fldChar w:fldCharType="separate"/>
      </w:r>
      <w:r w:rsidR="004105E6" w:rsidRPr="004105E6">
        <w:rPr>
          <w:noProof/>
          <w:vertAlign w:val="superscript"/>
        </w:rPr>
        <w:t>2</w:t>
      </w:r>
      <w:r w:rsidR="004105E6">
        <w:fldChar w:fldCharType="end"/>
      </w:r>
      <w:r w:rsidR="002E1F8C">
        <w:t xml:space="preserve">. Incidence tohoto onemocnění je </w:t>
      </w:r>
      <w:r w:rsidR="002463E0">
        <w:t xml:space="preserve">graficky zobrazena v Obrázku 1, </w:t>
      </w:r>
      <w:r w:rsidR="00A01609">
        <w:t xml:space="preserve">celosvětově </w:t>
      </w:r>
      <w:r w:rsidR="002463E0">
        <w:t xml:space="preserve">je </w:t>
      </w:r>
      <w:r w:rsidR="002E1F8C">
        <w:t>přibližně 5 diagnostikovaných na 100 000 obyvatel</w:t>
      </w:r>
      <w:r w:rsidR="005738FB">
        <w:t xml:space="preserve"> a všeobecně se gliomy častěji vyskytují u mužů než u žen</w:t>
      </w:r>
      <w:r w:rsidR="00764479">
        <w:fldChar w:fldCharType="begin" w:fldLock="1"/>
      </w:r>
      <w:r w:rsidR="004105E6">
        <w:instrText>ADDIN CSL_CITATION {"citationItems":[{"id":"ITEM-1","itemData":{"DOI":"10.1016/S1474-4422(18)30468-X","ISSN":"14744465","PMID":"30797715","abstract":"Background: Brain and CNS cancers (collectively referred to as CNS cancers) are a source of mortality and morbidity for which diagnosis and treatment require extensive resource allocation and sophisticated diagnostic and therapeutic technology. Previous epidemiological studies are limited to specific geographical regions or time periods, making them difficult to compare on a global scale. In this analysis, we aimed to provide a comparable and comprehensive estimation of the global burden of brain cancer between 1990 and 2016. Methods: We report means and 95% uncertainty intervals (UIs) for incidence, mortality, and disability-adjusted life-years (DALYs) estimates for CNS cancers (according to the International Classification of Diseases tenth revision: malignant neoplasm of meninges, malignant neoplasm of brain, and malignant neoplasm of spinal cord, cranial nerves, and other parts of CNS) from the Global Burden of Diseases, Injuries, and Risk Factors Study 2016. Data sources include vital registration and cancer registry data. Mortality was modelled using an ensemble model approach. Incidence was estimated by dividing the final mortality estimates by mortality to incidence ratios. DALYs were estimated by summing years of life lost and years lived with disability. Locations were grouped into quintiles based on the Socio-demographic Index (SDI), a summary indicator of income per capita, years of schooling, and total fertility rate. Findings: In 2016, there were 330 000 (95% UI 299 000 to 349 000) incident cases of CNS cancer and 227 000 (205 000 to 241 000) deaths globally, and age-standardised incidence rates of CNS cancer increased globally by 17·3% (95% UI 11·4 to 26·9) between 1990 and 2016 (2016 age-standardised incidence rate 4·63 per 100 000 person-years [4·17 to 4·90]). The highest age-standardised incidence rate was in the highest quintile of SDI (6·91 [5·71 to 7·53]). Age-standardised incidence rates increased with each SDI quintile. East Asia was the region with the most incident cases of CNS cancer for both sexes in 2016 (108 000 [95% UI 98 000 to 122 000]), followed by western Europe (49 000 [37 000 to 54 000]), and south Asia (31 000 [29 000 to 37 000]). The top three countries with the highest number of incident cases were China, the USA, and India. CNS cancer was responsible for 7·7 million (95% UI 6·9 to 8·3) DALYs globally, a non-significant change in age-standardised DALY rate of −10·0% (−16·4 to 2·6) between 1990 and 2016. The age-sta…","author":[{"dropping-particle":"","family":"Patel","given":"Anoop P.","non-dropping-particle":"","parse-names":false,"suffix":""},{"dropping-particle":"","family":"Fisher","given":"James L.","non-dropping-particle":"","parse-names":false,"suffix":""},{"dropping-particle":"","family":"Nichols","given":"Emma","non-dropping-particle":"","parse-names":false,"suffix":""},{"dropping-particle":"","family":"Abd-Allah","given":"Foad","non-dropping-particle":"","parse-names":false,"suffix":""},{"dropping-particle":"","family":"Abdela","given":"Jemal","non-dropping-particle":"","parse-names":false,"suffix":""},{"dropping-particle":"","family":"Abdelalim","given":"Ahmed","non-dropping-particle":"","parse-names":false,"suffix":""},{"dropping-particle":"","family":"Abraha","given":"Haftom Niguse","non-dropping-particle":"","parse-names":false,"suffix":""},{"dropping-particle":"","family":"Agius","given":"Dominic","non-dropping-particle":"","parse-names":false,"suffix":""},{"dropping-particle":"","family":"Alahdab","given":"Fares","non-dropping-particle":"","parse-names":false,"suffix":""},{"dropping-particle":"","family":"Alam","given":"Tahiya","non-dropping-particle":"","parse-names":false,"suffix":""},{"dropping-particle":"","family":"Allen","given":"Christine A.","non-dropping-particle":"","parse-names":false,"suffix":""},{"dropping-particle":"","family":"Anber","given":"Nahla Hamed","non-dropping-particle":"","parse-names":false,"suffix":""},{"dropping-particle":"","family":"Awasthi","given":"Ashish","non-dropping-particle":"","parse-names":false,"suffix":""},{"dropping-particle":"","family":"Badali","given":"Hamid","non-dropping-particle":"","parse-names":false,"suffix":""},{"dropping-particle":"","family":"Belachew","given":"Abate Bekele","non-dropping-particle":"","parse-names":false,"suffix":""},{"dropping-particle":"","family":"Bijani","given":"Ali","non-dropping-particle":"","parse-names":false,"suffix":""},{"dropping-particle":"","family":"Bjørge","given":"Tone","non-dropping-particle":"","parse-names":false,"suffix":""},{"dropping-particle":"","family":"Carvalho","given":"Félix","non-dropping-particle":"","parse-names":false,"suffix":""},{"dropping-particle":"","family":"Catalá-López","given":"Ferrán","non-dropping-particle":"","parse-names":false,"suffix":""},{"dropping-particle":"","family":"Choi","given":"Jee Young J.","non-dropping-particle":"","parse-names":false,"suffix":""},{"dropping-particle":"","family":"Daryani","given":"Ahmad","non-dropping-particle":"","parse-names":false,"suffix":""},{"dropping-particle":"","family":"Degefa","given":"Meaza Girma","non-dropping-particle":"","parse-names":false,"suffix":""},{"dropping-particle":"","family":"Demoz","given":"Gebre Teklemariam","non-dropping-particle":"","parse-names":false,"suffix":""},{"dropping-particle":"","family":"Do","given":"Huyen Phuc","non-dropping-particle":"","parse-names":false,"suffix":""},{"dropping-particle":"","family":"Dubey","given":"Manisha","non-dropping-particle":"","parse-names":false,"suffix":""},{"dropping-particle":"","family":"Fernandes","given":"Eduarda","non-dropping-particle":"","parse-names":false,"suffix":""},{"dropping-particle":"","family":"Filip","given":"Irina","non-dropping-particle":"","parse-names":false,"suffix":""},{"dropping-particle":"","family":"Foreman","given":"Kyle J.","non-dropping-particle":"","parse-names":false,"suffix":""},{"dropping-particle":"","family":"Gebre","given":"Abadi Kahsu","non-dropping-particle":"","parse-names":false,"suffix":""},{"dropping-particle":"","family":"Geramo","given":"Yilma Chisha Dea","non-dropping-particle":"","parse-names":false,"suffix":""},{"dropping-particle":"","family":"Hafezi-Nejad","given":"Nima","non-dropping-particle":"","parse-names":false,"suffix":""},{"dropping-particle":"","family":"Hamidi","given":"Samer","non-dropping-particle":"","parse-names":false,"suffix":""},{"dropping-particle":"","family":"Harvey","given":"James D.","non-dropping-particle":"","parse-names":false,"suffix":""},{"dropping-particle":"","family":"Hassen","given":"Hamid Yimam","non-dropping-particle":"","parse-names":false,"suffix":""},{"dropping-particle":"","family":"Hay","given":"Simon I.","non-dropping-particle":"","parse-names":false,"suffix":""},{"dropping-particle":"","family":"Irvani","given":"Seyed Sina Naghibi","non-dropping-particle":"","parse-names":false,"suffix":""},{"dropping-particle":"","family":"Jakovljevic","given":"Mihajlo","non-dropping-particle":"","parse-names":false,"suffix":""},{"dropping-particle":"","family":"Jha","given":"Ravi Prakash","non-dropping-particle":"","parse-names":false,"suffix":""},{"dropping-particle":"","family":"Kasaeian","given":"Amir","non-dropping-particle":"","parse-names":false,"suffix":""},{"dropping-particle":"","family":"Khalil","given":"Ibrahim A.","non-dropping-particle":"","parse-names":false,"suffix":""},{"dropping-particle":"","family":"Khan","given":"Ejaz Ahmad","non-dropping-particle":"","parse-names":false,"suffix":""},{"dropping-particle":"","family":"Khang","given":"Young Ho","non-dropping-particle":"","parse-names":false,"suffix":""},{"dropping-particle":"","family":"Kim","given":"Yun Jin","non-dropping-particle":"","parse-names":false,"suffix":""},{"dropping-particle":"","family":"Mengistu","given":"Getnet","non-dropping-particle":"","parse-names":false,"suffix":""},{"dropping-particle":"","family":"Mohammad","given":"Karzan Abdulmuhsin","non-dropping-particle":"","parse-names":false,"suffix":""},{"dropping-particle":"","family":"Mokdad","given":"Ali H.","non-dropping-particle":"","parse-names":false,"suffix":""},{"dropping-particle":"","family":"Nagel","given":"Gabriele","non-dropping-particle":"","parse-names":false,"suffix":""},{"dropping-particle":"","family":"Naghavi","given":"Mohsen","non-dropping-particle":"","parse-names":false,"suffix":""},{"dropping-particle":"","family":"Naik","given":"Gurudatta","non-dropping-particle":"","parse-names":false,"suffix":""},{"dropping-particle":"","family":"Nguyen","given":"Huong Lan Thi","non-dropping-particle":"","parse-names":false,"suffix":""},{"dropping-particle":"","family":"Nguyen","given":"Long Hoang","non-dropping-particle":"","parse-names":false,"suffix":""},{"dropping-particle":"","family":"Nguyen","given":"Trang Huyen","non-dropping-particle":"","parse-names":false,"suffix":""},{"dropping-particle":"","family":"Nixon","given":"Molly R.","non-dropping-particle":"","parse-names":false,"suffix":""},{"dropping-particle":"","family":"Olagunju","given":"Andrew T.","non-dropping-particle":"","parse-names":false,"suffix":""},{"dropping-particle":"","family":"Pereira","given":"David M.","non-dropping-particle":"","parse-names":false,"suffix":""},{"dropping-particle":"","family":"Pinilla-Monsalve","given":"Gabriel David","non-dropping-particle":"","parse-names":false,"suffix":""},{"dropping-particle":"","family":"Poustchi","given":"Hossein","non-dropping-particle":"","parse-names":false,"suffix":""},{"dropping-particle":"","family":"Qorbani","given":"Mostafa","non-dropping-particle":"","parse-names":false,"suffix":""},{"dropping-particle":"","family":"Radfar","given":"Amir","non-dropping-particle":"","parse-names":false,"suffix":""},{"dropping-particle":"","family":"Reiner","given":"Robert C.","non-dropping-particle":"","parse-names":false,"suffix":""},{"dropping-particle":"","family":"Roshandel","given":"Gholamreza","non-dropping-particle":"","parse-names":false,"suffix":""},{"dropping-particle":"","family":"Safari","given":"Hosein","non-dropping-particle":"","parse-names":false,"suffix":""},{"dropping-particle":"","family":"Safiri","given":"Saeid","non-dropping-particle":"","parse-names":false,"suffix":""},{"dropping-particle":"","family":"Samy","given":"Abdallah M.","non-dropping-particle":"","parse-names":false,"suffix":""},{"dropping-particle":"","family":"Sarvi","given":"Shahabeddin","non-dropping-particle":"","parse-names":false,"suffix":""},{"dropping-particle":"","family":"Shaikh","given":"Masood Ali","non-dropping-particle":"","parse-names":false,"suffix":""},{"dropping-particle":"","family":"Sharif","given":"Mehdi","non-dropping-particle":"","parse-names":false,"suffix":""},{"dropping-particle":"","family":"Sharma","given":"Rajesh","non-dropping-particle":"","parse-names":false,"suffix":""},{"dropping-particle":"","family":"Sheikhbahaei","given":"Sara","non-dropping-particle":"","parse-names":false,"suffix":""},{"dropping-particle":"","family":"Shirkoohi","given":"Reza","non-dropping-particle":"","parse-names":false,"suffix":""},{"dropping-particle":"","family":"Singh","given":"Jasvinder A.","non-dropping-particle":"","parse-names":false,"suffix":""},{"dropping-particle":"","family":"Smith","given":"Mari","non-dropping-particle":"","parse-names":false,"suffix":""},{"dropping-particle":"","family":"Tabarés-Seisdedos","given":"Rafael","non-dropping-particle":"","parse-names":false,"suffix":""},{"dropping-particle":"","family":"Tran","given":"Bach Xuan","non-dropping-particle":"","parse-names":false,"suffix":""},{"dropping-particle":"","family":"Tran","given":"Khanh Bao","non-dropping-particle":"","parse-names":false,"suffix":""},{"dropping-particle":"","family":"Ullah","given":"Irfan","non-dropping-particle":"","parse-names":false,"suffix":""},{"dropping-particle":"","family":"Weiderpass","given":"Elisabete","non-dropping-particle":"","parse-names":false,"suffix":""},{"dropping-particle":"","family":"Weldegwergs","given":"Kidu Gidey","non-dropping-particle":"","parse-names":false,"suffix":""},{"dropping-particle":"","family":"Yimer","given":"Ebrahim M.","non-dropping-particle":"","parse-names":false,"suffix":""},{"dropping-particle":"","family":"Zadnik","given":"Vesna","non-dropping-particle":"","parse-names":false,"suffix":""},{"dropping-particle":"","family":"Zaidi","given":"Zoubida","non-dropping-particle":"","parse-names":false,"suffix":""},{"dropping-particle":"","family":"Ellenbogen","given":"Richard G.","non-dropping-particle":"","parse-names":false,"suffix":""},{"dropping-particle":"","family":"Vos","given":"Theo","non-dropping-particle":"","parse-names":false,"suffix":""},{"dropping-particle":"","family":"Feigin","given":"Valery L.","non-dropping-particle":"","parse-names":false,"suffix":""},{"dropping-particle":"","family":"Murray","given":"Christopher J.L.","non-dropping-particle":"","parse-names":false,"suffix":""},{"dropping-particle":"","family":"Fitzmaurice","given":"Christina","non-dropping-particle":"","parse-names":false,"suffix":""}],"container-title":"The Lancet Neurology","id":"ITEM-1","issue":"4","issued":{"date-parts":[["2019","4","1"]]},"page":"376-393","publisher":"Lancet Publishing Group","title":"Global, regional, and national burden of brain and other CNS cancer, 1990–2016: a systematic analysis for the Global Burden of Disease Study 2016","type":"article-journal","volume":"18"},"uris":["http://www.mendeley.com/documents/?uuid=8c97f2d0-b63f-335a-9c5f-01e6521493e5"]}],"mendeley":{"formattedCitation":"&lt;sup&gt;3&lt;/sup&gt;","plainTextFormattedCitation":"3","previouslyFormattedCitation":"&lt;sup&gt;3&lt;/sup&gt;"},"properties":{"noteIndex":0},"schema":"https://github.com/citation-style-language/schema/raw/master/csl-citation.json"}</w:instrText>
      </w:r>
      <w:r w:rsidR="00764479">
        <w:fldChar w:fldCharType="separate"/>
      </w:r>
      <w:r w:rsidR="004105E6" w:rsidRPr="004105E6">
        <w:rPr>
          <w:noProof/>
          <w:vertAlign w:val="superscript"/>
        </w:rPr>
        <w:t>3</w:t>
      </w:r>
      <w:r w:rsidR="00764479">
        <w:fldChar w:fldCharType="end"/>
      </w:r>
      <w:r w:rsidR="005738FB">
        <w:t>.</w:t>
      </w:r>
      <w:r w:rsidR="004D5EFE">
        <w:t xml:space="preserve"> </w:t>
      </w:r>
      <w:r w:rsidR="00CD7191">
        <w:t xml:space="preserve">Napříč všemi nádory mozku, </w:t>
      </w:r>
      <w:r w:rsidR="006B3482">
        <w:t xml:space="preserve">tvoří </w:t>
      </w:r>
      <w:r w:rsidR="00CD7191">
        <w:t>gliální nádory 60 % těchto nádorů</w:t>
      </w:r>
      <w:r w:rsidR="00CD7191">
        <w:fldChar w:fldCharType="begin" w:fldLock="1"/>
      </w:r>
      <w:r w:rsidR="00592460">
        <w:instrText>ADDIN CSL_CITATION {"citationItems":[{"id":"ITEM-1","itemData":{"DOI":"10.1201/9781315120522","ISBN":"9781498729734","PMID":"32644468","abstract":"Astrocytoma (or astrocytic tumor) represents a diverse group of brain tumors that arises from astrocytes (or astrocyte-like glial cells) in the central nervous system (CNS). Based on histopathological and molecular criteria, the 2016 WHO classification of CNS tumors separates astrocytoma into three categories: diffuse astrocytic tumors, other astrocytic tumors, and other gliomas [1].","author":[{"dropping-particle":"","family":"Kapoor","given":"Mayank","non-dropping-particle":"","parse-names":false,"suffix":""},{"dropping-particle":"","family":"Gupta","given":"Vikas","non-dropping-particle":"","parse-names":false,"suffix":""}],"container-title":"Tumors and Cancers: Central and Peripheral Nervous Systems","id":"ITEM-1","issued":{"date-parts":[["2017","1","1"]]},"page":"1-16","publisher":"CRC Press","title":"Astrocytoma","type":"chapter"},"uris":["http://www.mendeley.com/documents/?uuid=05774b35-bcea-330c-81c1-779c294c1eb4"]}],"mendeley":{"formattedCitation":"&lt;sup&gt;4&lt;/sup&gt;","plainTextFormattedCitation":"4","previouslyFormattedCitation":"&lt;sup&gt;4&lt;/sup&gt;"},"properties":{"noteIndex":0},"schema":"https://github.com/citation-style-language/schema/raw/master/csl-citation.json"}</w:instrText>
      </w:r>
      <w:r w:rsidR="00CD7191">
        <w:fldChar w:fldCharType="separate"/>
      </w:r>
      <w:r w:rsidR="00592460" w:rsidRPr="00592460">
        <w:rPr>
          <w:noProof/>
          <w:vertAlign w:val="superscript"/>
        </w:rPr>
        <w:t>4</w:t>
      </w:r>
      <w:r w:rsidR="00CD7191">
        <w:fldChar w:fldCharType="end"/>
      </w:r>
      <w:r w:rsidR="00CD7191">
        <w:t>.</w:t>
      </w:r>
      <w:r w:rsidR="006B3482">
        <w:t xml:space="preserve"> </w:t>
      </w:r>
      <w:r w:rsidR="004D5EFE">
        <w:t>V </w:t>
      </w:r>
      <w:r w:rsidR="00CD7191">
        <w:t>Č</w:t>
      </w:r>
      <w:r w:rsidR="004D5EFE">
        <w:t>eské republice byla incidence v roce 2018 rovna osm</w:t>
      </w:r>
      <w:r w:rsidR="00CD7191">
        <w:t>i</w:t>
      </w:r>
      <w:r w:rsidR="004D5EFE">
        <w:t xml:space="preserve"> případům a mortalita rovna hodnotě přes šest úmrtní na 100 000 obyvatel, kdy tato čísla mají od roku 1977 vzrůst</w:t>
      </w:r>
      <w:r w:rsidR="006431C6">
        <w:t>ající charakter</w:t>
      </w:r>
      <w:r w:rsidR="006431C6">
        <w:fldChar w:fldCharType="begin" w:fldLock="1"/>
      </w:r>
      <w:r w:rsidR="00592460">
        <w:instrText>ADDIN CSL_CITATION {"citationItems":[{"id":"ITEM-1","itemData":{"id":"ITEM-1","issued":{"date-parts":[["0"]]},"title":"www.svod.cz","type":"webpage"},"uris":["http://www.mendeley.com/documents/?uuid=662e9003-57be-4d6d-a4b7-dbc7fdace01f"]}],"mendeley":{"formattedCitation":"&lt;sup&gt;5&lt;/sup&gt;","plainTextFormattedCitation":"5","previouslyFormattedCitation":"&lt;sup&gt;5&lt;/sup&gt;"},"properties":{"noteIndex":0},"schema":"https://github.com/citation-style-language/schema/raw/master/csl-citation.json"}</w:instrText>
      </w:r>
      <w:r w:rsidR="006431C6">
        <w:fldChar w:fldCharType="separate"/>
      </w:r>
      <w:r w:rsidR="00592460" w:rsidRPr="00592460">
        <w:rPr>
          <w:noProof/>
          <w:vertAlign w:val="superscript"/>
        </w:rPr>
        <w:t>5</w:t>
      </w:r>
      <w:r w:rsidR="006431C6">
        <w:fldChar w:fldCharType="end"/>
      </w:r>
      <w:r w:rsidR="006431C6">
        <w:t>.</w:t>
      </w:r>
      <w:r w:rsidR="005738FB">
        <w:t xml:space="preserve"> </w:t>
      </w:r>
      <w:r w:rsidR="00CB75D7">
        <w:t xml:space="preserve">Bohužel nejčastějším podtypem </w:t>
      </w:r>
      <w:r w:rsidR="0051134B">
        <w:t>primárního nádoru mozku je glioblastom gradu IV a i přes maximální</w:t>
      </w:r>
      <w:r w:rsidR="009D7238">
        <w:t xml:space="preserve"> radikalitu léčby je spojován </w:t>
      </w:r>
      <w:r w:rsidR="0051134B">
        <w:t>se špatnou prognózou</w:t>
      </w:r>
      <w:r w:rsidR="00786D56">
        <w:t xml:space="preserve"> a přežitím </w:t>
      </w:r>
      <w:r w:rsidR="00ED6277">
        <w:t xml:space="preserve">zřídka kdy </w:t>
      </w:r>
      <w:r w:rsidR="00786D56">
        <w:t>přesahujícím 2 roky</w:t>
      </w:r>
      <w:r w:rsidR="004105E6">
        <w:fldChar w:fldCharType="begin" w:fldLock="1"/>
      </w:r>
      <w:r w:rsidR="00592460">
        <w:instrText>ADDIN CSL_CITATION {"citationItems":[{"id":"ITEM-1","itemData":{"DOI":"10.1038/ncpneuro0289","ISSN":"1745834X","PMID":"16932614","abstract":"Gliomas account for almost 80% of primary malignant brain tumors, and they result in more years of life lost than do any other tumors. Glioblastoma, the most common type of glioma, is associated with very poor survival, so glioma epidemiology has focused on identifying factors that can be modified to prevent this disease. Only two relatively rare factors have so far been conclusively shown to affect glioma risk - exposure to high doses of ionizing radiation, and inherited mutations of highly penetrant genes associated with rare syndromes. In addition, preliminary evidence points to a lower glioma risk among people with allergic conditions and high levels of serum IgE. Recent research has focused on identifying germline polymorphisms associated with risk of glioma, and using molecular markers to classify glial tumors into more-homogenous groups. Because gene products probably interact with environmental factors or developmental signals to produce gliomas, large studies are needed to analyze associations between polymorphisms and glioma. Cohort studies of immune factors and glioma risk are being undertaken to validate the results of case - control studies. Studies of polymorphisms of genetic pathways with strong prior hypotheses are being planned, and whole-genome scans are being proposed to study high-risk families and case - control series. The Brain Tumor Epidemiology Consortium has been formed to co-ordinate these studies.","author":[{"dropping-particle":"","family":"Schwartzbaum","given":"Judith A.","non-dropping-particle":"","parse-names":false,"suffix":""},{"dropping-particle":"","family":"Fisher","given":"James L.","non-dropping-particle":"","parse-names":false,"suffix":""},{"dropping-particle":"","family":"Aldape","given":"Kenneth D.","non-dropping-particle":"","parse-names":false,"suffix":""},{"dropping-particle":"","family":"Wrensch","given":"Margaret","non-dropping-particle":"","parse-names":false,"suffix":""}],"container-title":"Nature Clinical Practice Neurology","id":"ITEM-1","issue":"9","issued":{"date-parts":[["2006","9"]]},"page":"494-503","publisher":"Nat Clin Pract Neurol","title":"Epidemiology and molecular pathology of glioma","type":"article","volume":"2"},"uris":["http://www.mendeley.com/documents/?uuid=eda04f3b-aaa2-3936-914b-20f1b0d029fe"]}],"mendeley":{"formattedCitation":"&lt;sup&gt;6&lt;/sup&gt;","plainTextFormattedCitation":"6","previouslyFormattedCitation":"&lt;sup&gt;6&lt;/sup&gt;"},"properties":{"noteIndex":0},"schema":"https://github.com/citation-style-language/schema/raw/master/csl-citation.json"}</w:instrText>
      </w:r>
      <w:r w:rsidR="004105E6">
        <w:fldChar w:fldCharType="separate"/>
      </w:r>
      <w:r w:rsidR="00592460" w:rsidRPr="00592460">
        <w:rPr>
          <w:noProof/>
          <w:vertAlign w:val="superscript"/>
        </w:rPr>
        <w:t>6</w:t>
      </w:r>
      <w:r w:rsidR="004105E6">
        <w:fldChar w:fldCharType="end"/>
      </w:r>
      <w:r w:rsidR="0051134B">
        <w:t xml:space="preserve">. Naproti tomu low grade gliomy se řadí mezi benigní nádory </w:t>
      </w:r>
      <w:r w:rsidR="00786D56">
        <w:t>s relativně</w:t>
      </w:r>
      <w:r w:rsidR="0051134B">
        <w:t xml:space="preserve"> dobrou prognóz</w:t>
      </w:r>
      <w:r w:rsidR="00786D56">
        <w:t>o</w:t>
      </w:r>
      <w:r w:rsidR="0051134B">
        <w:t xml:space="preserve">u.  </w:t>
      </w:r>
    </w:p>
    <w:p w14:paraId="603C8144" w14:textId="77777777" w:rsidR="004D5EFE" w:rsidRDefault="004D5EFE" w:rsidP="004D5EFE">
      <w:pPr>
        <w:pStyle w:val="Odstavecseseznamem"/>
        <w:tabs>
          <w:tab w:val="left" w:pos="975"/>
        </w:tabs>
        <w:ind w:left="360"/>
        <w:jc w:val="both"/>
        <w:rPr>
          <w:sz w:val="20"/>
          <w:szCs w:val="20"/>
        </w:rPr>
      </w:pPr>
    </w:p>
    <w:p w14:paraId="1BE33D6C" w14:textId="6980F093" w:rsidR="002E1F8C" w:rsidRDefault="002E1F8C" w:rsidP="005738FB">
      <w:pPr>
        <w:pStyle w:val="Odstavecseseznamem"/>
        <w:tabs>
          <w:tab w:val="left" w:pos="975"/>
        </w:tabs>
        <w:ind w:left="360"/>
        <w:jc w:val="both"/>
      </w:pPr>
    </w:p>
    <w:p w14:paraId="01F318CF" w14:textId="77777777" w:rsidR="00306B65" w:rsidRDefault="004D5EFE" w:rsidP="00306B65">
      <w:pPr>
        <w:pStyle w:val="Odstavecseseznamem"/>
        <w:keepNext/>
        <w:tabs>
          <w:tab w:val="left" w:pos="975"/>
        </w:tabs>
        <w:ind w:left="360"/>
        <w:jc w:val="both"/>
      </w:pPr>
      <w:r>
        <w:rPr>
          <w:noProof/>
        </w:rPr>
        <w:drawing>
          <wp:inline distT="0" distB="0" distL="0" distR="0" wp14:anchorId="31016D2D" wp14:editId="0D64AAF7">
            <wp:extent cx="5663452" cy="32004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714" t="29327" r="34203" b="24317"/>
                    <a:stretch/>
                  </pic:blipFill>
                  <pic:spPr bwMode="auto">
                    <a:xfrm>
                      <a:off x="0" y="0"/>
                      <a:ext cx="5670456" cy="3204358"/>
                    </a:xfrm>
                    <a:prstGeom prst="rect">
                      <a:avLst/>
                    </a:prstGeom>
                    <a:ln>
                      <a:noFill/>
                    </a:ln>
                    <a:extLst>
                      <a:ext uri="{53640926-AAD7-44D8-BBD7-CCE9431645EC}">
                        <a14:shadowObscured xmlns:a14="http://schemas.microsoft.com/office/drawing/2010/main"/>
                      </a:ext>
                    </a:extLst>
                  </pic:spPr>
                </pic:pic>
              </a:graphicData>
            </a:graphic>
          </wp:inline>
        </w:drawing>
      </w:r>
    </w:p>
    <w:p w14:paraId="62EDAFDD" w14:textId="2D6AD1EF" w:rsidR="00306B65" w:rsidRPr="004D5EFE" w:rsidRDefault="00306B65" w:rsidP="009D5866">
      <w:pPr>
        <w:pStyle w:val="Odstavecseseznamem"/>
        <w:tabs>
          <w:tab w:val="left" w:pos="975"/>
        </w:tabs>
        <w:ind w:left="0"/>
        <w:jc w:val="center"/>
        <w:rPr>
          <w:noProof/>
        </w:rPr>
      </w:pPr>
      <w:bookmarkStart w:id="6" w:name="_Toc67162688"/>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1</w:t>
      </w:r>
      <w:r w:rsidRPr="00306B65">
        <w:rPr>
          <w:b/>
          <w:bCs/>
          <w:sz w:val="20"/>
          <w:szCs w:val="20"/>
        </w:rPr>
        <w:fldChar w:fldCharType="end"/>
      </w:r>
      <w:r w:rsidRPr="00306B65">
        <w:rPr>
          <w:b/>
          <w:bCs/>
          <w:sz w:val="20"/>
          <w:szCs w:val="20"/>
        </w:rPr>
        <w:t>:</w:t>
      </w:r>
      <w:r>
        <w:rPr>
          <w:b/>
          <w:bCs/>
          <w:sz w:val="20"/>
          <w:szCs w:val="20"/>
        </w:rPr>
        <w:t xml:space="preserve"> </w:t>
      </w:r>
      <w:r>
        <w:rPr>
          <w:sz w:val="20"/>
          <w:szCs w:val="20"/>
        </w:rPr>
        <w:t>Celosvětová i</w:t>
      </w:r>
      <w:r w:rsidRPr="004D5EFE">
        <w:rPr>
          <w:sz w:val="20"/>
          <w:szCs w:val="20"/>
        </w:rPr>
        <w:t>ncidence nádorů CNS v přepočtu na 100 000 obyvatel</w:t>
      </w:r>
      <w:r w:rsidRPr="006B3482">
        <w:rPr>
          <w:sz w:val="20"/>
          <w:szCs w:val="20"/>
        </w:rPr>
        <w:t>. Převzato z originálu</w:t>
      </w:r>
      <w:r w:rsidRPr="004D5EFE">
        <w:rPr>
          <w:noProof/>
          <w:vertAlign w:val="superscript"/>
        </w:rPr>
        <w:fldChar w:fldCharType="begin" w:fldLock="1"/>
      </w:r>
      <w:r w:rsidRPr="004D5EFE">
        <w:rPr>
          <w:noProof/>
          <w:vertAlign w:val="superscript"/>
        </w:rPr>
        <w:instrText>ADDIN CSL_CITATION {"citationItems":[{"id":"ITEM-1","itemData":{"DOI":"10.1016/S1474-4422(18)30468-X","ISSN":"14744465","PMID":"30797715","abstract":"Background: Brain and CNS cancers (collectively referred to as CNS cancers) are a source of mortality and morbidity for which diagnosis and treatment require extensive resource allocation and sophisticated diagnostic and therapeutic technology. Previous epidemiological studies are limited to specific geographical regions or time periods, making them difficult to compare on a global scale. In this analysis, we aimed to provide a comparable and comprehensive estimation of the global burden of brain cancer between 1990 and 2016. Methods: We report means and 95% uncertainty intervals (UIs) for incidence, mortality, and disability-adjusted life-years (DALYs) estimates for CNS cancers (according to the International Classification of Diseases tenth revision: malignant neoplasm of meninges, malignant neoplasm of brain, and malignant neoplasm of spinal cord, cranial nerves, and other parts of CNS) from the Global Burden of Diseases, Injuries, and Risk Factors Study 2016. Data sources include vital registration and cancer registry data. Mortality was modelled using an ensemble model approach. Incidence was estimated by dividing the final mortality estimates by mortality to incidence ratios. DALYs were estimated by summing years of life lost and years lived with disability. Locations were grouped into quintiles based on the Socio-demographic Index (SDI), a summary indicator of income per capita, years of schooling, and total fertility rate. Findings: In 2016, there were 330 000 (95% UI 299 000 to 349 000) incident cases of CNS cancer and 227 000 (205 000 to 241 000) deaths globally, and age-standardised incidence rates of CNS cancer increased globally by 17·3% (95% UI 11·4 to 26·9) between 1990 and 2016 (2016 age-standardised incidence rate 4·63 per 100 000 person-years [4·17 to 4·90]). The highest age-standardised incidence rate was in the highest quintile of SDI (6·91 [5·71 to 7·53]). Age-standardised incidence rates increased with each SDI quintile. East Asia was the region with the most incident cases of CNS cancer for both sexes in 2016 (108 000 [95% UI 98 000 to 122 000]), followed by western Europe (49 000 [37 000 to 54 000]), and south Asia (31 000 [29 000 to 37 000]). The top three countries with the highest number of incident cases were China, the USA, and India. CNS cancer was responsible for 7·7 million (95% UI 6·9 to 8·3) DALYs globally, a non-significant change in age-standardised DALY rate of −10·0% (−16·4 to 2·6) between 1990 and 2016. The age-sta…","author":[{"dropping-particle":"","family":"Patel","given":"Anoop P.","non-dropping-particle":"","parse-names":false,"suffix":""},{"dropping-particle":"","family":"Fisher","given":"James L.","non-dropping-particle":"","parse-names":false,"suffix":""},{"dropping-particle":"","family":"Nichols","given":"Emma","non-dropping-particle":"","parse-names":false,"suffix":""},{"dropping-particle":"","family":"Abd-Allah","given":"Foad","non-dropping-particle":"","parse-names":false,"suffix":""},{"dropping-particle":"","family":"Abdela","given":"Jemal","non-dropping-particle":"","parse-names":false,"suffix":""},{"dropping-particle":"","family":"Abdelalim","given":"Ahmed","non-dropping-particle":"","parse-names":false,"suffix":""},{"dropping-particle":"","family":"Abraha","given":"Haftom Niguse","non-dropping-particle":"","parse-names":false,"suffix":""},{"dropping-particle":"","family":"Agius","given":"Dominic","non-dropping-particle":"","parse-names":false,"suffix":""},{"dropping-particle":"","family":"Alahdab","given":"Fares","non-dropping-particle":"","parse-names":false,"suffix":""},{"dropping-particle":"","family":"Alam","given":"Tahiya","non-dropping-particle":"","parse-names":false,"suffix":""},{"dropping-particle":"","family":"Allen","given":"Christine A.","non-dropping-particle":"","parse-names":false,"suffix":""},{"dropping-particle":"","family":"Anber","given":"Nahla Hamed","non-dropping-particle":"","parse-names":false,"suffix":""},{"dropping-particle":"","family":"Awasthi","given":"Ashish","non-dropping-particle":"","parse-names":false,"suffix":""},{"dropping-particle":"","family":"Badali","given":"Hamid","non-dropping-particle":"","parse-names":false,"suffix":""},{"dropping-particle":"","family":"Belachew","given":"Abate Bekele","non-dropping-particle":"","parse-names":false,"suffix":""},{"dropping-particle":"","family":"Bijani","given":"Ali","non-dropping-particle":"","parse-names":false,"suffix":""},{"dropping-particle":"","family":"Bjørge","given":"Tone","non-dropping-particle":"","parse-names":false,"suffix":""},{"dropping-particle":"","family":"Carvalho","given":"Félix","non-dropping-particle":"","parse-names":false,"suffix":""},{"dropping-particle":"","family":"Catalá-López","given":"Ferrán","non-dropping-particle":"","parse-names":false,"suffix":""},{"dropping-particle":"","family":"Choi","given":"Jee Young J.","non-dropping-particle":"","parse-names":false,"suffix":""},{"dropping-particle":"","family":"Daryani","given":"Ahmad","non-dropping-particle":"","parse-names":false,"suffix":""},{"dropping-particle":"","family":"Degefa","given":"Meaza Girma","non-dropping-particle":"","parse-names":false,"suffix":""},{"dropping-particle":"","family":"Demoz","given":"Gebre Teklemariam","non-dropping-particle":"","parse-names":false,"suffix":""},{"dropping-particle":"","family":"Do","given":"Huyen Phuc","non-dropping-particle":"","parse-names":false,"suffix":""},{"dropping-particle":"","family":"Dubey","given":"Manisha","non-dropping-particle":"","parse-names":false,"suffix":""},{"dropping-particle":"","family":"Fernandes","given":"Eduarda","non-dropping-particle":"","parse-names":false,"suffix":""},{"dropping-particle":"","family":"Filip","given":"Irina","non-dropping-particle":"","parse-names":false,"suffix":""},{"dropping-particle":"","family":"Foreman","given":"Kyle J.","non-dropping-particle":"","parse-names":false,"suffix":""},{"dropping-particle":"","family":"Gebre","given":"Abadi Kahsu","non-dropping-particle":"","parse-names":false,"suffix":""},{"dropping-particle":"","family":"Geramo","given":"Yilma Chisha Dea","non-dropping-particle":"","parse-names":false,"suffix":""},{"dropping-particle":"","family":"Hafezi-Nejad","given":"Nima","non-dropping-particle":"","parse-names":false,"suffix":""},{"dropping-particle":"","family":"Hamidi","given":"Samer","non-dropping-particle":"","parse-names":false,"suffix":""},{"dropping-particle":"","family":"Harvey","given":"James D.","non-dropping-particle":"","parse-names":false,"suffix":""},{"dropping-particle":"","family":"Hassen","given":"Hamid Yimam","non-dropping-particle":"","parse-names":false,"suffix":""},{"dropping-particle":"","family":"Hay","given":"Simon I.","non-dropping-particle":"","parse-names":false,"suffix":""},{"dropping-particle":"","family":"Irvani","given":"Seyed Sina Naghibi","non-dropping-particle":"","parse-names":false,"suffix":""},{"dropping-particle":"","family":"Jakovljevic","given":"Mihajlo","non-dropping-particle":"","parse-names":false,"suffix":""},{"dropping-particle":"","family":"Jha","given":"Ravi Prakash","non-dropping-particle":"","parse-names":false,"suffix":""},{"dropping-particle":"","family":"Kasaeian","given":"Amir","non-dropping-particle":"","parse-names":false,"suffix":""},{"dropping-particle":"","family":"Khalil","given":"Ibrahim A.","non-dropping-particle":"","parse-names":false,"suffix":""},{"dropping-particle":"","family":"Khan","given":"Ejaz Ahmad","non-dropping-particle":"","parse-names":false,"suffix":""},{"dropping-particle":"","family":"Khang","given":"Young Ho","non-dropping-particle":"","parse-names":false,"suffix":""},{"dropping-particle":"","family":"Kim","given":"Yun Jin","non-dropping-particle":"","parse-names":false,"suffix":""},{"dropping-particle":"","family":"Mengistu","given":"Getnet","non-dropping-particle":"","parse-names":false,"suffix":""},{"dropping-particle":"","family":"Mohammad","given":"Karzan Abdulmuhsin","non-dropping-particle":"","parse-names":false,"suffix":""},{"dropping-particle":"","family":"Mokdad","given":"Ali H.","non-dropping-particle":"","parse-names":false,"suffix":""},{"dropping-particle":"","family":"Nagel","given":"Gabriele","non-dropping-particle":"","parse-names":false,"suffix":""},{"dropping-particle":"","family":"Naghavi","given":"Mohsen","non-dropping-particle":"","parse-names":false,"suffix":""},{"dropping-particle":"","family":"Naik","given":"Gurudatta","non-dropping-particle":"","parse-names":false,"suffix":""},{"dropping-particle":"","family":"Nguyen","given":"Huong Lan Thi","non-dropping-particle":"","parse-names":false,"suffix":""},{"dropping-particle":"","family":"Nguyen","given":"Long Hoang","non-dropping-particle":"","parse-names":false,"suffix":""},{"dropping-particle":"","family":"Nguyen","given":"Trang Huyen","non-dropping-particle":"","parse-names":false,"suffix":""},{"dropping-particle":"","family":"Nixon","given":"Molly R.","non-dropping-particle":"","parse-names":false,"suffix":""},{"dropping-particle":"","family":"Olagunju","given":"Andrew T.","non-dropping-particle":"","parse-names":false,"suffix":""},{"dropping-particle":"","family":"Pereira","given":"David M.","non-dropping-particle":"","parse-names":false,"suffix":""},{"dropping-particle":"","family":"Pinilla-Monsalve","given":"Gabriel David","non-dropping-particle":"","parse-names":false,"suffix":""},{"dropping-particle":"","family":"Poustchi","given":"Hossein","non-dropping-particle":"","parse-names":false,"suffix":""},{"dropping-particle":"","family":"Qorbani","given":"Mostafa","non-dropping-particle":"","parse-names":false,"suffix":""},{"dropping-particle":"","family":"Radfar","given":"Amir","non-dropping-particle":"","parse-names":false,"suffix":""},{"dropping-particle":"","family":"Reiner","given":"Robert C.","non-dropping-particle":"","parse-names":false,"suffix":""},{"dropping-particle":"","family":"Roshandel","given":"Gholamreza","non-dropping-particle":"","parse-names":false,"suffix":""},{"dropping-particle":"","family":"Safari","given":"Hosein","non-dropping-particle":"","parse-names":false,"suffix":""},{"dropping-particle":"","family":"Safiri","given":"Saeid","non-dropping-particle":"","parse-names":false,"suffix":""},{"dropping-particle":"","family":"Samy","given":"Abdallah M.","non-dropping-particle":"","parse-names":false,"suffix":""},{"dropping-particle":"","family":"Sarvi","given":"Shahabeddin","non-dropping-particle":"","parse-names":false,"suffix":""},{"dropping-particle":"","family":"Shaikh","given":"Masood Ali","non-dropping-particle":"","parse-names":false,"suffix":""},{"dropping-particle":"","family":"Sharif","given":"Mehdi","non-dropping-particle":"","parse-names":false,"suffix":""},{"dropping-particle":"","family":"Sharma","given":"Rajesh","non-dropping-particle":"","parse-names":false,"suffix":""},{"dropping-particle":"","family":"Sheikhbahaei","given":"Sara","non-dropping-particle":"","parse-names":false,"suffix":""},{"dropping-particle":"","family":"Shirkoohi","given":"Reza","non-dropping-particle":"","parse-names":false,"suffix":""},{"dropping-particle":"","family":"Singh","given":"Jasvinder A.","non-dropping-particle":"","parse-names":false,"suffix":""},{"dropping-particle":"","family":"Smith","given":"Mari","non-dropping-particle":"","parse-names":false,"suffix":""},{"dropping-particle":"","family":"Tabarés-Seisdedos","given":"Rafael","non-dropping-particle":"","parse-names":false,"suffix":""},{"dropping-particle":"","family":"Tran","given":"Bach Xuan","non-dropping-particle":"","parse-names":false,"suffix":""},{"dropping-particle":"","family":"Tran","given":"Khanh Bao","non-dropping-particle":"","parse-names":false,"suffix":""},{"dropping-particle":"","family":"Ullah","given":"Irfan","non-dropping-particle":"","parse-names":false,"suffix":""},{"dropping-particle":"","family":"Weiderpass","given":"Elisabete","non-dropping-particle":"","parse-names":false,"suffix":""},{"dropping-particle":"","family":"Weldegwergs","given":"Kidu Gidey","non-dropping-particle":"","parse-names":false,"suffix":""},{"dropping-particle":"","family":"Yimer","given":"Ebrahim M.","non-dropping-particle":"","parse-names":false,"suffix":""},{"dropping-particle":"","family":"Zadnik","given":"Vesna","non-dropping-particle":"","parse-names":false,"suffix":""},{"dropping-particle":"","family":"Zaidi","given":"Zoubida","non-dropping-particle":"","parse-names":false,"suffix":""},{"dropping-particle":"","family":"Ellenbogen","given":"Richard G.","non-dropping-particle":"","parse-names":false,"suffix":""},{"dropping-particle":"","family":"Vos","given":"Theo","non-dropping-particle":"","parse-names":false,"suffix":""},{"dropping-particle":"","family":"Feigin","given":"Valery L.","non-dropping-particle":"","parse-names":false,"suffix":""},{"dropping-particle":"","family":"Murray","given":"Christopher J.L.","non-dropping-particle":"","parse-names":false,"suffix":""},{"dropping-particle":"","family":"Fitzmaurice","given":"Christina","non-dropping-particle":"","parse-names":false,"suffix":""}],"container-title":"The Lancet Neurology","id":"ITEM-1","issue":"4","issued":{"date-parts":[["2019","4","1"]]},"page":"376-393","publisher":"Lancet Publishing Group","title":"Global, regional, and national burden of brain and other CNS cancer, 1990–2016: a systematic analysis for the Global Burden of Disease Study 2016","type":"article-journal","volume":"18"},"uris":["http://www.mendeley.com/documents/?uuid=8c97f2d0-b63f-335a-9c5f-01e6521493e5"]}],"mendeley":{"formattedCitation":"&lt;sup&gt;3&lt;/sup&gt;","plainTextFormattedCitation":"3","previouslyFormattedCitation":"&lt;sup&gt;3&lt;/sup&gt;"},"properties":{"noteIndex":0},"schema":"https://github.com/citation-style-language/schema/raw/master/csl-citation.json"}</w:instrText>
      </w:r>
      <w:r w:rsidRPr="004D5EFE">
        <w:rPr>
          <w:noProof/>
          <w:vertAlign w:val="superscript"/>
        </w:rPr>
        <w:fldChar w:fldCharType="separate"/>
      </w:r>
      <w:r w:rsidRPr="004D5EFE">
        <w:rPr>
          <w:noProof/>
          <w:vertAlign w:val="superscript"/>
        </w:rPr>
        <w:t>3</w:t>
      </w:r>
      <w:r w:rsidRPr="004D5EFE">
        <w:rPr>
          <w:noProof/>
          <w:vertAlign w:val="superscript"/>
        </w:rPr>
        <w:fldChar w:fldCharType="end"/>
      </w:r>
      <w:r>
        <w:rPr>
          <w:noProof/>
        </w:rPr>
        <w:t>.</w:t>
      </w:r>
      <w:bookmarkEnd w:id="6"/>
    </w:p>
    <w:p w14:paraId="3C9EA40A" w14:textId="77777777" w:rsidR="004D5EFE" w:rsidRDefault="004D5EFE" w:rsidP="00EC4DAF">
      <w:pPr>
        <w:pStyle w:val="Odstavecseseznamem"/>
        <w:tabs>
          <w:tab w:val="left" w:pos="975"/>
        </w:tabs>
        <w:ind w:left="0"/>
        <w:jc w:val="both"/>
      </w:pPr>
    </w:p>
    <w:p w14:paraId="33B03866" w14:textId="40DEC789" w:rsidR="00786D56" w:rsidRDefault="00786D56" w:rsidP="00EC4DAF">
      <w:pPr>
        <w:pStyle w:val="Odstavecseseznamem"/>
        <w:tabs>
          <w:tab w:val="left" w:pos="975"/>
        </w:tabs>
        <w:ind w:left="0"/>
        <w:jc w:val="both"/>
      </w:pPr>
      <w:r>
        <w:t xml:space="preserve">Díky pokroku molekulární medicíny </w:t>
      </w:r>
      <w:r w:rsidR="005F2396">
        <w:t xml:space="preserve">byla na základě rozvoje sekvenování a genomických studií vytipovány markery napříč širokým spektrem nádorových onemocnění. Mezi </w:t>
      </w:r>
      <w:r w:rsidR="0012134A">
        <w:t>prvními</w:t>
      </w:r>
      <w:r w:rsidR="005F2396">
        <w:t xml:space="preserve"> biomarkery v oblasti gliálních nádorů byl</w:t>
      </w:r>
      <w:r w:rsidR="0012134A">
        <w:t>y</w:t>
      </w:r>
      <w:r w:rsidR="005F2396">
        <w:t xml:space="preserve"> nalezen</w:t>
      </w:r>
      <w:r w:rsidR="0012134A">
        <w:t>y</w:t>
      </w:r>
      <w:r w:rsidR="005F2396">
        <w:t xml:space="preserve"> metylace pro O6-methylguanin-DNA-methyltransferázu</w:t>
      </w:r>
      <w:r w:rsidR="007E48C7">
        <w:t xml:space="preserve"> </w:t>
      </w:r>
      <w:r w:rsidR="007E48C7" w:rsidRPr="00917484">
        <w:t>(</w:t>
      </w:r>
      <w:r w:rsidR="007E48C7" w:rsidRPr="00091D5F">
        <w:rPr>
          <w:i/>
          <w:iCs/>
        </w:rPr>
        <w:t>MGMT</w:t>
      </w:r>
      <w:r w:rsidR="007E48C7" w:rsidRPr="00917484">
        <w:t>)</w:t>
      </w:r>
      <w:r w:rsidR="0012134A" w:rsidRPr="00917484">
        <w:t>, mutace genu pro isocitrát dehydrogenázu 1/2</w:t>
      </w:r>
      <w:r w:rsidR="007E48C7" w:rsidRPr="00917484">
        <w:t xml:space="preserve"> (</w:t>
      </w:r>
      <w:r w:rsidR="007E48C7" w:rsidRPr="00091D5F">
        <w:rPr>
          <w:i/>
          <w:iCs/>
        </w:rPr>
        <w:t>IDH1/2</w:t>
      </w:r>
      <w:r w:rsidR="007E48C7" w:rsidRPr="00917484">
        <w:t>)</w:t>
      </w:r>
      <w:r w:rsidR="00CD70A7" w:rsidRPr="00917484">
        <w:t>,</w:t>
      </w:r>
      <w:r w:rsidR="00CD70A7">
        <w:t xml:space="preserve"> </w:t>
      </w:r>
      <w:r w:rsidR="0012134A">
        <w:t xml:space="preserve">kodelece chromozomálních </w:t>
      </w:r>
      <w:r w:rsidR="0012134A" w:rsidRPr="00A01609">
        <w:t>oblastí 1p/19q</w:t>
      </w:r>
      <w:r w:rsidR="00CD70A7">
        <w:t xml:space="preserve"> a </w:t>
      </w:r>
      <w:r w:rsidR="00A01609">
        <w:t xml:space="preserve">amplifikace genu pro </w:t>
      </w:r>
      <w:r w:rsidR="0076779E" w:rsidRPr="00A01609">
        <w:t>receptor epidermálního růstového faktoru</w:t>
      </w:r>
      <w:r w:rsidR="0076779E">
        <w:t xml:space="preserve"> 1</w:t>
      </w:r>
      <w:r w:rsidR="009D7238">
        <w:t xml:space="preserve"> (</w:t>
      </w:r>
      <w:r w:rsidR="009D7238" w:rsidRPr="001E77FF">
        <w:rPr>
          <w:i/>
        </w:rPr>
        <w:t>EGFR1</w:t>
      </w:r>
      <w:r w:rsidR="009D7238">
        <w:t>)</w:t>
      </w:r>
      <w:r w:rsidR="00D74ADA">
        <w:fldChar w:fldCharType="begin" w:fldLock="1"/>
      </w:r>
      <w:r w:rsidR="00CC7CB0">
        <w:instrText>ADDIN CSL_CITATION {"citationItems":[{"id":"ITEM-1","itemData":{"DOI":"10.1126/science.1164382","ISSN":"0036-8075","PMID":"18772396","abstract":"Glioblastoma multiforme (GBM) is the most common and lethal type of brain cancer. To identify the genetic alterations in GBMs, we sequenced 20,661 protein coding genes, determined the presence of amplifications and deletions using high-density oligonucleotide arrays, and performed gene expression analyses using next-generation sequencing technologies in 22 human tumor samples. This comprehensive analysis led to the discovery of a variety of genes that were not known to be altered in GBMs. Most notably, we found recurrent mutations in the active site of isocitrate dehydrogenase 1 (IDH1) in 12% of GBM patients. Mutations in IDH1 occurred in a large fraction of young patients and in most patients with secondary GBMs and were associated with an increase in overall survival. These studies demonstrate the value of unbiased genomic analyses in the characterization of human brain cancer and identify a potentially useful genetic alteration for the classification and targeted therapy of GBMs.","author":[{"dropping-particle":"","family":"Parsons","given":"D. W.","non-dropping-particle":"","parse-names":false,"suffix":""},{"dropping-particle":"","family":"Jones","given":"S.","non-dropping-particle":"","parse-names":false,"suffix":""},{"dropping-particle":"","family":"Zhang","given":"X.","non-dropping-particle":"","parse-names":false,"suffix":""},{"dropping-particle":"","family":"Lin","given":"J. C.-H.","non-dropping-particle":"","parse-names":false,"suffix":""},{"dropping-particle":"","family":"Leary","given":"R. J.","non-dropping-particle":"","parse-names":false,"suffix":""},{"dropping-particle":"","family":"Angenendt","given":"P.","non-dropping-particle":"","parse-names":false,"suffix":""},{"dropping-particle":"","family":"Mankoo","given":"P.","non-dropping-particle":"","parse-names":false,"suffix":""},{"dropping-particle":"","family":"Carter","given":"H.","non-dropping-particle":"","parse-names":false,"suffix":""},{"dropping-particle":"","family":"Siu","given":"I-M.","non-dropping-particle":"","parse-names":false,"suffix":""},{"dropping-particle":"","family":"Gallia","given":"G. L.","non-dropping-particle":"","parse-names":false,"suffix":""},{"dropping-particle":"","family":"Olivi","given":"A.","non-dropping-particle":"","parse-names":false,"suffix":""},{"dropping-particle":"","family":"McLendon","given":"R.","non-dropping-particle":"","parse-names":false,"suffix":""},{"dropping-particle":"","family":"Rasheed","given":"B. A.","non-dropping-particle":"","parse-names":false,"suffix":""},{"dropping-particle":"","family":"Keir","given":"S.","non-dropping-particle":"","parse-names":false,"suffix":""},{"dropping-particle":"","family":"Nikolskaya","given":"T.","non-dropping-particle":"","parse-names":false,"suffix":""},{"dropping-particle":"","family":"Nikolsky","given":"Y.","non-dropping-particle":"","parse-names":false,"suffix":""},{"dropping-particle":"","family":"Busam","given":"D. A.","non-dropping-particle":"","parse-names":false,"suffix":""},{"dropping-particle":"","family":"Tekleab","given":"H.","non-dropping-particle":"","parse-names":false,"suffix":""},{"dropping-particle":"","family":"Diaz","given":"L. A.","non-dropping-particle":"","parse-names":false,"suffix":""},{"dropping-particle":"","family":"Hartigan","given":"J.","non-dropping-particle":"","parse-names":false,"suffix":""},{"dropping-particle":"","family":"Smith","given":"D. R.","non-dropping-particle":"","parse-names":false,"suffix":""},{"dropping-particle":"","family":"Strausberg","given":"R. L.","non-dropping-particle":"","parse-names":false,"suffix":""},{"dropping-particle":"","family":"Marie","given":"S. K. N.","non-dropping-particle":"","parse-names":false,"suffix":""},{"dropping-particle":"","family":"Shinjo","given":"S. M. O.","non-dropping-particle":"","parse-names":false,"suffix":""},{"dropping-particle":"","family":"Yan","given":"H.","non-dropping-particle":"","parse-names":false,"suffix":""},{"dropping-particle":"","family":"Riggins","given":"G. J.","non-dropping-particle":"","parse-names":false,"suffix":""},{"dropping-particle":"","family":"Bigner","given":"D. D.","non-dropping-particle":"","parse-names":false,"suffix":""},{"dropping-particle":"","family":"Karchin","given":"R.","non-dropping-particle":"","parse-names":false,"suffix":""},{"dropping-particle":"","family":"Papadopoulos","given":"N.","non-dropping-particle":"","parse-names":false,"suffix":""},{"dropping-particle":"","family":"Parmigiani","given":"G.","non-dropping-particle":"","parse-names":false,"suffix":""},{"dropping-particle":"","family":"Vogelstein","given":"B.","non-dropping-particle":"","parse-names":false,"suffix":""},{"dropping-particle":"","family":"Velculescu","given":"V. E.","non-dropping-particle":"","parse-names":false,"suffix":""},{"dropping-particle":"","family":"Kinzler","given":"K. W.","non-dropping-particle":"","parse-names":false,"suffix":""}],"container-title":"Science","id":"ITEM-1","issue":"5897","issued":{"date-parts":[["2008","9","26"]]},"page":"1807-1812","title":"An Integrated Genomic Analysis of Human Glioblastoma Multiforme","type":"article-journal","volume":"321"},"uris":["http://www.mendeley.com/documents/?uuid=3055003b-7c76-3609-8bb1-174f87a52852"]},{"id":"ITEM-2","itemData":{"DOI":"10.1200/JCO.1998.16.10.3310","ISSN":"0732183X","PMID":"9779706","abstract":"Purpose: Prior studies show that increased levels of the DNA repair protein O6 methylguanine-DNA methyltransferase (MGMT), also referred to as O6-alkylguanine-DNA alkyltransferase (AGT) correlate with the resistance of glioma cell lines to nitrosoureas. The observed nitrosourea sensitivity of MGMT-deficient lines (methyl excision repair negative [MER-]) and those repair-proficient lines pretreated with MGMT-specific inhibitors (eg, 06 benzylguanine) has raised the possibility that tumor MGMT levels may be an important predictor of survival in patients with gliomas. Patients and Methods: We correlated the MGMT level in malignant astrocytoma tissues, obtained from patients treated with radiotherapy and bis- chloroethylnitrosourea (BCNU) on a prior prospective trial (Southwest Oncology Group [SWAG] 8737), with overall and failure-free survival. Results: Of 64 assessable patients with malignant astrocytoma (63% glioblastoma, 37% anaplastic astrocytoma), 64% had high (&gt; 60,000 molecules/nucleus) MGMT levels. The overall median survival for patients with high versus low MGMT levels was 8 and 29 months, respectively (P = .0002), and median failure- free survival 3 and 6 months, respectively (P = .008). Subset analysis by histology (high v low MGMT levels) for anaplastic astrocytoma was 14 versus 62 months (n = 24) and for glioblastoma was 7 versus 12 months (n = 40). The overall hazards ratio (risk for death) for high versus low MGMT levels was 3.41; in young patients, the hazards ratio was higher (age 18 to 40 years, 4.19; age 41 to 60 years, 3.08) but became equal by MGMT level at age older than 60 years (1.11). Multivariate analysis showed that MGMT was independent of other known prognostic factors (age, performance status, histology). Conclusion: The MGMT level in tumor tissue specimens may be a predictive marker of survival in patients with malignant astrocytoma that is independent of other previously described prognostic variables.","author":[{"dropping-particle":"","family":"Jaeckle","given":"Kurt A.","non-dropping-particle":"","parse-names":false,"suffix":""},{"dropping-particle":"","family":"Eyre","given":"Harmon J.","non-dropping-particle":"","parse-names":false,"suffix":""},{"dropping-particle":"","family":"Townsend","given":"Jeannette J.","non-dropping-particle":"","parse-names":false,"suffix":""},{"dropping-particle":"","family":"Schulman","given":"Susan","non-dropping-particle":"","parse-names":false,"suffix":""},{"dropping-particle":"","family":"Knudson","given":"Heidi M.","non-dropping-particle":"","parse-names":false,"suffix":""},{"dropping-particle":"","family":"Belanich","given":"Michael","non-dropping-particle":"","parse-names":false,"suffix":""},{"dropping-particle":"","family":"Yarosh","given":"Daniel B.","non-dropping-particle":"","parse-names":false,"suffix":""},{"dropping-particle":"","family":"Bearman","given":"Scott I.","non-dropping-particle":"","parse-names":false,"suffix":""},{"dropping-particle":"","family":"Giroux","given":"Dori J.","non-dropping-particle":"","parse-names":false,"suffix":""},{"dropping-particle":"","family":"Schold","given":"S. Clifford","non-dropping-particle":"","parse-names":false,"suffix":""}],"container-title":"Journal of Clinical Oncology","id":"ITEM-2","issue":"10","issued":{"date-parts":[["1998"]]},"page":"3310-3315","publisher":"American Society of Clinical Oncology","title":"Correlation of tumor O6 methylguanine-DNA methyltransferase levels with survival of malignant astrocytoma patients treated with bis- chloroethylnitrosourea: A Southwest Oncology Group study","type":"article-journal","volume":"16"},"uris":["http://www.mendeley.com/documents/?uuid=7bc09392-aa57-4bdb-a630-d63ab92b380d"]},{"id":"ITEM-3","itemData":{"DOI":"10.1007/s00401-007-0243-4","ISSN":"00016322","PMID":"17618441","abstract":"The fourth edition of the World Health Organization (WHO) classification of tumours of the central nervous system, published in 2007, lists several new entities, including angiocentric glioma, papillary glioneuronal tumour, rosette-forming glioneuronal tumour of the fourth ventricle, papillary tumour of the pineal region, pituicytoma and spindle cell oncocytoma of the adenohypophysis. Histological variants were added if there was evidence of a different age distribution, location, genetic profile or clinical behaviour; these included pilomyxoid astrocytoma, anaplastic medulloblastoma and medulloblastoma with extensive nodularity. The WHO grading scheme and the sections on genetic profiles were updated and the rhabdoid tumour predisposition syndrome was added to the list of familial tumour syndromes typically involving the nervous system. As in the previous, 2000 edition of the WHO 'Blue Book', the classification is accompanied by a concise commentary on clinico-pathological characteristics of each tumour type. The 2007 WHO classification is based on the consensus of an international Working Group of 25 pathologists and geneticists, as well as contributions from more than 70 international experts overall, and is presented as the standard for the definition of brain tumours to the clinical oncology and cancer research communities world-wide. © Springer-Verlag 2007.","author":[{"dropping-particle":"","family":"Louis","given":"David N.","non-dropping-particle":"","parse-names":false,"suffix":""},{"dropping-particle":"","family":"Ohgaki","given":"Hiroko","non-dropping-particle":"","parse-names":false,"suffix":""},{"dropping-particle":"","family":"Wiestler","given":"Otmar D.","non-dropping-particle":"","parse-names":false,"suffix":""},{"dropping-particle":"","family":"Cavenee","given":"Webster K.","non-dropping-particle":"","parse-names":false,"suffix":""},{"dropping-particle":"","family":"Burger","given":"Peter C.","non-dropping-particle":"","parse-names":false,"suffix":""},{"dropping-particle":"","family":"Jouvet","given":"Anne","non-dropping-particle":"","parse-names":false,"suffix":""},{"dropping-particle":"","family":"Scheithauer","given":"Bernd W.","non-dropping-particle":"","parse-names":false,"suffix":""},{"dropping-particle":"","family":"Kleihues","given":"Paul","non-dropping-particle":"","parse-names":false,"suffix":""}],"container-title":"Acta Neuropathologica","id":"ITEM-3","issue":"2","issued":{"date-parts":[["2007","8"]]},"page":"97-109","publisher":"Springer","title":"The 2007 WHO classification of tumours of the central nervous system","type":"article","volume":"114"},"uris":["http://www.mendeley.com/documents/?uuid=44b3a17a-fd3f-3a02-9a06-f8240bacf4b6"]},{"id":"ITEM-4","itemData":{"DOI":"10.1056/NEJMoa1402121","ISSN":"0028-4793","abstract":"BACKGROUND Diffuse low-grade and intermediate-grade gliomas (which together make up the lower-grade gliomas, World Health Organization grades II and III) have highly variable clinical behavior that is not adequately predicted on the basis of histologic class. Some are indolent; others quickly progress to glioblastoma. The uncertainty is compounded by interobserver variability in histologic diagnosis. Mutations in IDH, TP53, and ATRX and codeletion of chromosome arms 1p and 19q (1p/19q codeletion) have been implicated as clinically relevant markers of lower-grade gliomas. METHODS We performed genomewide analyses of 293 lower-grade gliomas from adults, incorporating exome sequence, DNA copy number, DNA methylation, messenger RNA expression, microRNA expression, and targeted protein expression. These data were integrated and tested for correlation with clinical outcomes. RESULTS Unsupervised clustering of mutations and data from RNA, DNA-copy-number, and DNA-methylation platforms uncovered concordant classification of three robust, nonoverlapping, prognostically significant subtypes of lower-grade glioma that were captured more accurately by IDH, 1p/19q, and TP53 status than by histologic class. Patients who had lower-grade gliomas with an IDH mutation and 1p/19q codeletion had the most favorable clinical outcomes. Their gliomas harbored mutations in CIC, FUBP1, NOTCH1, and the TERT promoter. Nearly all lower-grade gliomas with IDH mutations and no 1p/19q codeletion had mutations in TP53 (94%) and ATRX inactivation (86%). The large majority of lower-grade gliomas without an IDH mutation had genomic aberrations and clinical behavior strikingly similar to those found in primary glioblastoma. CONCLUSIONS The integration of genomewide data from multiple platforms delineated three molecular classes of lower-grade gliomas that were more concordant with IDH, 1p/19q, and TP53 status than with histologic class. Lower-grade gliomas with an IDH mutation either had 1p/19q codeletion or carried a TP53 mutation. Most lower-grade gliomas without an IDH mutation were molecularly and clinically similar to glioblastoma. (Funded by the National Institutes of Health.)","author":[{"dropping-particle":"","family":"Brat","given":"Daniel J.","non-dropping-particle":"","parse-names":false,"suffix":""},{"dropping-particle":"","family":"Verhaak","given":"Roel G.W.","non-dropping-particle":"","parse-names":false,"suffix":""},{"dropping-particle":"","family":"Aldape","given":"Kenneth D.","non-dropping-particle":"","parse-names":false,"suffix":""},{"dropping-particle":"","family":"Yung","given":"W. K.Alfred","non-dropping-particle":"","parse-names":false,"suffix":""},{"dropping-particle":"","family":"Salama","given":"Sofie R.","non-dropping-particle":"","parse-names":false,"suffix":""},{"dropping-particle":"","family":"Cooper","given":"Lee A.D.","non-dropping-particle":"","parse-names":false,"suffix":""},{"dropping-particle":"","family":"Rheinbay","given":"Esther","non-dropping-particle":"","parse-names":false,"suffix":""},{"dropping-particle":"","family":"Miller","given":"C. Ryan","non-dropping-particle":"","parse-names":false,"suffix":""},{"dropping-particle":"","family":"Vitucci","given":"Mark","non-dropping-particle":"","parse-names":false,"suffix":""},{"dropping-particle":"","family":"Morozova","given":"Olena","non-dropping-particle":"","parse-names":false,"suffix":""},{"dropping-particle":"","family":"Robertson","given":"A. Gordon","non-dropping-particle":"","parse-names":false,"suffix":""},{"dropping-particle":"","family":"Noushmehr","given":"Houtan","non-dropping-particle":"","parse-names":false,"suffix":""},{"dropping-particle":"","family":"Laird","given":"Peter W.","non-dropping-particle":"","parse-names":false,"suffix":""},{"dropping-particle":"","family":"Cherniack","given":"Andrew D.","non-dropping-particle":"","parse-names":false,"suffix":""},{"dropping-particle":"","family":"Akbani","given":"Rehan","non-dropping-particle":"","parse-names":false,"suffix":""},{"dropping-particle":"","family":"Huse","given":"Jason T.","non-dropping-particle":"","parse-names":false,"suffix":""},{"dropping-particle":"","family":"Ciriello","given":"Giovanni","non-dropping-particle":"","parse-names":false,"suffix":""},{"dropping-particle":"","family":"Poisson","given":"Laila M.","non-dropping-particle":"","parse-names":false,"suffix":""},{"dropping-particle":"","family":"Barnholtz-Sloan","given":"Jill S.","non-dropping-particle":"","parse-names":false,"suffix":""},{"dropping-particle":"","family":"Berger","given":"Mitchel S.","non-dropping-particle":"","parse-names":false,"suffix":""},{"dropping-particle":"","family":"Brennan","given":"Cameron","non-dropping-particle":"","parse-names":false,"suffix":""},{"dropping-particle":"","family":"Colen","given":"Rivka R.","non-dropping-particle":"","parse-names":false,"suffix":""},{"dropping-particle":"","family":"Colman","given":"Howard","non-dropping-particle":"","parse-names":false,"suffix":""},{"dropping-particle":"","family":"Flanders","given":"Adam E.","non-dropping-particle":"","parse-names":false,"suffix":""},{"dropping-particle":"","family":"Giannini","given":"Caterina","non-dropping-particle":"","parse-names":false,"suffix":""},{"dropping-particle":"","family":"Grifford","given":"Mia","non-dropping-particle":"","parse-names":false,"suffix":""},{"dropping-particle":"","family":"Iavarone","given":"Antonio","non-dropping-particle":"","parse-names":false,"suffix":""},{"dropping-particle":"","family":"Jain","given":"Rajan","non-dropping-particle":"","parse-names":false,"suffix":""},{"dropping-particle":"","family":"Joseph","given":"Isaac","non-dropping-particle":"","parse-names":false,"suffix":""},{"dropping-particle":"","family":"Kim","given":"Jaegil","non-dropping-particle":"","parse-names":false,"suffix":""},{"dropping-particle":"","family":"Kasaian","given":"Katayoon","non-dropping-particle":"","parse-names":false,"suffix":""},{"dropping-particle":"","family":"Mikkelsen","given":"Tom","non-dropping-particle":"","parse-names":false,"suffix":""},{"dropping-particle":"","family":"Murray","given":"Bradley A.","non-dropping-particle":"","parse-names":false,"suffix":""},{"dropping-particle":"","family":"O'Neill","given":"Brian Patrick","non-dropping-particle":"","parse-names":false,"suffix":""},{"dropping-particle":"","family":"Pachter","given":"Lior","non-dropping-particle":"","parse-names":false,"suffix":""},{"dropping-particle":"","family":"Parsons","given":"Donald W.","non-dropping-particle":"","parse-names":false,"suffix":""},{"dropping-particle":"","family":"Sougnez","given":"Carrie","non-dropping-particle":"","parse-names":false,"suffix":""},{"dropping-particle":"","family":"Sulman","given":"Erik P.","non-dropping-particle":"","parse-names":false,"suffix":""},{"dropping-particle":"","family":"Vandenberg","given":"Scott R.","non-dropping-particle":"","parse-names":false,"suffix":""},{"dropping-particle":"","family":"Meir","given":"Erwin G.","non-dropping-particle":"Van","parse-names":false,"suffix":""},{"dropping-particle":"","family":"Deimling","given":"Andreas","non-dropping-particle":"Von","parse-names":false,"suffix":""},{"dropping-particle":"","family":"Zhang","given":"Hailei","non-dropping-particle":"","parse-names":false,"suffix":""},{"dropping-particle":"","family":"Crain","given":"Daniel","non-dropping-particle":"","parse-names":false,"suffix":""},{"dropping-particle":"","family":"Lau","given":"Kevin","non-dropping-particle":"","parse-names":false,"suffix":""},{"dropping-particle":"","family":"Mallery","given":"David","non-dropping-particle":"","parse-names":false,"suffix":""},{"dropping-particle":"","family":"Morris","given":"Scott","non-dropping-particle":"","parse-names":false,"suffix":""},{"dropping-particle":"","family":"Paulauskis","given":"Joseph","non-dropping-particle":"","parse-names":false,"suffix":""},{"dropping-particle":"","family":"Penny","given":"Robert","non-dropping-particle":"","parse-names":false,"suffix":""},{"dropping-particle":"","family":"Shelton","given":"Troy","non-dropping-particle":"","parse-names":false,"suffix":""},{"dropping-particle":"","family":"Sherman","given":"Mark","non-dropping-particle":"","parse-names":false,"suffix":""},{"dropping-particle":"","family":"Yena","given":"Peggy","non-dropping-particle":"","parse-names":false,"suffix":""},{"dropping-particle":"","family":"Black","given":"Aaron","non-dropping-particle":"","parse-names":false,"suffix":""},{"dropping-particle":"","family":"Bowen","given":"Jay","non-dropping-particle":"","parse-names":false,"suffix":""},{"dropping-particle":"","family":"Dicostanzo","given":"Katie","non-dropping-particle":"","parse-names":false,"suffix":""},{"dropping-particle":"","family":"Gastier-Foster","given":"Julie","non-dropping-particle":"","parse-names":false,"suffix":""},{"dropping-particle":"","family":"Leraas","given":"Kristen M.","non-dropping-particle":"","parse-names":false,"suffix":""},{"dropping-particle":"","family":"Lichtenberg","given":"Tara M.","non-dropping-particle":"","parse-names":false,"suffix":""},{"dropping-particle":"","family":"Pierson","given":"Christopher R.","non-dropping-particle":"","parse-names":false,"suffix":""},{"dropping-particle":"","family":"Ramirez","given":"Nilsa C.","non-dropping-particle":"","parse-names":false,"suffix":""},{"dropping-particle":"","family":"Taylor","given":"Cynthia","non-dropping-particle":"","parse-names":false,"suffix":""},{"dropping-particle":"","family":"Weaver","given":"Stephanie","non-dropping-particle":"","parse-names":false,"suffix":""},{"dropping-particle":"","family":"Wise","given":"Lisa","non-dropping-particle":"","parse-names":false,"suffix":""},{"dropping-particle":"","family":"Zmuda","given":"Erik","non-dropping-particle":"","parse-names":false,"suffix":""},{"dropping-particle":"","family":"Davidsen","given":"Tanja","non-dropping-particle":"","parse-names":false,"suffix":""},{"dropping-particle":"","family":"Demchok","given":"John A.","non-dropping-particle":"","parse-names":false,"suffix":""},{"dropping-particle":"","family":"Eley","given":"Greg","non-dropping-particle":"","parse-names":false,"suffix":""},{"dropping-particle":"","family":"Ferguson","given":"Martin L.","non-dropping-particle":"","parse-names":false,"suffix":""},{"dropping-particle":"","family":"Hutter","given":"Carolyn M.","non-dropping-particle":"","parse-names":false,"suffix":""},{"dropping-particle":"","family":"Shaw","given":"Kenna R.Mills","non-dropping-particle":"","parse-names":false,"suffix":""},{"dropping-particle":"","family":"Ozenberger","given":"Bradley A.","non-dropping-particle":"","parse-names":false,"suffix":""},{"dropping-particle":"","family":"Sheth","given":"Margi","non-dropping-particle":"","parse-names":false,"suffix":""},{"dropping-particle":"","family":"Sofia","given":"Heidi J.","non-dropping-particle":"","parse-names":false,"suffix":""},{"dropping-particle":"","family":"Tarnuzzer","given":"Roy","non-dropping-particle":"","parse-names":false,"suffix":""},{"dropping-particle":"","family":"Wang","given":"Zhining","non-dropping-particle":"","parse-names":false,"suffix":""},{"dropping-particle":"","family":"Yang","given":"Liming","non-dropping-particle":"","parse-names":false,"suffix":""},{"dropping-particle":"","family":"Zenklusen","given":"Jean Claude","non-dropping-particle":"","parse-names":false,"suffix":""},{"dropping-particle":"","family":"Ayala","given":"Brenda","non-dropping-particle":"","parse-names":false,"suffix":""},{"dropping-particle":"","family":"Baboud","given":"Julien","non-dropping-particle":"","parse-names":false,"suffix":""},{"dropping-particle":"","family":"Chudamani","given":"Sudha","non-dropping-particle":"","parse-names":false,"suffix":""},{"dropping-particle":"","family":"Jensen","given":"Mark A.","non-dropping-particle":"","parse-names":false,"suffix":""},{"dropping-particle":"","family":"Liu","given":"Jia","non-dropping-particle":"","parse-names":false,"suffix":""},{"dropping-particle":"","family":"Pihl","given":"Todd","non-dropping-particle":"","parse-names":false,"suffix":""},{"dropping-particle":"","family":"Raman","given":"Rohini","non-dropping-particle":"","parse-names":false,"suffix":""},{"dropping-particle":"","family":"Wan","given":"Yunhu","non-dropping-particle":"","parse-names":false,"suffix":""},{"dropping-particle":"","family":"Wu","given":"Ye","non-dropping-particle":"","parse-names":false,"suffix":""},{"dropping-particle":"","family":"Ally","given":"Adrian","non-dropping-particle":"","parse-names":false,"suffix":""},{"dropping-particle":"","family":"Auman","given":"J. Todd","non-dropping-particle":"","parse-names":false,"suffix":""},{"dropping-particle":"","family":"Balasundaram","given":"Miruna","non-dropping-particle":"","parse-names":false,"suffix":""},{"dropping-particle":"","family":"Balu","given":"Saianand","non-dropping-particle":"","parse-names":false,"suffix":""},{"dropping-particle":"","family":"Baylin","given":"Stephen B.","non-dropping-particle":"","parse-names":false,"suffix":""},{"dropping-particle":"","family":"Beroukhim","given":"Rameen","non-dropping-particle":"","parse-names":false,"suffix":""},{"dropping-particle":"","family":"Bootwalla","given":"Moiz S.","non-dropping-particle":"","parse-names":false,"suffix":""},{"dropping-particle":"","family":"Bowlby","given":"Reanne","non-dropping-particle":"","parse-names":false,"suffix":""},{"dropping-particle":"","family":"Bristow","given":"Christopher A.","non-dropping-particle":"","parse-names":false,"suffix":""},{"dropping-particle":"","family":"Brooks","given":"Denise","non-dropping-particle":"","parse-names":false,"suffix":""},{"dropping-particle":"","family":"Butterfield","given":"Yaron","non-dropping-particle":"","parse-names":false,"suffix":""},{"dropping-particle":"","family":"Carlsen","given":"Rebecca","non-dropping-particle":"","parse-names":false,"suffix":""},{"dropping-particle":"","family":"Carter","given":"Scott","non-dropping-particle":"","parse-names":false,"suffix":""},{"dropping-particle":"","family":"Chin","given":"Lynda","non-dropping-particle":"","parse-names":false,"suffix":""},{"dropping-particle":"","family":"Chu","given":"Andy","non-dropping-particle":"","parse-names":false,"suffix":""},{"dropping-particle":"","family":"Chuah","given":"Eric","non-dropping-particle":"","parse-names":false,"suffix":""},{"dropping-particle":"","family":"Cibulskis","given":"Kristian","non-dropping-particle":"","parse-names":false,"suffix":""},{"dropping-particle":"","family":"Clarke","given":"Amanda","non-dropping-particle":"","parse-names":false,"suffix":""},{"dropping-particle":"","family":"Coetzee","given":"Simon G.","non-dropping-particle":"","parse-names":false,"suffix":""},{"dropping-particle":"","family":"Dhalla","given":"Noreen","non-dropping-particle":"","parse-names":false,"suffix":""},{"dropping-particle":"","family":"Fennell","given":"Tim","non-dropping-particle":"","parse-names":false,"suffix":""},{"dropping-particle":"","family":"Fisher","given":"Sheila","non-dropping-particle":"","parse-names":false,"suffix":""},{"dropping-particle":"","family":"Gabriel","given":"Stacey","non-dropping-particle":"","parse-names":false,"suffix":""},{"dropping-particle":"","family":"Getz","given":"Gad","non-dropping-particle":"","parse-names":false,"suffix":""},{"dropping-particle":"","family":"Gibbs","given":"Richard","non-dropping-particle":"","parse-names":false,"suffix":""},{"dropping-particle":"","family":"Guin","given":"Ranabir","non-dropping-particle":"","parse-names":false,"suffix":""},{"dropping-particle":"","family":"Hadjipanayis","given":"Angela","non-dropping-particle":"","parse-names":false,"suffix":""},{"dropping-particle":"","family":"Hayes","given":"D. Neil","non-dropping-particle":"","parse-names":false,"suffix":""},{"dropping-particle":"","family":"Hinoue","given":"Toshinori","non-dropping-particle":"","parse-names":false,"suffix":""},{"dropping-particle":"","family":"Hoadley","given":"Katherine","non-dropping-particle":"","parse-names":false,"suffix":""},{"dropping-particle":"","family":"Holt","given":"Robert A.","non-dropping-particle":"","parse-names":false,"suffix":""},{"dropping-particle":"","family":"Hoyle","given":"Alan P.","non-dropping-particle":"","parse-names":false,"suffix":""},{"dropping-particle":"","family":"Jefferys","given":"Stuart R.","non-dropping-particle":"","parse-names":false,"suffix":""},{"dropping-particle":"","family":"Jones","given":"Steven","non-dropping-particle":"","parse-names":false,"suffix":""},{"dropping-particle":"","family":"Jones","given":"Corbin D.","non-dropping-particle":"","parse-names":false,"suffix":""},{"dropping-particle":"","family":"Kucherlapati","given":"Raju","non-dropping-particle":"","parse-names":false,"suffix":""},{"dropping-particle":"","family":"Lai","given":"Phillip H.","non-dropping-particle":"","parse-names":false,"suffix":""},{"dropping-particle":"","family":"Lander","given":"Eric","non-dropping-particle":"","parse-names":false,"suffix":""},{"dropping-particle":"","family":"Lee","given":"Semin","non-dropping-particle":"","parse-names":false,"suffix":""},{"dropping-particle":"","family":"Lichtenstein","given":"Lee","non-dropping-particle":"","parse-names":false,"suffix":""},{"dropping-particle":"","family":"Ma","given":"Yussanne","non-dropping-particle":"","parse-names":false,"suffix":""},{"dropping-particle":"","family":"Maglinte","given":"Dennis T.","non-dropping-particle":"","parse-names":false,"suffix":""},{"dropping-particle":"","family":"Mahadeshwar","given":"Harshad S.","non-dropping-particle":"","parse-names":false,"suffix":""},{"dropping-particle":"","family":"Marra","given":"Marco A.","non-dropping-particle":"","parse-names":false,"suffix":""},{"dropping-particle":"","family":"Mayo","given":"Michael","non-dropping-particle":"","parse-names":false,"suffix":""},{"dropping-particle":"","family":"Meng","given":"Shaowu","non-dropping-particle":"","parse-names":false,"suffix":""},{"dropping-particle":"","family":"Meyerson","given":"Matthew L.","non-dropping-particle":"","parse-names":false,"suffix":""},{"dropping-particle":"","family":"Mieczkowski","given":"Piotr A.","non-dropping-particle":"","parse-names":false,"suffix":""},{"dropping-particle":"","family":"Moore","given":"Richard A.","non-dropping-particle":"","parse-names":false,"suffix":""},{"dropping-particle":"","family":"Mose","given":"Lisle E.","non-dropping-particle":"","parse-names":false,"suffix":""},{"dropping-particle":"","family":"Mungall","given":"Andrew J.","non-dropping-particle":"","parse-names":false,"suffix":""},{"dropping-particle":"","family":"Pantazi","given":"Angeliki","non-dropping-particle":"","parse-names":false,"suffix":""},{"dropping-particle":"","family":"Parfenov","given":"Michael","non-dropping-particle":"","parse-names":false,"suffix":""},{"dropping-particle":"","family":"Park","given":"Peter J.","non-dropping-particle":"","parse-names":false,"suffix":""},{"dropping-particle":"","family":"Parker","given":"Joel S.","non-dropping-particle":"","parse-names":false,"suffix":""},{"dropping-particle":"","family":"Perou","given":"Charles M.","non-dropping-particle":"","parse-names":false,"suffix":""},{"dropping-particle":"","family":"Protopopov","given":"Alexei","non-dropping-particle":"","parse-names":false,"suffix":""},{"dropping-particle":"","family":"Ren","given":"Xiaojia","non-dropping-particle":"","parse-names":false,"suffix":""},{"dropping-particle":"","family":"Roach","given":"Jeffrey","non-dropping-particle":"","parse-names":false,"suffix":""},{"dropping-particle":"","family":"Sabedot","given":"Thaís S.","non-dropping-particle":"","parse-names":false,"suffix":""},{"dropping-particle":"","family":"Schein","given":"Jacqueline","non-dropping-particle":"","parse-names":false,"suffix":""},{"dropping-particle":"","family":"Schumacher","given":"Steven E.","non-dropping-particle":"","parse-names":false,"suffix":""},{"dropping-particle":"","family":"Seidman","given":"Jonathan G.","non-dropping-particle":"","parse-names":false,"suffix":""},{"dropping-particle":"","family":"Seth","given":"Sahil","non-dropping-particle":"","parse-names":false,"suffix":""},{"dropping-particle":"","family":"Shen","given":"Hui","non-dropping-particle":"","parse-names":false,"suffix":""},{"dropping-particle":"V.","family":"Simons","given":"Janae","non-dropping-particle":"","parse-names":false,"suffix":""},{"dropping-particle":"","family":"Sipahimalani","given":"Payal","non-dropping-particle":"","parse-names":false,"suffix":""},{"dropping-particle":"","family":"Soloway","given":"Matthew G.","non-dropping-particle":"","parse-names":false,"suffix":""},{"dropping-particle":"","family":"Song","given":"Xingzhi","non-dropping-particle":"","parse-names":false,"suffix":""},{"dropping-particle":"","family":"Sun","given":"Huandong","non-dropping-particle":"","parse-names":false,"suffix":""},{"dropping-particle":"","family":"Tabak","given":"Barbara","non-dropping-particle":"","parse-names":false,"suffix":""},{"dropping-particle":"","family":"Tam","given":"Angela","non-dropping-particle":"","parse-names":false,"suffix":""},{"dropping-particle":"","family":"Tan","given":"Donghui","non-dropping-particle":"","parse-names":false,"suffix":""},{"dropping-particle":"","family":"Tang","given":"Jiabin","non-dropping-particle":"","parse-names":false,"suffix":""},{"dropping-particle":"","family":"Thiessen","given":"Nina","non-dropping-particle":"","parse-names":false,"suffix":""},{"dropping-particle":"","family":"Triche","given":"Timothy","non-dropping-particle":"","parse-names":false,"suffix":""},{"dropping-particle":"","family":"Berg","given":"David J.","non-dropping-particle":"Van Den","parse-names":false,"suffix":""},{"dropping-particle":"","family":"Veluvolu","given":"Umadevi","non-dropping-particle":"","parse-names":false,"suffix":""},{"dropping-particle":"","family":"Waring","given":"Scot","non-dropping-particle":"","parse-names":false,"suffix":""},{"dropping-particle":"","family":"Weisenberger","given":"Daniel J.","non-dropping-particle":"","parse-names":false,"suffix":""},{"dropping-particle":"","family":"Wilkerson","given":"Matthew D.","non-dropping-particle":"","parse-names":false,"suffix":""},{"dropping-particle":"","family":"Wong","given":"Tina","non-dropping-particle":"","parse-names":false,"suffix":""},{"dropping-particle":"","family":"Wu","given":"Junyuan","non-dropping-particle":"","parse-names":false,"suffix":""},{"dropping-particle":"","family":"Xi","given":"Liu","non-dropping-particle":"","parse-names":false,"suffix":""},{"dropping-particle":"","family":"Xu","given":"Andrew W.","non-dropping-particle":"","parse-names":false,"suffix":""},{"dropping-particle":"","family":"Yang","given":"Lixing","non-dropping-particle":"","parse-names":false,"suffix":""},{"dropping-particle":"","family":"Zack","given":"Travis I.","non-dropping-particle":"","parse-names":false,"suffix":""},{"dropping-particle":"","family":"Zhang","given":"Jianhua","non-dropping-particle":"","parse-names":false,"suffix":""},{"dropping-particle":"","family":"Aksoy","given":"B. Arman","non-dropping-particle":"","parse-names":false,"suffix":""},{"dropping-particle":"","family":"Arachchi","given":"Harindra","non-dropping-particle":"","parse-names":false,"suffix":""},{"dropping-particle":"","family":"Benz","given":"Chris","non-dropping-particle":"","parse-names":false,"suffix":""},{"dropping-particle":"","family":"Bernard","given":"Brady","non-dropping-particle":"","parse-names":false,"suffix":""},{"dropping-particle":"","family":"Carlin","given":"Daniel","non-dropping-particle":"","parse-names":false,"suffix":""},{"dropping-particle":"","family":"Cho","given":"Juok","non-dropping-particle":"","parse-names":false,"suffix":""},{"dropping-particle":"","family":"DiCara","given":"Daniel","non-dropping-particle":"","parse-names":false,"suffix":""},{"dropping-particle":"","family":"Frazer","given":"Scott","non-dropping-particle":"","parse-names":false,"suffix":""},{"dropping-particle":"","family":"Fuller","given":"Gregory N.","non-dropping-particle":"","parse-names":false,"suffix":""},{"dropping-particle":"","family":"Gao","given":"Jian Jiong","non-dropping-particle":"","parse-names":false,"suffix":""},{"dropping-particle":"","family":"Gehlenborg","given":"Nils","non-dropping-particle":"","parse-names":false,"suffix":""},{"dropping-particle":"","family":"Haussler","given":"David","non-dropping-particle":"","parse-names":false,"suffix":""},{"dropping-particle":"","family":"Heiman","given":"David I.","non-dropping-particle":"","parse-names":false,"suffix":""},{"dropping-particle":"","family":"Iype","given":"Lisa","non-dropping-particle":"","parse-names":false,"suffix":""},{"dropping-particle":"","family":"Jacobsen","given":"Anders","non-dropping-particle":"","parse-names":false,"suffix":""},{"dropping-particle":"","family":"Ju","given":"Zhenlin","non-dropping-particle":"","parse-names":false,"suffix":""},{"dropping-particle":"","family":"Katzman","given":"Sol","non-dropping-particle":"","parse-names":false,"suffix":""},{"dropping-particle":"","family":"Kim","given":"Hoon","non-dropping-particle":"","parse-names":false,"suffix":""},{"dropping-particle":"","family":"Knijnenburg","given":"Theo","non-dropping-particle":"","parse-names":false,"suffix":""},{"dropping-particle":"","family":"Kreisberg","given":"Richard Bailey","non-dropping-particle":"","parse-names":false,"suffix":""},{"dropping-particle":"","family":"Lawrence","given":"Michael S.","non-dropping-particle":"","parse-names":false,"suffix":""},{"dropping-particle":"","family":"Lee","given":"William","non-dropping-particle":"","parse-names":false,"suffix":""},{"dropping-particle":"","family":"Leinonen","given":"Kalle","non-dropping-particle":"","parse-names":false,"suffix":""},{"dropping-particle":"","family":"Lin","given":"Pei","non-dropping-particle":"","parse-names":false,"suffix":""},{"dropping-particle":"","family":"Ling","given":"Shiyun","non-dropping-particle":"","parse-names":false,"suffix":""},{"dropping-particle":"","family":"Liu","given":"Wenbin","non-dropping-particle":"","parse-names":false,"suffix":""},{"dropping-particle":"","family":"Liu","given":"Yingchun","non-dropping-particle":"","parse-names":false,"suffix":""},{"dropping-particle":"","family":"Liu","given":"Yuexin","non-dropping-particle":"","parse-names":false,"suffix":""},{"dropping-particle":"","family":"Lu","given":"Yiling","non-dropping-particle":"","parse-names":false,"suffix":""},{"dropping-particle":"","family":"Mills","given":"Gordon","non-dropping-particle":"","parse-names":false,"suffix":""},{"dropping-particle":"","family":"Ng","given":"Sam","non-dropping-particle":"","parse-names":false,"suffix":""},{"dropping-particle":"","family":"Noble","given":"Michael S.","non-dropping-particle":"","parse-names":false,"suffix":""},{"dropping-particle":"","family":"Paull","given":"Evan","non-dropping-particle":"","parse-names":false,"suffix":""},{"dropping-particle":"","family":"Rao","given":"Arvind","non-dropping-particle":"","parse-names":false,"suffix":""},{"dropping-particle":"","family":"Reynolds","given":"Sheila","non-dropping-particle":"","parse-names":false,"suffix":""},{"dropping-particle":"","family":"Saksena","given":"Gordon","non-dropping-particle":"","parse-names":false,"suffix":""},{"dropping-particle":"","family":"Sanborn","given":"Zack","non-dropping-particle":"","parse-names":false,"suffix":""},{"dropping-particle":"","family":"Sander","given":"Chris","non-dropping-particle":"","parse-names":false,"suffix":""},{"dropping-particle":"","family":"Schultz","given":"Nikolaus","non-dropping-particle":"","parse-names":false,"suffix":""},{"dropping-particle":"","family":"Senbabaoglu","given":"Yasin","non-dropping-particle":"","parse-names":false,"suffix":""},{"dropping-particle":"","family":"Shen","given":"Ronglai","non-dropping-particle":"","parse-names":false,"suffix":""},{"dropping-particle":"","family":"Shmulevich","given":"Ilya","non-dropping-particle":"","parse-names":false,"suffix":""},{"dropping-particle":"","family":"Sinha","given":"Rileen","non-dropping-particle":"","parse-names":false,"suffix":""},{"dropping-particle":"","family":"Stuart","given":"Josh","non-dropping-particle":"","parse-names":false,"suffix":""},{"dropping-particle":"","family":"Sumer","given":"S. Onur","non-dropping-particle":"","parse-names":false,"suffix":""},{"dropping-particle":"","family":"Sun","given":"Yichao","non-dropping-particle":"","parse-names":false,"suffix":""},{"dropping-particle":"","family":"Tasman","given":"Natalie","non-dropping-particle":"","parse-names":false,"suffix":""},{"dropping-particle":"","family":"Taylor","given":"Barry S.","non-dropping-particle":"","parse-names":false,"suffix":""},{"dropping-particle":"","family":"Voet","given":"Doug","non-dropping-particle":"","parse-names":false,"suffix":""},{"dropping-particle":"","family":"Weinhold","given":"Nils","non-dropping-particle":"","parse-names":false,"suffix":""},{"dropping-particle":"","family":"Weinstein","given":"John N.","non-dropping-particle":"","parse-names":false,"suffix":""},{"dropping-particle":"","family":"Yang","given":"Da","non-dropping-particle":"","parse-names":false,"suffix":""},{"dropping-particle":"","family":"Yoshihara","given":"Kosuke","non-dropping-particle":"","parse-names":false,"suffix":""},{"dropping-particle":"","family":"Zheng","given":"Siyuan","non-dropping-particle":"","parse-names":false,"suffix":""},{"dropping-particle":"","family":"Zhang","given":"Wei","non-dropping-particle":"","parse-names":false,"suffix":""},{"dropping-particle":"","family":"Zou","given":"Lihua","non-dropping-particle":"","parse-names":false,"suffix":""},{"dropping-particle":"","family":"Abel","given":"Ty","non-dropping-particle":"","parse-names":false,"suffix":""},{"dropping-particle":"","family":"Sadeghi","given":"Sara","non-dropping-particle":"","parse-names":false,"suffix":""},{"dropping-particle":"","family":"Cohen","given":"Mark L.","non-dropping-particle":"","parse-names":false,"suffix":""},{"dropping-particle":"","family":"Eschbacher","given":"Jenny","non-dropping-particle":"","parse-names":false,"suffix":""},{"dropping-particle":"","family":"Hattab","given":"Eyas M.","non-dropping-particle":"","parse-names":false,"suffix":""},{"dropping-particle":"","family":"Raghunathan","given":"Aditya","non-dropping-particle":"","parse-names":false,"suffix":""},{"dropping-particle":"","family":"Schniederjan","given":"Matthew J.","non-dropping-particle":"","parse-names":false,"suffix":""},{"dropping-particle":"","family":"Aziz","given":"Dina","non-dropping-particle":"","parse-names":false,"suffix":""},{"dropping-particle":"","family":"Barnett","given":"Gene","non-dropping-particle":"","parse-names":false,"suffix":""},{"dropping-particle":"","family":"Barrett","given":"Wendi","non-dropping-particle":"","parse-names":false,"suffix":""},{"dropping-particle":"","family":"Bigner","given":"Darell D.","non-dropping-particle":"","parse-names":false,"suffix":""},{"dropping-particle":"","family":"Boice","given":"Lori","non-dropping-particle":"","parse-names":false,"suffix":""},{"dropping-particle":"","family":"Brewer","given":"Cathy","non-dropping-particle":"","parse-names":false,"suffix":""},{"dropping-particle":"","family":"Calatozzolo","given":"Chiara","non-dropping-particle":"","parse-names":false,"suffix":""},{"dropping-particle":"","family":"Campos","given":"Benito","non-dropping-particle":"","parse-names":false,"suffix":""},{"dropping-particle":"","family":"Carlotti","given":"Carlos Gilberto","non-dropping-particle":"","parse-names":false,"suffix":""},{"dropping-particle":"","family":"Chan","given":"Timothy A.","non-dropping-particle":"","parse-names":false,"suffix":""},{"dropping-particle":"","family":"Cuppini","given":"Lucia","non-dropping-particle":"","parse-names":false,"suffix":""},{"dropping-particle":"","family":"Curley","given":"Erin","non-dropping-particle":"","parse-names":false,"suffix":""},{"dropping-particle":"","family":"Cuzzubbo","given":"Stefania","non-dropping-particle":"","parse-names":false,"suffix":""},{"dropping-particle":"","family":"Devine","given":"Karen","non-dropping-particle":"","parse-names":false,"suffix":""},{"dropping-particle":"","family":"DiMeco","given":"Francesco","non-dropping-particle":"","parse-names":false,"suffix":""},{"dropping-particle":"","family":"Duell","given":"Rebecca","non-dropping-particle":"","parse-names":false,"suffix":""},{"dropping-particle":"","family":"Elder","given":"J. Bradley","non-dropping-particle":"","parse-names":false,"suffix":""},{"dropping-particle":"","family":"Fehrenbach","given":"Ashley","non-dropping-particle":"","parse-names":false,"suffix":""},{"dropping-particle":"","family":"Finocchiaro","given":"Gaetano","non-dropping-particle":"","parse-names":false,"suffix":""},{"dropping-particle":"","family":"Friedman","given":"William","non-dropping-particle":"","parse-names":false,"suffix":""},{"dropping-particle":"","family":"Fulop","given":"Jordonna","non-dropping-particle":"","parse-names":false,"suffix":""},{"dropping-particle":"","family":"Gardner","given":"Johanna","non-dropping-particle":"","parse-names":false,"suffix":""},{"dropping-particle":"","family":"Hermes","given":"Beth","non-dropping-particle":"","parse-names":false,"suffix":""},{"dropping-particle":"","family":"Herold-Mende","given":"Christel","non-dropping-particle":"","parse-names":false,"suffix":""},{"dropping-particle":"","family":"Jungk","given":"Christine","non-dropping-particle":"","parse-names":false,"suffix":""},{"dropping-particle":"","family":"Kendler","given":"Ady","non-dropping-particle":"","parse-names":false,"suffix":""},{"dropping-particle":"","family":"Lehman","given":"Norman L.","non-dropping-particle":"","parse-names":false,"suffix":""},{"dropping-particle":"","family":"Lipp","given":"Eric","non-dropping-particle":"","parse-names":false,"suffix":""},{"dropping-particle":"","family":"Liu","given":"Ouida","non-dropping-particle":"","parse-names":false,"suffix":""},{"dropping-particle":"","family":"Mandt","given":"Randy","non-dropping-particle":"","parse-names":false,"suffix":""},{"dropping-particle":"","family":"McGraw","given":"Mary","non-dropping-particle":"","parse-names":false,"suffix":""},{"dropping-particle":"","family":"Mclendon","given":"Roger","non-dropping-particle":"","parse-names":false,"suffix":""},{"dropping-particle":"","family":"McPherson","given":"Christopher","non-dropping-particle":"","parse-names":false,"suffix":""},{"dropping-particle":"","family":"Neder","given":"Luciano","non-dropping-particle":"","parse-names":false,"suffix":""},{"dropping-particle":"","family":"Nguyen","given":"Phuong","non-dropping-particle":"","parse-names":false,"suffix":""},{"dropping-particle":"","family":"Noss","given":"Ardene","non-dropping-particle":"","parse-names":false,"suffix":""},{"dropping-particle":"","family":"Nunziata","given":"Raffaele","non-dropping-particle":"","parse-names":false,"suffix":""},{"dropping-particle":"","family":"Ostrom","given":"Quinn T.","non-dropping-particle":"","parse-names":false,"suffix":""},{"dropping-particle":"","family":"Palmer","given":"Cheryl","non-dropping-particle":"","parse-names":false,"suffix":""},{"dropping-particle":"","family":"Perin","given":"Alessandro","non-dropping-particle":"","parse-names":false,"suffix":""},{"dropping-particle":"","family":"Pollo","given":"Bianca","non-dropping-particle":"","parse-names":false,"suffix":""},{"dropping-particle":"","family":"Potapov","given":"Alexander","non-dropping-particle":"","parse-names":false,"suffix":""},{"dropping-particle":"","family":"Potapova","given":"Olga","non-dropping-particle":"","parse-names":false,"suffix":""},{"dropping-particle":"","family":"Rathmell","given":"W. Kimryn","non-dropping-particle":"","parse-names":false,"suffix":""},{"dropping-particle":"","family":"Rotin","given":"Daniil","non-dropping-particle":"","parse-names":false,"suffix":""},{"dropping-particle":"","family":"Scarpace","given":"Lisa","non-dropping-particle":"","parse-names":false,"suffix":""},{"dropping-particle":"","family":"Schilero","given":"Cathy","non-dropping-particle":"","parse-names":false,"suffix":""},{"dropping-particle":"","family":"Senecal","given":"Kelly","non-dropping-particle":"","parse-names":false,"suffix":""},{"dropping-particle":"","family":"Shimmel","given":"Kristen","non-dropping-particle":"","parse-names":false,"suffix":""},{"dropping-particle":"","family":"Shurkhay","given":"Vsevolod","non-dropping-particle":"","parse-names":false,"suffix":""},{"dropping-particle":"","family":"Sifri","given":"Suzanne","non-dropping-particle":"","parse-names":false,"suffix":""},{"dropping-particle":"","family":"Singh","given":"Rosy","non-dropping-particle":"","parse-names":false,"suffix":""},{"dropping-particle":"","family":"Sloan","given":"Andrew E.","non-dropping-particle":"","parse-names":false,"suffix":""},{"dropping-particle":"","family":"Smolenski","given":"Kathy","non-dropping-particle":"","parse-names":false,"suffix":""},{"dropping-particle":"","family":"Staugaitis","given":"Susan M.","non-dropping-particle":"","parse-names":false,"suffix":""},{"dropping-particle":"","family":"Steele","given":"Ruth","non-dropping-particle":"","parse-names":false,"suffix":""},{"dropping-particle":"","family":"Thorne","given":"Leigh","non-dropping-particle":"","parse-names":false,"suffix":""},{"dropping-particle":"","family":"Tirapelli","given":"Daniela P.C.","non-dropping-particle":"","parse-names":false,"suffix":""},{"dropping-particle":"","family":"Unterberg","given":"Andreas","non-dropping-particle":"","parse-names":false,"suffix":""},{"dropping-particle":"","family":"Vallurupalli","given":"Mahitha","non-dropping-particle":"","parse-names":false,"suffix":""},{"dropping-particle":"","family":"Wang","given":"Yun","non-dropping-particle":"","parse-names":false,"suffix":""},{"dropping-particle":"","family":"Warnick","given":"Ronald","non-dropping-particle":"","parse-names":false,"suffix":""},{"dropping-particle":"","family":"Williams","given":"Felicia","non-dropping-particle":"","parse-names":false,"suffix":""},{"dropping-particle":"","family":"Wolinsky","given":"Yingli","non-dropping-particle":"","parse-names":false,"suffix":""},{"dropping-particle":"","family":"Bell","given":"Sue","non-dropping-particle":"","parse-names":false,"suffix":""},{"dropping-particle":"","family":"Rosenberg","given":"Mara","non-dropping-particle":"","parse-names":false,"suffix":""},{"dropping-particle":"","family":"Stewart","given":"Chip","non-dropping-particle":"","parse-names":false,"suffix":""},{"dropping-particle":"","family":"Huang","given":"Franklin","non-dropping-particle":"","parse-names":false,"suffix":""},{"dropping-particle":"","family":"Grimsby","given":"Jonna L.","non-dropping-particle":"","parse-names":false,"suffix":""},{"dropping-particle":"","family":"Radenbaugh","given":"Amie J.","non-dropping-particle":"","parse-names":false,"suffix":""},{"dropping-particle":"","family":"Zhang","given":"Jianan","non-dropping-particle":"","parse-names":false,"suffix":""}],"container-title":"New England Journal of Medicine","id":"ITEM-4","issue":"26","issued":{"date-parts":[["2015","6","25"]]},"page":"2481-2498","publisher":"Massachussetts Medical Society","title":"Comprehensive, Integrative Genomic Analysis of Diffuse Lower-Grade Gliomas","type":"article-journal","volume":"372"},"uris":["http://www.mendeley.com/documents/?uuid=7cf268de-5a36-3802-a270-b72fe82ef302"]},{"id":"ITEM-5","itemData":{"DOI":"10.1038/nrc3918","ISSN":"14741768","PMID":"25855404","abstract":"As tumours evolve, the daughter cells of the initiating cell often become molecularly heterogeneous and develop different functional properties and therapeutic vulnerabilities. In glioblastoma (GBM), a lethal form of brain cancer, the heterogeneous expression of the epidermal growth factor receptor (EGFR) poses a substantial challenge for the effective use of EGFR-targeted therapies. Understanding the mechanisms that cause EGFR heterogeneity in GBM should provide better insights into how they, and possibly other amplified receptor tyrosine kinases, affect cellular signalling, metabolism and drug resistance.","author":[{"dropping-particle":"","family":"Furnari","given":"Frank B.","non-dropping-particle":"","parse-names":false,"suffix":""},{"dropping-particle":"","family":"Cloughesy","given":"Timothy F.","non-dropping-particle":"","parse-names":false,"suffix":""},{"dropping-particle":"","family":"Cavenee","given":"Webster K.","non-dropping-particle":"","parse-names":false,"suffix":""},{"dropping-particle":"","family":"Mischel","given":"Paul S.","non-dropping-particle":"","parse-names":false,"suffix":""}],"container-title":"Nature Reviews Cancer","id":"ITEM-5","issue":"5","issued":{"date-parts":[["2015","4","24"]]},"page":"302-310","publisher":"Nature Publishing Group","title":"Heterogeneity of epidermal growth factor receptor signalling networks in glioblastoma","type":"article","volume":"15"},"uris":["http://www.mendeley.com/documents/?uuid=8e916a57-0c9b-3fd5-8463-3253d8e59b3d"]}],"mendeley":{"formattedCitation":"&lt;sup&gt;7–11&lt;/sup&gt;","plainTextFormattedCitation":"7–11","previouslyFormattedCitation":"&lt;sup&gt;7–11&lt;/sup&gt;"},"properties":{"noteIndex":0},"schema":"https://github.com/citation-style-language/schema/raw/master/csl-citation.json"}</w:instrText>
      </w:r>
      <w:r w:rsidR="00D74ADA">
        <w:fldChar w:fldCharType="separate"/>
      </w:r>
      <w:r w:rsidR="006431C6" w:rsidRPr="006431C6">
        <w:rPr>
          <w:noProof/>
          <w:vertAlign w:val="superscript"/>
        </w:rPr>
        <w:t>7–11</w:t>
      </w:r>
      <w:r w:rsidR="00D74ADA">
        <w:fldChar w:fldCharType="end"/>
      </w:r>
      <w:r w:rsidR="0012134A">
        <w:t xml:space="preserve">. </w:t>
      </w:r>
      <w:r w:rsidR="004F5AE3">
        <w:t>V roce 2016 vyš</w:t>
      </w:r>
      <w:r w:rsidR="009D7238">
        <w:t>la</w:t>
      </w:r>
      <w:r w:rsidR="004F5AE3">
        <w:t xml:space="preserve"> </w:t>
      </w:r>
      <w:r w:rsidR="009D7238">
        <w:t>aktualizace</w:t>
      </w:r>
      <w:r w:rsidR="004F5AE3">
        <w:t xml:space="preserve"> Světové zdravotnické organiz</w:t>
      </w:r>
      <w:r w:rsidR="007E48C7">
        <w:t>a</w:t>
      </w:r>
      <w:r w:rsidR="004F5AE3">
        <w:t>ce týkající se klasifikace gliálních nádorů a do charakterizačního algoritmu a terminologie byly zapojeny další významné molekulární markery</w:t>
      </w:r>
      <w:r w:rsidR="00A01609">
        <w:fldChar w:fldCharType="begin" w:fldLock="1"/>
      </w:r>
      <w:r w:rsidR="00CC7CB0">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A01609">
        <w:fldChar w:fldCharType="separate"/>
      </w:r>
      <w:r w:rsidR="006431C6" w:rsidRPr="006431C6">
        <w:rPr>
          <w:noProof/>
          <w:vertAlign w:val="superscript"/>
        </w:rPr>
        <w:t>12</w:t>
      </w:r>
      <w:r w:rsidR="00A01609">
        <w:fldChar w:fldCharType="end"/>
      </w:r>
      <w:r w:rsidR="004F5AE3">
        <w:t xml:space="preserve">. </w:t>
      </w:r>
    </w:p>
    <w:p w14:paraId="4AAE4167" w14:textId="06A5CDDA" w:rsidR="00580273" w:rsidRDefault="000E3FCB" w:rsidP="00EC4DAF">
      <w:pPr>
        <w:pStyle w:val="Odstavecseseznamem"/>
        <w:tabs>
          <w:tab w:val="left" w:pos="975"/>
        </w:tabs>
        <w:ind w:left="0"/>
        <w:jc w:val="both"/>
      </w:pPr>
      <w:r>
        <w:t xml:space="preserve">Před </w:t>
      </w:r>
      <w:r w:rsidR="009D5866">
        <w:t>aktualizací</w:t>
      </w:r>
      <w:r>
        <w:t xml:space="preserve"> z roku 2016, byl klasifikační systém založen pouze na faktorech pozorovaných mikroskopem. I přesto, že molekulárně genetické charakteristiky pouze doplňují již zavedené histologické definice, jedná se o značný posun </w:t>
      </w:r>
      <w:r w:rsidR="009160A2">
        <w:t xml:space="preserve">ve vnímání tohoto nádorového onemocnění a </w:t>
      </w:r>
      <w:r w:rsidR="00712885">
        <w:t>kombinací</w:t>
      </w:r>
      <w:r w:rsidR="009160A2">
        <w:t xml:space="preserve"> dostupných informací lze přesněji specifikovat prognózu i predikovat odpověď na léčbu. Obrázek 2 ilustruje posun v diagnóze difuzních a oligodendrogliálních nádorů spolu s jeho vlivem na délku doby přežití dle doporučených změn z WHO 2007 na WHO 2016. </w:t>
      </w:r>
    </w:p>
    <w:p w14:paraId="1A0FF8B1" w14:textId="5359024E" w:rsidR="00580273" w:rsidRDefault="00580273" w:rsidP="00580273">
      <w:pPr>
        <w:pStyle w:val="Odstavecseseznamem"/>
        <w:tabs>
          <w:tab w:val="left" w:pos="975"/>
        </w:tabs>
        <w:ind w:left="360"/>
        <w:jc w:val="both"/>
        <w:rPr>
          <w:sz w:val="20"/>
          <w:szCs w:val="20"/>
        </w:rPr>
      </w:pPr>
    </w:p>
    <w:p w14:paraId="1387643B" w14:textId="09BBFBFF" w:rsidR="00192562" w:rsidRDefault="00192562" w:rsidP="005738FB">
      <w:pPr>
        <w:pStyle w:val="Odstavecseseznamem"/>
        <w:tabs>
          <w:tab w:val="left" w:pos="975"/>
        </w:tabs>
        <w:ind w:left="360"/>
        <w:jc w:val="both"/>
      </w:pPr>
    </w:p>
    <w:p w14:paraId="0376FBEC" w14:textId="0BBF2B5C" w:rsidR="00192562" w:rsidRDefault="00917484" w:rsidP="005738FB">
      <w:pPr>
        <w:pStyle w:val="Odstavecseseznamem"/>
        <w:tabs>
          <w:tab w:val="left" w:pos="975"/>
        </w:tabs>
        <w:ind w:left="360"/>
        <w:jc w:val="both"/>
      </w:pPr>
      <w:r>
        <w:rPr>
          <w:noProof/>
        </w:rPr>
        <mc:AlternateContent>
          <mc:Choice Requires="wps">
            <w:drawing>
              <wp:anchor distT="45720" distB="45720" distL="114300" distR="114300" simplePos="0" relativeHeight="251659264" behindDoc="0" locked="0" layoutInCell="1" allowOverlap="1" wp14:anchorId="10DD8448" wp14:editId="6037B2EB">
                <wp:simplePos x="0" y="0"/>
                <wp:positionH relativeFrom="column">
                  <wp:posOffset>694838</wp:posOffset>
                </wp:positionH>
                <wp:positionV relativeFrom="paragraph">
                  <wp:posOffset>14059</wp:posOffset>
                </wp:positionV>
                <wp:extent cx="4773930" cy="265814"/>
                <wp:effectExtent l="0" t="0" r="7620" b="127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265814"/>
                        </a:xfrm>
                        <a:prstGeom prst="rect">
                          <a:avLst/>
                        </a:prstGeom>
                        <a:solidFill>
                          <a:srgbClr val="FFFFFF"/>
                        </a:solidFill>
                        <a:ln w="9525">
                          <a:noFill/>
                          <a:miter lim="800000"/>
                          <a:headEnd/>
                          <a:tailEnd/>
                        </a:ln>
                      </wps:spPr>
                      <wps:txbx>
                        <w:txbxContent>
                          <w:p w14:paraId="108BDF31" w14:textId="0AEB22FD" w:rsidR="009036BC" w:rsidRDefault="009036BC">
                            <w:r>
                              <w:t xml:space="preserve">                     2007                                                              2016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DD8448" id="_x0000_t202" coordsize="21600,21600" o:spt="202" path="m,l,21600r21600,l21600,xe">
                <v:stroke joinstyle="miter"/>
                <v:path gradientshapeok="t" o:connecttype="rect"/>
              </v:shapetype>
              <v:shape id="Textové pole 2" o:spid="_x0000_s1026" type="#_x0000_t202" style="position:absolute;left:0;text-align:left;margin-left:54.7pt;margin-top:1.1pt;width:375.9pt;height:20.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CrdKwIAACIEAAAOAAAAZHJzL2Uyb0RvYy54bWysU11u2zAMfh+wOwh6X5y4SZMYcYouXYYB&#10;3Q/Q7gCyLMfCJFGTlNjZjXqOXWyUnKbZ9jbMDwJpkp8+fqRWN71W5CCcl2BKOhmNKRGGQy3NrqRf&#10;H7dvFpT4wEzNFBhR0qPw9Gb9+tWqs4XIoQVVC0cQxPiisyVtQ7BFlnneCs38CKwwGGzAaRbQdbus&#10;dqxDdK2yfDy+zjpwtXXAhff4924I0nXCbxrBw+em8SIQVVLkFtLp0lnFM1uvWLFzzLaSn2iwf2Ch&#10;mTR46RnqjgVG9k7+BaUld+ChCSMOOoOmkVykHrCbyfiPbh5aZkXqBcXx9iyT/3+w/NPhiyOyLmk+&#10;mVNimMYhPYo+wOHnE7GgBMmjSJ31BeY+WMwO/VvocdipYW/vgX/zxMCmZWYnbp2DrhWsRpKTWJld&#10;lA44PoJU3Ueo8S62D5CA+sbpqCBqQhAdh3U8Dwj5EI4/p/P51fIKQxxj+fVsMZmmK1jxXG2dD+8F&#10;aBKNkjpcgITODvc+RDaseE6Jl3lQst5KpZLjdtVGOXJguCzb9J3Qf0tThnQlXc7yWUI2EOvTHmkZ&#10;cJmV1CVdjOMXy1kR1Xhn6mQHJtVgIxNlTvJERQZtQl/1mBg1q6A+olAOhqXFR4ZGC+4HJR0ubEn9&#10;9z1zghL1waDYy8l0Gjc8OdPZPEfHXUaqywgzHKFKGigZzE1IryLyNXCLQ2lk0uuFyYkrLmKS8fRo&#10;4qZf+inr5WmvfwEAAP//AwBQSwMEFAAGAAgAAAAhAD7xcSvcAAAACAEAAA8AAABkcnMvZG93bnJl&#10;di54bWxMj0FPg0AQhe8m/ofNmHgxdoEgbZGlURON19b+gAGmQGRnCbst9N87nvQ2L+/lzfeK3WIH&#10;daHJ944NxKsIFHHtmp5bA8ev98cNKB+QGxwck4ErediVtzcF5o2beU+XQ2iVlLDP0UAXwphr7euO&#10;LPqVG4nFO7nJYhA5tbqZcJZyO+gkijJtsWf50OFIbx3V34ezNXD6nB+etnP1EY7rfZq9Yr+u3NWY&#10;+7vl5RlUoCX8heEXX9ChFKbKnbnxahAdbVOJGkgSUOJvsliOykCaxqDLQv8fUP4AAAD//wMAUEsB&#10;Ai0AFAAGAAgAAAAhALaDOJL+AAAA4QEAABMAAAAAAAAAAAAAAAAAAAAAAFtDb250ZW50X1R5cGVz&#10;XS54bWxQSwECLQAUAAYACAAAACEAOP0h/9YAAACUAQAACwAAAAAAAAAAAAAAAAAvAQAAX3JlbHMv&#10;LnJlbHNQSwECLQAUAAYACAAAACEAUTgq3SsCAAAiBAAADgAAAAAAAAAAAAAAAAAuAgAAZHJzL2Uy&#10;b0RvYy54bWxQSwECLQAUAAYACAAAACEAPvFxK9wAAAAIAQAADwAAAAAAAAAAAAAAAACFBAAAZHJz&#10;L2Rvd25yZXYueG1sUEsFBgAAAAAEAAQA8wAAAI4FAAAAAA==&#10;" stroked="f">
                <v:textbox>
                  <w:txbxContent>
                    <w:p w14:paraId="108BDF31" w14:textId="0AEB22FD" w:rsidR="009036BC" w:rsidRDefault="009036BC">
                      <w:r>
                        <w:t xml:space="preserve">                     2007                                                              2016</w:t>
                      </w:r>
                    </w:p>
                  </w:txbxContent>
                </v:textbox>
              </v:shape>
            </w:pict>
          </mc:Fallback>
        </mc:AlternateContent>
      </w:r>
      <w:r>
        <w:rPr>
          <w:noProof/>
        </w:rPr>
        <w:drawing>
          <wp:anchor distT="0" distB="0" distL="114300" distR="114300" simplePos="0" relativeHeight="251660288" behindDoc="1" locked="0" layoutInCell="1" allowOverlap="1" wp14:anchorId="1A0B04B4" wp14:editId="7CAACDC8">
            <wp:simplePos x="0" y="0"/>
            <wp:positionH relativeFrom="column">
              <wp:posOffset>226695</wp:posOffset>
            </wp:positionH>
            <wp:positionV relativeFrom="paragraph">
              <wp:posOffset>311785</wp:posOffset>
            </wp:positionV>
            <wp:extent cx="5752465" cy="3295650"/>
            <wp:effectExtent l="0" t="0" r="635" b="0"/>
            <wp:wrapTight wrapText="bothSides">
              <wp:wrapPolygon edited="0">
                <wp:start x="0" y="0"/>
                <wp:lineTo x="0" y="21475"/>
                <wp:lineTo x="21531" y="21475"/>
                <wp:lineTo x="21531"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3426"/>
                    <a:stretch/>
                  </pic:blipFill>
                  <pic:spPr bwMode="auto">
                    <a:xfrm>
                      <a:off x="0" y="0"/>
                      <a:ext cx="5752465" cy="32956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3C53E09" w14:textId="681FFABC" w:rsidR="00192562" w:rsidRDefault="00192562" w:rsidP="005738FB">
      <w:pPr>
        <w:pStyle w:val="Odstavecseseznamem"/>
        <w:tabs>
          <w:tab w:val="left" w:pos="975"/>
        </w:tabs>
        <w:ind w:left="360"/>
        <w:jc w:val="both"/>
      </w:pPr>
    </w:p>
    <w:p w14:paraId="635FFE1C" w14:textId="58D308CC" w:rsidR="009D5866" w:rsidRDefault="00306B65" w:rsidP="00EA79DA">
      <w:pPr>
        <w:pStyle w:val="Odstavecseseznamem"/>
        <w:tabs>
          <w:tab w:val="left" w:pos="975"/>
        </w:tabs>
        <w:ind w:left="0"/>
        <w:jc w:val="both"/>
        <w:rPr>
          <w:sz w:val="20"/>
          <w:szCs w:val="20"/>
        </w:rPr>
      </w:pPr>
      <w:bookmarkStart w:id="7" w:name="_Toc67162689"/>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2</w:t>
      </w:r>
      <w:r w:rsidRPr="00306B65">
        <w:rPr>
          <w:b/>
          <w:bCs/>
          <w:sz w:val="20"/>
          <w:szCs w:val="20"/>
        </w:rPr>
        <w:fldChar w:fldCharType="end"/>
      </w:r>
      <w:r w:rsidRPr="00306B65">
        <w:rPr>
          <w:b/>
          <w:bCs/>
          <w:sz w:val="20"/>
          <w:szCs w:val="20"/>
        </w:rPr>
        <w:t>:</w:t>
      </w:r>
      <w:r>
        <w:rPr>
          <w:b/>
          <w:bCs/>
          <w:sz w:val="20"/>
          <w:szCs w:val="20"/>
        </w:rPr>
        <w:t xml:space="preserve"> </w:t>
      </w:r>
      <w:r w:rsidR="005E2B30" w:rsidRPr="009160A2">
        <w:rPr>
          <w:sz w:val="20"/>
          <w:szCs w:val="20"/>
        </w:rPr>
        <w:t xml:space="preserve">Míra přežití a distribuce jednotlivých difuzních nádorů dle doporučení WHO 2007 a </w:t>
      </w:r>
      <w:r w:rsidR="009D5866">
        <w:rPr>
          <w:sz w:val="20"/>
          <w:szCs w:val="20"/>
        </w:rPr>
        <w:t>aktualizace</w:t>
      </w:r>
      <w:r w:rsidR="005E2B30" w:rsidRPr="009160A2">
        <w:rPr>
          <w:sz w:val="20"/>
          <w:szCs w:val="20"/>
        </w:rPr>
        <w:t xml:space="preserve"> těchto dat dle WHO 2016.</w:t>
      </w:r>
      <w:r w:rsidR="00EA79DA" w:rsidRPr="00EA79DA">
        <w:rPr>
          <w:sz w:val="20"/>
          <w:szCs w:val="20"/>
        </w:rPr>
        <w:t xml:space="preserve"> </w:t>
      </w:r>
      <w:r w:rsidR="00EA79DA">
        <w:rPr>
          <w:sz w:val="20"/>
          <w:szCs w:val="20"/>
        </w:rPr>
        <w:t>Převzato z originálu</w:t>
      </w:r>
      <w:r w:rsidR="00EA79DA" w:rsidRPr="009160A2">
        <w:rPr>
          <w:sz w:val="20"/>
          <w:szCs w:val="20"/>
        </w:rPr>
        <w:fldChar w:fldCharType="begin" w:fldLock="1"/>
      </w:r>
      <w:r w:rsidR="00EA79DA" w:rsidRPr="009160A2">
        <w:rPr>
          <w:sz w:val="20"/>
          <w:szCs w:val="20"/>
        </w:rPr>
        <w:instrText>ADDIN CSL_CITATION {"citationItems":[{"id":"ITEM-1","itemData":{"DOI":"10.18632/oncotarget.13555","ISSN":"1949-2553","abstract":"The latest World Health Organization (WHO) classification of tumors of the central nervous system (CNS) integrates both histological and molecular features in the definition of diagnostic entities. This new approach enrolls novel entities of gliomas. In this study, we aimed to reveal the epidemiological characteristics, including age at diagnosis, gender ratio, tumor distribution and survival, of these new entities. We retrospectively reclassified 1210 glioma samples according to the 2016 CNS WHO diagnostic criteria. In our cohort, glioblastoma multiforme (GBM) with wildtype isocitrate dehydrogenase (IDH) was the most common malignant tumor in the brain. Almost all gliomas were more prevalent in males, especially in the cluster of WHO grade III gliomas and IDH-wildtype GBM. Age at diagnosis was directly proportional to tumor grade. With respect to the distribution by histology, we found that gliomas concurrent with IDH-mutant and 1p/19q-codeleted or with single IDHmutant were mainly distributed in frontal lobe, while those with IDH-wildtype were dominant in temporal lobe. Lesions located in insular lobe were more likely to be IDH-mutant astrocytoma. In summary, our results elucidated the epidemiological characteristics as well as the regional constituents of these new gliomas entities, which could bring insights into tumorigenesis and personalized treatment of Chinese glioma population.","author":[{"dropping-particle":"","family":"Jiang","given":"Haihui","non-dropping-particle":"","parse-names":false,"suffix":""},{"dropping-particle":"","family":"Cui","given":"Yong","non-dropping-particle":"","parse-names":false,"suffix":""},{"dropping-particle":"","family":"Wang","given":"Junmei","non-dropping-particle":"","parse-names":false,"suffix":""},{"dropping-particle":"","family":"Lin","given":"Song","non-dropping-particle":"","parse-names":false,"suffix":""}],"container-title":"Oncotarget","id":"ITEM-1","issue":"12","issued":{"date-parts":[["2017","3","21"]]},"page":"20354-20361","publisher":"Impact Journals LLC","title":"Impact of epidemiological characteristics of supratentorial gliomas in adults brought about by the 2016 world health organization classification of tumors of the central nervous system","type":"article-journal","volume":"8"},"uris":["http://www.mendeley.com/documents/?uuid=c702e13b-2b2f-3e5b-91bf-2ea0b6dc18cf"]}],"mendeley":{"formattedCitation":"&lt;sup&gt;13&lt;/sup&gt;","plainTextFormattedCitation":"13","previouslyFormattedCitation":"&lt;sup&gt;13&lt;/sup&gt;"},"properties":{"noteIndex":0},"schema":"https://github.com/citation-style-language/schema/raw/master/csl-citation.json"}</w:instrText>
      </w:r>
      <w:r w:rsidR="00EA79DA" w:rsidRPr="009160A2">
        <w:rPr>
          <w:sz w:val="20"/>
          <w:szCs w:val="20"/>
        </w:rPr>
        <w:fldChar w:fldCharType="separate"/>
      </w:r>
      <w:r w:rsidR="00EA79DA" w:rsidRPr="009160A2">
        <w:rPr>
          <w:noProof/>
          <w:sz w:val="20"/>
          <w:szCs w:val="20"/>
          <w:vertAlign w:val="superscript"/>
        </w:rPr>
        <w:t>13</w:t>
      </w:r>
      <w:r w:rsidR="00EA79DA" w:rsidRPr="009160A2">
        <w:rPr>
          <w:sz w:val="20"/>
          <w:szCs w:val="20"/>
        </w:rPr>
        <w:fldChar w:fldCharType="end"/>
      </w:r>
      <w:r w:rsidR="00EA79DA">
        <w:rPr>
          <w:sz w:val="20"/>
          <w:szCs w:val="20"/>
        </w:rPr>
        <w:t>.</w:t>
      </w:r>
      <w:bookmarkEnd w:id="7"/>
    </w:p>
    <w:p w14:paraId="3E889F7B" w14:textId="3A573A93" w:rsidR="009D5866" w:rsidRPr="00EA79DA" w:rsidRDefault="005E2B30" w:rsidP="00EA79DA">
      <w:pPr>
        <w:pStyle w:val="Odstavecseseznamem"/>
        <w:tabs>
          <w:tab w:val="left" w:pos="975"/>
        </w:tabs>
        <w:ind w:left="0"/>
        <w:jc w:val="both"/>
        <w:rPr>
          <w:sz w:val="20"/>
          <w:szCs w:val="20"/>
        </w:rPr>
        <w:sectPr w:rsidR="009D5866" w:rsidRPr="00EA79DA" w:rsidSect="001F70A3">
          <w:footerReference w:type="first" r:id="rId13"/>
          <w:pgSz w:w="11906" w:h="16838"/>
          <w:pgMar w:top="1417" w:right="1417" w:bottom="1417" w:left="1417" w:header="708" w:footer="708" w:gutter="0"/>
          <w:pgNumType w:start="8"/>
          <w:cols w:space="708"/>
          <w:titlePg/>
          <w:docGrid w:linePitch="360"/>
        </w:sectPr>
      </w:pPr>
      <w:r w:rsidRPr="009160A2">
        <w:rPr>
          <w:sz w:val="20"/>
          <w:szCs w:val="20"/>
        </w:rPr>
        <w:t xml:space="preserve">GBM – glioblastom, GBMO – glioblastom s oligodendrogliální komponentou, O – oligodendrogliom, A – astrocytom, AA – anaplastický astrocytom, AOA </w:t>
      </w:r>
      <w:r w:rsidR="00917484" w:rsidRPr="009160A2">
        <w:rPr>
          <w:sz w:val="20"/>
          <w:szCs w:val="20"/>
        </w:rPr>
        <w:t>–</w:t>
      </w:r>
      <w:r w:rsidRPr="009160A2">
        <w:rPr>
          <w:sz w:val="20"/>
          <w:szCs w:val="20"/>
        </w:rPr>
        <w:t xml:space="preserve"> </w:t>
      </w:r>
      <w:r w:rsidR="00917484" w:rsidRPr="009160A2">
        <w:rPr>
          <w:sz w:val="20"/>
          <w:szCs w:val="20"/>
        </w:rPr>
        <w:t>anaplastický oligoastrocytom</w:t>
      </w:r>
      <w:r w:rsidRPr="009160A2">
        <w:rPr>
          <w:sz w:val="20"/>
          <w:szCs w:val="20"/>
        </w:rPr>
        <w:t>, AO – anaplastický oligodendrogliom</w:t>
      </w:r>
      <w:r w:rsidR="00917484" w:rsidRPr="009160A2">
        <w:rPr>
          <w:sz w:val="20"/>
          <w:szCs w:val="20"/>
        </w:rPr>
        <w:t>.</w:t>
      </w:r>
    </w:p>
    <w:p w14:paraId="5FF5C382" w14:textId="062EE12A" w:rsidR="003D1A7A" w:rsidRPr="003D1A7A" w:rsidRDefault="003D1A7A" w:rsidP="00EA79DA">
      <w:pPr>
        <w:pStyle w:val="Nadpis2"/>
        <w:ind w:left="0" w:firstLine="0"/>
      </w:pPr>
      <w:bookmarkStart w:id="8" w:name="_Toc88741443"/>
      <w:bookmarkStart w:id="9" w:name="_Hlk67141192"/>
      <w:r w:rsidRPr="003D1A7A">
        <w:t xml:space="preserve">Diagnostika a </w:t>
      </w:r>
      <w:r w:rsidR="00562F69">
        <w:t xml:space="preserve">standardní </w:t>
      </w:r>
      <w:r w:rsidRPr="003D1A7A">
        <w:t>terapie gliálních nádorů</w:t>
      </w:r>
      <w:bookmarkEnd w:id="8"/>
    </w:p>
    <w:p w14:paraId="3072FC97" w14:textId="54DDED35" w:rsidR="00192562" w:rsidRDefault="00192562" w:rsidP="00EC4DAF">
      <w:pPr>
        <w:pStyle w:val="Odstavecseseznamem"/>
        <w:tabs>
          <w:tab w:val="left" w:pos="975"/>
        </w:tabs>
        <w:ind w:left="0"/>
        <w:jc w:val="both"/>
      </w:pPr>
    </w:p>
    <w:p w14:paraId="7C8D3E31" w14:textId="682A5D8E" w:rsidR="00B349D6" w:rsidRDefault="00B349D6" w:rsidP="00EC4DAF">
      <w:pPr>
        <w:pStyle w:val="Odstavecseseznamem"/>
        <w:tabs>
          <w:tab w:val="left" w:pos="975"/>
        </w:tabs>
        <w:ind w:left="0"/>
        <w:jc w:val="both"/>
      </w:pPr>
      <w:r>
        <w:t xml:space="preserve">Příznaky gliálního onemocnění mohou být pozorovatelné pouze týdny od diagnózy nebo dokonce </w:t>
      </w:r>
      <w:r w:rsidR="004F45A7">
        <w:t xml:space="preserve">i </w:t>
      </w:r>
      <w:r>
        <w:t>roky</w:t>
      </w:r>
      <w:r w:rsidR="009D7238">
        <w:t xml:space="preserve">. </w:t>
      </w:r>
      <w:r>
        <w:t xml:space="preserve"> </w:t>
      </w:r>
      <w:r w:rsidR="009D7238">
        <w:t>Pacient může</w:t>
      </w:r>
      <w:r>
        <w:t xml:space="preserve"> pociťovat nespecifické symptomy (</w:t>
      </w:r>
      <w:r w:rsidR="004F45A7">
        <w:t xml:space="preserve">epileptické </w:t>
      </w:r>
      <w:r>
        <w:t>záchvaty, bolest hlavy, ú</w:t>
      </w:r>
      <w:r w:rsidR="006B3482">
        <w:t>n</w:t>
      </w:r>
      <w:r>
        <w:t>a</w:t>
      </w:r>
      <w:r w:rsidR="006B3482">
        <w:t>v</w:t>
      </w:r>
      <w:r>
        <w:t>a, kognitivní poruchy)</w:t>
      </w:r>
      <w:r w:rsidR="00233A15">
        <w:t>, což je</w:t>
      </w:r>
      <w:r w:rsidR="004F45A7">
        <w:t xml:space="preserve"> </w:t>
      </w:r>
      <w:r w:rsidR="0099485D">
        <w:t>dané</w:t>
      </w:r>
      <w:r w:rsidR="004F45A7">
        <w:t xml:space="preserve"> </w:t>
      </w:r>
      <w:r>
        <w:t>dynami</w:t>
      </w:r>
      <w:r w:rsidR="0099485D">
        <w:t>kou</w:t>
      </w:r>
      <w:r>
        <w:t xml:space="preserve"> růstu jednotlivých druhů nádor</w:t>
      </w:r>
      <w:r w:rsidR="00C545A7">
        <w:t>ů</w:t>
      </w:r>
      <w:r>
        <w:fldChar w:fldCharType="begin" w:fldLock="1"/>
      </w:r>
      <w:r w:rsidR="004F45A7">
        <w:instrText>ADDIN CSL_CITATION {"citationItems":[{"id":"ITEM-1","itemData":{"DOI":"10.1111/ane.12285","ISSN":"16000404","PMID":"25263022","abstract":"Objective: Studies on the presenting symptoms of glioma in adults in the age of readily available MRI imaging are scarce. This study investigates presenting symptoms of glioma and assesses the correlations of the presenting symptoms with patient age and histopathological class of the tumor. Materials and Methods: A retrospective review of the medical records of histologically verified glioma patients treated in Turku University Hospital, during 2006-2010, was conducted. The associations between the presenting symptoms and other covariates were assessed individually. Results: One hundred and fifty patients were ascertained. The most common presenting symptoms of glioma were seizure and cognitive disorder. Patients presenting with seizures were younger than patients with cognitive disorders, and the grade of the tumor was also found to significantly correlate with the most common presenting symptoms. Age group and tumor grade were statistically significant factors of cognitive disorder (P = 0.0037 and P = 0.0069) and age group of seizure (P = 0.0065). The associations between the presenting symptoms and the anatomical location, spread into adjacent brain areas, or laterality of the tumor or site of diagnosis were found to be statistically insignificant. Headache was not a common presenting symptom in glioma patients. Conclusions: The main presenting symptoms of glioma in adults in the MRI age still are seizures and cognitive disorder. Patient age and tumor grade correlate positively with the incidence of cognitive disorder and patient age negatively with incidence of seizure as a presenting symptom. Headache is an uncommon manifestation and does not appear as a sole symptom.","author":[{"dropping-particle":"","family":"Posti","given":"J. P.","non-dropping-particle":"","parse-names":false,"suffix":""},{"dropping-particle":"","family":"Bori","given":"M.","non-dropping-particle":"","parse-names":false,"suffix":""},{"dropping-particle":"","family":"Kauko","given":"T.","non-dropping-particle":"","parse-names":false,"suffix":""},{"dropping-particle":"","family":"Sankinen","given":"M.","non-dropping-particle":"","parse-names":false,"suffix":""},{"dropping-particle":"","family":"Nordberg","given":"J.","non-dropping-particle":"","parse-names":false,"suffix":""},{"dropping-particle":"","family":"Rahi","given":"M.","non-dropping-particle":"","parse-names":false,"suffix":""},{"dropping-particle":"","family":"Frantzén","given":"J.","non-dropping-particle":"","parse-names":false,"suffix":""},{"dropping-particle":"","family":"Vuorinen","given":"V.","non-dropping-particle":"","parse-names":false,"suffix":""},{"dropping-particle":"","family":"Sipilä","given":"J. O.T.","non-dropping-particle":"","parse-names":false,"suffix":""}],"container-title":"Acta Neurologica Scandinavica","id":"ITEM-1","issue":"2","issued":{"date-parts":[["2015","2","1"]]},"page":"88-93","publisher":"Blackwell Publishing Ltd","title":"Presenting symptoms of glioma in adults","type":"article-journal","volume":"131"},"uris":["http://www.mendeley.com/documents/?uuid=544b1313-a72e-3cc7-be75-b9e4067b5f20"]}],"mendeley":{"formattedCitation":"&lt;sup&gt;14&lt;/sup&gt;","plainTextFormattedCitation":"14","previouslyFormattedCitation":"&lt;sup&gt;14&lt;/sup&gt;"},"properties":{"noteIndex":0},"schema":"https://github.com/citation-style-language/schema/raw/master/csl-citation.json"}</w:instrText>
      </w:r>
      <w:r>
        <w:fldChar w:fldCharType="separate"/>
      </w:r>
      <w:r w:rsidRPr="00B349D6">
        <w:rPr>
          <w:noProof/>
          <w:vertAlign w:val="superscript"/>
        </w:rPr>
        <w:t>14</w:t>
      </w:r>
      <w:r>
        <w:fldChar w:fldCharType="end"/>
      </w:r>
      <w:r>
        <w:t xml:space="preserve">. </w:t>
      </w:r>
      <w:r w:rsidR="004F45A7">
        <w:t>V první řadě je pacient podroben vyšetření k rozlišení primárního nádoru od metastáz v mozku, zjištění možných kontraindikací neurochirurgického zákroku a také neurologické</w:t>
      </w:r>
      <w:r w:rsidR="0099485D">
        <w:t>mu</w:t>
      </w:r>
      <w:r w:rsidR="004F45A7">
        <w:t xml:space="preserve"> vyšetření</w:t>
      </w:r>
      <w:r w:rsidR="004F45A7">
        <w:fldChar w:fldCharType="begin" w:fldLock="1"/>
      </w:r>
      <w:r w:rsidR="00917DAF">
        <w:instrText>ADDIN CSL_CITATION {"citationItems":[{"id":"ITEM-1","itemData":{"DOI":"10.1093/neuonc/nox029","ISSN":"15235866","PMID":"28453751","abstract":"Background. The Macdonald criteria and the Response Assessment in Neuro-Oncology (RANO) criteria defne radiologic parameters to classify therapeutic outcome among patients with malignant glioma and specify that clinical status must be incorporated and prioritized for overall assessment. But neither provides specifc parameters to do so. We hypothesized that a standardized metric to measure neurologic function will permit more effective overall response assessment in neuro-oncology. Methods. An international group of physicians including neurologists, medical oncologists, radiation oncologists, and neurosurgeons with expertise in neuro-oncology drafted the Neurologic Assessment in Neuro-Oncology (NANO) scale as an objective and quantifable metric of neurologic function evaluable during a routine offce examination. The scale was subsequently tested in a multicenter study to determine its overall reliability, interobserver variability, and feasibility. Results. The NANO scale is a quantifable evaluation of 9 relevant neurologic domains based on direct observation and testing conducted during routine offce visits. The score defnes overall response criteria. A prospective, multinational study noted a &gt;90% inter-observer agreement rate with kappa statistic ranging from 0.35 to 0.83 (fair to almost perfect agreement), and a median assessment time of 4 minutes (interquartile range, 3-5). Conclusion. The NANO scale provides an objective clinician-reported outcome of neurologic function with high inter-observer agreement. It is designed to combine with radiographic assessment to provide an overall assessment of outcome for neuro-oncology patients in clinical trials and in daily practice. Furthermore, it complements existing patient-reported outcomes and cognition testing to combine for a global clinical outcome assessment of well-being among brain tumor patients.","author":[{"dropping-particle":"","family":"Nayak","given":"Lakshmi","non-dropping-particle":"","parse-names":false,"suffix":""},{"dropping-particle":"","family":"Deangelis","given":"Lisa M.","non-dropping-particle":"","parse-names":false,"suffix":""},{"dropping-particle":"","family":"Brandes","given":"Alba A.","non-dropping-particle":"","parse-names":false,"suffix":""},{"dropping-particle":"","family":"Peereboom","given":"David M.","non-dropping-particle":"","parse-names":false,"suffix":""},{"dropping-particle":"","family":"Galanis","given":"Evanthia","non-dropping-particle":"","parse-names":false,"suffix":""},{"dropping-particle":"","family":"Lin","given":"Nancy U.","non-dropping-particle":"","parse-names":false,"suffix":""},{"dropping-particle":"","family":"Soffietti","given":"Riccardo","non-dropping-particle":"","parse-names":false,"suffix":""},{"dropping-particle":"","family":"MacDonald","given":"David R.","non-dropping-particle":"","parse-names":false,"suffix":""},{"dropping-particle":"","family":"Chamberlain","given":"Marc","non-dropping-particle":"","parse-names":false,"suffix":""},{"dropping-particle":"","family":"Perry","given":"James","non-dropping-particle":"","parse-names":false,"suffix":""},{"dropping-particle":"","family":"Jaeckle","given":"Kurt","non-dropping-particle":"","parse-names":false,"suffix":""},{"dropping-particle":"","family":"Mehta","given":"Minesh","non-dropping-particle":"","parse-names":false,"suffix":""},{"dropping-particle":"","family":"Stupp","given":"Roger","non-dropping-particle":"","parse-names":false,"suffix":""},{"dropping-particle":"","family":"Muzikansky","given":"Alona","non-dropping-particle":"","parse-names":false,"suffix":""},{"dropping-particle":"","family":"Pentsova","given":"Elena","non-dropping-particle":"","parse-names":false,"suffix":""},{"dropping-particle":"","family":"Cloughesy","given":"Timothy","non-dropping-particle":"","parse-names":false,"suffix":""},{"dropping-particle":"","family":"Iwamoto","given":"Fabio M.","non-dropping-particle":"","parse-names":false,"suffix":""},{"dropping-particle":"","family":"Tonn","given":"Joerg Christian","non-dropping-particle":"","parse-names":false,"suffix":""},{"dropping-particle":"","family":"Vogelbaum","given":"Michael A.","non-dropping-particle":"","parse-names":false,"suffix":""},{"dropping-particle":"","family":"Wen","given":"Patrick Y.","non-dropping-particle":"","parse-names":false,"suffix":""},{"dropping-particle":"","family":"Bent","given":"Martin J.","non-dropping-particle":"Van Den","parse-names":false,"suffix":""},{"dropping-particle":"","family":"Reardon","given":"David A.","non-dropping-particle":"","parse-names":false,"suffix":""}],"container-title":"Neuro-Oncology","id":"ITEM-1","issue":"5","issued":{"date-parts":[["2017","5","1"]]},"page":"625-635","publisher":"Oxford University Press","title":"The Neurologic Assessment in Neuro-Oncology (NANO) scale: A tool to assess neurologic function for integration into the Response Assessment in Neuro-Oncology (RANO) criteria","type":"article-journal","volume":"19"},"uris":["http://www.mendeley.com/documents/?uuid=509542d7-e825-34ed-8697-7fdc6d1019fe"]}],"mendeley":{"formattedCitation":"&lt;sup&gt;15&lt;/sup&gt;","plainTextFormattedCitation":"15","previouslyFormattedCitation":"&lt;sup&gt;15&lt;/sup&gt;"},"properties":{"noteIndex":0},"schema":"https://github.com/citation-style-language/schema/raw/master/csl-citation.json"}</w:instrText>
      </w:r>
      <w:r w:rsidR="004F45A7">
        <w:fldChar w:fldCharType="separate"/>
      </w:r>
      <w:r w:rsidR="004F45A7" w:rsidRPr="004F45A7">
        <w:rPr>
          <w:noProof/>
          <w:vertAlign w:val="superscript"/>
        </w:rPr>
        <w:t>15</w:t>
      </w:r>
      <w:r w:rsidR="004F45A7">
        <w:fldChar w:fldCharType="end"/>
      </w:r>
      <w:r w:rsidR="0099485D">
        <w:t>. Pr</w:t>
      </w:r>
      <w:r w:rsidR="009D7238">
        <w:t>eoperační diagnostika zahrnuje zejména</w:t>
      </w:r>
      <w:r w:rsidR="0099485D">
        <w:t xml:space="preserve"> využití technik zobrazovacích metod. </w:t>
      </w:r>
    </w:p>
    <w:p w14:paraId="697A8C7B" w14:textId="77777777" w:rsidR="004F45A7" w:rsidRDefault="004F45A7" w:rsidP="00EC4DAF">
      <w:pPr>
        <w:pStyle w:val="Odstavecseseznamem"/>
        <w:tabs>
          <w:tab w:val="left" w:pos="975"/>
        </w:tabs>
        <w:ind w:left="0"/>
        <w:jc w:val="both"/>
      </w:pPr>
    </w:p>
    <w:p w14:paraId="03C74594" w14:textId="77777777" w:rsidR="003D1A7A" w:rsidRDefault="003D1A7A" w:rsidP="00EC4DAF">
      <w:pPr>
        <w:pStyle w:val="Nadpis3"/>
        <w:ind w:left="0" w:firstLine="0"/>
        <w:contextualSpacing/>
      </w:pPr>
      <w:bookmarkStart w:id="10" w:name="_Toc88741444"/>
      <w:r>
        <w:t>Zobrazovací metody</w:t>
      </w:r>
      <w:bookmarkEnd w:id="10"/>
    </w:p>
    <w:p w14:paraId="0EC4FC49" w14:textId="77777777" w:rsidR="003D1A7A" w:rsidRPr="000D7954" w:rsidRDefault="003D1A7A" w:rsidP="00EC4DAF">
      <w:pPr>
        <w:pStyle w:val="Odstavecseseznamem"/>
        <w:ind w:left="0"/>
      </w:pPr>
    </w:p>
    <w:p w14:paraId="006BF2E8" w14:textId="2BAE26CF" w:rsidR="003D1A7A" w:rsidRDefault="003D1A7A" w:rsidP="00EC4DAF">
      <w:pPr>
        <w:pStyle w:val="Odstavecseseznamem"/>
        <w:ind w:left="0"/>
        <w:jc w:val="both"/>
      </w:pPr>
      <w:r>
        <w:t>V současnosti se při suspekci na nádor mozku nejčastěji využívá počítačová tomografie (CT), která má schopnost odhalit nádor, avšak její použití se doporučuje pouze při prvních akutních příznacích.</w:t>
      </w:r>
    </w:p>
    <w:p w14:paraId="485261FB" w14:textId="65C98D07" w:rsidR="003D1A7A" w:rsidRDefault="003D1A7A" w:rsidP="00EC4DAF">
      <w:pPr>
        <w:pStyle w:val="Odstavecseseznamem"/>
        <w:ind w:left="0"/>
        <w:jc w:val="both"/>
      </w:pPr>
      <w:r>
        <w:t>Základní zobrazovací technikou v neurologii a neurochirurgii je morfologická magnetická rezonance (MRI). Tato technika je schopna poskytnout detailní náhled do mozku, míchy, cév a to ve třech rovinách. S pomocí kontrastních látek lze předběžně stanovit i přesnější diagnózu, kdy dochází ke specifickému sycení kontrastní látky v místě nádoru. Kromě těchto informací, poskytuje vyšetření i další nálezy jakými jsou vaskularizace, kalcifikace, nekrózy aj. Pro preoperační vyšetření lze dále využít funkční magnetickou rezonanci (fMRI), která umožňuje zobrazení aktivních oblastí mozku na základě sledování změn oxygenace krve</w:t>
      </w:r>
      <w:r>
        <w:fldChar w:fldCharType="begin" w:fldLock="1"/>
      </w:r>
      <w:r w:rsidR="00917DAF">
        <w:instrText>ADDIN CSL_CITATION {"citationItems":[{"id":"ITEM-1","itemData":{"DOI":"10.23736/S1824-4785.18.03086-8","ISSN":"18244785","PMID":"29696946","abstract":"Magnetic resonance imaging is integral to the care of patients with high-grade gliomas. Anatomic detail can be acquired with conventional structural imaging, but newer approaches also add capabilities to interrogate image-derived physiologic and molecular characteristics of central nervous system neoplasms. These advanced imaging techniques are increasingly employed to generate biomarkers that better reflect tumor burden and therapy response. The following is an overview of current strategies based on advanced magnetic resonance imaging that are used in the assessment of high-grade glioma patients with an emphasis on how novel imaging biomarkers can potentially advance patient care.","author":[{"dropping-particle":"","family":"Pope","given":"Whitney B.","non-dropping-particle":"","parse-names":false,"suffix":""},{"dropping-particle":"","family":"Brandal","given":"Garth","non-dropping-particle":"","parse-names":false,"suffix":""}],"container-title":"Quarterly Journal of Nuclear Medicine and Molecular Imaging","id":"ITEM-1","issue":"3","issued":{"date-parts":[["2018","9","1"]]},"page":"239-253","publisher":"Edizioni Minerva Medica","title":"Conventional and advanced magnetic resonance imaging in patients with high-grade glioma","type":"article","volume":"62"},"uris":["http://www.mendeley.com/documents/?uuid=220ec70f-0cdb-3880-a1b5-748bc5e28a02"]}],"mendeley":{"formattedCitation":"&lt;sup&gt;16&lt;/sup&gt;","plainTextFormattedCitation":"16","previouslyFormattedCitation":"&lt;sup&gt;16&lt;/sup&gt;"},"properties":{"noteIndex":0},"schema":"https://github.com/citation-style-language/schema/raw/master/csl-citation.json"}</w:instrText>
      </w:r>
      <w:r>
        <w:fldChar w:fldCharType="separate"/>
      </w:r>
      <w:r w:rsidR="004F45A7" w:rsidRPr="004F45A7">
        <w:rPr>
          <w:noProof/>
          <w:vertAlign w:val="superscript"/>
        </w:rPr>
        <w:t>16</w:t>
      </w:r>
      <w:r>
        <w:fldChar w:fldCharType="end"/>
      </w:r>
      <w:r>
        <w:t xml:space="preserve">. </w:t>
      </w:r>
    </w:p>
    <w:p w14:paraId="1B85C0C4" w14:textId="77777777" w:rsidR="003D1A7A" w:rsidRDefault="003D1A7A" w:rsidP="00EC4DAF">
      <w:pPr>
        <w:pStyle w:val="Odstavecseseznamem"/>
        <w:ind w:left="0"/>
        <w:jc w:val="both"/>
      </w:pPr>
    </w:p>
    <w:p w14:paraId="7540D154" w14:textId="572FC6CA" w:rsidR="003D1A7A" w:rsidRDefault="003D1A7A" w:rsidP="00EC4DAF">
      <w:pPr>
        <w:pStyle w:val="Odstavecseseznamem"/>
        <w:ind w:left="0"/>
        <w:jc w:val="both"/>
      </w:pPr>
      <w:r>
        <w:t>Další hojně využívanou zobrazovací technikou je pozitronová emisní tomografie (PET), kdy je hlavní výhodou umožnění zobrazení fyziologických a patologických procesů probíhajících v organizmu za použití aminokyselin</w:t>
      </w:r>
      <w:r w:rsidRPr="0034552A">
        <w:t xml:space="preserve"> </w:t>
      </w:r>
      <w:r>
        <w:t>značených</w:t>
      </w:r>
      <w:r w:rsidRPr="0034552A">
        <w:t xml:space="preserve"> </w:t>
      </w:r>
      <w:r>
        <w:t>radionuklidy. Často je tato metoda kombinována s rentgenovou výpočetní tomografií označovanou jako PET-CT</w:t>
      </w:r>
      <w:r>
        <w:fldChar w:fldCharType="begin" w:fldLock="1"/>
      </w:r>
      <w:r w:rsidR="00917DAF">
        <w:instrText>ADDIN CSL_CITATION {"citationItems":[{"id":"ITEM-1","itemData":{"DOI":"10.15586/codon.glioblastoma.2017.ch9","ISBN":"9780994438126","PMID":"29251869","abstract":"Positron emission tomography (PET) is a nuclear medicine imaging method with increasing relevance for the diagnosis, prognostication, and monitoring of glioblastomas. PET provides additional insight beyond magnetic resonance imaging (MRI) into the biology of gliomas, which can be used for noninvasive grading, differential diagnosis, delineation of tumor extent, planning of surgery, and radiotherapy and post-treatment monitoring. In clinical practice, two classes of radiotracers have been used predominantly for imaging purposes, namely glucose metabolism tracers and amino acid transport tracers. Both classes of tracers can provide information on grading and prognosis of gliomas, but amino acid tracers, which exhibit lower uptake in normal brain tissue, are better suited for delineation of tumor extent, treatment planning, or follow-up than 18F-2-fluoro-2-deoxy-D-glucose (18F-FDG). Owing to the progress in PET imaging using radiolabeled amino acids in recent years, the Response Assessment in Neuro-Oncology (RANO) working group, an international effort to develop new standardized response criteria for clinical trials in brain tumors, has recently recommended amino acid PET as an additional tool in the diagnostic assessment of brain tumors. These developments as well as multimodality imaging should improve the diagnostic assessment of these tumors.","author":[{"dropping-particle":"","family":"VERGER","given":"ANTOINE","non-dropping-particle":"","parse-names":false,"suffix":""},{"dropping-particle":"","family":"LANGEN","given":"KARL-JOSEF","non-dropping-particle":"","parse-names":false,"suffix":""}],"container-title":"Glioblastoma","id":"ITEM-1","issued":{"date-parts":[["2017","9","22"]]},"page":"155-174","publisher":"Codon Publications","title":"PET Imaging in Glioblastoma: Use in Clinical Practice","type":"chapter"},"uris":["http://www.mendeley.com/documents/?uuid=15656c76-e418-346f-9266-3ad068cc7baf"]}],"mendeley":{"formattedCitation":"&lt;sup&gt;17&lt;/sup&gt;","plainTextFormattedCitation":"17","previouslyFormattedCitation":"&lt;sup&gt;17&lt;/sup&gt;"},"properties":{"noteIndex":0},"schema":"https://github.com/citation-style-language/schema/raw/master/csl-citation.json"}</w:instrText>
      </w:r>
      <w:r>
        <w:fldChar w:fldCharType="separate"/>
      </w:r>
      <w:r w:rsidR="004F45A7" w:rsidRPr="004F45A7">
        <w:rPr>
          <w:noProof/>
          <w:vertAlign w:val="superscript"/>
        </w:rPr>
        <w:t>17</w:t>
      </w:r>
      <w:r>
        <w:fldChar w:fldCharType="end"/>
      </w:r>
      <w:r>
        <w:t>.</w:t>
      </w:r>
    </w:p>
    <w:p w14:paraId="2C107CA2" w14:textId="036FCE50" w:rsidR="00192562" w:rsidRDefault="00192562" w:rsidP="00EC4DAF">
      <w:pPr>
        <w:pStyle w:val="Odstavecseseznamem"/>
        <w:tabs>
          <w:tab w:val="left" w:pos="975"/>
        </w:tabs>
        <w:ind w:left="0"/>
        <w:jc w:val="both"/>
      </w:pPr>
    </w:p>
    <w:p w14:paraId="4994FAB1" w14:textId="77777777" w:rsidR="003D1A7A" w:rsidRDefault="003D1A7A" w:rsidP="00EC4DAF">
      <w:pPr>
        <w:pStyle w:val="Nadpis3"/>
        <w:ind w:left="0" w:firstLine="0"/>
      </w:pPr>
      <w:bookmarkStart w:id="11" w:name="_Toc88741445"/>
      <w:r>
        <w:t>Resekce nádoru</w:t>
      </w:r>
      <w:bookmarkEnd w:id="11"/>
    </w:p>
    <w:p w14:paraId="7362434C" w14:textId="77777777" w:rsidR="003D1A7A" w:rsidRDefault="003D1A7A" w:rsidP="00EC4DAF">
      <w:pPr>
        <w:pStyle w:val="Odstavecseseznamem"/>
        <w:ind w:left="0"/>
      </w:pPr>
      <w:r>
        <w:t xml:space="preserve"> </w:t>
      </w:r>
    </w:p>
    <w:p w14:paraId="65E26B5A" w14:textId="407FC6B7" w:rsidR="00524905" w:rsidRDefault="00917DAF" w:rsidP="00EC4DAF">
      <w:pPr>
        <w:pStyle w:val="Odstavecseseznamem"/>
        <w:ind w:left="0"/>
        <w:jc w:val="both"/>
      </w:pPr>
      <w:r>
        <w:t>Před samotnou resekcí nádoru dochází nejčastěji ke stereotaktické biopsii, kdy je odebrán histologický vzorek pro zpřesnění diagnózy. Tato metoda je charakterizována nízkým rizikem morbidity a vysokou mírou přesnosti</w:t>
      </w:r>
      <w:r>
        <w:fldChar w:fldCharType="begin" w:fldLock="1"/>
      </w:r>
      <w:r>
        <w:instrText>ADDIN CSL_CITATION {"citationItems":[{"id":"ITEM-1","itemData":{"DOI":"10.1007/s00701-019-04020-1","ISSN":"09420940","PMID":"31359191","abstract":"Objectives: We evaluated the feasibility, safety, and diagnostic yield of frame-based stereotactic biopsies (SB) in lesions located in deep-seated and midline structures of the brain to analyze these parameters in comparison to other brain areas. Patients and methods: In a retrospective, tertiary care single-center analysis, we identified all patients who received SB for lesions localized in deep-seated and midline structures (corpus callosum, basal ganglia, pineal region, sella, thalamus, and brainstem) between January 1996 and June 2015. Study participants were between 1 and 82 years. We evaluated the feasibility, procedural complications (mortality, transient and permanent morbidity), and diagnostic yield. We further performed a risk analysis of factors influencing the latter parameters. Chi-square test, Student t test, and Mann-Whitney rank-sum test were used for statistical analysis. Results: Four hundred eighty-nine patients receiving 511 SB procedures (median age 48.5 years, range 1–82; median Karnofsky Performance Score 80%, range 50–100%, 43.8% female/56.2% male) were identified. Lesions were localized in the corpus callosum (29.5%), basal ganglia (17.0%), pineal region (11.5%), sella (7.8%), thalamus (4.3%), brainstem (28.8%), and others (1.1%). Procedure-related mortality was 0%, and permanent morbidity was 0.4%. Transient morbidity was 9.6%. Histological diagnosis was possible in 99.2% (low-grade gliomas 16.2%, high-grade gliomas 40.3%, other tumors in 27.8%, no neoplastic lesions 14.5%, no definitive histological diagnosis 0.8%). Only the pons location correlated significantly with transient morbidity (p &lt; 0.001). Conclusion: In experienced centers, frame-based stereotactic biopsy is a safe diagnostic tool with a high diagnostic yield also for deep-seated and midline lesions.","author":[{"dropping-particle":"","family":"Hamisch","given":"Christina A.","non-dropping-particle":"","parse-names":false,"suffix":""},{"dropping-particle":"","family":"Minartz","given":"Jana","non-dropping-particle":"","parse-names":false,"suffix":""},{"dropping-particle":"","family":"Blau","given":"Tobias","non-dropping-particle":"","parse-names":false,"suffix":""},{"dropping-particle":"","family":"Hafkemeyer","given":"Vanessa","non-dropping-particle":"","parse-names":false,"suffix":""},{"dropping-particle":"","family":"Rueß","given":"Daniel","non-dropping-particle":"","parse-names":false,"suffix":""},{"dropping-particle":"","family":"Hellerbach","given":"Alexandra","non-dropping-particle":"","parse-names":false,"suffix":""},{"dropping-particle":"","family":"Grau","given":"Stefan J.","non-dropping-particle":"","parse-names":false,"suffix":""},{"dropping-particle":"","family":"Ruge","given":"Maximilian I.","non-dropping-particle":"","parse-names":false,"suffix":""}],"container-title":"Acta Neurochirurgica","id":"ITEM-1","issue":"10","issued":{"date-parts":[["2019","10","1"]]},"page":"2065-2071","publisher":"Springer-Verlag Wien","title":"Frame-based stereotactic biopsy of deep-seated and midline structures in 511 procedures: feasibility, risk profile, and diagnostic yield","type":"article-journal","volume":"161"},"uris":["http://www.mendeley.com/documents/?uuid=c7b36d7b-70c4-3c60-beac-423176686b7b"]}],"mendeley":{"formattedCitation":"&lt;sup&gt;18&lt;/sup&gt;","plainTextFormattedCitation":"18","previouslyFormattedCitation":"&lt;sup&gt;18&lt;/sup&gt;"},"properties":{"noteIndex":0},"schema":"https://github.com/citation-style-language/schema/raw/master/csl-citation.json"}</w:instrText>
      </w:r>
      <w:r>
        <w:fldChar w:fldCharType="separate"/>
      </w:r>
      <w:r w:rsidRPr="00917DAF">
        <w:rPr>
          <w:noProof/>
          <w:vertAlign w:val="superscript"/>
        </w:rPr>
        <w:t>18</w:t>
      </w:r>
      <w:r>
        <w:fldChar w:fldCharType="end"/>
      </w:r>
      <w:r>
        <w:t>.</w:t>
      </w:r>
    </w:p>
    <w:p w14:paraId="38662829" w14:textId="77777777" w:rsidR="00524905" w:rsidRDefault="00524905" w:rsidP="00EC4DAF">
      <w:pPr>
        <w:pStyle w:val="Odstavecseseznamem"/>
        <w:ind w:left="0"/>
        <w:jc w:val="both"/>
      </w:pPr>
    </w:p>
    <w:p w14:paraId="1BBCA323" w14:textId="7EC4A6D2" w:rsidR="003D1A7A" w:rsidRDefault="009D7238" w:rsidP="00EC4DAF">
      <w:pPr>
        <w:pStyle w:val="Odstavecseseznamem"/>
        <w:ind w:left="0"/>
        <w:jc w:val="both"/>
      </w:pPr>
      <w:r>
        <w:t>U g</w:t>
      </w:r>
      <w:r w:rsidR="003D1A7A" w:rsidRPr="00917DAF">
        <w:t>lioblastom</w:t>
      </w:r>
      <w:r>
        <w:t>u</w:t>
      </w:r>
      <w:r w:rsidR="003D1A7A" w:rsidRPr="00917DAF">
        <w:t xml:space="preserve"> jakožto gliom</w:t>
      </w:r>
      <w:r>
        <w:t>u</w:t>
      </w:r>
      <w:r w:rsidR="003D1A7A" w:rsidRPr="00917DAF">
        <w:t xml:space="preserve"> s nejvyšší incidencí a mediánem doby přežití pouze okolo 15 měsíců, je přistupováno vždy k maximální</w:t>
      </w:r>
      <w:r>
        <w:t>mu</w:t>
      </w:r>
      <w:r w:rsidR="003D1A7A" w:rsidRPr="00917DAF">
        <w:t xml:space="preserve"> možnému odstranění tohoto nádoru. Gliální nádory gradu II a III časem progr</w:t>
      </w:r>
      <w:r>
        <w:t>e</w:t>
      </w:r>
      <w:r w:rsidR="003D1A7A" w:rsidRPr="00917DAF">
        <w:t>dují, je tedy nasnadě využití maximální možné léčebné terapie založené na resekci nádoru i v těchto případech.</w:t>
      </w:r>
      <w:r w:rsidR="003D1A7A">
        <w:t xml:space="preserve"> </w:t>
      </w:r>
    </w:p>
    <w:p w14:paraId="2ECB382D" w14:textId="77777777" w:rsidR="003D1A7A" w:rsidRDefault="003D1A7A" w:rsidP="00EC4DAF">
      <w:pPr>
        <w:pStyle w:val="Odstavecseseznamem"/>
        <w:ind w:left="0"/>
        <w:jc w:val="both"/>
      </w:pPr>
    </w:p>
    <w:p w14:paraId="4536F49C" w14:textId="6F4D1C1D" w:rsidR="003D1A7A" w:rsidRDefault="003D1A7A" w:rsidP="00EC4DAF">
      <w:pPr>
        <w:pStyle w:val="Odstavecseseznamem"/>
        <w:ind w:left="0"/>
        <w:jc w:val="both"/>
      </w:pPr>
      <w:r>
        <w:t>Bohužel jak už název skupiny naznačuje, jedná se o difuzní nádory s možnými diseminačními lézemi vyskytujícími se dokonce až v protější hemisféře</w:t>
      </w:r>
      <w:r>
        <w:fldChar w:fldCharType="begin" w:fldLock="1"/>
      </w:r>
      <w:r w:rsidR="00917DAF">
        <w:instrText>ADDIN CSL_CITATION {"citationItems":[{"id":"ITEM-1","itemData":{"DOI":"10.1023/B:NEON.0000024725.31515.22","ISSN":"0167594X","PMID":"15174518","abstract":"Since 1998, we have introduced a mixed epithermal- and thermal neutron beam for boron neutron capture therapy (BNCT) to improve the neutron beam distribution. Sixteen patients with malignant glioma (glioblastoma, n = 14; anaplastic ependymoma, n = 1; PNET, n = 1) were treated by BNCT in Japan. Of these, 9 died; 3 due to cerebrospinal fluid (CSF) dissemination, 1 each of tumor invasion, meningitis, pneumonia, and unknown causes, and 2 patients died of local recurrence or radiation necrosis. The current postmortem study is comprised of 3 patients with glioblastoma who were treated with BNCT employing an epithermal neutron beam and sodium borocaptate (BSH: Na2B12H11SH). None of the patients manifested local regrowth at the primary site. However, in 2 patients there was CSF dissemination; tumor cells were recognized throughout the subarachnoid space. In the other patient, tumor cells had massively invaded the ipsilateral- and contralateral hemisphere and brain stem from the bottom of the tumor cavity via the corpus callosum and cerebral peduncle. Our findings indicate that BNCT can achieve local control of glioblastoma at the primary site. However, to further improve the clinical outcome after BNCT, steps must be taken to prevent CSF dissemination. © 2004 Kluwer Academic Publishers.","author":[{"dropping-particle":"","family":"Kageji","given":"Teruyoshi","non-dropping-particle":"","parse-names":false,"suffix":""},{"dropping-particle":"","family":"Nagahiro","given":"Shinji","non-dropping-particle":"","parse-names":false,"suffix":""},{"dropping-particle":"","family":"Uyama","given":"Shinichi","non-dropping-particle":"","parse-names":false,"suffix":""},{"dropping-particle":"","family":"Mizobuchi","given":"Yoshifumi","non-dropping-particle":"","parse-names":false,"suffix":""},{"dropping-particle":"","family":"Toi","given":"Hiroyuki","non-dropping-particle":"","parse-names":false,"suffix":""},{"dropping-particle":"","family":"Nakamura","given":"Muneo","non-dropping-particle":"","parse-names":false,"suffix":""},{"dropping-particle":"","family":"Nakagawa","given":"Yoshinobu","non-dropping-particle":"","parse-names":false,"suffix":""}],"container-title":"Journal of Neuro-Oncology","id":"ITEM-1","issue":"1","issued":{"date-parts":[["2004","5"]]},"page":"25-32","publisher":"J Neurooncol","title":"Histopathological findings in autopsied glioblastoma patients treated by mixed neutron beam BNCT","type":"article-journal","volume":"68"},"uris":["http://www.mendeley.com/documents/?uuid=9101fb51-0f19-3d4f-a18a-57dd49d8fe33"]}],"mendeley":{"formattedCitation":"&lt;sup&gt;19&lt;/sup&gt;","plainTextFormattedCitation":"19","previouslyFormattedCitation":"&lt;sup&gt;19&lt;/sup&gt;"},"properties":{"noteIndex":0},"schema":"https://github.com/citation-style-language/schema/raw/master/csl-citation.json"}</w:instrText>
      </w:r>
      <w:r>
        <w:fldChar w:fldCharType="separate"/>
      </w:r>
      <w:r w:rsidR="00917DAF" w:rsidRPr="00917DAF">
        <w:rPr>
          <w:noProof/>
          <w:vertAlign w:val="superscript"/>
        </w:rPr>
        <w:t>19</w:t>
      </w:r>
      <w:r>
        <w:fldChar w:fldCharType="end"/>
      </w:r>
      <w:r>
        <w:t>. Je dokázáno, že při odstranění více jak 98 % gli</w:t>
      </w:r>
      <w:r w:rsidR="006B3482">
        <w:t>o</w:t>
      </w:r>
      <w:r>
        <w:t>blastomu, dochází ke značnému prodloužení života pacienta</w:t>
      </w:r>
      <w:r>
        <w:fldChar w:fldCharType="begin" w:fldLock="1"/>
      </w:r>
      <w:r w:rsidR="00917DAF">
        <w:instrText>ADDIN CSL_CITATION {"citationItems":[{"id":"ITEM-1","itemData":{"DOI":"10.3171/2014.7.JNS132449","ISSN":"19330693","PMID":"25192475","abstract":"Object. The impact of extent of resection (EOR) on survival for patients with glioblastoma (GBM) continues to be a point of debate despite multiple studies demonstrating that increasing EOR likely extends survival for these patients. In addition, contrast-enhancing residual tumor volume (CE-RTV) alone has rarely been analyzed quantitatively to determine if it is a predictor of outcome. The purpose of this study was to evaluate the effect of CE-RTV and T2/FLAIR residual volume (T2/F-RV) on overall survival. Methods. A retrospective review of 128 patients who underwent primary resection of supratentorial GBM followed by standard radiation/chemotherapy was undertaken utilizing quantitative, volumetric analysis of pre-and postoperative MR images. The results were compared with clinical data obtained from the patients' medical records. Results. At analysis, 8% of patients were alive, and no patients were lost to follow-up. The overall median survival was 13.8 months, with a median Karnofsky Performance Scale (KPS) score of 90 at presentation. The median contrast-enhancing preoperative tumor volume (CE-PTV) was 29.0 cm3, and CE-RTV was 1.2 cm3, equating to a 95.8% median EOR. The median T2/F-RV was 36.8 cm3. CE-PTV, CE-RTV, T2/F-RV, and EOR were all statistically significant predictors of survival when controlling for age and KPS score. A statistically significant benefit in survival was seen with a CE-RTV less than 2 cm3 or an EOR greater than 98%. Evaluation of the volumetric analysis methodology was performed by observers of varying degrees of experience-an attending neurosurgeon, a fellow, and a medical student. Both the medical student and fellow recorded correlation coefficients of 0.98 when compared with the attending surgeon's measured volumes of CE-PTV, while for CE-RTV, correlation coefficients of 0.67 and 0.71 (medical student and fellow, respectively) were obtained. Conclusions. CE-RTV and EOR were found to be significant predictors of survival after GBM resection. CERTV was the more significant predictor of survival compared with EOR, suggesting that the volume of residual contrast-enhancing tumor may be a more accurate and meaningful reflection of the pathobiology of GBM.","author":[{"dropping-particle":"","family":"Grabowski","given":"Matthew M.","non-dropping-particle":"","parse-names":false,"suffix":""},{"dropping-particle":"","family":"Recinos","given":"Pablo F.","non-dropping-particle":"","parse-names":false,"suffix":""},{"dropping-particle":"","family":"Nowacki","given":"Amy S.","non-dropping-particle":"","parse-names":false,"suffix":""},{"dropping-particle":"","family":"Schroeder","given":"Jason L.","non-dropping-particle":"","parse-names":false,"suffix":""},{"dropping-particle":"","family":"Angelov","given":"Lilyana","non-dropping-particle":"","parse-names":false,"suffix":""},{"dropping-particle":"","family":"Barnett","given":"Gene H.","non-dropping-particle":"","parse-names":false,"suffix":""},{"dropping-particle":"","family":"Vogelbaum","given":"Michael A.","non-dropping-particle":"","parse-names":false,"suffix":""}],"container-title":"Journal of Neurosurgery","id":"ITEM-1","issue":"5","issued":{"date-parts":[["2014","11","1"]]},"page":"1115-1123","publisher":"American Association of Neurological Surgeons","title":"Residual tumor volume versus extent of resection: Predictors of survival after surgery for glioblastoma","type":"article-journal","volume":"121"},"uris":["http://www.mendeley.com/documents/?uuid=dc8cc102-d0da-369e-878a-53dec6752713"]},{"id":"ITEM-2","itemData":{"DOI":"10.3171/jns.2001.95.2.0190","ISSN":"00223085","PMID":"11780887","abstract":"Object. The extent of tumor resection that should be undertaken in patients with glioblastoma multiforme (GBM) remains controversial. The purpose of this study was to identify significant independent predictors of survival in these patients and to determine whether the extent of resection was associated with increased survival time. Methods. The authors retrospectively analyzed 416 consecutive patients with histologically proven GBM who underwent tumor resection at the authors' institution between June 1993 and June 1999. Volumetric data and other tumor characteristics identified on magnetic resonance (MR) imaging were collected prospectively. Conclusions. Five independent predictors of survival were identified: age, Karnofsky Performance Scale (KPS) score, extent of resection, and the degree of necrosis and enhancement on preoperative MR imaging studies. A significant survival advantage was associated with resection of 98% or more of the tumor volume (median survival 13 months, 95% confidence interval [CI] 11.4-14.6 months), compared with 8.8 months (95% CI 7.4-10.2 months; p &lt; 0.0001) for resections of less than 98%. Using an outcome scale ranging from 0 to 5 based on age, KPS score, and tumor necrosis on MR imaging, we observed significantly longer survival in patients with lower scores (1-3) who underwent aggressive resections, and a trend toward slightly longer survival was found in patients with higher scores (4-5). Gross-total tumor resection is associated with longer survival in patients with GBM, especially when other predictive variables are favorable.","author":[{"dropping-particle":"","family":"Lacroix","given":"M.","non-dropping-particle":"","parse-names":false,"suffix":""},{"dropping-particle":"","family":"Abi-Said","given":"D.","non-dropping-particle":"","parse-names":false,"suffix":""},{"dropping-particle":"","family":"Fourney","given":"D. R.","non-dropping-particle":"","parse-names":false,"suffix":""},{"dropping-particle":"","family":"Gokaslan","given":"Z. L.","non-dropping-particle":"","parse-names":false,"suffix":""},{"dropping-particle":"","family":"Shi","given":"W.","non-dropping-particle":"","parse-names":false,"suffix":""},{"dropping-particle":"","family":"DeMonte","given":"F.","non-dropping-particle":"","parse-names":false,"suffix":""},{"dropping-particle":"","family":"Lang","given":"F. F.","non-dropping-particle":"","parse-names":false,"suffix":""},{"dropping-particle":"","family":"McCutcheon","given":"I. E.","non-dropping-particle":"","parse-names":false,"suffix":""},{"dropping-particle":"","family":"Hassenbusch","given":"S. J.","non-dropping-particle":"","parse-names":false,"suffix":""},{"dropping-particle":"","family":"Holland","given":"E.","non-dropping-particle":"","parse-names":false,"suffix":""},{"dropping-particle":"","family":"Hess","given":"K.","non-dropping-particle":"","parse-names":false,"suffix":""},{"dropping-particle":"","family":"Michael","given":"C.","non-dropping-particle":"","parse-names":false,"suffix":""},{"dropping-particle":"","family":"Miller","given":"D.","non-dropping-particle":"","parse-names":false,"suffix":""},{"dropping-particle":"","family":"Sawaya","given":"R.","non-dropping-particle":"","parse-names":false,"suffix":""}],"container-title":"Journal of Neurosurgery","id":"ITEM-2","issue":"2","issued":{"date-parts":[["2001"]]},"page":"190-198","publisher":"American Association of Neurological Surgeons","title":"A multivariate analysis of 416 patients with glioblastoma multiforme: Prognosis, extent of resection, and survival","type":"article-journal","volume":"95"},"uris":["http://www.mendeley.com/documents/?uuid=e73a3908-7ba6-33eb-baac-c9e7d54e83de"]}],"mendeley":{"formattedCitation":"&lt;sup&gt;20,21&lt;/sup&gt;","plainTextFormattedCitation":"20,21","previouslyFormattedCitation":"&lt;sup&gt;20,21&lt;/sup&gt;"},"properties":{"noteIndex":0},"schema":"https://github.com/citation-style-language/schema/raw/master/csl-citation.json"}</w:instrText>
      </w:r>
      <w:r>
        <w:fldChar w:fldCharType="separate"/>
      </w:r>
      <w:r w:rsidR="00917DAF" w:rsidRPr="00917DAF">
        <w:rPr>
          <w:noProof/>
          <w:vertAlign w:val="superscript"/>
        </w:rPr>
        <w:t>20,21</w:t>
      </w:r>
      <w:r>
        <w:fldChar w:fldCharType="end"/>
      </w:r>
      <w:r>
        <w:t xml:space="preserve">. Tento efekt je zdokumentován i u low grade tumorů, kdy pacienti </w:t>
      </w:r>
      <w:r w:rsidR="006B3482">
        <w:t xml:space="preserve">mají </w:t>
      </w:r>
      <w:r>
        <w:t>benefit z oddálení anaplastické transformace a je tak dosaženo prodloužení celkového přežití</w:t>
      </w:r>
      <w:r>
        <w:fldChar w:fldCharType="begin" w:fldLock="1"/>
      </w:r>
      <w:r w:rsidR="00917DAF">
        <w:instrText>ADDIN CSL_CITATION {"citationItems":[{"id":"ITEM-1","itemData":{"DOI":"10.1002/1097-0142(19940915)74:6&lt;1784::AID-CNCR2820740622&gt;3.0.CO;2-D","ISSN":"10970142","PMID":"8082081","abstract":"Background. To evaluate the role of radical resection for low grade cerebral hemisphere gliomas, the authors analyzed the preoperative and postoperative radiographic tumor volumes (computed tomography hypodensity, magnetic resonance imaging‐T2 signal hyperintensity) in 53 patients. Methods. Using a previously described method of computerized image analysis, the authors evaluated whether the percent of resection and volume of residual disease, postoperatively, influenced the incidence of recurrence, time to tumor progression, and histology of the recurrent tumor. Survival was not analyzed in this study. Results. No recurrence was detected, regardless of percent of resection and volume of residual disease, in patients with preoperative tumor volumes less than 10 cm3 (mean follow‐up, 41.7 months). Patients with tumors measuring 10‐30 cm3 had an incidence of recurrence and time to tumor progression of 13.6% and 58 months, respectively, compared with tumors measuring greater than 30 cm3, which had an incidence of recurrence and time to tumor progression of 41.2% and 30 months, respectively (P = 0.016). All patients (n = 13) who underwent a 100% resection had a recurrence‐free follow‐up period (mean, 54 months). In the remaining patients (n = 40), as the percent of resection decreased, the incidence of recurrence increased along with a shorter time to tumor progression (P = 0.03). Patients with a volume of residual disease of greater than 10 cm3 had a higher incidence of recurrence (46.2%) and a shorter time to tumor progression (30 months) compared with patients with a tumor volume of residual disease of less than 10 cm3 (incidence of recurrence, 14.8% and time to tumor progression, 50 months) (P = 0.002). Forty‐six percent of patients with a tumor volume of residual disease of more than 10 cm3 had a recurrence of higher histologic grade, and this was significantly more frequent than patients with a volume of residual disease less than 10 cm3 (3.7%) (P = 0.0009). Age, radiotherapy, and histologic subtype had no influence on recurrence patterns. Conclusion. For tumors greater than 10 cm3, the authors' data suggest that a greater percent of resection and a smaller volume of residual disease conveys a significant advantage, that is, terms of incidence of recurrence and the recurrent tumor phenotype, for patients with low grade cerebral hemisphere gliomas, compared with those who have a less aggressive resection or biopsy. While this may also be the case with tu…","author":[{"dropping-particle":"","family":"Berger","given":"Mitchel S.","non-dropping-particle":"","parse-names":false,"suffix":""},{"dropping-particle":"V.","family":"Deliganis","given":"Anastasia","non-dropping-particle":"","parse-names":false,"suffix":""},{"dropping-particle":"","family":"Dobbins","given":"Jill","non-dropping-particle":"","parse-names":false,"suffix":""},{"dropping-particle":"","family":"Keles","given":"G. Evren","non-dropping-particle":"","parse-names":false,"suffix":""}],"container-title":"Cancer","id":"ITEM-1","issue":"6","issued":{"date-parts":[["1994"]]},"page":"1784-1791","publisher":"Cancer","title":"The effect of extent of resection on recurrence in patients with low grade cerebral hemisphere gliomas","type":"article-journal","volume":"74"},"uris":["http://www.mendeley.com/documents/?uuid=5f01e4e9-7085-3cfe-ab81-6b2e83e1ea01"]}],"mendeley":{"formattedCitation":"&lt;sup&gt;22&lt;/sup&gt;","plainTextFormattedCitation":"22","previouslyFormattedCitation":"&lt;sup&gt;22&lt;/sup&gt;"},"properties":{"noteIndex":0},"schema":"https://github.com/citation-style-language/schema/raw/master/csl-citation.json"}</w:instrText>
      </w:r>
      <w:r>
        <w:fldChar w:fldCharType="separate"/>
      </w:r>
      <w:r w:rsidR="00917DAF" w:rsidRPr="00917DAF">
        <w:rPr>
          <w:noProof/>
          <w:vertAlign w:val="superscript"/>
        </w:rPr>
        <w:t>22</w:t>
      </w:r>
      <w:r>
        <w:fldChar w:fldCharType="end"/>
      </w:r>
      <w:r>
        <w:t>. Důkazem tohoto efektu je prodloužení doby přežití bez progrese a celkového přežití. Měřítkem outcome pacienta může být i rozsah resekce, čímž se uvažuje přímá úměra mezi zbytkovým objemem nádoru a délkou přežití pacienta</w:t>
      </w:r>
      <w:r>
        <w:fldChar w:fldCharType="begin" w:fldLock="1"/>
      </w:r>
      <w:r w:rsidR="00917DAF">
        <w:instrText>ADDIN CSL_CITATION {"citationItems":[{"id":"ITEM-1","itemData":{"DOI":"10.3171/2014.7.JNS132449","ISSN":"19330693","PMID":"25192475","abstract":"Object. The impact of extent of resection (EOR) on survival for patients with glioblastoma (GBM) continues to be a point of debate despite multiple studies demonstrating that increasing EOR likely extends survival for these patients. In addition, contrast-enhancing residual tumor volume (CE-RTV) alone has rarely been analyzed quantitatively to determine if it is a predictor of outcome. The purpose of this study was to evaluate the effect of CE-RTV and T2/FLAIR residual volume (T2/F-RV) on overall survival. Methods. A retrospective review of 128 patients who underwent primary resection of supratentorial GBM followed by standard radiation/chemotherapy was undertaken utilizing quantitative, volumetric analysis of pre-and postoperative MR images. The results were compared with clinical data obtained from the patients' medical records. Results. At analysis, 8% of patients were alive, and no patients were lost to follow-up. The overall median survival was 13.8 months, with a median Karnofsky Performance Scale (KPS) score of 90 at presentation. The median contrast-enhancing preoperative tumor volume (CE-PTV) was 29.0 cm3, and CE-RTV was 1.2 cm3, equating to a 95.8% median EOR. The median T2/F-RV was 36.8 cm3. CE-PTV, CE-RTV, T2/F-RV, and EOR were all statistically significant predictors of survival when controlling for age and KPS score. A statistically significant benefit in survival was seen with a CE-RTV less than 2 cm3 or an EOR greater than 98%. Evaluation of the volumetric analysis methodology was performed by observers of varying degrees of experience-an attending neurosurgeon, a fellow, and a medical student. Both the medical student and fellow recorded correlation coefficients of 0.98 when compared with the attending surgeon's measured volumes of CE-PTV, while for CE-RTV, correlation coefficients of 0.67 and 0.71 (medical student and fellow, respectively) were obtained. Conclusions. CE-RTV and EOR were found to be significant predictors of survival after GBM resection. CERTV was the more significant predictor of survival compared with EOR, suggesting that the volume of residual contrast-enhancing tumor may be a more accurate and meaningful reflection of the pathobiology of GBM.","author":[{"dropping-particle":"","family":"Grabowski","given":"Matthew M.","non-dropping-particle":"","parse-names":false,"suffix":""},{"dropping-particle":"","family":"Recinos","given":"Pablo F.","non-dropping-particle":"","parse-names":false,"suffix":""},{"dropping-particle":"","family":"Nowacki","given":"Amy S.","non-dropping-particle":"","parse-names":false,"suffix":""},{"dropping-particle":"","family":"Schroeder","given":"Jason L.","non-dropping-particle":"","parse-names":false,"suffix":""},{"dropping-particle":"","family":"Angelov","given":"Lilyana","non-dropping-particle":"","parse-names":false,"suffix":""},{"dropping-particle":"","family":"Barnett","given":"Gene H.","non-dropping-particle":"","parse-names":false,"suffix":""},{"dropping-particle":"","family":"Vogelbaum","given":"Michael A.","non-dropping-particle":"","parse-names":false,"suffix":""}],"container-title":"Journal of Neurosurgery","id":"ITEM-1","issue":"5","issued":{"date-parts":[["2014","11","1"]]},"page":"1115-1123","publisher":"American Association of Neurological Surgeons","title":"Residual tumor volume versus extent of resection: Predictors of survival after surgery for glioblastoma","type":"article-journal","volume":"121"},"uris":["http://www.mendeley.com/documents/?uuid=dc8cc102-d0da-369e-878a-53dec6752713"]}],"mendeley":{"formattedCitation":"&lt;sup&gt;20&lt;/sup&gt;","plainTextFormattedCitation":"20","previouslyFormattedCitation":"&lt;sup&gt;20&lt;/sup&gt;"},"properties":{"noteIndex":0},"schema":"https://github.com/citation-style-language/schema/raw/master/csl-citation.json"}</w:instrText>
      </w:r>
      <w:r>
        <w:fldChar w:fldCharType="separate"/>
      </w:r>
      <w:r w:rsidR="00917DAF" w:rsidRPr="00917DAF">
        <w:rPr>
          <w:noProof/>
          <w:vertAlign w:val="superscript"/>
        </w:rPr>
        <w:t>20</w:t>
      </w:r>
      <w:r>
        <w:fldChar w:fldCharType="end"/>
      </w:r>
      <w:r>
        <w:t xml:space="preserve">. </w:t>
      </w:r>
    </w:p>
    <w:p w14:paraId="6852CB7A" w14:textId="77777777" w:rsidR="003D1A7A" w:rsidRDefault="003D1A7A" w:rsidP="00EC4DAF">
      <w:pPr>
        <w:pStyle w:val="Odstavecseseznamem"/>
        <w:ind w:left="0"/>
        <w:jc w:val="both"/>
      </w:pPr>
    </w:p>
    <w:p w14:paraId="4B54FA1C" w14:textId="20A75734" w:rsidR="003D1A7A" w:rsidRDefault="003D1A7A" w:rsidP="00EC4DAF">
      <w:pPr>
        <w:pStyle w:val="Odstavecseseznamem"/>
        <w:ind w:left="0"/>
        <w:jc w:val="both"/>
      </w:pPr>
      <w:r>
        <w:t xml:space="preserve">Maximální míra resekce nádoru je </w:t>
      </w:r>
      <w:r w:rsidRPr="00097AD8">
        <w:t>prakticky odvozena od možností rozlišení zobrazovacích metod. Avšak i přes použití metod jako je FLAIR (</w:t>
      </w:r>
      <w:r w:rsidR="001E77FF">
        <w:rPr>
          <w:color w:val="000000"/>
          <w:shd w:val="clear" w:color="auto" w:fill="FFFFFF"/>
        </w:rPr>
        <w:t>F</w:t>
      </w:r>
      <w:r w:rsidRPr="00097AD8">
        <w:rPr>
          <w:color w:val="000000"/>
          <w:shd w:val="clear" w:color="auto" w:fill="FFFFFF"/>
        </w:rPr>
        <w:t xml:space="preserve">luid </w:t>
      </w:r>
      <w:r w:rsidR="001E77FF">
        <w:rPr>
          <w:color w:val="000000"/>
          <w:shd w:val="clear" w:color="auto" w:fill="FFFFFF"/>
        </w:rPr>
        <w:t>Attenuated Inversion R</w:t>
      </w:r>
      <w:r w:rsidRPr="00097AD8">
        <w:rPr>
          <w:color w:val="000000"/>
          <w:shd w:val="clear" w:color="auto" w:fill="FFFFFF"/>
        </w:rPr>
        <w:t>ecovery</w:t>
      </w:r>
      <w:r w:rsidRPr="00097AD8">
        <w:t>)</w:t>
      </w:r>
      <w:r>
        <w:t xml:space="preserve"> zobrazování, ultrazvukově vedené resekce a použití 5-aminolevulenové kyseliny kumulující se v nádorových buňkách, nedošlo ke zlepšení celkového přežití ani přežití bez progrese</w:t>
      </w:r>
      <w:r>
        <w:fldChar w:fldCharType="begin" w:fldLock="1"/>
      </w:r>
      <w:r w:rsidR="00917DAF">
        <w:instrText>ADDIN CSL_CITATION {"citationItems":[{"id":"ITEM-1","itemData":{"DOI":"10.1002/14651858.CD012788.pub2","ISSN":"1469493X","PMID":"29355914","abstract":"Background: Extent of resection is considered to be a prognostic factor in neuro-oncology. Intraoperative imaging technologies are designed to help achieve this goal. It is not clear whether any of these sometimes very expensive tools (or their combination) should be recommended as standard care for people with brain tumours. We set out to determine if intraoperative imaging technology offers any advantage in terms of extent of resection over standard surgery and if any one technology was more effective than another. Objectives: To establish the overall effectiveness and safety of intraoperative imaging technology in resection of glioma. To supplement this review of effects, we also wished to identify cost analyses and economic evaluations as part of a Brief Economic Commentary (BEC). Search methods: We searched the Cochrane Central Register of Controlled Trials (CENTRAL) (Issue 7, 2017), MEDLINE (1946 to June, week 4, 2017), and Embase (1980 to 2017, week 27). We searched the reference lists of all identified studies. We handsearched two journals, the Journal of Neuro-Oncology and Neuro-oncology, from 1991 to 2017, including all conference abstracts. We contacted neuro-oncologists, trial authors, and manufacturers regarding ongoing and unpublished trials. Selection criteria: Randomised controlled trials evaluating people of all ages with presumed new or recurrent glial tumours (of any location or histology) from clinical examination and imaging (computed tomography (CT) or magnetic resonance imaging (MRI), or both). Additional imaging modalities (e.g. positron emission tomography, magnetic resonance spectroscopy) were not mandatory. Interventions included intraoperative MRI (iMRI), fluorescence-guided surgery, ultrasound, and neuronavigation (with or without additional image processing, e.g. tractography). Data collection and analysis: Two review authors independently assessed the search results for relevance, undertook critical appraisal according to known guidelines, and extracted data using a prespecified pro forma. Main results: We identified four randomised controlled trials, using different intraoperative imaging technologies: iMRI (2 trials including 58 and 14 participants, respectively); fluorescence-guided surgery with 5-aminolevulinic acid (5-ALA) (1 trial, 322 participants); and neuronavigation (1 trial, 45 participants). We identified one ongoing trial assessing iMRI with a planned sample size of 304 participants for which results are expec…","author":[{"dropping-particle":"","family":"Jenkinson","given":"Michael D.","non-dropping-particle":"","parse-names":false,"suffix":""},{"dropping-particle":"","family":"Barone","given":"Damiano Giuseppe","non-dropping-particle":"","parse-names":false,"suffix":""},{"dropping-particle":"","family":"Bryant","given":"Andrew","non-dropping-particle":"","parse-names":false,"suffix":""},{"dropping-particle":"","family":"Vale","given":"Luke","non-dropping-particle":"","parse-names":false,"suffix":""},{"dropping-particle":"","family":"Bulbeck","given":"Helen","non-dropping-particle":"","parse-names":false,"suffix":""},{"dropping-particle":"","family":"Lawrie","given":"Theresa A.","non-dropping-particle":"","parse-names":false,"suffix":""},{"dropping-particle":"","family":"Hart","given":"Michael G.","non-dropping-particle":"","parse-names":false,"suffix":""},{"dropping-particle":"","family":"Watts","given":"Colin","non-dropping-particle":"","parse-names":false,"suffix":""}],"container-title":"Cochrane Database of Systematic Reviews","id":"ITEM-1","issue":"1","issued":{"date-parts":[["2018","1","22"]]},"publisher":"John Wiley and Sons Ltd","title":"Intraoperative imaging technology to maximise extent of resection for glioma","type":"article","volume":"2018"},"uris":["http://www.mendeley.com/documents/?uuid=b31b5441-c946-3c82-8799-cc801abb15b2"]}],"mendeley":{"formattedCitation":"&lt;sup&gt;23&lt;/sup&gt;","plainTextFormattedCitation":"23","previouslyFormattedCitation":"&lt;sup&gt;23&lt;/sup&gt;"},"properties":{"noteIndex":0},"schema":"https://github.com/citation-style-language/schema/raw/master/csl-citation.json"}</w:instrText>
      </w:r>
      <w:r>
        <w:fldChar w:fldCharType="separate"/>
      </w:r>
      <w:r w:rsidR="00917DAF" w:rsidRPr="00917DAF">
        <w:rPr>
          <w:noProof/>
          <w:vertAlign w:val="superscript"/>
        </w:rPr>
        <w:t>23</w:t>
      </w:r>
      <w:r>
        <w:fldChar w:fldCharType="end"/>
      </w:r>
      <w:r>
        <w:t>. Na druhé straně, studie zaměřené na tzv. supratotální resekci u low grade gliomů prokázaly, že agresivní resekce s kontrolou funkčních částí mozku pomocí elektrostimulace prodloužilo celkového přežití i přežití bez progrese</w:t>
      </w:r>
      <w:r>
        <w:fldChar w:fldCharType="begin" w:fldLock="1"/>
      </w:r>
      <w:r w:rsidR="00917DAF">
        <w:instrText>ADDIN CSL_CITATION {"citationItems":[{"id":"ITEM-1","itemData":{"DOI":"10.1007/s00701-011-1216-x","ISSN":"00016268","PMID":"22139145","abstract":"Background WHO grade II glioma (G2G) is a premalignant tumor, usually revealed by seizures in young patients living normal lives. G2G grows constantly and will inevitably become anaplastic. Surgical resection significantly increases the overall survival by delaying malignant transformation. Recently, a similar natural history was demonstrated in a patient with incidental G2G, with continuous growth and risk of anaplasia. Here, the aim was to study for the first time the functional results and extent of resection in a prospective series of patients who underwent resection for incidental G2G within eloquent areas. Method G2G involving functional regions in the left dominant hemisphere was incidentally diagnosed in 11 asymptomatic patients. Resection was achieved in all cases after demonstration of a volumetric increase on serial MRIs. Intraoperative awake mapping was performed in the 11 patients. Findings There were no cases of mortality or permanent postoperative deficit. A subtotal, total or even \"supratotal\" resection was achieved in the 11 cases, with no partial resections. All patients resumed normal social and professional lives, with no seizures (KPS 100). Due to slow tumor re-growth in three patients with subtotal resection, adjuvant chemotherapy was administrated in two cases and radiotherapy in one. With a mean follow-up of 40 months since surgery, there was no anaplastic transformation. Conclusion These results show that surgery can be considered in incidental G2G, even in critical areas, with a minimal risk and optimal resection, thanks to intraoperative mapping. Such findings raise the question of an early detection. © Springer-Verlag 2011.","author":[{"dropping-particle":"","family":"Duffau","given":"Hugues","non-dropping-particle":"","parse-names":false,"suffix":""}],"container-title":"Acta Neurochirurgica","id":"ITEM-1","issue":"4","issued":{"date-parts":[["2012","4"]]},"page":"575-584","publisher":"Acta Neurochir (Wien)","title":"Awake surgery for incidental WHO grade II gliomas involving eloquent areas","type":"article-journal","volume":"154"},"uris":["http://www.mendeley.com/documents/?uuid=2eb5b9ec-7033-3a0c-be44-c3e95915ab46"]},{"id":"ITEM-2","itemData":{"DOI":"10.1007/s00701-015-2621-3","ISSN":"09420940","PMID":"26530708","abstract":"Background: Total or subtotal surgical resection of WHO grade II glioma (diffuse low-grade glioma, DLGG) can significantly increase survival. Moreover, a supratotal resection, i.e., an extended resection with a margin beyond MR imaging abnormalities, could decrease the risk of malignant transformation. Here, the goal is to analyze the long-term functional and oncological outcomes following supratotal resection for DLGG. Methods: Sixteen consecutive patients who underwent supratotal resection for a DLGG with a minimum follow-up of 8 years after surgery were included. The resection was continued up to functional cortical and subcortical structures defined by intrasurgical electrical mapping. The extent of resection was evaluated on postoperative FLAIR-weighted MR imaging. Data regarding clinicoradiological features, therapeutic management, and outcomes were analyzed. Results: Seven men and nine women (mean age, 41.3 years, range, 26–63 years) were included (seizure in 15 cases, one incidental discovery). All patients resumed a normal life after surgery (no neurological deficits, no epilepsy). The volume of postoperative cavity was larger than the preoperative tumor volume in the 16 patients. Neuropathological examination confirmed the diagnosis of WHO grade II glioma in all cases. No adjuvant treatment was administrated after resection. The mean duration of postoperative follow-up was 132 months (range, 97–198 months). There was no relapse in eight cases. Eight patients experienced tumor recurrence, with an average time to relapse of 70.3 months (range, 32–105 months), but without malignant transformation. Five of them have been re-treated, with a reoperation (two cases), chemotherapy (three cases) and radiotherapy (two cases). All patients continue to enjoy a normal life. Conclusions: This is the first series demonstrating the prolonged impact of supratotal resection on malignant transformation of DLGG. These original data may suggest to remove a margin around the FLAIR-weighted MR imaging abnormalities in a more systematic manner for DLGG not involving eloquent structures.","author":[{"dropping-particle":"","family":"Duffau","given":"Hugues","non-dropping-particle":"","parse-names":false,"suffix":""}],"container-title":"Acta Neurochirurgica","id":"ITEM-2","issue":"1","issued":{"date-parts":[["2016","1","1"]]},"page":"51-58","publisher":"Springer-Verlag Wien","title":"Long-term outcomes after supratotal resection of diffuse low-grade gliomas: a consecutive series with 11-year follow-up","type":"article-journal","volume":"158"},"uris":["http://www.mendeley.com/documents/?uuid=1a866dc4-cc22-3cc0-b942-b70f4be4453d"]},{"id":"ITEM-3","itemData":{"DOI":"10.3171/2011.3.JNS101333","ISSN":"00223085","PMID":"21548750","abstract":"Object. It has been demonstrated that an extensive resection (total or subtotal) may significantly increase the overall survival in patients with WHO Grade II gliomas (low-grade gliomas [LGGs]). Yet, recent data have shown that conventional MR imaging underestimates the spatial extent of LGG, since tumor cells were found up to 20 mm around MR imaging abnormalities. Thus, it was hypothesized that an extended resection with a margin beyond MR imaging-defined abnormalities - a \"supratotal\" resection - might improve the outcome of LGG. However, because of the frequent location of LGG within \"eloquent\" brain areas, it is often difficult to achieve such a supratotal resection. This could nevertheless be possible when LGGs involve \"noneloquent\" areas, even in the left dominant hemisphere. The authors report on their use of awake electrical mapping to tailor the resection according to functional boundaries, that is, to pursue the resection beyond MR imaging-defined abnormalities, until corticosubcortical eloquent structures are encountered. Their aim was to apply this reliable surgical technique to LGGs located not within eloquent areas but distant from eloquent areas, to take a margin around the LGG visible on MR imaging while preserving brain function. Methods. Fifteen right-handed patients with a total of 17 tumors underwent resection of WHO Grade II gliomas involving nonfunctional areas within the left dominant hemisphere. In all patients, seizures were the initial manifestation of the tumors. Awake surgery with intraoperative electrostimulation was performed in all cases. The resection was continued until the surgeon reached cortical and subcortical areas crucial for brain function, especially language, as defined by the intrasurgical electrical mapping. The extent of resection was evaluated on postoperative FLAIR-weighted MR images. Results. Despite transient neurological worsening in 60% of cases, all patients recovered and returned to a normal life. Seizure control was obtained in all patients with a decrease of antiepileptic drug therapy. Postoperative MR imaging showed that total resection was achieved in all 17 tumors and supratotal resection in 15. The average volume of the postoperative cavity (36.8 cm3) was significantly larger than the mean preoperative tumor volume (26.6 cm3) (p = 0.009). Neuropathological examination confirmed the diagnosis of WHO Grade II glioma in all cases. The mean duration of postoperative follow-up was 35.7 months (range …","author":[{"dropping-particle":"","family":"Yordanova","given":"Yordanka N.","non-dropping-particle":"","parse-names":false,"suffix":""},{"dropping-particle":"","family":"Moritz-Gasser","given":"Sylvie","non-dropping-particle":"","parse-names":false,"suffix":""},{"dropping-particle":"","family":"Duffau","given":"Hugues","non-dropping-particle":"","parse-names":false,"suffix":""}],"container-title":"Journal of Neurosurgery","id":"ITEM-3","issue":"2","issued":{"date-parts":[["2011","8"]]},"page":"232-239","publisher":"J Neurosurg","title":"Awake surgery for WHO grade II gliomas within \"noneloquent\" areas in the left dominant hemisphere: Toward a \"supratotal\" resection - Clinical article","type":"article-journal","volume":"115"},"uris":["http://www.mendeley.com/documents/?uuid=837a3b7f-1571-3c75-bf5a-6d48a6575a27"]}],"mendeley":{"formattedCitation":"&lt;sup&gt;24–26&lt;/sup&gt;","plainTextFormattedCitation":"24–26","previouslyFormattedCitation":"&lt;sup&gt;24–26&lt;/sup&gt;"},"properties":{"noteIndex":0},"schema":"https://github.com/citation-style-language/schema/raw/master/csl-citation.json"}</w:instrText>
      </w:r>
      <w:r>
        <w:fldChar w:fldCharType="separate"/>
      </w:r>
      <w:r w:rsidR="00917DAF" w:rsidRPr="00917DAF">
        <w:rPr>
          <w:noProof/>
          <w:vertAlign w:val="superscript"/>
        </w:rPr>
        <w:t>24–26</w:t>
      </w:r>
      <w:r>
        <w:fldChar w:fldCharType="end"/>
      </w:r>
      <w:r>
        <w:t>. U supratotální resekce se však musí počítat s rizikem ztráty neurologických a motorických funkcí, jazykové dysfunkce a zhoršením kognitivních funkcí</w:t>
      </w:r>
      <w:r>
        <w:fldChar w:fldCharType="begin" w:fldLock="1"/>
      </w:r>
      <w:r w:rsidR="00917DAF">
        <w:instrText>ADDIN CSL_CITATION {"citationItems":[{"id":"ITEM-1","itemData":{"DOI":"10.1038/nrclinonc.2017.171","ISSN":"17594782","PMID":"29158591","abstract":"Surgical resection remains the mainstay of treatment for patients with glioma of any grade. Maximal resection of the tumour is central to achieving long-term disease control; however, the relationship between the extent of glioma resection and actual clinical benefit for the patient is predicated on the balance between cytoreduction and neurological morbidity. For the neurosurgical oncologist, the clinical rationale for undertaking increasingly extensive resections has gained traction. In parallel, novel surgical techniques and technologies have been developed that help improve patient outcomes. During the past decade, neurosurgeons have leveraged advanced intraoperative imaging methods, fluorescence-based tumour biomarkers, and real-time mutational analyses to maximize the extent of tumour resection. In addition, approaches to minimizing the risk of perioperative morbidity continue to be improved through the combined use of stimulation-mapping techniques, corticospinal tract imaging, and stereotactic thermal ablation. Taken together, these modern principles of neurosurgical oncology bear little resemblance to historical therapeutic strategies for patients with glioma and have dramatically altered the approach to the treatment of patients with these brain tumours. Herein, we outline the state of the art in surgical oncology for gliomas.","author":[{"dropping-particle":"","family":"Sanai","given":"Nader","non-dropping-particle":"","parse-names":false,"suffix":""},{"dropping-particle":"","family":"Berger","given":"Mitchel S.","non-dropping-particle":"","parse-names":false,"suffix":""}],"container-title":"Nature Reviews Clinical Oncology","id":"ITEM-1","issue":"2","issued":{"date-parts":[["2018","2","1"]]},"page":"112-125","publisher":"Nature Publishing Group","title":"Surgical oncology for gliomas: The state of the art","type":"article","volume":"15"},"uris":["http://www.mendeley.com/documents/?uuid=64611f0e-4718-386c-861e-719087699fdf"]}],"mendeley":{"formattedCitation":"&lt;sup&gt;27&lt;/sup&gt;","plainTextFormattedCitation":"27","previouslyFormattedCitation":"&lt;sup&gt;27&lt;/sup&gt;"},"properties":{"noteIndex":0},"schema":"https://github.com/citation-style-language/schema/raw/master/csl-citation.json"}</w:instrText>
      </w:r>
      <w:r>
        <w:fldChar w:fldCharType="separate"/>
      </w:r>
      <w:r w:rsidR="00917DAF" w:rsidRPr="00917DAF">
        <w:rPr>
          <w:noProof/>
          <w:vertAlign w:val="superscript"/>
        </w:rPr>
        <w:t>27</w:t>
      </w:r>
      <w:r>
        <w:fldChar w:fldCharType="end"/>
      </w:r>
      <w:r>
        <w:t>.</w:t>
      </w:r>
    </w:p>
    <w:p w14:paraId="160BE881" w14:textId="77777777" w:rsidR="003D1A7A" w:rsidRDefault="003D1A7A" w:rsidP="00EC4DAF">
      <w:pPr>
        <w:pStyle w:val="Odstavecseseznamem"/>
        <w:ind w:left="0"/>
        <w:jc w:val="both"/>
      </w:pPr>
    </w:p>
    <w:p w14:paraId="61E358A8" w14:textId="48045A80" w:rsidR="003D1A7A" w:rsidRDefault="009867E9" w:rsidP="00EC4DAF">
      <w:pPr>
        <w:pStyle w:val="Nadpis3"/>
        <w:ind w:left="0" w:firstLine="0"/>
      </w:pPr>
      <w:bookmarkStart w:id="12" w:name="_Toc88741446"/>
      <w:r>
        <w:t>Standardní t</w:t>
      </w:r>
      <w:r w:rsidR="003D1A7A">
        <w:t>erapie</w:t>
      </w:r>
      <w:bookmarkEnd w:id="12"/>
    </w:p>
    <w:p w14:paraId="69CCFCEB" w14:textId="77777777" w:rsidR="003D1A7A" w:rsidRDefault="003D1A7A" w:rsidP="00EC4DAF">
      <w:pPr>
        <w:pStyle w:val="Odstavecseseznamem"/>
        <w:ind w:left="0"/>
        <w:jc w:val="both"/>
      </w:pPr>
    </w:p>
    <w:p w14:paraId="780FC60B" w14:textId="4355D800" w:rsidR="003D1A7A" w:rsidRDefault="003D1A7A" w:rsidP="00EC4DAF">
      <w:pPr>
        <w:pStyle w:val="Odstavecseseznamem"/>
        <w:ind w:left="0"/>
        <w:jc w:val="both"/>
      </w:pPr>
      <w:r>
        <w:t>U high grade gliomů se přistupuje po resekci k adjuvantní radioterapii, kdy se cílí na diseminované buňky zbytkového nádoru. Nejedná se však o léčbu jako takovou, efektem je zlepšení přežití v porovnání se samotnou resekcí nebo jen se samotným ozařováním</w:t>
      </w:r>
      <w:r>
        <w:fldChar w:fldCharType="begin" w:fldLock="1"/>
      </w:r>
      <w:r w:rsidR="00917DAF">
        <w:instrText>ADDIN CSL_CITATION {"citationItems":[{"id":"ITEM-1","itemData":{"DOI":"10.1007/s11060-016-2348-x","ISSN":"15737373","PMID":"28271281","abstract":"Despite numerous efforts over the past several decades, few therapeutic breakthroughs in the treatment of GBM have been realized, and even these have yielded only incrementally modest gains. Radiotherapy remains a crucial component in the management of this disease. In this review, the historical basis for inclusion of radiotherapy as part of the therapeutic regimen for GBM is examined. Additionally, an overview of the evidence supporting the modern role of radiotherapy is provided along with a discussion of standard and emerging combined modality therapies. Finally, GBM management guidelines from three professional societies are reviewed.","author":[{"dropping-particle":"","family":"Corso","given":"Christopher D.","non-dropping-particle":"","parse-names":false,"suffix":""},{"dropping-particle":"","family":"Bindra","given":"Ranjit S.","non-dropping-particle":"","parse-names":false,"suffix":""},{"dropping-particle":"","family":"Mehta","given":"Minesh P.","non-dropping-particle":"","parse-names":false,"suffix":""}],"container-title":"Journal of Neuro-Oncology","id":"ITEM-1","issue":"3","issued":{"date-parts":[["2017","9","1"]]},"page":"479-485","publisher":"Springer New York LLC","title":"The role of radiation in treating glioblastoma: here to stay","type":"article","volume":"134"},"uris":["http://www.mendeley.com/documents/?uuid=040afc85-91d7-37a6-af61-dd3120d2fa58"]}],"mendeley":{"formattedCitation":"&lt;sup&gt;28&lt;/sup&gt;","plainTextFormattedCitation":"28","previouslyFormattedCitation":"&lt;sup&gt;28&lt;/sup&gt;"},"properties":{"noteIndex":0},"schema":"https://github.com/citation-style-language/schema/raw/master/csl-citation.json"}</w:instrText>
      </w:r>
      <w:r>
        <w:fldChar w:fldCharType="separate"/>
      </w:r>
      <w:r w:rsidR="00917DAF" w:rsidRPr="00917DAF">
        <w:rPr>
          <w:noProof/>
          <w:vertAlign w:val="superscript"/>
        </w:rPr>
        <w:t>28</w:t>
      </w:r>
      <w:r>
        <w:fldChar w:fldCharType="end"/>
      </w:r>
      <w:r>
        <w:t>. V současné době se jedná o standardní léčebný režim v doporučených dávkách 50 – 60 Gy zahrnující lem v šíři 2 cm okolo lokalizace nádoru. Důvodem rozšíření oblasti ozařování je zdokumentovaná vysoká pravděpodobnost rekurence nádoru čítající až 90 %</w:t>
      </w:r>
      <w:r>
        <w:fldChar w:fldCharType="begin" w:fldLock="1"/>
      </w:r>
      <w:r w:rsidR="00917DAF">
        <w:instrText>ADDIN CSL_CITATION {"citationItems":[{"id":"ITEM-1","itemData":{"DOI":"10.1212/wnl.30.9.907","ISSN":"1526632X","PMID":"6252514","abstract":"In the light of advances in computerized tomography (CT), we have retrospectively evaluated the assumptions that underlie the radiation therapy of glioblastoma: (1) No neuroradiologic technique provides an accurate delineation of tumor bulk and location, (2) glioblastoma is commonly multicentric, and (3) a major source of therapeutic failure is recurrence beyond radiotherapy fields. 1. CT scans, performed on glioblastoma patients within 2 months of postmortem examination, defined both gross and microscopic tumor extent (within a 2-cm margin) in all but 6 of 35 patients evaluated. The major source of error was subependymal spread (four patients). 2. Multicentricity occurred in only 4% of untreated and 6% of treated (radiotherapy with or without chemotherapy) patients. All multicentric lesions were identified on CT.scans. 3. Serial CT scans on 42 patients revealed that glioblastoma recurred within a 2-cm margin of the primary site in 90%. Occurrences outside this margin were accurately delineated by CT in all instances. Because most patients show recurrence within or in close proximity to the original site, current radiation doses would appear to be inadequate for therapy of the primary tumor. CT scan accuracy may permit smaller-field and higher-dose irradiation therapy for glioblastoma. © 1980 American Academy of Neurology.","author":[{"dropping-particle":"","family":"Hochberg","given":"Fred H.","non-dropping-particle":"","parse-names":false,"suffix":""},{"dropping-particle":"","family":"Pruitt","given":"Amy","non-dropping-particle":"","parse-names":false,"suffix":""}],"container-title":"Neurology","id":"ITEM-1","issue":"9","issued":{"date-parts":[["1980"]]},"page":"907-911","publisher":"Neurology","title":"Assumptions in the radiotherapy of glioblastoma","type":"article-journal","volume":"30"},"uris":["http://www.mendeley.com/documents/?uuid=a7a04318-0220-3885-b321-bd760fa23984"]}],"mendeley":{"formattedCitation":"&lt;sup&gt;29&lt;/sup&gt;","plainTextFormattedCitation":"29","previouslyFormattedCitation":"&lt;sup&gt;29&lt;/sup&gt;"},"properties":{"noteIndex":0},"schema":"https://github.com/citation-style-language/schema/raw/master/csl-citation.json"}</w:instrText>
      </w:r>
      <w:r>
        <w:fldChar w:fldCharType="separate"/>
      </w:r>
      <w:r w:rsidR="00917DAF" w:rsidRPr="00917DAF">
        <w:rPr>
          <w:noProof/>
          <w:vertAlign w:val="superscript"/>
        </w:rPr>
        <w:t>29</w:t>
      </w:r>
      <w:r>
        <w:fldChar w:fldCharType="end"/>
      </w:r>
      <w:r>
        <w:t>. Nejvhodnější dávka 60 Gy bývá nejčastěji rozdělena po 2 Gy do 30 dávek</w:t>
      </w:r>
      <w:r>
        <w:fldChar w:fldCharType="begin" w:fldLock="1"/>
      </w:r>
      <w:r w:rsidR="00917DAF">
        <w:instrText>ADDIN CSL_CITATION {"citationItems":[{"id":"ITEM-1","itemData":{"DOI":"10.1016/j.prro.2016.03.007","ISSN":"18798500","PMID":"27211230","abstract":"Purpose: To present evidence-based guidelines for radiation therapy in treating glioblastoma not arising from the brainstem. Methods and materials: The American Society for Radiation Oncology (ASTRO) convened the Glioblastoma Guideline Panel to perform a systematic literature review investigating the following: (1) Is radiation therapy indicated after biopsy/resection of glioblastoma and how does systemic therapy modify its effects? (2) What is the optimal dose-fractionation schedule for external beam radiation therapy after biopsy/resection of glioblastoma and how might treatment vary based on pretreatment characteristics such as age or performance status? (3) What are ideal target volumes for curative-intent external beam radiation therapy of glioblastoma? (4) What is the role of reirradiation among glioblastoma patients whose disease recurs following completion of standard first-line therapy? Guideline recommendations were created using predefined consensus-building methodology supported by ASTRO-approved tools for grading evidence quality and recommendation strength. Results: Following biopsy or resection, glioblastoma patients with reasonable performance status up to 70 years of age should receive conventionally fractionated radiation therapy (eg, 60 Gy in 2-Gy fractions) with concurrent and adjuvant temozolomide. Routine addition of bevacizumab to this regimen is not recommended. Elderly patients (≥. 70 years of age) with reasonable performance status should receive hypofractionated radiation therapy (eg, 40 Gy in 2.66-Gy fractions); preliminary evidence may support adding concurrent and adjuvant temozolomide to this regimen. Partial brain irradiation is the standard paradigm for radiation delivery. A variety of acceptable strategies exist for target volume definition, generally involving 2 phases (primary and boost volumes) or 1 phase (single volume). For recurrent glioblastoma, focal reirradiation can be considered in younger patients with good performance status. Conclusions: Radiation therapy occupies an integral role in treating glioblastoma. Whether and how radiation therapy should be applied depends on characteristics specific to tumor and patient, including age and performance status.","author":[{"dropping-particle":"","family":"Cabrera","given":"Alvin R.","non-dropping-particle":"","parse-names":false,"suffix":""},{"dropping-particle":"","family":"Kirkpatrick","given":"John P.","non-dropping-particle":"","parse-names":false,"suffix":""},{"dropping-particle":"","family":"Fiveash","given":"John B.","non-dropping-particle":"","parse-names":false,"suffix":""},{"dropping-particle":"","family":"Shih","given":"Helen A.","non-dropping-particle":"","parse-names":false,"suffix":""},{"dropping-particle":"","family":"Koay","given":"Eugene J.","non-dropping-particle":"","parse-names":false,"suffix":""},{"dropping-particle":"","family":"Lutz","given":"Stephen","non-dropping-particle":"","parse-names":false,"suffix":""},{"dropping-particle":"","family":"Petit","given":"Joshua","non-dropping-particle":"","parse-names":false,"suffix":""},{"dropping-particle":"","family":"Chao","given":"Samuel T.","non-dropping-particle":"","parse-names":false,"suffix":""},{"dropping-particle":"","family":"Brown","given":"Paul D.","non-dropping-particle":"","parse-names":false,"suffix":""},{"dropping-particle":"","family":"Vogelbaum","given":"Michael","non-dropping-particle":"","parse-names":false,"suffix":""},{"dropping-particle":"","family":"Reardon","given":"David A.","non-dropping-particle":"","parse-names":false,"suffix":""},{"dropping-particle":"","family":"Chakravarti","given":"Arnab","non-dropping-particle":"","parse-names":false,"suffix":""},{"dropping-particle":"","family":"Wen","given":"Patrick Y.","non-dropping-particle":"","parse-names":false,"suffix":""},{"dropping-particle":"","family":"Chang","given":"Eric","non-dropping-particle":"","parse-names":false,"suffix":""}],"container-title":"Practical Radiation Oncology","id":"ITEM-1","issue":"4","issued":{"date-parts":[["2016","7","1"]]},"page":"217-225","publisher":"Elsevier Inc.","title":"Radiation therapy for glioblastoma: Executive summary of an American Society for Radiation Oncology Evidence-Based Clinical Practice Guideline","type":"article-journal","volume":"6"},"uris":["http://www.mendeley.com/documents/?uuid=5cfcc138-ec81-306d-b158-f1098737b401"]}],"mendeley":{"formattedCitation":"&lt;sup&gt;30&lt;/sup&gt;","plainTextFormattedCitation":"30","previouslyFormattedCitation":"&lt;sup&gt;30&lt;/sup&gt;"},"properties":{"noteIndex":0},"schema":"https://github.com/citation-style-language/schema/raw/master/csl-citation.json"}</w:instrText>
      </w:r>
      <w:r>
        <w:fldChar w:fldCharType="separate"/>
      </w:r>
      <w:r w:rsidR="00917DAF" w:rsidRPr="00917DAF">
        <w:rPr>
          <w:noProof/>
          <w:vertAlign w:val="superscript"/>
        </w:rPr>
        <w:t>30</w:t>
      </w:r>
      <w:r>
        <w:fldChar w:fldCharType="end"/>
      </w:r>
      <w:r>
        <w:t>. U low grade gliomů není efekt radioterapie natolik markantní.  Efekt ranné radioterapie následované po resekci zlepšuje u low grade gliomů přežití bez nemoci/přežití bez progrese, avšak nebyl prokázán efekt na celkové přežití pacientů</w:t>
      </w:r>
      <w:r>
        <w:fldChar w:fldCharType="begin" w:fldLock="1"/>
      </w:r>
      <w:r w:rsidR="00917DAF">
        <w:instrText>ADDIN CSL_CITATION {"citationItems":[{"id":"ITEM-1","itemData":{"DOI":"10.1016/S0360-3016(01)02692-X","ISSN":"03603016","PMID":"11872276","abstract":"Purpose: There is no consensus on the treatment strategy for adult patients with cerebral low-grade glioma. The diagnosis and primary treatment are usually undertaken by surgery. Some investigators doubt the efficacy of postoperative radiotherapy (RT), whereas others advise routine postoperative RT. We report the primary results of a multicenter randomized trial on this controversy. Methods and Materials: From 24 European centers, 311 adult patients with low-grade glioma were randomized centrally after surgery from March 1986 through September 1997, between the two arms of the trial. The irradiated group received 54 Gy in 6 weeks. The other patients did not receive any treatment after surgery until the tumor showed progression, defined as clinical-neurologic deterioration and evidence of progressive tumor on imaging. Results: Of 290 eligible and assessable patients (93%), the irradiated group showed a significant (log-rank p = 0.02) improvement in time to progression but not in overall survival, with a median follow-up of 5 years. The 5-year estimate was, respectively, 63% vs. 66% (overall survival) and 44% vs. 37% (time to progression) for the treated and control arms. Different treatment modalities, including RT, were undertaken for the 85 controls when a progressive tumor was noted. Conclusion: Early postoperative conventional RT such as that used for this protocol appears to improve the time to progression or progression-free survival, but not overall survival, for patients with low-grade glioma. Copyright © 2002 Elsevier Science Inc.","author":[{"dropping-particle":"","family":"Karim","given":"Abul B.M.F.","non-dropping-particle":"","parse-names":false,"suffix":""},{"dropping-particle":"","family":"Afra","given":"Denes","non-dropping-particle":"","parse-names":false,"suffix":""},{"dropping-particle":"","family":"Cornu","given":"Philippe","non-dropping-particle":"","parse-names":false,"suffix":""},{"dropping-particle":"","family":"Bleehan","given":"Norman","non-dropping-particle":"","parse-names":false,"suffix":""},{"dropping-particle":"","family":"Schraub","given":"Simon","non-dropping-particle":"","parse-names":false,"suffix":""},{"dropping-particle":"","family":"Witte","given":"Olivier","non-dropping-particle":"De","parse-names":false,"suffix":""},{"dropping-particle":"","family":"Darcel","given":"François","non-dropping-particle":"","parse-names":false,"suffix":""},{"dropping-particle":"","family":"Stenning","given":"Sally","non-dropping-particle":"","parse-names":false,"suffix":""},{"dropping-particle":"","family":"Pierart","given":"Marianne","non-dropping-particle":"","parse-names":false,"suffix":""},{"dropping-particle":"","family":"Glabbeke","given":"Martine","non-dropping-particle":"Van","parse-names":false,"suffix":""}],"container-title":"International Journal of Radiation Oncology Biology Physics","id":"ITEM-1","issue":"2","issued":{"date-parts":[["2002","2","1"]]},"page":"316-324","publisher":"Int J Radiat Oncol Biol Phys","title":"Randomized trial on the efficacy of radiotherapy for cerebral low-grade glioma in the adult: European Organization for Research and Treatment of Cancer Study 22845 with the Medical Research Council study BRO4: An interim analysis","type":"article-journal","volume":"52"},"uris":["http://www.mendeley.com/documents/?uuid=8b294cc5-af98-35d5-b7bb-e9977d65aa87"]}],"mendeley":{"formattedCitation":"&lt;sup&gt;31&lt;/sup&gt;","plainTextFormattedCitation":"31","previouslyFormattedCitation":"&lt;sup&gt;31&lt;/sup&gt;"},"properties":{"noteIndex":0},"schema":"https://github.com/citation-style-language/schema/raw/master/csl-citation.json"}</w:instrText>
      </w:r>
      <w:r>
        <w:fldChar w:fldCharType="separate"/>
      </w:r>
      <w:r w:rsidR="00917DAF" w:rsidRPr="00917DAF">
        <w:rPr>
          <w:noProof/>
          <w:vertAlign w:val="superscript"/>
        </w:rPr>
        <w:t>31</w:t>
      </w:r>
      <w:r>
        <w:fldChar w:fldCharType="end"/>
      </w:r>
      <w:r>
        <w:t xml:space="preserve">.  </w:t>
      </w:r>
    </w:p>
    <w:p w14:paraId="102D8BCF" w14:textId="77777777" w:rsidR="003D1A7A" w:rsidRDefault="003D1A7A" w:rsidP="00EC4DAF">
      <w:pPr>
        <w:pStyle w:val="Odstavecseseznamem"/>
        <w:ind w:left="0"/>
        <w:jc w:val="both"/>
      </w:pPr>
    </w:p>
    <w:p w14:paraId="3E5948C2" w14:textId="156E3B70" w:rsidR="003D1A7A" w:rsidRDefault="003D1A7A" w:rsidP="00EC4DAF">
      <w:pPr>
        <w:pStyle w:val="Odstavecseseznamem"/>
        <w:ind w:left="0"/>
        <w:jc w:val="both"/>
      </w:pPr>
      <w:r>
        <w:t>Počátky chemoterapie používané v léčbě gliomů se datují okolo 70. let 20. století, kdy byly první klinické testy prováděny s nitrosureou, přesněji carmustinem a semustinem, kdy</w:t>
      </w:r>
      <w:r w:rsidR="00CB1336">
        <w:t xml:space="preserve"> </w:t>
      </w:r>
      <w:r>
        <w:t>v kombinaci s radioterapií měli benefit především pacienti s anaplastickým astrocytomem</w:t>
      </w:r>
      <w:r>
        <w:fldChar w:fldCharType="begin" w:fldLock="1"/>
      </w:r>
      <w:r w:rsidR="00917DAF">
        <w:instrText>ADDIN CSL_CITATION {"citationItems":[{"id":"ITEM-1","itemData":{"DOI":"10.1002/1097-0142(19930415)71:8&lt;2585::AID-CNCR2820710825&gt;3.0.CO;2-S","ISSN":"10970142","PMID":"8453582","abstract":"Background. The value of chemotherapy after standard postoperative external beam radiation in the treatment of malignant gliomas remains controversial. Despite recent recommendations from the Brain Tumor Cooperative Group that chemotherapy should be considered part of the standard treatment of patients with highgrade astrocytomas, several recent trials have questioned the efficacy of this approach. Methods. Using results from 16 randomized clinical trials involving more than 3000 patients, the authors compared the survival rates of patients who received radiation alone or radiation with chemotherapy. The combined data were analyzed using the statistical method of meta‐analysis as described by DerSimonian and Laird. Results. The estimated increase in survival for patients treated with combination radiation and chemotherapy was 10.1% at 1 year (95% confidence interval, 6.8, 13.3%) and 8.6% at 2 years (5.2, 12.0%). These absolute increases in survival (treated‐control [TC]) in patients treated with chemotherapy represent relative increases (T‐C)/C of 23.4% at 1 year (15.8, 30.9%) and 52.4% at 2 years (31.7, 73.2%). This survival advantage is conferred by several different chemotherapeutic agents. When the prognostic variables of age and histology are factored into the analysis, however, the data suggest that the survival benefit from chemotherapy occurs earlier in patients with anaplastic astrocytoma (AA) than in patients with glioblastoma. Conclusions. The authors concluded that chemotherapy is advantageous for patients with malignant gliomas and should be considered part of the standard therapeutic regimen. Additional randomized trials using optimal radiation and chemotherapy may still be needed to precisely define which subgroups of patients, based on prognostic variables, will benefit most from chemotherapy after radiation. Copyright © 1993 American Cancer Society","author":[{"dropping-particle":"","family":"Fine","given":"Howard A.","non-dropping-particle":"","parse-names":false,"suffix":""},{"dropping-particle":"","family":"Dear","given":"Keith B.G.","non-dropping-particle":"","parse-names":false,"suffix":""},{"dropping-particle":"","family":"Loeffler","given":"Jay S.","non-dropping-particle":"","parse-names":false,"suffix":""},{"dropping-particle":"","family":"Mc Black","given":"Peter L.","non-dropping-particle":"","parse-names":false,"suffix":""},{"dropping-particle":"","family":"Canellos","given":"George P.","non-dropping-particle":"","parse-names":false,"suffix":""}],"container-title":"Cancer","id":"ITEM-1","issue":"8","issued":{"date-parts":[["1993"]]},"page":"2585-2597","publisher":"Cancer","title":"Meta‐analysis of radiation therapy with and without adjuvant chemotherapy for malignant gliomas in adults","type":"article-journal","volume":"71"},"uris":["http://www.mendeley.com/documents/?uuid=a1ea0dc8-fc64-37a9-a3a0-40a858a66896"]}],"mendeley":{"formattedCitation":"&lt;sup&gt;32&lt;/sup&gt;","plainTextFormattedCitation":"32","previouslyFormattedCitation":"&lt;sup&gt;32&lt;/sup&gt;"},"properties":{"noteIndex":0},"schema":"https://github.com/citation-style-language/schema/raw/master/csl-citation.json"}</w:instrText>
      </w:r>
      <w:r>
        <w:fldChar w:fldCharType="separate"/>
      </w:r>
      <w:r w:rsidR="00917DAF" w:rsidRPr="00917DAF">
        <w:rPr>
          <w:noProof/>
          <w:vertAlign w:val="superscript"/>
        </w:rPr>
        <w:t>32</w:t>
      </w:r>
      <w:r>
        <w:fldChar w:fldCharType="end"/>
      </w:r>
      <w:r w:rsidR="00156DAD">
        <w:t>.  V roce 1999 byl FDA (Federal D</w:t>
      </w:r>
      <w:r>
        <w:t xml:space="preserve">rug </w:t>
      </w:r>
      <w:r w:rsidR="00156DAD">
        <w:t>A</w:t>
      </w:r>
      <w:r>
        <w:t>dministration) schválen temozolomid jakožto alkylační činidlo. Ten byl nejdříve indikován u rekurentního gliob</w:t>
      </w:r>
      <w:r w:rsidR="00CB1336">
        <w:t>l</w:t>
      </w:r>
      <w:r>
        <w:t xml:space="preserve">astomu a později i určen pro léčbu primárního glioblastomu. V současné době </w:t>
      </w:r>
      <w:r w:rsidR="00CB1336">
        <w:t xml:space="preserve">je zahrnut do </w:t>
      </w:r>
      <w:r>
        <w:t>standardní</w:t>
      </w:r>
      <w:r w:rsidR="00CB1336">
        <w:t>ho</w:t>
      </w:r>
      <w:r>
        <w:t xml:space="preserve"> léčebn</w:t>
      </w:r>
      <w:r w:rsidR="00CB1336">
        <w:t>ého</w:t>
      </w:r>
      <w:r>
        <w:t xml:space="preserve"> režim</w:t>
      </w:r>
      <w:r w:rsidR="00CB1336">
        <w:t>u</w:t>
      </w:r>
      <w:r>
        <w:t xml:space="preserve"> u nově diagnostikovaných maligních gliomů hlavně díky tzv. Stuppovu režimu</w:t>
      </w:r>
      <w:r>
        <w:fldChar w:fldCharType="begin" w:fldLock="1"/>
      </w:r>
      <w:r w:rsidR="00917DAF">
        <w:instrText>ADDIN CSL_CITATION {"citationItems":[{"id":"ITEM-1","itemData":{"DOI":"10.1056/nejmoa043330","ISSN":"0028-4793","PMID":"15758009","abstract":"BACKGROUND Glioblastoma, the most common primary brain tumor in adults, is usually rapidly fatal. The current standard of care for newly diagnosed glioblastoma is surgical resection to the extent feasible, followed by adjuvant radiotherapy. In this trial we compared radiotherapy alone with radiotherapy plus temozolomide, given concomitantly with and after radiotherapy, in terms of efficacy and safety. METHODS Patients with newly diagnosed, histologically confirmed glioblastoma were randomly assigned to receive radiotherapy alone (fractionated focal irradiation in daily fractions of 2 Gy given 5 days per week for 6 weeks, for a total of 60 Gy) or radiotherapy plus continuous daily temozolomide (75 mg per square meter of body-surface area per day, 7 days per week from the first to the last day of radiotherapy), followed by six cycles of adjuvant temozolomide (150 to 200 mg per square meter for 5 days during each 28-day cycle). The primary end point was overall survival. RESULTS A total of 573 patients from 85 centers underwent randomization. The median age was 56 years, and 84 percent of patients had undergone debulking surgery. At a median follow-up of 28 months, the median survival was 14.6 months with radiotherapy plus temozolomide and 12.1 months with radiotherapy alone. The unadjusted hazard ratio for death in the radiotherapy-plus-temozolomide group was 0.63 (95 percent confidence interval, 0.52 to 0.75; P&lt;0.001 by the log-rank test). The two-year survival rate was 26.5 percent with radiotherapy plus temozolomide and 10.4 percent with radiotherapy alone. Concomitant treatment with radiotherapy plus temozolomide resulted in grade 3 or 4 hematologic toxic effects in 7 percent of patients. CONCLUSIONS The addition of temozolomide to radiotherapy for newly diagnosed glioblastoma resulted in a clinically meaningful and statistically significant survival benefit with minimal additional toxicity.","author":[{"dropping-particle":"","family":"Stupp","given":"Roger","non-dropping-particle":"","parse-names":false,"suffix":""},{"dropping-particle":"","family":"Mason","given":"Warren P.","non-dropping-particle":"","parse-names":false,"suffix":""},{"dropping-particle":"","family":"Bent","given":"Martin J.","non-dropping-particle":"van den","parse-names":false,"suffix":""},{"dropping-particle":"","family":"Weller","given":"Michael","non-dropping-particle":"","parse-names":false,"suffix":""},{"dropping-particle":"","family":"Fisher","given":"Barbara","non-dropping-particle":"","parse-names":false,"suffix":""},{"dropping-particle":"","family":"Taphoorn","given":"Martin J.B.","non-dropping-particle":"","parse-names":false,"suffix":""},{"dropping-particle":"","family":"Belanger","given":"Karl","non-dropping-particle":"","parse-names":false,"suffix":""},{"dropping-particle":"","family":"Brandes","given":"Alba A.","non-dropping-particle":"","parse-names":false,"suffix":""},{"dropping-particle":"","family":"Marosi","given":"Christine","non-dropping-particle":"","parse-names":false,"suffix":""},{"dropping-particle":"","family":"Bogdahn","given":"Ulrich","non-dropping-particle":"","parse-names":false,"suffix":""},{"dropping-particle":"","family":"Curschmann","given":"Jürgen","non-dropping-particle":"","parse-names":false,"suffix":""},{"dropping-particle":"","family":"Janzer","given":"Robert C.","non-dropping-particle":"","parse-names":false,"suffix":""},{"dropping-particle":"","family":"Ludwin","given":"Samuel K.","non-dropping-particle":"","parse-names":false,"suffix":""},{"dropping-particle":"","family":"Gorlia","given":"Thierry","non-dropping-particle":"","parse-names":false,"suffix":""},{"dropping-particle":"","family":"Allgeier","given":"Anouk","non-dropping-particle":"","parse-names":false,"suffix":""},{"dropping-particle":"","family":"Lacombe","given":"Denis","non-dropping-particle":"","parse-names":false,"suffix":""},{"dropping-particle":"","family":"Cairncross","given":"J. Gregory","non-dropping-particle":"","parse-names":false,"suffix":""},{"dropping-particle":"","family":"Eisenhauer","given":"Elizabeth","non-dropping-particle":"","parse-names":false,"suffix":""},{"dropping-particle":"","family":"Mirimanoff","given":"René O.","non-dropping-particle":"","parse-names":false,"suffix":""}],"container-title":"New England Journal of Medicine","id":"ITEM-1","issue":"10","issued":{"date-parts":[["2005","3","10"]]},"page":"987-996","publisher":"New England Journal of Medicine (NEJM/MMS)","title":"Radiotherapy plus Concomitant and Adjuvant Temozolomide for Glioblastoma","type":"article-journal","volume":"352"},"uris":["http://www.mendeley.com/documents/?uuid=ef49b4ae-02af-3f91-8906-1ecc6a9accc8"]}],"mendeley":{"formattedCitation":"&lt;sup&gt;33&lt;/sup&gt;","plainTextFormattedCitation":"33","previouslyFormattedCitation":"&lt;sup&gt;33&lt;/sup&gt;"},"properties":{"noteIndex":0},"schema":"https://github.com/citation-style-language/schema/raw/master/csl-citation.json"}</w:instrText>
      </w:r>
      <w:r>
        <w:fldChar w:fldCharType="separate"/>
      </w:r>
      <w:r w:rsidR="00917DAF" w:rsidRPr="00917DAF">
        <w:rPr>
          <w:noProof/>
          <w:vertAlign w:val="superscript"/>
        </w:rPr>
        <w:t>33</w:t>
      </w:r>
      <w:r>
        <w:fldChar w:fldCharType="end"/>
      </w:r>
      <w:r>
        <w:t xml:space="preserve">. Tento režim spočívá v pooperační konkomitantní chemoradioterapii temozolomidem následovaný podáním adjuvantní chemoterapie v délce šesti měsíců (Obrázek </w:t>
      </w:r>
      <w:r w:rsidR="00CB1336">
        <w:t>3</w:t>
      </w:r>
      <w:r>
        <w:t>). Relativní riziko smrti u maligních gliomů se tímto režimem snižuje o 37 % a dvouleté přežití bylo u těchto pacientů zlepšeno o 16 % v porovnání s pacienty léčenými pouze radioterapií. Navíc</w:t>
      </w:r>
      <w:r w:rsidR="00CB1336">
        <w:t xml:space="preserve"> dochází k redukci</w:t>
      </w:r>
      <w:r>
        <w:t xml:space="preserve"> vedlejší</w:t>
      </w:r>
      <w:r w:rsidR="00CB1336">
        <w:t>ch</w:t>
      </w:r>
      <w:r>
        <w:t xml:space="preserve"> účink</w:t>
      </w:r>
      <w:r w:rsidR="00CB1336">
        <w:t>ů</w:t>
      </w:r>
      <w:r>
        <w:t xml:space="preserve"> a pacienti tuto léčbu lépe tolerují v porovnání s jinými chemoterapeutickými režimy. </w:t>
      </w:r>
    </w:p>
    <w:p w14:paraId="02491C0A" w14:textId="53949E49" w:rsidR="003D1A7A" w:rsidRDefault="00363B33" w:rsidP="00363B33">
      <w:pPr>
        <w:pStyle w:val="Odstavecseseznamem"/>
        <w:ind w:left="0"/>
        <w:jc w:val="center"/>
      </w:pPr>
      <w:r>
        <w:rPr>
          <w:noProof/>
        </w:rPr>
        <w:drawing>
          <wp:inline distT="0" distB="0" distL="0" distR="0" wp14:anchorId="0789262C" wp14:editId="6BB8B7DD">
            <wp:extent cx="5761990" cy="210251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4294" t="36369" r="4983" b="42892"/>
                    <a:stretch/>
                  </pic:blipFill>
                  <pic:spPr bwMode="auto">
                    <a:xfrm>
                      <a:off x="0" y="0"/>
                      <a:ext cx="5829271" cy="2127060"/>
                    </a:xfrm>
                    <a:prstGeom prst="rect">
                      <a:avLst/>
                    </a:prstGeom>
                    <a:ln>
                      <a:noFill/>
                    </a:ln>
                    <a:extLst>
                      <a:ext uri="{53640926-AAD7-44D8-BBD7-CCE9431645EC}">
                        <a14:shadowObscured xmlns:a14="http://schemas.microsoft.com/office/drawing/2010/main"/>
                      </a:ext>
                    </a:extLst>
                  </pic:spPr>
                </pic:pic>
              </a:graphicData>
            </a:graphic>
          </wp:inline>
        </w:drawing>
      </w:r>
    </w:p>
    <w:p w14:paraId="30F8E837" w14:textId="1497D7FA" w:rsidR="003D1A7A" w:rsidRPr="00F7180F" w:rsidRDefault="00306B65" w:rsidP="00EA79DA">
      <w:pPr>
        <w:pStyle w:val="Odstavecseseznamem"/>
        <w:ind w:left="0"/>
        <w:jc w:val="both"/>
        <w:rPr>
          <w:sz w:val="20"/>
          <w:szCs w:val="20"/>
        </w:rPr>
      </w:pPr>
      <w:bookmarkStart w:id="13" w:name="_Toc67162690"/>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3</w:t>
      </w:r>
      <w:r w:rsidRPr="00306B65">
        <w:rPr>
          <w:b/>
          <w:bCs/>
          <w:sz w:val="20"/>
          <w:szCs w:val="20"/>
        </w:rPr>
        <w:fldChar w:fldCharType="end"/>
      </w:r>
      <w:r w:rsidRPr="00306B65">
        <w:rPr>
          <w:b/>
          <w:bCs/>
          <w:sz w:val="20"/>
          <w:szCs w:val="20"/>
        </w:rPr>
        <w:t>:</w:t>
      </w:r>
      <w:r>
        <w:rPr>
          <w:b/>
          <w:bCs/>
          <w:sz w:val="20"/>
          <w:szCs w:val="20"/>
        </w:rPr>
        <w:t xml:space="preserve"> </w:t>
      </w:r>
      <w:r w:rsidR="00363B33">
        <w:rPr>
          <w:sz w:val="20"/>
          <w:szCs w:val="20"/>
        </w:rPr>
        <w:t>Schéma Stuppova protokolu založeného na konkomitantní chemoradioterapii</w:t>
      </w:r>
      <w:r w:rsidR="00363B33">
        <w:rPr>
          <w:sz w:val="20"/>
          <w:szCs w:val="20"/>
        </w:rPr>
        <w:fldChar w:fldCharType="begin" w:fldLock="1"/>
      </w:r>
      <w:r w:rsidR="00C554E1">
        <w:rPr>
          <w:sz w:val="20"/>
          <w:szCs w:val="20"/>
        </w:rPr>
        <w:instrText>ADDIN CSL_CITATION {"citationItems":[{"id":"ITEM-1","itemData":{"DOI":"10.1056/nejmoa043330","ISSN":"0028-4793","PMID":"15758009","abstract":"BACKGROUND Glioblastoma, the most common primary brain tumor in adults, is usually rapidly fatal. The current standard of care for newly diagnosed glioblastoma is surgical resection to the extent feasible, followed by adjuvant radiotherapy. In this trial we compared radiotherapy alone with radiotherapy plus temozolomide, given concomitantly with and after radiotherapy, in terms of efficacy and safety. METHODS Patients with newly diagnosed, histologically confirmed glioblastoma were randomly assigned to receive radiotherapy alone (fractionated focal irradiation in daily fractions of 2 Gy given 5 days per week for 6 weeks, for a total of 60 Gy) or radiotherapy plus continuous daily temozolomide (75 mg per square meter of body-surface area per day, 7 days per week from the first to the last day of radiotherapy), followed by six cycles of adjuvant temozolomide (150 to 200 mg per square meter for 5 days during each 28-day cycle). The primary end point was overall survival. RESULTS A total of 573 patients from 85 centers underwent randomization. The median age was 56 years, and 84 percent of patients had undergone debulking surgery. At a median follow-up of 28 months, the median survival was 14.6 months with radiotherapy plus temozolomide and 12.1 months with radiotherapy alone. The unadjusted hazard ratio for death in the radiotherapy-plus-temozolomide group was 0.63 (95 percent confidence interval, 0.52 to 0.75; P&lt;0.001 by the log-rank test). The two-year survival rate was 26.5 percent with radiotherapy plus temozolomide and 10.4 percent with radiotherapy alone. Concomitant treatment with radiotherapy plus temozolomide resulted in grade 3 or 4 hematologic toxic effects in 7 percent of patients. CONCLUSIONS The addition of temozolomide to radiotherapy for newly diagnosed glioblastoma resulted in a clinically meaningful and statistically significant survival benefit with minimal additional toxicity.","author":[{"dropping-particle":"","family":"Stupp","given":"Roger","non-dropping-particle":"","parse-names":false,"suffix":""},{"dropping-particle":"","family":"Mason","given":"Warren P.","non-dropping-particle":"","parse-names":false,"suffix":""},{"dropping-particle":"","family":"Bent","given":"Martin J.","non-dropping-particle":"van den","parse-names":false,"suffix":""},{"dropping-particle":"","family":"Weller","given":"Michael","non-dropping-particle":"","parse-names":false,"suffix":""},{"dropping-particle":"","family":"Fisher","given":"Barbara","non-dropping-particle":"","parse-names":false,"suffix":""},{"dropping-particle":"","family":"Taphoorn","given":"Martin J.B.","non-dropping-particle":"","parse-names":false,"suffix":""},{"dropping-particle":"","family":"Belanger","given":"Karl","non-dropping-particle":"","parse-names":false,"suffix":""},{"dropping-particle":"","family":"Brandes","given":"Alba A.","non-dropping-particle":"","parse-names":false,"suffix":""},{"dropping-particle":"","family":"Marosi","given":"Christine","non-dropping-particle":"","parse-names":false,"suffix":""},{"dropping-particle":"","family":"Bogdahn","given":"Ulrich","non-dropping-particle":"","parse-names":false,"suffix":""},{"dropping-particle":"","family":"Curschmann","given":"Jürgen","non-dropping-particle":"","parse-names":false,"suffix":""},{"dropping-particle":"","family":"Janzer","given":"Robert C.","non-dropping-particle":"","parse-names":false,"suffix":""},{"dropping-particle":"","family":"Ludwin","given":"Samuel K.","non-dropping-particle":"","parse-names":false,"suffix":""},{"dropping-particle":"","family":"Gorlia","given":"Thierry","non-dropping-particle":"","parse-names":false,"suffix":""},{"dropping-particle":"","family":"Allgeier","given":"Anouk","non-dropping-particle":"","parse-names":false,"suffix":""},{"dropping-particle":"","family":"Lacombe","given":"Denis","non-dropping-particle":"","parse-names":false,"suffix":""},{"dropping-particle":"","family":"Cairncross","given":"J. Gregory","non-dropping-particle":"","parse-names":false,"suffix":""},{"dropping-particle":"","family":"Eisenhauer","given":"Elizabeth","non-dropping-particle":"","parse-names":false,"suffix":""},{"dropping-particle":"","family":"Mirimanoff","given":"René O.","non-dropping-particle":"","parse-names":false,"suffix":""}],"container-title":"New England Journal of Medicine","id":"ITEM-1","issue":"10","issued":{"date-parts":[["2005","3","10"]]},"page":"987-996","publisher":"New England Journal of Medicine (NEJM/MMS)","title":"Radiotherapy plus Concomitant and Adjuvant Temozolomide for Glioblastoma","type":"article-journal","volume":"352"},"uris":["http://www.mendeley.com/documents/?uuid=ef49b4ae-02af-3f91-8906-1ecc6a9accc8"]}],"mendeley":{"formattedCitation":"&lt;sup&gt;33&lt;/sup&gt;","plainTextFormattedCitation":"33","previouslyFormattedCitation":"&lt;sup&gt;33&lt;/sup&gt;"},"properties":{"noteIndex":0},"schema":"https://github.com/citation-style-language/schema/raw/master/csl-citation.json"}</w:instrText>
      </w:r>
      <w:r w:rsidR="00363B33">
        <w:rPr>
          <w:sz w:val="20"/>
          <w:szCs w:val="20"/>
        </w:rPr>
        <w:fldChar w:fldCharType="separate"/>
      </w:r>
      <w:r w:rsidR="00363B33" w:rsidRPr="00363B33">
        <w:rPr>
          <w:noProof/>
          <w:sz w:val="20"/>
          <w:szCs w:val="20"/>
          <w:vertAlign w:val="superscript"/>
        </w:rPr>
        <w:t>33</w:t>
      </w:r>
      <w:r w:rsidR="00363B33">
        <w:rPr>
          <w:sz w:val="20"/>
          <w:szCs w:val="20"/>
        </w:rPr>
        <w:fldChar w:fldCharType="end"/>
      </w:r>
      <w:r w:rsidR="00363B33">
        <w:rPr>
          <w:sz w:val="20"/>
          <w:szCs w:val="20"/>
        </w:rPr>
        <w:t>.</w:t>
      </w:r>
      <w:bookmarkEnd w:id="13"/>
    </w:p>
    <w:p w14:paraId="57F14512" w14:textId="77777777" w:rsidR="003D1A7A" w:rsidRDefault="003D1A7A" w:rsidP="00EC4DAF">
      <w:pPr>
        <w:pStyle w:val="Odstavecseseznamem"/>
        <w:ind w:left="0"/>
        <w:jc w:val="both"/>
      </w:pPr>
    </w:p>
    <w:p w14:paraId="659327CA" w14:textId="7854C664" w:rsidR="003D1A7A" w:rsidRDefault="003D1A7A" w:rsidP="00EC4DAF">
      <w:pPr>
        <w:pStyle w:val="Odstavecseseznamem"/>
        <w:ind w:left="0"/>
        <w:jc w:val="both"/>
      </w:pPr>
      <w:r>
        <w:t xml:space="preserve">Co se týče low grade gliomů a léčby chemoradioterapií, </w:t>
      </w:r>
      <w:r w:rsidR="00363B33">
        <w:t>není</w:t>
      </w:r>
      <w:r>
        <w:t xml:space="preserve"> tato oblast úplně jednoznačná. Léčba by měla být rozhodována na</w:t>
      </w:r>
      <w:r w:rsidR="00156DAD">
        <w:t xml:space="preserve"> základě prognostických faktorů </w:t>
      </w:r>
      <w:r>
        <w:t>jako jsou věk, ne</w:t>
      </w:r>
      <w:r w:rsidR="00156DAD">
        <w:t>u</w:t>
      </w:r>
      <w:r>
        <w:t>rologické deficity, astrocytární původ, molekulární status, rychlost růstu nádoru a patologický neurokognitivní status</w:t>
      </w:r>
      <w:r>
        <w:fldChar w:fldCharType="begin" w:fldLock="1"/>
      </w:r>
      <w:r w:rsidR="00917DAF">
        <w:instrText>ADDIN CSL_CITATION {"citationItems":[{"id":"ITEM-1","itemData":{"DOI":"10.1093/nop/npy051","ISSN":"2054-2577","abstract":"Background: Diffuse low-grade gliomas (DLGGs) are rare and incurable tumors. Whereas maximal safe, functional-based surgical resection is the first-line treatment, the timing and choice of further treatments (chemotherapy, radiation therapy, or combined treatments) remain controversial. Methods: An online survey on the management of DLGG patients was sent to 28 expert centers from the European Low-Grade Glioma Network (ELGGN) in May 2015. It contained 40 specific questions addressing the modalities of use of chemotherapy in these patients. Results: The survey demonstrated a significant heterogeneity in practice regarding the initial management of DLGG patients and the use of chemotherapy. Interestingly, radiation therapy combined with the procarbazine, CCNU (lomustine), and vincristine regimen has not imposed itself as the gold-standard treatment after surgery, despite the results of the Radiation Therapy Oncology Group 9802 study. Temozolomide is largely used as first-line treatment after surgical resection for high-risk DLGG patients, or at progression. Conclusions: The heterogeneity in the management of patients with DLGG demonstrates that many questions regarding the postoperative strategy and the use of chemotherapy remain unanswered. Our survey reveals a high recruitment potential within the ELGGN for retrospective or prospective studies to generate new data regarding these issues.","author":[{"dropping-particle":"","family":"Darlix","given":"Amélie","non-dropping-particle":"","parse-names":false,"suffix":""},{"dropping-particle":"","family":"Mandonnet","given":"Emmanuel","non-dropping-particle":"","parse-names":false,"suffix":""},{"dropping-particle":"","family":"Freyschlag","given":"Christian F","non-dropping-particle":"","parse-names":false,"suffix":""},{"dropping-particle":"","family":"Pinggera","given":"Daniel","non-dropping-particle":"","parse-names":false,"suffix":""},{"dropping-particle":"","family":"Forster","given":"Marie-Therese","non-dropping-particle":"","parse-names":false,"suffix":""},{"dropping-particle":"","family":"Voss","given":"Martin","non-dropping-particle":"","parse-names":false,"suffix":""},{"dropping-particle":"","family":"Steinbach","given":"Joachim","non-dropping-particle":"","parse-names":false,"suffix":""},{"dropping-particle":"","family":"Loughrey","given":"Carmel","non-dropping-particle":"","parse-names":false,"suffix":""},{"dropping-particle":"","family":"Goodden","given":"John","non-dropping-particle":"","parse-names":false,"suffix":""},{"dropping-particle":"","family":"Banna","given":"Giuseppe","non-dropping-particle":"","parse-names":false,"suffix":""},{"dropping-particle":"","family":"Blasi","given":"Concetta","non-dropping-particle":"Di","parse-names":false,"suffix":""},{"dropping-particle":"","family":"Foroglou","given":"Nicolas","non-dropping-particle":"","parse-names":false,"suffix":""},{"dropping-particle":"","family":"Hottinger","given":"Andreas F","non-dropping-particle":"","parse-names":false,"suffix":""},{"dropping-particle":"","family":"Baron","given":"Marie-Hélène","non-dropping-particle":"","parse-names":false,"suffix":""},{"dropping-particle":"","family":"Pallud","given":"Johan","non-dropping-particle":"","parse-names":false,"suffix":""},{"dropping-particle":"","family":"Duffau","given":"Hugues","non-dropping-particle":"","parse-names":false,"suffix":""},{"dropping-particle":"","family":"Rutten","given":"Geert-Jan","non-dropping-particle":"","parse-names":false,"suffix":""},{"dropping-particle":"","family":"Almairac","given":"Fabien","non-dropping-particle":"","parse-names":false,"suffix":""},{"dropping-particle":"","family":"Fontaine","given":"Denys","non-dropping-particle":"","parse-names":false,"suffix":""},{"dropping-particle":"","family":"Taillandier","given":"Luc","non-dropping-particle":"","parse-names":false,"suffix":""},{"dropping-particle":"","family":"Pessanha Viegas","given":"Catarina","non-dropping-particle":"","parse-names":false,"suffix":""},{"dropping-particle":"","family":"Albuquerque","given":"Luisa","non-dropping-particle":"","parse-names":false,"suffix":""},{"dropping-particle":"","family":"Campe","given":"Gord","non-dropping-particle":"von","parse-names":false,"suffix":""},{"dropping-particle":"","family":"Urbanic-Purkart","given":"Tadeja","non-dropping-particle":"","parse-names":false,"suffix":""},{"dropping-particle":"","family":"Blonski","given":"Marie","non-dropping-particle":"","parse-names":false,"suffix":""}],"container-title":"Neuro-Oncology Practice","id":"ITEM-1","issue":"4","issued":{"date-parts":[["2019","7","27"]]},"page":"264-273","publisher":"Oxford University Press","title":"Chemotherapy and diffuse low-grade gliomas: a survey within the European Low-Grade Glioma Network","type":"article-journal","volume":"6"},"uris":["http://www.mendeley.com/documents/?uuid=73162866-fd8c-3dc9-9d8e-8246074e3329"]}],"mendeley":{"formattedCitation":"&lt;sup&gt;34&lt;/sup&gt;","plainTextFormattedCitation":"34","previouslyFormattedCitation":"&lt;sup&gt;34&lt;/sup&gt;"},"properties":{"noteIndex":0},"schema":"https://github.com/citation-style-language/schema/raw/master/csl-citation.json"}</w:instrText>
      </w:r>
      <w:r>
        <w:fldChar w:fldCharType="separate"/>
      </w:r>
      <w:r w:rsidR="00917DAF" w:rsidRPr="00917DAF">
        <w:rPr>
          <w:noProof/>
          <w:vertAlign w:val="superscript"/>
        </w:rPr>
        <w:t>34</w:t>
      </w:r>
      <w:r>
        <w:fldChar w:fldCharType="end"/>
      </w:r>
      <w:r>
        <w:t>.  Doporučovaná léčba low grade gliomů pomocí chemoradioterapie je založena na kombinaci procarbazinu, lomustinu a vincristinu, avšak klinická praxe často využívá léčby pomocí temodalu</w:t>
      </w:r>
      <w:r>
        <w:fldChar w:fldCharType="begin" w:fldLock="1"/>
      </w:r>
      <w:r w:rsidR="00917DAF">
        <w:instrText>ADDIN CSL_CITATION {"citationItems":[{"id":"ITEM-1","itemData":{"DOI":"10.1093/neuonc/noq055","ISSN":"15235866","abstract":"Previous studies with temozolomide suggest that a prolonged duration of chemotherapy is important for treating low-grade gliomas (LGGs). PCV (procarbazine, CCNU, vincristine) chemotherapy has demonstrated efficacy in treating LGGs, but this therapy cannot be used for a prolonged period because of the cumulative toxicity. The aim of the present study was to evaluate the impact of first-line PCV chemotherapy on LGGs growth kinetics. The mean tumor diameter (MTD) of 21 LGGs was measured on serial magnetic resonance images before (n 5 13), during, and after PCV onset (n521). During PCV treatment, a decrease in the MTD was observed in all patients. After PCV discontinuation, an ongoing decrease in MTD was observed in 20 of the 21 patients. Median duration of the MTD decrease was 3.4 years (range, 0.8-7.7) after PCV onset and 2.7 years (range, 0-7) after the end of PCV treatment with 60% of LGGs, demonstrating an ongoing and prolonged (&gt;2 years) response despite chemotherapy no longer being administered. According to McDonald's criteria, the rates of partial and minor responses were 5% and 38% at the end of PCV but 38% and 42% at the time of maximal MTD decrease, which occurred after a median period of 3.4 years after PCV onset. These results challenge the idea that a prolonged duration of chemotherapy is necessary for treating LGGs and raise the issue of understanding the mechanisms involved in the persistent tumor volume decrease once chemotherapy is terminated. © The Author(s) 2010.","author":[{"dropping-particle":"","family":"Peyre","given":"Matthieu","non-dropping-particle":"","parse-names":false,"suffix":""},{"dropping-particle":"","family":"Cartalat-Carel","given":"Stéphanie","non-dropping-particle":"","parse-names":false,"suffix":""},{"dropping-particle":"","family":"Meyronet","given":"David","non-dropping-particle":"","parse-names":false,"suffix":""},{"dropping-particle":"","family":"Ricard","given":"Damien","non-dropping-particle":"","parse-names":false,"suffix":""},{"dropping-particle":"","family":"Jouvet","given":"Anne","non-dropping-particle":"","parse-names":false,"suffix":""},{"dropping-particle":"","family":"Pallud","given":"Johan","non-dropping-particle":"","parse-names":false,"suffix":""},{"dropping-particle":"","family":"Mokhtari","given":"Karima","non-dropping-particle":"","parse-names":false,"suffix":""},{"dropping-particle":"","family":"Guyotat","given":"Jacques","non-dropping-particle":"","parse-names":false,"suffix":""},{"dropping-particle":"","family":"Jouanneau","given":"Emmanuel","non-dropping-particle":"","parse-names":false,"suffix":""},{"dropping-particle":"","family":"Sunyach","given":"Marie Pierre","non-dropping-particle":"","parse-names":false,"suffix":""},{"dropping-particle":"","family":"Frappaz","given":"Didier","non-dropping-particle":"","parse-names":false,"suffix":""},{"dropping-particle":"","family":"Honnorat","given":"Jérôme","non-dropping-particle":"","parse-names":false,"suffix":""},{"dropping-particle":"","family":"Ducray","given":"François","non-dropping-particle":"","parse-names":false,"suffix":""}],"container-title":"Neuro-Oncology","id":"ITEM-1","issue":"10","issued":{"date-parts":[["2010"]]},"page":"1078-1082","publisher":"Oxford University Press","title":"Prolonged response without prolonged chemotherapy: A lesson from PCV chemotherapy in low-grade gliomas","type":"article-journal","volume":"12"},"uris":["http://www.mendeley.com/documents/?uuid=441bf90a-ae2f-3696-8920-74ed1a5a1e5d"]},{"id":"ITEM-2","itemData":{"DOI":"10.1093/nop/npy051","ISSN":"2054-2577","abstract":"Background: Diffuse low-grade gliomas (DLGGs) are rare and incurable tumors. Whereas maximal safe, functional-based surgical resection is the first-line treatment, the timing and choice of further treatments (chemotherapy, radiation therapy, or combined treatments) remain controversial. Methods: An online survey on the management of DLGG patients was sent to 28 expert centers from the European Low-Grade Glioma Network (ELGGN) in May 2015. It contained 40 specific questions addressing the modalities of use of chemotherapy in these patients. Results: The survey demonstrated a significant heterogeneity in practice regarding the initial management of DLGG patients and the use of chemotherapy. Interestingly, radiation therapy combined with the procarbazine, CCNU (lomustine), and vincristine regimen has not imposed itself as the gold-standard treatment after surgery, despite the results of the Radiation Therapy Oncology Group 9802 study. Temozolomide is largely used as first-line treatment after surgical resection for high-risk DLGG patients, or at progression. Conclusions: The heterogeneity in the management of patients with DLGG demonstrates that many questions regarding the postoperative strategy and the use of chemotherapy remain unanswered. Our survey reveals a high recruitment potential within the ELGGN for retrospective or prospective studies to generate new data regarding these issues.","author":[{"dropping-particle":"","family":"Darlix","given":"Amélie","non-dropping-particle":"","parse-names":false,"suffix":""},{"dropping-particle":"","family":"Mandonnet","given":"Emmanuel","non-dropping-particle":"","parse-names":false,"suffix":""},{"dropping-particle":"","family":"Freyschlag","given":"Christian F","non-dropping-particle":"","parse-names":false,"suffix":""},{"dropping-particle":"","family":"Pinggera","given":"Daniel","non-dropping-particle":"","parse-names":false,"suffix":""},{"dropping-particle":"","family":"Forster","given":"Marie-Therese","non-dropping-particle":"","parse-names":false,"suffix":""},{"dropping-particle":"","family":"Voss","given":"Martin","non-dropping-particle":"","parse-names":false,"suffix":""},{"dropping-particle":"","family":"Steinbach","given":"Joachim","non-dropping-particle":"","parse-names":false,"suffix":""},{"dropping-particle":"","family":"Loughrey","given":"Carmel","non-dropping-particle":"","parse-names":false,"suffix":""},{"dropping-particle":"","family":"Goodden","given":"John","non-dropping-particle":"","parse-names":false,"suffix":""},{"dropping-particle":"","family":"Banna","given":"Giuseppe","non-dropping-particle":"","parse-names":false,"suffix":""},{"dropping-particle":"","family":"Blasi","given":"Concetta","non-dropping-particle":"Di","parse-names":false,"suffix":""},{"dropping-particle":"","family":"Foroglou","given":"Nicolas","non-dropping-particle":"","parse-names":false,"suffix":""},{"dropping-particle":"","family":"Hottinger","given":"Andreas F","non-dropping-particle":"","parse-names":false,"suffix":""},{"dropping-particle":"","family":"Baron","given":"Marie-Hélène","non-dropping-particle":"","parse-names":false,"suffix":""},{"dropping-particle":"","family":"Pallud","given":"Johan","non-dropping-particle":"","parse-names":false,"suffix":""},{"dropping-particle":"","family":"Duffau","given":"Hugues","non-dropping-particle":"","parse-names":false,"suffix":""},{"dropping-particle":"","family":"Rutten","given":"Geert-Jan","non-dropping-particle":"","parse-names":false,"suffix":""},{"dropping-particle":"","family":"Almairac","given":"Fabien","non-dropping-particle":"","parse-names":false,"suffix":""},{"dropping-particle":"","family":"Fontaine","given":"Denys","non-dropping-particle":"","parse-names":false,"suffix":""},{"dropping-particle":"","family":"Taillandier","given":"Luc","non-dropping-particle":"","parse-names":false,"suffix":""},{"dropping-particle":"","family":"Pessanha Viegas","given":"Catarina","non-dropping-particle":"","parse-names":false,"suffix":""},{"dropping-particle":"","family":"Albuquerque","given":"Luisa","non-dropping-particle":"","parse-names":false,"suffix":""},{"dropping-particle":"","family":"Campe","given":"Gord","non-dropping-particle":"von","parse-names":false,"suffix":""},{"dropping-particle":"","family":"Urbanic-Purkart","given":"Tadeja","non-dropping-particle":"","parse-names":false,"suffix":""},{"dropping-particle":"","family":"Blonski","given":"Marie","non-dropping-particle":"","parse-names":false,"suffix":""}],"container-title":"Neuro-Oncology Practice","id":"ITEM-2","issue":"4","issued":{"date-parts":[["2019","7","27"]]},"page":"264-273","publisher":"Oxford University Press","title":"Chemotherapy and diffuse low-grade gliomas: a survey within the European Low-Grade Glioma Network","type":"article-journal","volume":"6"},"uris":["http://www.mendeley.com/documents/?uuid=73162866-fd8c-3dc9-9d8e-8246074e3329"]}],"mendeley":{"formattedCitation":"&lt;sup&gt;34,35&lt;/sup&gt;","plainTextFormattedCitation":"34,35","previouslyFormattedCitation":"&lt;sup&gt;34,35&lt;/sup&gt;"},"properties":{"noteIndex":0},"schema":"https://github.com/citation-style-language/schema/raw/master/csl-citation.json"}</w:instrText>
      </w:r>
      <w:r>
        <w:fldChar w:fldCharType="separate"/>
      </w:r>
      <w:r w:rsidR="00917DAF" w:rsidRPr="00917DAF">
        <w:rPr>
          <w:noProof/>
          <w:vertAlign w:val="superscript"/>
        </w:rPr>
        <w:t>34,35</w:t>
      </w:r>
      <w:r>
        <w:fldChar w:fldCharType="end"/>
      </w:r>
      <w:r>
        <w:t>.</w:t>
      </w:r>
    </w:p>
    <w:p w14:paraId="23804747" w14:textId="77777777" w:rsidR="00306B65" w:rsidRDefault="00306B65" w:rsidP="00EC4DAF">
      <w:pPr>
        <w:pStyle w:val="Odstavecseseznamem"/>
        <w:ind w:left="0"/>
        <w:jc w:val="both"/>
      </w:pPr>
    </w:p>
    <w:p w14:paraId="0AF5E4A1" w14:textId="0BA71293" w:rsidR="00AD2ECC" w:rsidRDefault="00FE6F9F" w:rsidP="00EC4DAF">
      <w:pPr>
        <w:pStyle w:val="Odstavecseseznamem"/>
        <w:ind w:left="0"/>
        <w:jc w:val="both"/>
      </w:pPr>
      <w:r>
        <w:t>Existují však případy, kdy pacienti nemohou být vzhledem ke svému stavu léčeni standardní terapeutickou cestou. Jedná se většinou o pacienty</w:t>
      </w:r>
      <w:r w:rsidR="00AD2ECC">
        <w:t xml:space="preserve"> s vysokým počtem komorbidit, velkými lézemi, </w:t>
      </w:r>
      <w:r>
        <w:t>rychlým zhoršení stavu odpovídajícímu glioblastomu</w:t>
      </w:r>
      <w:r w:rsidR="00524905">
        <w:t xml:space="preserve"> s velmi špatnou prognózou. U těchto pacientů se nedoporučuje ani biopsie pro získání vzorku gliomu a přistupuje se přímo k paliativní léčbě.   </w:t>
      </w:r>
    </w:p>
    <w:p w14:paraId="596A5250" w14:textId="77777777" w:rsidR="003D1A7A" w:rsidRDefault="003D1A7A" w:rsidP="00EC4DAF">
      <w:pPr>
        <w:pStyle w:val="Odstavecseseznamem"/>
        <w:ind w:left="0"/>
        <w:jc w:val="both"/>
      </w:pPr>
    </w:p>
    <w:p w14:paraId="5EE4B069" w14:textId="1C2FBC43" w:rsidR="003D1A7A" w:rsidRDefault="003D1A7A" w:rsidP="0087177A">
      <w:pPr>
        <w:pStyle w:val="Nadpis3"/>
        <w:ind w:left="0" w:firstLine="0"/>
      </w:pPr>
      <w:bookmarkStart w:id="14" w:name="_Toc88741447"/>
      <w:r>
        <w:t>Experimentální terapie</w:t>
      </w:r>
      <w:bookmarkEnd w:id="14"/>
      <w:r>
        <w:t xml:space="preserve"> </w:t>
      </w:r>
    </w:p>
    <w:p w14:paraId="73C883E6" w14:textId="77777777" w:rsidR="0087177A" w:rsidRPr="00FB4003" w:rsidRDefault="0087177A" w:rsidP="0087177A">
      <w:pPr>
        <w:rPr>
          <w:sz w:val="6"/>
          <w:szCs w:val="6"/>
        </w:rPr>
      </w:pPr>
    </w:p>
    <w:p w14:paraId="4C2B18B2" w14:textId="42EF0D46" w:rsidR="0087177A" w:rsidRDefault="00CD7191" w:rsidP="0087177A">
      <w:pPr>
        <w:pStyle w:val="Odstavecseseznamem"/>
        <w:ind w:left="0"/>
        <w:jc w:val="both"/>
      </w:pPr>
      <w:r>
        <w:t>Stuppův proktokol chemoradioterapeutické</w:t>
      </w:r>
      <w:r w:rsidR="0087177A">
        <w:t>ho režimu</w:t>
      </w:r>
      <w:r>
        <w:t xml:space="preserve"> spojený s resekcí měl průlomový dopad na</w:t>
      </w:r>
      <w:r w:rsidR="0087177A">
        <w:t xml:space="preserve"> léčbu maligních gliálních nádorů. Bohužel se jedná o jeden z m</w:t>
      </w:r>
      <w:r w:rsidR="002B56B1">
        <w:t>ála</w:t>
      </w:r>
      <w:r w:rsidR="0087177A">
        <w:t xml:space="preserve"> experimentálních přístupů se slibnými výsledky</w:t>
      </w:r>
      <w:r w:rsidR="00156DAD">
        <w:t>,</w:t>
      </w:r>
      <w:r w:rsidR="0087177A">
        <w:t xml:space="preserve"> který byl nakonec zapojen do standardního léčebného režimu. Problémem </w:t>
      </w:r>
      <w:r w:rsidR="009867E9">
        <w:t xml:space="preserve">administrace chemoterapeutik </w:t>
      </w:r>
      <w:r w:rsidR="0087177A">
        <w:t xml:space="preserve">je hematoencefalická bariéra, která limituje </w:t>
      </w:r>
      <w:r w:rsidR="00363B33">
        <w:t>přístup</w:t>
      </w:r>
      <w:r w:rsidR="0087177A">
        <w:t xml:space="preserve"> léčiv </w:t>
      </w:r>
      <w:r w:rsidR="009867E9">
        <w:t xml:space="preserve">přímo </w:t>
      </w:r>
      <w:r w:rsidR="0087177A">
        <w:t>k nádorovým buňkám. Tem</w:t>
      </w:r>
      <w:r w:rsidR="009867E9">
        <w:t>o</w:t>
      </w:r>
      <w:r w:rsidR="0087177A">
        <w:t xml:space="preserve">zolomid je právě jedním z mála látek, které tuto bariéru úspěšně prostupují. </w:t>
      </w:r>
    </w:p>
    <w:p w14:paraId="5BE8184D" w14:textId="77777777" w:rsidR="0087177A" w:rsidRDefault="0087177A" w:rsidP="0087177A">
      <w:pPr>
        <w:pStyle w:val="Odstavecseseznamem"/>
        <w:ind w:left="0"/>
        <w:jc w:val="both"/>
      </w:pPr>
    </w:p>
    <w:p w14:paraId="065094D3" w14:textId="4D6CBA27" w:rsidR="003D1A7A" w:rsidRDefault="00363B33" w:rsidP="0087177A">
      <w:pPr>
        <w:pStyle w:val="Odstavecseseznamem"/>
        <w:ind w:left="0"/>
        <w:jc w:val="both"/>
      </w:pPr>
      <w:r>
        <w:t>L</w:t>
      </w:r>
      <w:r w:rsidR="009867E9">
        <w:t xml:space="preserve">éčba jednoho z nejzákeřnějších nádorových onemocnění je stále výzvou. </w:t>
      </w:r>
      <w:r w:rsidR="0087177A">
        <w:t>Nové l</w:t>
      </w:r>
      <w:r w:rsidR="009867E9">
        <w:t>é</w:t>
      </w:r>
      <w:r w:rsidR="0087177A">
        <w:t xml:space="preserve">čebné režimy </w:t>
      </w:r>
      <w:r w:rsidR="009867E9">
        <w:t>proto hledají směry</w:t>
      </w:r>
      <w:r w:rsidR="00FB4003">
        <w:t>,</w:t>
      </w:r>
      <w:r w:rsidR="009867E9">
        <w:t xml:space="preserve"> jakými tento nádor</w:t>
      </w:r>
      <w:r w:rsidR="00FE1CE7">
        <w:t xml:space="preserve"> inovativně</w:t>
      </w:r>
      <w:r w:rsidR="009867E9">
        <w:t xml:space="preserve"> léčit</w:t>
      </w:r>
      <w:r w:rsidR="00C554E1">
        <w:t xml:space="preserve"> jsou následující:</w:t>
      </w:r>
      <w:r>
        <w:t xml:space="preserve"> </w:t>
      </w:r>
      <w:r w:rsidR="009867E9">
        <w:t>cílen</w:t>
      </w:r>
      <w:r w:rsidR="00C554E1">
        <w:t>ý</w:t>
      </w:r>
      <w:r w:rsidR="009867E9">
        <w:t xml:space="preserve"> přenos terapeutik do míst nádorových buněk, strategie jak terapeutiku</w:t>
      </w:r>
      <w:r w:rsidR="00994E66">
        <w:t>m</w:t>
      </w:r>
      <w:r w:rsidR="009867E9">
        <w:t xml:space="preserve"> přenést skrz hematoencefalickou bariéru, inovativní radioterapií se selekcí pouze na nádorové buňky, technik</w:t>
      </w:r>
      <w:r w:rsidR="00C554E1">
        <w:t>y</w:t>
      </w:r>
      <w:r w:rsidR="009867E9">
        <w:t xml:space="preserve"> na lokální rozrušení nádoru, inhibitor</w:t>
      </w:r>
      <w:r w:rsidR="00C554E1">
        <w:t>y</w:t>
      </w:r>
      <w:r w:rsidR="009867E9">
        <w:t xml:space="preserve"> růstu nádoru, imunoterapie a </w:t>
      </w:r>
      <w:r w:rsidR="00FE1CE7">
        <w:t>buněčn</w:t>
      </w:r>
      <w:r w:rsidR="00C554E1">
        <w:t>á</w:t>
      </w:r>
      <w:r w:rsidR="00FE1CE7">
        <w:t>/genov</w:t>
      </w:r>
      <w:r w:rsidR="00C554E1">
        <w:t>á</w:t>
      </w:r>
      <w:r w:rsidR="009867E9">
        <w:t xml:space="preserve"> terapie. </w:t>
      </w:r>
      <w:r w:rsidR="00FE1CE7">
        <w:t>V současné době jsou prováděny experimentální studie (Tabulka 1)</w:t>
      </w:r>
      <w:r w:rsidR="00AD2D8A">
        <w:t xml:space="preserve"> </w:t>
      </w:r>
      <w:r w:rsidR="00FE1CE7">
        <w:t>zaměřené na pokročilé terapeutické přístupy u glioblastomu, které mají za cíl se selektivně zaměřit pouze na nádorové buňky a nepoškodit tak mozkovou tkáň</w:t>
      </w:r>
      <w:r w:rsidR="00C554E1">
        <w:fldChar w:fldCharType="begin" w:fldLock="1"/>
      </w:r>
      <w:r w:rsidR="00A47FB6">
        <w:instrText>ADDIN CSL_CITATION {"citationItems":[{"id":"ITEM-1","itemData":{"DOI":"10.3389/fonc.2018.00419","ISSN":"2234943X","abstract":"Over the past century, treatment of malignant tumors of the brain has remained a challenge. Refinements in neurosurgical techniques, discovery of powerful chemotherapeutic agents, advances in radiotherapy, applications of biotechnology, and improvements in methods of targeted delivery have led to some extension of length of survival of glioblastoma patients. Refinements in surgery are mentioned because most of the patients with glioblastoma undergo surgery and many of the other innovative therapies are combined with surgery. However, cure of glioblastoma has remained elusive because it requires complete destruction of the tumor. Radical surgical ablation is not possible in the brain and even a small residual tumor leads to rapid recurrence that eventually kills the patient. Blood-brain barrier (BBB) comprising brain endothelial cells lining the cerebral microvasculature, limits delivery of drugs to the brain. Even though opening of the BBB in tumor core occurs locally, BBB limits systemic chemotherapy especially at the tumor periphery, where tumor cells invade normal brain structure comprising intact BBB. Comprehensive approaches are necessary to gain maximally from promising targeted therapies. Common methods used for critical evaluation of targeted therapies for glioblastoma include: (1) novel methods for targeted delivery of chemotherapy; (2) strategies for delivery through BBB and blood-tumor barriers; (3) innovations in radiotherapy for selective destruction of tumor; (4) techniques for local destruction of tumor; (5) tumor growth inhibitors; (6) immunotherapy; and (7) cell/gene therapies. Suggestions for improvements in glioblastoma therapy include: (1) controlled targeted delivery of anticancer therapy to glioblastoma through the BBB using nanoparticles and monoclonal antibodies; (2) direct introduction of genetically modified bacteria that selectively destroy cancer cells but spare the normal brain into the remaining tumor after resection; (3) use of better animal models for preclinical testing; and (4) personalized/precision medicine approaches to therapy in clinical trials and translation into practice of neurosurgery and neurooncology. Advances in these techniques suggest optimism for the future management of glioblastoma.","author":[{"dropping-particle":"","family":"Jain","given":"Kewal K.","non-dropping-particle":"","parse-names":false,"suffix":""}],"container-title":"Frontiers in Oncology","id":"ITEM-1","issue":"OCT","issued":{"date-parts":[["2018","10","15"]]},"page":"419","publisher":"Frontiers Media S.A.","title":"A critical overview of targeted therapies for glioblastoma","type":"article","volume":"8"},"uris":["http://www.mendeley.com/documents/?uuid=f41ba081-4b29-336a-991f-dca616b632a1"]}],"mendeley":{"formattedCitation":"&lt;sup&gt;36&lt;/sup&gt;","plainTextFormattedCitation":"36","previouslyFormattedCitation":"&lt;sup&gt;36&lt;/sup&gt;"},"properties":{"noteIndex":0},"schema":"https://github.com/citation-style-language/schema/raw/master/csl-citation.json"}</w:instrText>
      </w:r>
      <w:r w:rsidR="00C554E1">
        <w:fldChar w:fldCharType="separate"/>
      </w:r>
      <w:r w:rsidR="00C554E1" w:rsidRPr="00C554E1">
        <w:rPr>
          <w:noProof/>
          <w:vertAlign w:val="superscript"/>
        </w:rPr>
        <w:t>36</w:t>
      </w:r>
      <w:r w:rsidR="00C554E1">
        <w:fldChar w:fldCharType="end"/>
      </w:r>
      <w:r w:rsidR="00FE1CE7">
        <w:t xml:space="preserve">. </w:t>
      </w:r>
    </w:p>
    <w:p w14:paraId="69B908B8" w14:textId="56801E8A" w:rsidR="00AD2D8A" w:rsidRDefault="00AD2D8A" w:rsidP="0087177A">
      <w:pPr>
        <w:pStyle w:val="Odstavecseseznamem"/>
        <w:ind w:left="0"/>
        <w:jc w:val="both"/>
      </w:pPr>
    </w:p>
    <w:p w14:paraId="12BC3952" w14:textId="71F0582A" w:rsidR="00AD2D8A" w:rsidRDefault="00306B65" w:rsidP="00306B65">
      <w:pPr>
        <w:pStyle w:val="Odstavecseseznamem"/>
        <w:tabs>
          <w:tab w:val="left" w:pos="975"/>
        </w:tabs>
        <w:ind w:left="0"/>
        <w:jc w:val="both"/>
        <w:rPr>
          <w:b/>
          <w:bCs/>
          <w:sz w:val="20"/>
          <w:szCs w:val="20"/>
        </w:rPr>
      </w:pPr>
      <w:bookmarkStart w:id="15" w:name="_Toc67162699"/>
      <w:r w:rsidRPr="00306B65">
        <w:rPr>
          <w:b/>
          <w:bCs/>
          <w:sz w:val="20"/>
          <w:szCs w:val="20"/>
        </w:rPr>
        <w:t xml:space="preserve">Tabulka </w:t>
      </w:r>
      <w:r w:rsidRPr="00306B65">
        <w:rPr>
          <w:b/>
          <w:bCs/>
          <w:sz w:val="20"/>
          <w:szCs w:val="20"/>
        </w:rPr>
        <w:fldChar w:fldCharType="begin"/>
      </w:r>
      <w:r w:rsidRPr="00306B65">
        <w:rPr>
          <w:b/>
          <w:bCs/>
          <w:sz w:val="20"/>
          <w:szCs w:val="20"/>
        </w:rPr>
        <w:instrText xml:space="preserve"> SEQ Tabulka \* ARABIC </w:instrText>
      </w:r>
      <w:r w:rsidRPr="00306B65">
        <w:rPr>
          <w:b/>
          <w:bCs/>
          <w:sz w:val="20"/>
          <w:szCs w:val="20"/>
        </w:rPr>
        <w:fldChar w:fldCharType="separate"/>
      </w:r>
      <w:r w:rsidR="00C43719">
        <w:rPr>
          <w:b/>
          <w:bCs/>
          <w:noProof/>
          <w:sz w:val="20"/>
          <w:szCs w:val="20"/>
        </w:rPr>
        <w:t>1</w:t>
      </w:r>
      <w:r w:rsidRPr="00306B65">
        <w:rPr>
          <w:b/>
          <w:bCs/>
          <w:sz w:val="20"/>
          <w:szCs w:val="20"/>
        </w:rPr>
        <w:fldChar w:fldCharType="end"/>
      </w:r>
      <w:r w:rsidRPr="00306B65">
        <w:rPr>
          <w:b/>
          <w:bCs/>
          <w:sz w:val="20"/>
          <w:szCs w:val="20"/>
        </w:rPr>
        <w:t xml:space="preserve">: </w:t>
      </w:r>
      <w:r w:rsidR="000918DC" w:rsidRPr="00C554E1">
        <w:rPr>
          <w:sz w:val="20"/>
          <w:szCs w:val="20"/>
        </w:rPr>
        <w:t>Projekty experimentální léčby GBM</w:t>
      </w:r>
      <w:r w:rsidR="00C554E1" w:rsidRPr="00C554E1">
        <w:rPr>
          <w:sz w:val="20"/>
          <w:szCs w:val="20"/>
        </w:rPr>
        <w:t>, shrnuto podle</w:t>
      </w:r>
      <w:r w:rsidR="00C554E1" w:rsidRPr="00C554E1">
        <w:rPr>
          <w:sz w:val="20"/>
          <w:szCs w:val="20"/>
        </w:rPr>
        <w:fldChar w:fldCharType="begin" w:fldLock="1"/>
      </w:r>
      <w:r w:rsidR="00C554E1">
        <w:rPr>
          <w:sz w:val="20"/>
          <w:szCs w:val="20"/>
        </w:rPr>
        <w:instrText>ADDIN CSL_CITATION {"citationItems":[{"id":"ITEM-1","itemData":{"DOI":"10.3389/fonc.2018.00419","ISSN":"2234943X","abstract":"Over the past century, treatment of malignant tumors of the brain has remained a challenge. Refinements in neurosurgical techniques, discovery of powerful chemotherapeutic agents, advances in radiotherapy, applications of biotechnology, and improvements in methods of targeted delivery have led to some extension of length of survival of glioblastoma patients. Refinements in surgery are mentioned because most of the patients with glioblastoma undergo surgery and many of the other innovative therapies are combined with surgery. However, cure of glioblastoma has remained elusive because it requires complete destruction of the tumor. Radical surgical ablation is not possible in the brain and even a small residual tumor leads to rapid recurrence that eventually kills the patient. Blood-brain barrier (BBB) comprising brain endothelial cells lining the cerebral microvasculature, limits delivery of drugs to the brain. Even though opening of the BBB in tumor core occurs locally, BBB limits systemic chemotherapy especially at the tumor periphery, where tumor cells invade normal brain structure comprising intact BBB. Comprehensive approaches are necessary to gain maximally from promising targeted therapies. Common methods used for critical evaluation of targeted therapies for glioblastoma include: (1) novel methods for targeted delivery of chemotherapy; (2) strategies for delivery through BBB and blood-tumor barriers; (3) innovations in radiotherapy for selective destruction of tumor; (4) techniques for local destruction of tumor; (5) tumor growth inhibitors; (6) immunotherapy; and (7) cell/gene therapies. Suggestions for improvements in glioblastoma therapy include: (1) controlled targeted delivery of anticancer therapy to glioblastoma through the BBB using nanoparticles and monoclonal antibodies; (2) direct introduction of genetically modified bacteria that selectively destroy cancer cells but spare the normal brain into the remaining tumor after resection; (3) use of better animal models for preclinical testing; and (4) personalized/precision medicine approaches to therapy in clinical trials and translation into practice of neurosurgery and neurooncology. Advances in these techniques suggest optimism for the future management of glioblastoma.","author":[{"dropping-particle":"","family":"Jain","given":"Kewal K.","non-dropping-particle":"","parse-names":false,"suffix":""}],"container-title":"Frontiers in Oncology","id":"ITEM-1","issue":"OCT","issued":{"date-parts":[["2018","10","15"]]},"page":"419","publisher":"Frontiers Media S.A.","title":"A critical overview of targeted therapies for glioblastoma","type":"article","volume":"8"},"uris":["http://www.mendeley.com/documents/?uuid=f41ba081-4b29-336a-991f-dca616b632a1"]}],"mendeley":{"formattedCitation":"&lt;sup&gt;36&lt;/sup&gt;","plainTextFormattedCitation":"36","previouslyFormattedCitation":"&lt;sup&gt;36&lt;/sup&gt;"},"properties":{"noteIndex":0},"schema":"https://github.com/citation-style-language/schema/raw/master/csl-citation.json"}</w:instrText>
      </w:r>
      <w:r w:rsidR="00C554E1" w:rsidRPr="00C554E1">
        <w:rPr>
          <w:sz w:val="20"/>
          <w:szCs w:val="20"/>
        </w:rPr>
        <w:fldChar w:fldCharType="separate"/>
      </w:r>
      <w:r w:rsidR="00C554E1" w:rsidRPr="00C554E1">
        <w:rPr>
          <w:noProof/>
          <w:sz w:val="20"/>
          <w:szCs w:val="20"/>
          <w:vertAlign w:val="superscript"/>
        </w:rPr>
        <w:t>36</w:t>
      </w:r>
      <w:r w:rsidR="00C554E1" w:rsidRPr="00C554E1">
        <w:rPr>
          <w:sz w:val="20"/>
          <w:szCs w:val="20"/>
        </w:rPr>
        <w:fldChar w:fldCharType="end"/>
      </w:r>
      <w:r w:rsidR="000918DC" w:rsidRPr="00C554E1">
        <w:rPr>
          <w:sz w:val="20"/>
          <w:szCs w:val="20"/>
        </w:rPr>
        <w:t>.</w:t>
      </w:r>
      <w:bookmarkEnd w:id="15"/>
    </w:p>
    <w:tbl>
      <w:tblPr>
        <w:tblW w:w="9498" w:type="dxa"/>
        <w:tblCellMar>
          <w:left w:w="70" w:type="dxa"/>
          <w:right w:w="70" w:type="dxa"/>
        </w:tblCellMar>
        <w:tblLook w:val="04A0" w:firstRow="1" w:lastRow="0" w:firstColumn="1" w:lastColumn="0" w:noHBand="0" w:noVBand="1"/>
      </w:tblPr>
      <w:tblGrid>
        <w:gridCol w:w="4395"/>
        <w:gridCol w:w="5103"/>
      </w:tblGrid>
      <w:tr w:rsidR="006B01AB" w:rsidRPr="00813A6A" w14:paraId="7694B2BA" w14:textId="77777777" w:rsidTr="00813A6A">
        <w:trPr>
          <w:trHeight w:val="300"/>
        </w:trPr>
        <w:tc>
          <w:tcPr>
            <w:tcW w:w="4395" w:type="dxa"/>
            <w:tcBorders>
              <w:top w:val="single" w:sz="4" w:space="0" w:color="auto"/>
              <w:left w:val="nil"/>
              <w:bottom w:val="single" w:sz="4" w:space="0" w:color="auto"/>
              <w:right w:val="single" w:sz="4" w:space="0" w:color="auto"/>
            </w:tcBorders>
            <w:shd w:val="clear" w:color="auto" w:fill="auto"/>
            <w:noWrap/>
            <w:vAlign w:val="bottom"/>
            <w:hideMark/>
          </w:tcPr>
          <w:p w14:paraId="44F5E3E2"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inovace při administraci protinádorových léčiv</w:t>
            </w:r>
          </w:p>
        </w:tc>
        <w:tc>
          <w:tcPr>
            <w:tcW w:w="5103" w:type="dxa"/>
            <w:tcBorders>
              <w:top w:val="single" w:sz="4" w:space="0" w:color="auto"/>
              <w:left w:val="nil"/>
              <w:bottom w:val="single" w:sz="4" w:space="0" w:color="auto"/>
              <w:right w:val="nil"/>
            </w:tcBorders>
            <w:shd w:val="clear" w:color="auto" w:fill="auto"/>
            <w:noWrap/>
            <w:vAlign w:val="bottom"/>
            <w:hideMark/>
          </w:tcPr>
          <w:p w14:paraId="283439A8"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inovace v radioterapii</w:t>
            </w:r>
          </w:p>
        </w:tc>
      </w:tr>
      <w:tr w:rsidR="006B01AB" w:rsidRPr="00813A6A" w14:paraId="1449E639"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41997B76" w14:textId="16468E2B"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intraoperativní implantáty s </w:t>
            </w:r>
            <w:r w:rsidR="000918DC" w:rsidRPr="00813A6A">
              <w:rPr>
                <w:rFonts w:ascii="Calibri" w:eastAsia="Times New Roman" w:hAnsi="Calibri" w:cs="Calibri"/>
                <w:color w:val="000000"/>
                <w:sz w:val="20"/>
                <w:szCs w:val="20"/>
              </w:rPr>
              <w:t>PT</w:t>
            </w:r>
            <w:r w:rsidRPr="00813A6A">
              <w:rPr>
                <w:rFonts w:ascii="Calibri" w:eastAsia="Times New Roman" w:hAnsi="Calibri" w:cs="Calibri"/>
                <w:color w:val="000000"/>
                <w:sz w:val="20"/>
                <w:szCs w:val="20"/>
              </w:rPr>
              <w:t xml:space="preserve"> pro rezidua nádoru</w:t>
            </w:r>
          </w:p>
        </w:tc>
        <w:tc>
          <w:tcPr>
            <w:tcW w:w="5103" w:type="dxa"/>
            <w:tcBorders>
              <w:top w:val="nil"/>
              <w:left w:val="nil"/>
              <w:bottom w:val="nil"/>
              <w:right w:val="nil"/>
            </w:tcBorders>
            <w:shd w:val="clear" w:color="auto" w:fill="auto"/>
            <w:noWrap/>
            <w:vAlign w:val="bottom"/>
            <w:hideMark/>
          </w:tcPr>
          <w:p w14:paraId="38223B4E"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terapie zachycenými boronovými neutrony</w:t>
            </w:r>
          </w:p>
        </w:tc>
      </w:tr>
      <w:tr w:rsidR="006B01AB" w:rsidRPr="00813A6A" w14:paraId="3FF5FE2E"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7211C5BC" w14:textId="172B7873"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magnetické kationtové mikrokuličky jako nosič</w:t>
            </w:r>
          </w:p>
        </w:tc>
        <w:tc>
          <w:tcPr>
            <w:tcW w:w="5103" w:type="dxa"/>
            <w:tcBorders>
              <w:top w:val="nil"/>
              <w:left w:val="nil"/>
              <w:bottom w:val="nil"/>
              <w:right w:val="nil"/>
            </w:tcBorders>
            <w:shd w:val="clear" w:color="auto" w:fill="auto"/>
            <w:noWrap/>
            <w:vAlign w:val="bottom"/>
            <w:hideMark/>
          </w:tcPr>
          <w:p w14:paraId="2EDBC3DF" w14:textId="298A018F"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brachyterapie: implantace zrnka emitujícího radiaci </w:t>
            </w:r>
            <w:r w:rsidR="000918DC" w:rsidRPr="00813A6A">
              <w:rPr>
                <w:rFonts w:ascii="Calibri" w:eastAsia="Times New Roman" w:hAnsi="Calibri" w:cs="Calibri"/>
                <w:color w:val="000000"/>
                <w:sz w:val="20"/>
                <w:szCs w:val="20"/>
              </w:rPr>
              <w:t>v</w:t>
            </w:r>
            <w:r w:rsidRPr="00813A6A">
              <w:rPr>
                <w:rFonts w:ascii="Calibri" w:eastAsia="Times New Roman" w:hAnsi="Calibri" w:cs="Calibri"/>
                <w:color w:val="000000"/>
                <w:sz w:val="20"/>
                <w:szCs w:val="20"/>
              </w:rPr>
              <w:t xml:space="preserve"> nádoru </w:t>
            </w:r>
          </w:p>
        </w:tc>
      </w:tr>
      <w:tr w:rsidR="006B01AB" w:rsidRPr="00813A6A" w14:paraId="6E60068F"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5B24FF14" w14:textId="3D7C2D0E"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stereotaktické vložení mikrokuliček s </w:t>
            </w:r>
            <w:r w:rsidR="000918DC" w:rsidRPr="00813A6A">
              <w:rPr>
                <w:rFonts w:ascii="Calibri" w:eastAsia="Times New Roman" w:hAnsi="Calibri" w:cs="Calibri"/>
                <w:color w:val="000000"/>
                <w:sz w:val="20"/>
                <w:szCs w:val="20"/>
              </w:rPr>
              <w:t>PT</w:t>
            </w:r>
          </w:p>
        </w:tc>
        <w:tc>
          <w:tcPr>
            <w:tcW w:w="5103" w:type="dxa"/>
            <w:tcBorders>
              <w:top w:val="nil"/>
              <w:left w:val="nil"/>
              <w:bottom w:val="nil"/>
              <w:right w:val="nil"/>
            </w:tcBorders>
            <w:shd w:val="clear" w:color="auto" w:fill="auto"/>
            <w:noWrap/>
            <w:vAlign w:val="bottom"/>
            <w:hideMark/>
          </w:tcPr>
          <w:p w14:paraId="355A9056"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zvýšení efektu radioterapie pomocí hyperbarického kyslíku</w:t>
            </w:r>
          </w:p>
        </w:tc>
      </w:tr>
      <w:tr w:rsidR="006B01AB" w:rsidRPr="00813A6A" w14:paraId="2DA88351"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74E89B8D" w14:textId="6ADC4A21"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mikrobublinky s lipidovou vrstvou jako nosič </w:t>
            </w:r>
          </w:p>
        </w:tc>
        <w:tc>
          <w:tcPr>
            <w:tcW w:w="5103" w:type="dxa"/>
            <w:tcBorders>
              <w:top w:val="nil"/>
              <w:left w:val="nil"/>
              <w:bottom w:val="nil"/>
              <w:right w:val="nil"/>
            </w:tcBorders>
            <w:shd w:val="clear" w:color="auto" w:fill="auto"/>
            <w:noWrap/>
            <w:vAlign w:val="bottom"/>
            <w:hideMark/>
          </w:tcPr>
          <w:p w14:paraId="1AA456F4"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radiooperace: zvýšení efektu ionizujícího záření</w:t>
            </w:r>
          </w:p>
        </w:tc>
      </w:tr>
      <w:tr w:rsidR="006B01AB" w:rsidRPr="00813A6A" w14:paraId="3B9E396E" w14:textId="77777777" w:rsidTr="00813A6A">
        <w:trPr>
          <w:trHeight w:val="300"/>
        </w:trPr>
        <w:tc>
          <w:tcPr>
            <w:tcW w:w="4395" w:type="dxa"/>
            <w:tcBorders>
              <w:top w:val="single" w:sz="4" w:space="0" w:color="auto"/>
              <w:left w:val="nil"/>
              <w:bottom w:val="single" w:sz="4" w:space="0" w:color="auto"/>
              <w:right w:val="single" w:sz="4" w:space="0" w:color="auto"/>
            </w:tcBorders>
            <w:shd w:val="clear" w:color="auto" w:fill="auto"/>
            <w:noWrap/>
            <w:vAlign w:val="bottom"/>
            <w:hideMark/>
          </w:tcPr>
          <w:p w14:paraId="34C28881"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strategie pro překonání hematoencefalické bariéry</w:t>
            </w:r>
          </w:p>
        </w:tc>
        <w:tc>
          <w:tcPr>
            <w:tcW w:w="5103" w:type="dxa"/>
            <w:tcBorders>
              <w:top w:val="single" w:sz="4" w:space="0" w:color="auto"/>
              <w:left w:val="nil"/>
              <w:bottom w:val="single" w:sz="4" w:space="0" w:color="auto"/>
              <w:right w:val="nil"/>
            </w:tcBorders>
            <w:shd w:val="clear" w:color="auto" w:fill="auto"/>
            <w:noWrap/>
            <w:vAlign w:val="bottom"/>
            <w:hideMark/>
          </w:tcPr>
          <w:p w14:paraId="25FB7AAE" w14:textId="2707A1F0"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chemoterapeutická senzitizace</w:t>
            </w:r>
          </w:p>
        </w:tc>
      </w:tr>
      <w:tr w:rsidR="006B01AB" w:rsidRPr="00813A6A" w14:paraId="3DE21FA6"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400E1118"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intraarteriální chemoterapie</w:t>
            </w:r>
          </w:p>
        </w:tc>
        <w:tc>
          <w:tcPr>
            <w:tcW w:w="5103" w:type="dxa"/>
            <w:tcBorders>
              <w:top w:val="nil"/>
              <w:left w:val="nil"/>
              <w:bottom w:val="nil"/>
              <w:right w:val="nil"/>
            </w:tcBorders>
            <w:shd w:val="clear" w:color="auto" w:fill="auto"/>
            <w:noWrap/>
            <w:vAlign w:val="bottom"/>
            <w:hideMark/>
          </w:tcPr>
          <w:p w14:paraId="76B2A147"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hyperbarický kyslík</w:t>
            </w:r>
          </w:p>
        </w:tc>
      </w:tr>
      <w:tr w:rsidR="006B01AB" w:rsidRPr="00813A6A" w14:paraId="0E74DED3"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26E4EAB7"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přenos léčiv pomocí nanotechnologií</w:t>
            </w:r>
          </w:p>
        </w:tc>
        <w:tc>
          <w:tcPr>
            <w:tcW w:w="5103" w:type="dxa"/>
            <w:tcBorders>
              <w:top w:val="nil"/>
              <w:left w:val="nil"/>
              <w:bottom w:val="nil"/>
              <w:right w:val="nil"/>
            </w:tcBorders>
            <w:shd w:val="clear" w:color="auto" w:fill="auto"/>
            <w:noWrap/>
            <w:vAlign w:val="bottom"/>
            <w:hideMark/>
          </w:tcPr>
          <w:p w14:paraId="370D25EE"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fotodynamická terapie pro chemosenzitizaci</w:t>
            </w:r>
          </w:p>
        </w:tc>
      </w:tr>
      <w:tr w:rsidR="006B01AB" w:rsidRPr="00813A6A" w14:paraId="6B233146" w14:textId="77777777" w:rsidTr="00813A6A">
        <w:trPr>
          <w:trHeight w:val="300"/>
        </w:trPr>
        <w:tc>
          <w:tcPr>
            <w:tcW w:w="4395" w:type="dxa"/>
            <w:tcBorders>
              <w:top w:val="single" w:sz="4" w:space="0" w:color="auto"/>
              <w:left w:val="nil"/>
              <w:bottom w:val="single" w:sz="4" w:space="0" w:color="auto"/>
              <w:right w:val="single" w:sz="4" w:space="0" w:color="auto"/>
            </w:tcBorders>
            <w:shd w:val="clear" w:color="auto" w:fill="auto"/>
            <w:noWrap/>
            <w:vAlign w:val="bottom"/>
            <w:hideMark/>
          </w:tcPr>
          <w:p w14:paraId="34950371"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inhibice nádorového růstu</w:t>
            </w:r>
          </w:p>
        </w:tc>
        <w:tc>
          <w:tcPr>
            <w:tcW w:w="5103" w:type="dxa"/>
            <w:tcBorders>
              <w:top w:val="single" w:sz="4" w:space="0" w:color="auto"/>
              <w:left w:val="nil"/>
              <w:bottom w:val="single" w:sz="4" w:space="0" w:color="auto"/>
              <w:right w:val="nil"/>
            </w:tcBorders>
            <w:shd w:val="clear" w:color="auto" w:fill="auto"/>
            <w:noWrap/>
            <w:vAlign w:val="bottom"/>
            <w:hideMark/>
          </w:tcPr>
          <w:p w14:paraId="53B1E822"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imunitní terapie</w:t>
            </w:r>
          </w:p>
        </w:tc>
      </w:tr>
      <w:tr w:rsidR="006B01AB" w:rsidRPr="00813A6A" w14:paraId="2D403E4D"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40262ADD"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blokace tyrozinkináz</w:t>
            </w:r>
          </w:p>
        </w:tc>
        <w:tc>
          <w:tcPr>
            <w:tcW w:w="5103" w:type="dxa"/>
            <w:tcBorders>
              <w:top w:val="nil"/>
              <w:left w:val="nil"/>
              <w:bottom w:val="nil"/>
              <w:right w:val="nil"/>
            </w:tcBorders>
            <w:shd w:val="clear" w:color="auto" w:fill="auto"/>
            <w:noWrap/>
            <w:vAlign w:val="bottom"/>
            <w:hideMark/>
          </w:tcPr>
          <w:p w14:paraId="13473170"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vakcinace nádory mozku</w:t>
            </w:r>
          </w:p>
        </w:tc>
      </w:tr>
      <w:tr w:rsidR="006B01AB" w:rsidRPr="00813A6A" w14:paraId="58FC0C05"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14A2D4AF"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telomerázová inhibice</w:t>
            </w:r>
          </w:p>
        </w:tc>
        <w:tc>
          <w:tcPr>
            <w:tcW w:w="5103" w:type="dxa"/>
            <w:tcBorders>
              <w:top w:val="nil"/>
              <w:left w:val="nil"/>
              <w:bottom w:val="nil"/>
              <w:right w:val="nil"/>
            </w:tcBorders>
            <w:shd w:val="clear" w:color="auto" w:fill="auto"/>
            <w:noWrap/>
            <w:vAlign w:val="bottom"/>
            <w:hideMark/>
          </w:tcPr>
          <w:p w14:paraId="45C606B4"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blokace imunitních checkpointů</w:t>
            </w:r>
          </w:p>
        </w:tc>
      </w:tr>
      <w:tr w:rsidR="006B01AB" w:rsidRPr="00813A6A" w14:paraId="169D76F4"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5865F37B"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antiangiogenní terapie</w:t>
            </w:r>
          </w:p>
        </w:tc>
        <w:tc>
          <w:tcPr>
            <w:tcW w:w="5103" w:type="dxa"/>
            <w:tcBorders>
              <w:top w:val="nil"/>
              <w:left w:val="nil"/>
              <w:bottom w:val="nil"/>
              <w:right w:val="nil"/>
            </w:tcBorders>
            <w:shd w:val="clear" w:color="auto" w:fill="auto"/>
            <w:noWrap/>
            <w:vAlign w:val="bottom"/>
            <w:hideMark/>
          </w:tcPr>
          <w:p w14:paraId="5A3AA374"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monoklonální protilátky</w:t>
            </w:r>
          </w:p>
        </w:tc>
      </w:tr>
      <w:tr w:rsidR="006B01AB" w:rsidRPr="00813A6A" w14:paraId="00C22D41"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31E93201"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intramuskulární podávání </w:t>
            </w:r>
          </w:p>
        </w:tc>
        <w:tc>
          <w:tcPr>
            <w:tcW w:w="5103" w:type="dxa"/>
            <w:tcBorders>
              <w:top w:val="nil"/>
              <w:left w:val="nil"/>
              <w:bottom w:val="nil"/>
              <w:right w:val="nil"/>
            </w:tcBorders>
            <w:shd w:val="clear" w:color="auto" w:fill="auto"/>
            <w:noWrap/>
            <w:vAlign w:val="bottom"/>
            <w:hideMark/>
          </w:tcPr>
          <w:p w14:paraId="5A300F27" w14:textId="21E96A31"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radioaktivně značené </w:t>
            </w:r>
            <w:r w:rsidR="000918DC" w:rsidRPr="00813A6A">
              <w:rPr>
                <w:rFonts w:ascii="Calibri" w:eastAsia="Times New Roman" w:hAnsi="Calibri" w:cs="Calibri"/>
                <w:color w:val="000000"/>
                <w:sz w:val="20"/>
                <w:szCs w:val="20"/>
              </w:rPr>
              <w:t>Ag</w:t>
            </w:r>
            <w:r w:rsidRPr="00813A6A">
              <w:rPr>
                <w:rFonts w:ascii="Calibri" w:eastAsia="Times New Roman" w:hAnsi="Calibri" w:cs="Calibri"/>
                <w:color w:val="000000"/>
                <w:sz w:val="20"/>
                <w:szCs w:val="20"/>
              </w:rPr>
              <w:t xml:space="preserve"> injektované přímo do nádoru</w:t>
            </w:r>
          </w:p>
        </w:tc>
      </w:tr>
      <w:tr w:rsidR="006B01AB" w:rsidRPr="00813A6A" w14:paraId="0A520673"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344EC12C"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systémové podávání thalidomidu</w:t>
            </w:r>
          </w:p>
        </w:tc>
        <w:tc>
          <w:tcPr>
            <w:tcW w:w="5103" w:type="dxa"/>
            <w:tcBorders>
              <w:top w:val="nil"/>
              <w:left w:val="nil"/>
              <w:bottom w:val="nil"/>
              <w:right w:val="nil"/>
            </w:tcBorders>
            <w:shd w:val="clear" w:color="auto" w:fill="auto"/>
            <w:noWrap/>
            <w:vAlign w:val="bottom"/>
            <w:hideMark/>
          </w:tcPr>
          <w:p w14:paraId="4C55956B" w14:textId="67EF0222"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rekombinantní </w:t>
            </w:r>
            <w:r w:rsidR="000918DC" w:rsidRPr="00813A6A">
              <w:rPr>
                <w:rFonts w:ascii="Calibri" w:eastAsia="Times New Roman" w:hAnsi="Calibri" w:cs="Calibri"/>
                <w:color w:val="000000"/>
                <w:sz w:val="20"/>
                <w:szCs w:val="20"/>
              </w:rPr>
              <w:t>IL</w:t>
            </w:r>
            <w:r w:rsidRPr="00813A6A">
              <w:rPr>
                <w:rFonts w:ascii="Calibri" w:eastAsia="Times New Roman" w:hAnsi="Calibri" w:cs="Calibri"/>
                <w:color w:val="000000"/>
                <w:sz w:val="20"/>
                <w:szCs w:val="20"/>
              </w:rPr>
              <w:t xml:space="preserve">-2 a lymfokinem aktivované </w:t>
            </w:r>
            <w:r w:rsidR="000918DC" w:rsidRPr="00813A6A">
              <w:rPr>
                <w:rFonts w:ascii="Calibri" w:eastAsia="Times New Roman" w:hAnsi="Calibri" w:cs="Calibri"/>
                <w:color w:val="000000"/>
                <w:sz w:val="20"/>
                <w:szCs w:val="20"/>
              </w:rPr>
              <w:t>NK</w:t>
            </w:r>
            <w:r w:rsidRPr="00813A6A">
              <w:rPr>
                <w:rFonts w:ascii="Calibri" w:eastAsia="Times New Roman" w:hAnsi="Calibri" w:cs="Calibri"/>
                <w:color w:val="000000"/>
                <w:sz w:val="20"/>
                <w:szCs w:val="20"/>
              </w:rPr>
              <w:t xml:space="preserve"> buňky  </w:t>
            </w:r>
          </w:p>
        </w:tc>
      </w:tr>
      <w:tr w:rsidR="006B01AB" w:rsidRPr="00813A6A" w14:paraId="34EDB89D"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07CE1A09"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cílení drah epidermálního růstového faktoru</w:t>
            </w:r>
          </w:p>
        </w:tc>
        <w:tc>
          <w:tcPr>
            <w:tcW w:w="5103" w:type="dxa"/>
            <w:tcBorders>
              <w:top w:val="nil"/>
              <w:left w:val="nil"/>
              <w:bottom w:val="nil"/>
              <w:right w:val="nil"/>
            </w:tcBorders>
            <w:shd w:val="clear" w:color="auto" w:fill="auto"/>
            <w:noWrap/>
            <w:vAlign w:val="bottom"/>
            <w:hideMark/>
          </w:tcPr>
          <w:p w14:paraId="08C97DDA" w14:textId="71A63B81"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rekombinantní imunotoxiny cílící na </w:t>
            </w:r>
            <w:r w:rsidR="000918DC" w:rsidRPr="00E413BA">
              <w:rPr>
                <w:rFonts w:ascii="Calibri" w:eastAsia="Times New Roman" w:hAnsi="Calibri" w:cs="Calibri"/>
                <w:color w:val="000000"/>
                <w:sz w:val="20"/>
                <w:szCs w:val="20"/>
              </w:rPr>
              <w:t>EGF</w:t>
            </w:r>
          </w:p>
        </w:tc>
      </w:tr>
      <w:tr w:rsidR="006B01AB" w:rsidRPr="00813A6A" w14:paraId="2EA98934" w14:textId="77777777" w:rsidTr="00813A6A">
        <w:trPr>
          <w:trHeight w:val="300"/>
        </w:trPr>
        <w:tc>
          <w:tcPr>
            <w:tcW w:w="4395" w:type="dxa"/>
            <w:tcBorders>
              <w:top w:val="single" w:sz="4" w:space="0" w:color="auto"/>
              <w:left w:val="nil"/>
              <w:bottom w:val="single" w:sz="4" w:space="0" w:color="auto"/>
              <w:right w:val="single" w:sz="4" w:space="0" w:color="auto"/>
            </w:tcBorders>
            <w:shd w:val="clear" w:color="auto" w:fill="auto"/>
            <w:noWrap/>
            <w:vAlign w:val="bottom"/>
            <w:hideMark/>
          </w:tcPr>
          <w:p w14:paraId="1ED01D27"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lokální destrukce nádoru</w:t>
            </w:r>
          </w:p>
        </w:tc>
        <w:tc>
          <w:tcPr>
            <w:tcW w:w="5103" w:type="dxa"/>
            <w:tcBorders>
              <w:top w:val="single" w:sz="4" w:space="0" w:color="auto"/>
              <w:left w:val="nil"/>
              <w:bottom w:val="single" w:sz="4" w:space="0" w:color="auto"/>
              <w:right w:val="nil"/>
            </w:tcBorders>
            <w:shd w:val="clear" w:color="auto" w:fill="auto"/>
            <w:noWrap/>
            <w:vAlign w:val="bottom"/>
            <w:hideMark/>
          </w:tcPr>
          <w:p w14:paraId="30FB2AE6"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genová terapie</w:t>
            </w:r>
          </w:p>
        </w:tc>
      </w:tr>
      <w:tr w:rsidR="006B01AB" w:rsidRPr="00813A6A" w14:paraId="325868FF"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39016CF4" w14:textId="131AD6D4"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geneticky modifikované bakterie způsobující lýzi </w:t>
            </w:r>
            <w:r w:rsidR="000918DC" w:rsidRPr="00813A6A">
              <w:rPr>
                <w:rFonts w:ascii="Calibri" w:eastAsia="Times New Roman" w:hAnsi="Calibri" w:cs="Calibri"/>
                <w:color w:val="000000"/>
                <w:sz w:val="20"/>
                <w:szCs w:val="20"/>
              </w:rPr>
              <w:t>NB</w:t>
            </w:r>
          </w:p>
        </w:tc>
        <w:tc>
          <w:tcPr>
            <w:tcW w:w="5103" w:type="dxa"/>
            <w:tcBorders>
              <w:top w:val="nil"/>
              <w:left w:val="nil"/>
              <w:bottom w:val="nil"/>
              <w:right w:val="nil"/>
            </w:tcBorders>
            <w:shd w:val="clear" w:color="auto" w:fill="auto"/>
            <w:noWrap/>
            <w:vAlign w:val="bottom"/>
            <w:hideMark/>
          </w:tcPr>
          <w:p w14:paraId="06BD970C"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apoptózu indukující FADD/MORTI genový přenos</w:t>
            </w:r>
          </w:p>
        </w:tc>
      </w:tr>
      <w:tr w:rsidR="006B01AB" w:rsidRPr="00813A6A" w14:paraId="2E97681B"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04C0DCFA"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hypertermie</w:t>
            </w:r>
          </w:p>
        </w:tc>
        <w:tc>
          <w:tcPr>
            <w:tcW w:w="5103" w:type="dxa"/>
            <w:tcBorders>
              <w:top w:val="nil"/>
              <w:left w:val="nil"/>
              <w:bottom w:val="nil"/>
              <w:right w:val="nil"/>
            </w:tcBorders>
            <w:shd w:val="clear" w:color="auto" w:fill="auto"/>
            <w:noWrap/>
            <w:vAlign w:val="bottom"/>
            <w:hideMark/>
          </w:tcPr>
          <w:p w14:paraId="75EA0A3B" w14:textId="4B42AE94"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deoxycytidin cDNA pro cytotoxický efekt cytosin arabinosidu</w:t>
            </w:r>
          </w:p>
        </w:tc>
      </w:tr>
      <w:tr w:rsidR="006B01AB" w:rsidRPr="00813A6A" w14:paraId="66080E3A"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0181923A"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injekce fúzního toxinu s interleukinem-4</w:t>
            </w:r>
          </w:p>
        </w:tc>
        <w:tc>
          <w:tcPr>
            <w:tcW w:w="5103" w:type="dxa"/>
            <w:tcBorders>
              <w:top w:val="nil"/>
              <w:left w:val="nil"/>
              <w:bottom w:val="nil"/>
              <w:right w:val="nil"/>
            </w:tcBorders>
            <w:shd w:val="clear" w:color="auto" w:fill="auto"/>
            <w:noWrap/>
            <w:vAlign w:val="bottom"/>
            <w:hideMark/>
          </w:tcPr>
          <w:p w14:paraId="62D37A4F" w14:textId="1F2B9351"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intratumorální injekce geneticky modif</w:t>
            </w:r>
            <w:r w:rsidR="000918DC" w:rsidRPr="00813A6A">
              <w:rPr>
                <w:rFonts w:ascii="Calibri" w:eastAsia="Times New Roman" w:hAnsi="Calibri" w:cs="Calibri"/>
                <w:color w:val="000000"/>
                <w:sz w:val="20"/>
                <w:szCs w:val="20"/>
              </w:rPr>
              <w:t>.</w:t>
            </w:r>
            <w:r w:rsidRPr="00813A6A">
              <w:rPr>
                <w:rFonts w:ascii="Calibri" w:eastAsia="Times New Roman" w:hAnsi="Calibri" w:cs="Calibri"/>
                <w:color w:val="000000"/>
                <w:sz w:val="20"/>
                <w:szCs w:val="20"/>
              </w:rPr>
              <w:t xml:space="preserve"> neurotrofických virů</w:t>
            </w:r>
          </w:p>
        </w:tc>
      </w:tr>
      <w:tr w:rsidR="006B01AB" w:rsidRPr="00813A6A" w14:paraId="10A54134"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5E16B118"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intraoperativní fotodynamická terapie</w:t>
            </w:r>
          </w:p>
        </w:tc>
        <w:tc>
          <w:tcPr>
            <w:tcW w:w="5103" w:type="dxa"/>
            <w:tcBorders>
              <w:top w:val="nil"/>
              <w:left w:val="nil"/>
              <w:bottom w:val="nil"/>
              <w:right w:val="nil"/>
            </w:tcBorders>
            <w:shd w:val="clear" w:color="auto" w:fill="auto"/>
            <w:noWrap/>
            <w:vAlign w:val="bottom"/>
            <w:hideMark/>
          </w:tcPr>
          <w:p w14:paraId="2794C062" w14:textId="187DED71" w:rsidR="006B01AB" w:rsidRPr="00813A6A" w:rsidRDefault="006B01AB" w:rsidP="006B01AB">
            <w:pPr>
              <w:spacing w:after="0" w:line="240" w:lineRule="auto"/>
              <w:rPr>
                <w:rFonts w:ascii="Calibri" w:eastAsia="Times New Roman" w:hAnsi="Calibri" w:cs="Calibri"/>
                <w:color w:val="000000"/>
                <w:sz w:val="20"/>
                <w:szCs w:val="20"/>
              </w:rPr>
            </w:pPr>
            <w:r w:rsidRPr="00156DAD">
              <w:rPr>
                <w:rFonts w:ascii="Calibri" w:eastAsia="Times New Roman" w:hAnsi="Calibri" w:cs="Calibri"/>
                <w:i/>
                <w:color w:val="000000"/>
                <w:sz w:val="20"/>
                <w:szCs w:val="20"/>
              </w:rPr>
              <w:t xml:space="preserve">gpt </w:t>
            </w:r>
            <w:r w:rsidR="00813A6A" w:rsidRPr="00813A6A">
              <w:rPr>
                <w:rFonts w:ascii="Calibri" w:eastAsia="Times New Roman" w:hAnsi="Calibri" w:cs="Calibri"/>
                <w:color w:val="000000"/>
                <w:sz w:val="20"/>
                <w:szCs w:val="20"/>
              </w:rPr>
              <w:t xml:space="preserve">gen </w:t>
            </w:r>
            <w:r w:rsidRPr="00813A6A">
              <w:rPr>
                <w:rFonts w:ascii="Calibri" w:eastAsia="Times New Roman" w:hAnsi="Calibri" w:cs="Calibri"/>
                <w:color w:val="000000"/>
                <w:sz w:val="20"/>
                <w:szCs w:val="20"/>
              </w:rPr>
              <w:t xml:space="preserve">z </w:t>
            </w:r>
            <w:r w:rsidRPr="00813A6A">
              <w:rPr>
                <w:rFonts w:ascii="Calibri" w:eastAsia="Times New Roman" w:hAnsi="Calibri" w:cs="Calibri"/>
                <w:i/>
                <w:iCs/>
                <w:color w:val="000000"/>
                <w:sz w:val="20"/>
                <w:szCs w:val="20"/>
              </w:rPr>
              <w:t>E. coli</w:t>
            </w:r>
            <w:r w:rsidRPr="00813A6A">
              <w:rPr>
                <w:rFonts w:ascii="Calibri" w:eastAsia="Times New Roman" w:hAnsi="Calibri" w:cs="Calibri"/>
                <w:color w:val="000000"/>
                <w:sz w:val="20"/>
                <w:szCs w:val="20"/>
              </w:rPr>
              <w:t xml:space="preserve"> pro senzitiv</w:t>
            </w:r>
            <w:r w:rsidR="000918DC" w:rsidRPr="00813A6A">
              <w:rPr>
                <w:rFonts w:ascii="Calibri" w:eastAsia="Times New Roman" w:hAnsi="Calibri" w:cs="Calibri"/>
                <w:color w:val="000000"/>
                <w:sz w:val="20"/>
                <w:szCs w:val="20"/>
              </w:rPr>
              <w:t>izaci</w:t>
            </w:r>
            <w:r w:rsidRPr="00813A6A">
              <w:rPr>
                <w:rFonts w:ascii="Calibri" w:eastAsia="Times New Roman" w:hAnsi="Calibri" w:cs="Calibri"/>
                <w:color w:val="000000"/>
                <w:sz w:val="20"/>
                <w:szCs w:val="20"/>
              </w:rPr>
              <w:t xml:space="preserve"> na látku 6-thioxantin</w:t>
            </w:r>
          </w:p>
        </w:tc>
      </w:tr>
      <w:tr w:rsidR="006B01AB" w:rsidRPr="00813A6A" w14:paraId="34207C81"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2EC313F3"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onkolýze geneticky modifikovanými organizmy</w:t>
            </w:r>
          </w:p>
        </w:tc>
        <w:tc>
          <w:tcPr>
            <w:tcW w:w="5103" w:type="dxa"/>
            <w:tcBorders>
              <w:top w:val="nil"/>
              <w:left w:val="nil"/>
              <w:bottom w:val="nil"/>
              <w:right w:val="nil"/>
            </w:tcBorders>
            <w:shd w:val="clear" w:color="auto" w:fill="auto"/>
            <w:noWrap/>
            <w:vAlign w:val="bottom"/>
            <w:hideMark/>
          </w:tcPr>
          <w:p w14:paraId="0CE123A1"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vložení genů způsobující senzitivitu na léčiva</w:t>
            </w:r>
          </w:p>
        </w:tc>
      </w:tr>
      <w:tr w:rsidR="006B01AB" w:rsidRPr="00813A6A" w14:paraId="686D734A" w14:textId="77777777" w:rsidTr="00813A6A">
        <w:trPr>
          <w:trHeight w:val="300"/>
        </w:trPr>
        <w:tc>
          <w:tcPr>
            <w:tcW w:w="4395" w:type="dxa"/>
            <w:tcBorders>
              <w:top w:val="single" w:sz="4" w:space="0" w:color="auto"/>
              <w:left w:val="nil"/>
              <w:bottom w:val="single" w:sz="4" w:space="0" w:color="auto"/>
              <w:right w:val="single" w:sz="4" w:space="0" w:color="auto"/>
            </w:tcBorders>
            <w:shd w:val="clear" w:color="auto" w:fill="auto"/>
            <w:noWrap/>
            <w:vAlign w:val="bottom"/>
            <w:hideMark/>
          </w:tcPr>
          <w:p w14:paraId="5D55305C"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buněčná terapie</w:t>
            </w:r>
          </w:p>
        </w:tc>
        <w:tc>
          <w:tcPr>
            <w:tcW w:w="5103" w:type="dxa"/>
            <w:tcBorders>
              <w:top w:val="nil"/>
              <w:left w:val="nil"/>
              <w:bottom w:val="nil"/>
              <w:right w:val="nil"/>
            </w:tcBorders>
            <w:shd w:val="clear" w:color="auto" w:fill="auto"/>
            <w:noWrap/>
            <w:vAlign w:val="bottom"/>
            <w:hideMark/>
          </w:tcPr>
          <w:p w14:paraId="282D2EE9" w14:textId="39C51BE3" w:rsidR="006B01AB" w:rsidRPr="00813A6A" w:rsidRDefault="006B01AB" w:rsidP="006B01AB">
            <w:pPr>
              <w:spacing w:after="0" w:line="240" w:lineRule="auto"/>
              <w:rPr>
                <w:rFonts w:ascii="Calibri" w:eastAsia="Times New Roman" w:hAnsi="Calibri" w:cs="Calibri"/>
                <w:sz w:val="20"/>
                <w:szCs w:val="20"/>
              </w:rPr>
            </w:pPr>
            <w:r w:rsidRPr="00813A6A">
              <w:rPr>
                <w:rFonts w:ascii="Calibri" w:eastAsia="Times New Roman" w:hAnsi="Calibri" w:cs="Calibri"/>
                <w:sz w:val="20"/>
                <w:szCs w:val="20"/>
              </w:rPr>
              <w:t xml:space="preserve">"sebevražedná" genová terapie: tymidin kináza </w:t>
            </w:r>
            <w:r w:rsidR="000918DC" w:rsidRPr="00813A6A">
              <w:rPr>
                <w:rFonts w:ascii="Calibri" w:eastAsia="Times New Roman" w:hAnsi="Calibri" w:cs="Calibri"/>
                <w:sz w:val="20"/>
                <w:szCs w:val="20"/>
              </w:rPr>
              <w:t>z HSV</w:t>
            </w:r>
          </w:p>
        </w:tc>
      </w:tr>
      <w:tr w:rsidR="006B01AB" w:rsidRPr="00813A6A" w14:paraId="6F976C8E"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49ECC522"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CAR-T buněčná terapie</w:t>
            </w:r>
          </w:p>
        </w:tc>
        <w:tc>
          <w:tcPr>
            <w:tcW w:w="5103" w:type="dxa"/>
            <w:tcBorders>
              <w:top w:val="nil"/>
              <w:left w:val="nil"/>
              <w:bottom w:val="nil"/>
              <w:right w:val="nil"/>
            </w:tcBorders>
            <w:shd w:val="clear" w:color="auto" w:fill="auto"/>
            <w:noWrap/>
            <w:vAlign w:val="bottom"/>
            <w:hideMark/>
          </w:tcPr>
          <w:p w14:paraId="1B538EBB"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virové vektory obsahující radiaci inducibilní promotory</w:t>
            </w:r>
          </w:p>
        </w:tc>
      </w:tr>
      <w:tr w:rsidR="006B01AB" w:rsidRPr="00813A6A" w14:paraId="1CAF8F66"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1F2C6E83" w14:textId="1276B59C"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enkapsulované buňky produkující </w:t>
            </w:r>
            <w:r w:rsidR="000918DC" w:rsidRPr="00813A6A">
              <w:rPr>
                <w:rFonts w:ascii="Calibri" w:eastAsia="Times New Roman" w:hAnsi="Calibri" w:cs="Calibri"/>
                <w:color w:val="000000"/>
                <w:sz w:val="20"/>
                <w:szCs w:val="20"/>
              </w:rPr>
              <w:t>PT</w:t>
            </w:r>
          </w:p>
        </w:tc>
        <w:tc>
          <w:tcPr>
            <w:tcW w:w="5103" w:type="dxa"/>
            <w:tcBorders>
              <w:top w:val="single" w:sz="4" w:space="0" w:color="auto"/>
              <w:left w:val="nil"/>
              <w:bottom w:val="single" w:sz="4" w:space="0" w:color="auto"/>
              <w:right w:val="nil"/>
            </w:tcBorders>
            <w:shd w:val="clear" w:color="auto" w:fill="auto"/>
            <w:noWrap/>
            <w:vAlign w:val="bottom"/>
            <w:hideMark/>
          </w:tcPr>
          <w:p w14:paraId="069852DD" w14:textId="77777777" w:rsidR="006B01AB" w:rsidRPr="00813A6A" w:rsidRDefault="006B01AB" w:rsidP="006B01AB">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genová suprese</w:t>
            </w:r>
          </w:p>
        </w:tc>
      </w:tr>
      <w:tr w:rsidR="006B01AB" w:rsidRPr="00813A6A" w14:paraId="7CD4ECF3" w14:textId="77777777" w:rsidTr="00813A6A">
        <w:trPr>
          <w:trHeight w:val="300"/>
        </w:trPr>
        <w:tc>
          <w:tcPr>
            <w:tcW w:w="4395" w:type="dxa"/>
            <w:tcBorders>
              <w:top w:val="nil"/>
              <w:left w:val="nil"/>
              <w:bottom w:val="nil"/>
              <w:right w:val="single" w:sz="4" w:space="0" w:color="auto"/>
            </w:tcBorders>
            <w:shd w:val="clear" w:color="auto" w:fill="auto"/>
            <w:noWrap/>
            <w:vAlign w:val="bottom"/>
            <w:hideMark/>
          </w:tcPr>
          <w:p w14:paraId="161D0EDA"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terapie gliomovými kmenovými buňkami</w:t>
            </w:r>
          </w:p>
        </w:tc>
        <w:tc>
          <w:tcPr>
            <w:tcW w:w="5103" w:type="dxa"/>
            <w:tcBorders>
              <w:top w:val="nil"/>
              <w:left w:val="nil"/>
              <w:bottom w:val="nil"/>
              <w:right w:val="nil"/>
            </w:tcBorders>
            <w:shd w:val="clear" w:color="auto" w:fill="auto"/>
            <w:noWrap/>
            <w:vAlign w:val="bottom"/>
            <w:hideMark/>
          </w:tcPr>
          <w:p w14:paraId="73CF9004"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antisense vlákno</w:t>
            </w:r>
          </w:p>
        </w:tc>
      </w:tr>
      <w:tr w:rsidR="006B01AB" w:rsidRPr="00813A6A" w14:paraId="11C01E91" w14:textId="77777777" w:rsidTr="00813A6A">
        <w:trPr>
          <w:trHeight w:val="300"/>
        </w:trPr>
        <w:tc>
          <w:tcPr>
            <w:tcW w:w="4395" w:type="dxa"/>
            <w:tcBorders>
              <w:top w:val="nil"/>
              <w:left w:val="nil"/>
              <w:bottom w:val="nil"/>
              <w:right w:val="single" w:sz="4" w:space="0" w:color="auto"/>
            </w:tcBorders>
            <w:shd w:val="clear" w:color="auto" w:fill="auto"/>
            <w:noWrap/>
            <w:vAlign w:val="center"/>
            <w:hideMark/>
          </w:tcPr>
          <w:p w14:paraId="0F931E17" w14:textId="03ED99A0"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přeměna kmenových buněk (IL-4) s produkcí </w:t>
            </w:r>
            <w:r w:rsidR="000918DC" w:rsidRPr="00813A6A">
              <w:rPr>
                <w:rFonts w:ascii="Calibri" w:eastAsia="Times New Roman" w:hAnsi="Calibri" w:cs="Calibri"/>
                <w:color w:val="000000"/>
                <w:sz w:val="20"/>
                <w:szCs w:val="20"/>
              </w:rPr>
              <w:t>PT</w:t>
            </w:r>
          </w:p>
        </w:tc>
        <w:tc>
          <w:tcPr>
            <w:tcW w:w="5103" w:type="dxa"/>
            <w:tcBorders>
              <w:top w:val="nil"/>
              <w:left w:val="nil"/>
              <w:bottom w:val="nil"/>
              <w:right w:val="nil"/>
            </w:tcBorders>
            <w:shd w:val="clear" w:color="auto" w:fill="auto"/>
            <w:noWrap/>
            <w:vAlign w:val="bottom"/>
            <w:hideMark/>
          </w:tcPr>
          <w:p w14:paraId="19F61CEB" w14:textId="77777777" w:rsidR="006B01AB" w:rsidRPr="00813A6A" w:rsidRDefault="006B01AB" w:rsidP="006B01AB">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RNAi</w:t>
            </w:r>
          </w:p>
        </w:tc>
      </w:tr>
    </w:tbl>
    <w:p w14:paraId="791FDA54" w14:textId="77777777" w:rsidR="00217B12" w:rsidRDefault="00217B12" w:rsidP="0087177A">
      <w:pPr>
        <w:pStyle w:val="Odstavecseseznamem"/>
        <w:ind w:left="0"/>
        <w:jc w:val="both"/>
        <w:rPr>
          <w:sz w:val="20"/>
          <w:szCs w:val="20"/>
        </w:rPr>
      </w:pPr>
    </w:p>
    <w:p w14:paraId="6B240662" w14:textId="01AA30D4" w:rsidR="009867E9" w:rsidRDefault="000918DC" w:rsidP="0087177A">
      <w:pPr>
        <w:pStyle w:val="Odstavecseseznamem"/>
        <w:ind w:left="0"/>
        <w:jc w:val="both"/>
        <w:rPr>
          <w:i/>
          <w:iCs/>
          <w:sz w:val="20"/>
          <w:szCs w:val="20"/>
        </w:rPr>
      </w:pPr>
      <w:r w:rsidRPr="00813A6A">
        <w:rPr>
          <w:sz w:val="20"/>
          <w:szCs w:val="20"/>
        </w:rPr>
        <w:t xml:space="preserve">PT – protinádorová terapeutika; NB – nádorové buňky; Ag – protilátky; </w:t>
      </w:r>
      <w:r w:rsidRPr="00E413BA">
        <w:rPr>
          <w:sz w:val="20"/>
          <w:szCs w:val="20"/>
        </w:rPr>
        <w:t>EGF</w:t>
      </w:r>
      <w:r w:rsidRPr="00813A6A">
        <w:rPr>
          <w:sz w:val="20"/>
          <w:szCs w:val="20"/>
        </w:rPr>
        <w:t xml:space="preserve"> – epidermální růstový faktor; IL-2 – interleukin-2; HSV – </w:t>
      </w:r>
      <w:r w:rsidRPr="00C554E1">
        <w:rPr>
          <w:i/>
          <w:iCs/>
          <w:sz w:val="20"/>
          <w:szCs w:val="20"/>
        </w:rPr>
        <w:t>herpes simplex virus</w:t>
      </w:r>
      <w:r w:rsidR="00813A6A" w:rsidRPr="00C554E1">
        <w:rPr>
          <w:sz w:val="20"/>
          <w:szCs w:val="20"/>
        </w:rPr>
        <w:t>.</w:t>
      </w:r>
    </w:p>
    <w:p w14:paraId="048787BE" w14:textId="5E6F2DAF" w:rsidR="008120A3" w:rsidRPr="00217B12" w:rsidRDefault="008120A3" w:rsidP="0087177A">
      <w:pPr>
        <w:pStyle w:val="Odstavecseseznamem"/>
        <w:ind w:left="0"/>
        <w:jc w:val="both"/>
        <w:rPr>
          <w:i/>
          <w:iCs/>
        </w:rPr>
      </w:pPr>
    </w:p>
    <w:p w14:paraId="5C6A0C9C" w14:textId="79D5329C" w:rsidR="003D1A7A" w:rsidRDefault="003D1A7A" w:rsidP="00EC4DAF">
      <w:pPr>
        <w:pStyle w:val="Nadpis3"/>
        <w:ind w:left="0" w:firstLine="0"/>
      </w:pPr>
      <w:bookmarkStart w:id="16" w:name="_Toc88741448"/>
      <w:r>
        <w:t>Souhrn kapitoly</w:t>
      </w:r>
      <w:bookmarkEnd w:id="16"/>
    </w:p>
    <w:p w14:paraId="03037154" w14:textId="77777777" w:rsidR="00A47FB6" w:rsidRPr="00217B12" w:rsidRDefault="00A47FB6" w:rsidP="00A47FB6">
      <w:pPr>
        <w:rPr>
          <w:sz w:val="6"/>
          <w:szCs w:val="6"/>
        </w:rPr>
      </w:pPr>
    </w:p>
    <w:p w14:paraId="6B72B215" w14:textId="0B0F423E" w:rsidR="003D1A7A" w:rsidRDefault="00A47FB6" w:rsidP="00A47FB6">
      <w:pPr>
        <w:jc w:val="both"/>
      </w:pPr>
      <w:r>
        <w:t xml:space="preserve">Klasifikace nádorů CNS prošla změnami v roce 2016 a z tohoto důvodu byly upraveny i </w:t>
      </w:r>
      <w:r w:rsidR="00A11D0B">
        <w:t>doporučení</w:t>
      </w:r>
      <w:r>
        <w:t xml:space="preserve"> pro léčbu pacientů s gliomy reflektující vliv molekulárních markerů</w:t>
      </w:r>
      <w:r>
        <w:fldChar w:fldCharType="begin" w:fldLock="1"/>
      </w:r>
      <w:r>
        <w:instrText>ADDIN CSL_CITATION {"citationItems":[{"id":"ITEM-1","itemData":{"DOI":"10.1038/s41571-020-00447-z","ISSN":"17594782","abstract":"In response to major changes in diagnostic algorithms and the publication of mature results from various large clinical trials, the European Association of Neuro-Oncology (EANO) recognized the need to provide updated guidelines for the diagnosis and management of adult patients with diffuse gliomas. Through these evidence-based guidelines, a task force of EANO provides recommendations for the diagnosis, treatment and follow-up of adult patients with diffuse gliomas. The diagnostic component is based on the 2016 update of the WHO Classification of Tumors of the Central Nervous System and the subsequent recommendations of the Consortium to Inform Molecular and Practical Approaches to CNS Tumour Taxonomy — Not Officially WHO (cIMPACT-NOW). With regard to therapy, we formulated recommendations based on the results from the latest practice-changing clinical trials and also provide guidance for neuropathological and neuroradiological assessment. In these guidelines, we define the role of the major treatment modalities of surgery, radiotherapy and systemic pharmacotherapy, covering current advances and cognizant that unnecessary interventions and expenses should be avoided. This document is intended to be a source of reference for professionals involved in the management of adult patients with diffuse gliomas, for patients and caregivers, and for health-care providers.","author":[{"dropping-particle":"","family":"Weller","given":"Michael","non-dropping-particle":"","parse-names":false,"suffix":""},{"dropping-particle":"","family":"Bent","given":"Martin","non-dropping-particle":"van den","parse-names":false,"suffix":""},{"dropping-particle":"","family":"Preusser","given":"Matthias","non-dropping-particle":"","parse-names":false,"suffix":""},{"dropping-particle":"","family":"Rhun","given":"Emilie","non-dropping-particle":"Le","parse-names":false,"suffix":""},{"dropping-particle":"","family":"Tonn","given":"Jörg C.","non-dropping-particle":"","parse-names":false,"suffix":""},{"dropping-particle":"","family":"Minniti","given":"Giuseppe","non-dropping-particle":"","parse-names":false,"suffix":""},{"dropping-particle":"","family":"Bendszus","given":"Martin","non-dropping-particle":"","parse-names":false,"suffix":""},{"dropping-particle":"","family":"Balana","given":"Carmen","non-dropping-particle":"","parse-names":false,"suffix":""},{"dropping-particle":"","family":"Chinot","given":"Olivier","non-dropping-particle":"","parse-names":false,"suffix":""},{"dropping-particle":"","family":"Dirven","given":"Linda","non-dropping-particle":"","parse-names":false,"suffix":""},{"dropping-particle":"","family":"French","given":"Pim","non-dropping-particle":"","parse-names":false,"suffix":""},{"dropping-particle":"","family":"Hegi","given":"Monika E.","non-dropping-particle":"","parse-names":false,"suffix":""},{"dropping-particle":"","family":"Jakola","given":"Asgeir S.","non-dropping-particle":"","parse-names":false,"suffix":""},{"dropping-particle":"","family":"Platten","given":"Michael","non-dropping-particle":"","parse-names":false,"suffix":""},{"dropping-particle":"","family":"Roth","given":"Patrick","non-dropping-particle":"","parse-names":false,"suffix":""},{"dropping-particle":"","family":"Rudà","given":"Roberta","non-dropping-particle":"","parse-names":false,"suffix":""},{"dropping-particle":"","family":"Short","given":"Susan","non-dropping-particle":"","parse-names":false,"suffix":""},{"dropping-particle":"","family":"Smits","given":"Marion","non-dropping-particle":"","parse-names":false,"suffix":""},{"dropping-particle":"","family":"Taphoorn","given":"Martin J.B.","non-dropping-particle":"","parse-names":false,"suffix":""},{"dropping-particle":"","family":"Deimling","given":"Andreas","non-dropping-particle":"von","parse-names":false,"suffix":""},{"dropping-particle":"","family":"Westphal","given":"Manfred","non-dropping-particle":"","parse-names":false,"suffix":""},{"dropping-particle":"","family":"Soffietti","given":"Riccardo","non-dropping-particle":"","parse-names":false,"suffix":""},{"dropping-particle":"","family":"Reifenberger","given":"Guido","non-dropping-particle":"","parse-names":false,"suffix":""},{"dropping-particle":"","family":"Wick","given":"Wolfgang","non-dropping-particle":"","parse-names":false,"suffix":""}],"container-title":"Nature Reviews Clinical Oncology","id":"ITEM-1","issued":{"date-parts":[["2020","12","8"]]},"page":"30","publisher":"Nature Research","title":"EANO guidelines on the diagnosis and treatment of diffuse gliomas of adulthood","type":"article-journal","volume":"17"},"uris":["http://www.mendeley.com/documents/?uuid=12f46b35-fad7-3b76-9a3b-6131b3f784c8"]}],"mendeley":{"formattedCitation":"&lt;sup&gt;37&lt;/sup&gt;","plainTextFormattedCitation":"37","previouslyFormattedCitation":"&lt;sup&gt;37&lt;/sup&gt;"},"properties":{"noteIndex":0},"schema":"https://github.com/citation-style-language/schema/raw/master/csl-citation.json"}</w:instrText>
      </w:r>
      <w:r>
        <w:fldChar w:fldCharType="separate"/>
      </w:r>
      <w:r w:rsidRPr="00A47FB6">
        <w:rPr>
          <w:noProof/>
          <w:vertAlign w:val="superscript"/>
        </w:rPr>
        <w:t>37</w:t>
      </w:r>
      <w:r>
        <w:fldChar w:fldCharType="end"/>
      </w:r>
      <w:r>
        <w:t xml:space="preserve">. </w:t>
      </w:r>
      <w:r w:rsidR="00C22FC4">
        <w:t xml:space="preserve">S ohledem na terapii byly shrnuty výsledky klinického výzkumu zahrnujícího různé léčebné modality resekce, radioterapie a systémové farmakoterapie. </w:t>
      </w:r>
    </w:p>
    <w:p w14:paraId="1487A3F6" w14:textId="0AB544D2" w:rsidR="00A11D0B" w:rsidRDefault="00A11D0B" w:rsidP="00A47FB6">
      <w:pPr>
        <w:jc w:val="both"/>
      </w:pPr>
      <w:r>
        <w:t>Léčba je všeobecně založena na základním rozdělení ne/přítomnosti mutace</w:t>
      </w:r>
      <w:r w:rsidRPr="00A11D0B">
        <w:rPr>
          <w:i/>
          <w:iCs/>
        </w:rPr>
        <w:t xml:space="preserve"> IDH</w:t>
      </w:r>
      <w:r>
        <w:t xml:space="preserve"> a rozlišení dle histologie po biopsii nádoru, gradu, klinických faktorech jako je Karnofsk</w:t>
      </w:r>
      <w:r w:rsidR="009E26D8">
        <w:t>ého</w:t>
      </w:r>
      <w:r>
        <w:t xml:space="preserve"> skóre a věk, zbytková masa nádoru. </w:t>
      </w:r>
      <w:r w:rsidR="00CE7C2E">
        <w:t xml:space="preserve">Na základě těchto faktorů je rozhodnuto o léčbě následovanou kontrolami v rozmezí </w:t>
      </w:r>
      <w:r w:rsidR="00BB7AB3">
        <w:t>2</w:t>
      </w:r>
      <w:r w:rsidR="00CE7C2E">
        <w:t xml:space="preserve"> až 6 měsíců. Všeobecně se dá říci, že </w:t>
      </w:r>
      <w:r w:rsidR="00CE7C2E" w:rsidRPr="00E413BA">
        <w:rPr>
          <w:i/>
          <w:iCs/>
        </w:rPr>
        <w:t>IDH</w:t>
      </w:r>
      <w:r w:rsidR="00CE7C2E">
        <w:t xml:space="preserve"> mutované gliomy gradu 2 a 3 jsou léčeny kombinací </w:t>
      </w:r>
      <w:r w:rsidR="00C8198F">
        <w:t>radioterapie s PCV (</w:t>
      </w:r>
      <w:r w:rsidR="00CE7C2E">
        <w:t>prokarbazinu, lomustinu a vinkristinu</w:t>
      </w:r>
      <w:r w:rsidR="00C8198F">
        <w:t xml:space="preserve">) popřípadě chemoradioterapie s temozolomidem (Obrázek 4). V případě gradu </w:t>
      </w:r>
      <w:r w:rsidR="00CE7C2E">
        <w:t xml:space="preserve">u 4 je léčba založena na </w:t>
      </w:r>
      <w:r w:rsidR="00C8198F">
        <w:t>samotné radioterapi</w:t>
      </w:r>
      <w:r w:rsidR="00BB7AB3">
        <w:t>i</w:t>
      </w:r>
      <w:r w:rsidR="00C8198F">
        <w:t xml:space="preserve"> nebo chemoradioterapii temozolomidem (obrázek 5)</w:t>
      </w:r>
      <w:r w:rsidR="00CE7C2E">
        <w:t xml:space="preserve">. </w:t>
      </w:r>
    </w:p>
    <w:bookmarkEnd w:id="9"/>
    <w:p w14:paraId="0824BFA7" w14:textId="0C1D3DE7" w:rsidR="00D745ED" w:rsidRDefault="00D745ED" w:rsidP="00BB7AB3">
      <w:pPr>
        <w:jc w:val="center"/>
      </w:pPr>
      <w:r>
        <w:rPr>
          <w:noProof/>
        </w:rPr>
        <w:drawing>
          <wp:inline distT="0" distB="0" distL="0" distR="0" wp14:anchorId="58DC9105" wp14:editId="201DCCA3">
            <wp:extent cx="5568950" cy="4253346"/>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4187" t="21340" r="1162" b="18109"/>
                    <a:stretch/>
                  </pic:blipFill>
                  <pic:spPr bwMode="auto">
                    <a:xfrm>
                      <a:off x="0" y="0"/>
                      <a:ext cx="5568950" cy="4253346"/>
                    </a:xfrm>
                    <a:prstGeom prst="rect">
                      <a:avLst/>
                    </a:prstGeom>
                    <a:ln>
                      <a:noFill/>
                    </a:ln>
                    <a:extLst>
                      <a:ext uri="{53640926-AAD7-44D8-BBD7-CCE9431645EC}">
                        <a14:shadowObscured xmlns:a14="http://schemas.microsoft.com/office/drawing/2010/main"/>
                      </a:ext>
                    </a:extLst>
                  </pic:spPr>
                </pic:pic>
              </a:graphicData>
            </a:graphic>
          </wp:inline>
        </w:drawing>
      </w:r>
    </w:p>
    <w:p w14:paraId="3F690B50" w14:textId="43A2FE6F" w:rsidR="00447CBE" w:rsidRDefault="00306B65" w:rsidP="00EA79DA">
      <w:pPr>
        <w:spacing w:after="0"/>
        <w:jc w:val="both"/>
        <w:rPr>
          <w:sz w:val="20"/>
          <w:szCs w:val="20"/>
        </w:rPr>
      </w:pPr>
      <w:bookmarkStart w:id="17" w:name="_Toc67162691"/>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4</w:t>
      </w:r>
      <w:r w:rsidRPr="00306B65">
        <w:rPr>
          <w:b/>
          <w:bCs/>
          <w:sz w:val="20"/>
          <w:szCs w:val="20"/>
        </w:rPr>
        <w:fldChar w:fldCharType="end"/>
      </w:r>
      <w:r w:rsidRPr="00306B65">
        <w:rPr>
          <w:b/>
          <w:bCs/>
          <w:sz w:val="20"/>
          <w:szCs w:val="20"/>
        </w:rPr>
        <w:t>:</w:t>
      </w:r>
      <w:r>
        <w:rPr>
          <w:b/>
          <w:bCs/>
          <w:sz w:val="20"/>
          <w:szCs w:val="20"/>
        </w:rPr>
        <w:t xml:space="preserve"> </w:t>
      </w:r>
      <w:r w:rsidR="00D745ED">
        <w:rPr>
          <w:sz w:val="20"/>
          <w:szCs w:val="20"/>
        </w:rPr>
        <w:t xml:space="preserve">Klinický postup léčby </w:t>
      </w:r>
      <w:r w:rsidR="00D745ED" w:rsidRPr="00E413BA">
        <w:rPr>
          <w:i/>
          <w:iCs/>
          <w:sz w:val="20"/>
          <w:szCs w:val="20"/>
        </w:rPr>
        <w:t>IDH</w:t>
      </w:r>
      <w:r w:rsidR="00D745ED">
        <w:rPr>
          <w:sz w:val="20"/>
          <w:szCs w:val="20"/>
        </w:rPr>
        <w:t xml:space="preserve"> mutovaných difuzních gliomů u dospělých</w:t>
      </w:r>
      <w:r w:rsidR="00D745ED" w:rsidRPr="00D745ED">
        <w:rPr>
          <w:sz w:val="20"/>
          <w:szCs w:val="20"/>
        </w:rPr>
        <w:t>.</w:t>
      </w:r>
      <w:r w:rsidR="00EA79DA" w:rsidRPr="00EA79DA">
        <w:rPr>
          <w:sz w:val="20"/>
          <w:szCs w:val="20"/>
        </w:rPr>
        <w:t xml:space="preserve"> </w:t>
      </w:r>
      <w:r w:rsidR="00EA79DA" w:rsidRPr="00D745ED">
        <w:rPr>
          <w:sz w:val="20"/>
          <w:szCs w:val="20"/>
        </w:rPr>
        <w:t xml:space="preserve">Upraveno dle </w:t>
      </w:r>
      <w:r w:rsidR="00EA79DA" w:rsidRPr="00D745ED">
        <w:rPr>
          <w:sz w:val="20"/>
          <w:szCs w:val="20"/>
        </w:rPr>
        <w:fldChar w:fldCharType="begin" w:fldLock="1"/>
      </w:r>
      <w:r w:rsidR="00EA79DA">
        <w:rPr>
          <w:sz w:val="20"/>
          <w:szCs w:val="20"/>
        </w:rPr>
        <w:instrText>ADDIN CSL_CITATION {"citationItems":[{"id":"ITEM-1","itemData":{"DOI":"10.1038/s41571-020-00447-z","ISSN":"17594782","abstract":"In response to major changes in diagnostic algorithms and the publication of mature results from various large clinical trials, the European Association of Neuro-Oncology (EANO) recognized the need to provide updated guidelines for the diagnosis and management of adult patients with diffuse gliomas. Through these evidence-based guidelines, a task force of EANO provides recommendations for the diagnosis, treatment and follow-up of adult patients with diffuse gliomas. The diagnostic component is based on the 2016 update of the WHO Classification of Tumors of the Central Nervous System and the subsequent recommendations of the Consortium to Inform Molecular and Practical Approaches to CNS Tumour Taxonomy — Not Officially WHO (cIMPACT-NOW). With regard to therapy, we formulated recommendations based on the results from the latest practice-changing clinical trials and also provide guidance for neuropathological and neuroradiological assessment. In these guidelines, we define the role of the major treatment modalities of surgery, radiotherapy and systemic pharmacotherapy, covering current advances and cognizant that unnecessary interventions and expenses should be avoided. This document is intended to be a source of reference for professionals involved in the management of adult patients with diffuse gliomas, for patients and caregivers, and for health-care providers.","author":[{"dropping-particle":"","family":"Weller","given":"Michael","non-dropping-particle":"","parse-names":false,"suffix":""},{"dropping-particle":"","family":"Bent","given":"Martin","non-dropping-particle":"van den","parse-names":false,"suffix":""},{"dropping-particle":"","family":"Preusser","given":"Matthias","non-dropping-particle":"","parse-names":false,"suffix":""},{"dropping-particle":"","family":"Rhun","given":"Emilie","non-dropping-particle":"Le","parse-names":false,"suffix":""},{"dropping-particle":"","family":"Tonn","given":"Jörg C.","non-dropping-particle":"","parse-names":false,"suffix":""},{"dropping-particle":"","family":"Minniti","given":"Giuseppe","non-dropping-particle":"","parse-names":false,"suffix":""},{"dropping-particle":"","family":"Bendszus","given":"Martin","non-dropping-particle":"","parse-names":false,"suffix":""},{"dropping-particle":"","family":"Balana","given":"Carmen","non-dropping-particle":"","parse-names":false,"suffix":""},{"dropping-particle":"","family":"Chinot","given":"Olivier","non-dropping-particle":"","parse-names":false,"suffix":""},{"dropping-particle":"","family":"Dirven","given":"Linda","non-dropping-particle":"","parse-names":false,"suffix":""},{"dropping-particle":"","family":"French","given":"Pim","non-dropping-particle":"","parse-names":false,"suffix":""},{"dropping-particle":"","family":"Hegi","given":"Monika E.","non-dropping-particle":"","parse-names":false,"suffix":""},{"dropping-particle":"","family":"Jakola","given":"Asgeir S.","non-dropping-particle":"","parse-names":false,"suffix":""},{"dropping-particle":"","family":"Platten","given":"Michael","non-dropping-particle":"","parse-names":false,"suffix":""},{"dropping-particle":"","family":"Roth","given":"Patrick","non-dropping-particle":"","parse-names":false,"suffix":""},{"dropping-particle":"","family":"Rudà","given":"Roberta","non-dropping-particle":"","parse-names":false,"suffix":""},{"dropping-particle":"","family":"Short","given":"Susan","non-dropping-particle":"","parse-names":false,"suffix":""},{"dropping-particle":"","family":"Smits","given":"Marion","non-dropping-particle":"","parse-names":false,"suffix":""},{"dropping-particle":"","family":"Taphoorn","given":"Martin J.B.","non-dropping-particle":"","parse-names":false,"suffix":""},{"dropping-particle":"","family":"Deimling","given":"Andreas","non-dropping-particle":"von","parse-names":false,"suffix":""},{"dropping-particle":"","family":"Westphal","given":"Manfred","non-dropping-particle":"","parse-names":false,"suffix":""},{"dropping-particle":"","family":"Soffietti","given":"Riccardo","non-dropping-particle":"","parse-names":false,"suffix":""},{"dropping-particle":"","family":"Reifenberger","given":"Guido","non-dropping-particle":"","parse-names":false,"suffix":""},{"dropping-particle":"","family":"Wick","given":"Wolfgang","non-dropping-particle":"","parse-names":false,"suffix":""}],"container-title":"Nature Reviews Clinical Oncology","id":"ITEM-1","issued":{"date-parts":[["2020","12","8"]]},"page":"30","publisher":"Nature Research","title":"EANO guidelines on the diagnosis and treatment of diffuse gliomas of adulthood","type":"article-journal","volume":"17"},"uris":["http://www.mendeley.com/documents/?uuid=12f46b35-fad7-3b76-9a3b-6131b3f784c8"]}],"mendeley":{"formattedCitation":"&lt;sup&gt;37&lt;/sup&gt;","plainTextFormattedCitation":"37","previouslyFormattedCitation":"&lt;sup&gt;37&lt;/sup&gt;"},"properties":{"noteIndex":0},"schema":"https://github.com/citation-style-language/schema/raw/master/csl-citation.json"}</w:instrText>
      </w:r>
      <w:r w:rsidR="00EA79DA" w:rsidRPr="00D745ED">
        <w:rPr>
          <w:sz w:val="20"/>
          <w:szCs w:val="20"/>
        </w:rPr>
        <w:fldChar w:fldCharType="separate"/>
      </w:r>
      <w:r w:rsidR="00EA79DA" w:rsidRPr="00D745ED">
        <w:rPr>
          <w:noProof/>
          <w:sz w:val="20"/>
          <w:szCs w:val="20"/>
          <w:vertAlign w:val="superscript"/>
        </w:rPr>
        <w:t>37</w:t>
      </w:r>
      <w:r w:rsidR="00EA79DA" w:rsidRPr="00D745ED">
        <w:rPr>
          <w:sz w:val="20"/>
          <w:szCs w:val="20"/>
        </w:rPr>
        <w:fldChar w:fldCharType="end"/>
      </w:r>
      <w:r w:rsidR="00EA79DA" w:rsidRPr="00D745ED">
        <w:rPr>
          <w:sz w:val="20"/>
          <w:szCs w:val="20"/>
        </w:rPr>
        <w:t>.</w:t>
      </w:r>
      <w:bookmarkEnd w:id="17"/>
    </w:p>
    <w:p w14:paraId="269C4E42" w14:textId="1641911D" w:rsidR="003D1A7A" w:rsidRDefault="00EC0467" w:rsidP="00EA79DA">
      <w:pPr>
        <w:spacing w:after="0"/>
        <w:jc w:val="both"/>
        <w:rPr>
          <w:sz w:val="20"/>
          <w:szCs w:val="20"/>
        </w:rPr>
      </w:pPr>
      <w:r>
        <w:rPr>
          <w:sz w:val="20"/>
          <w:szCs w:val="20"/>
        </w:rPr>
        <w:t xml:space="preserve">PCV – prokarbazin, </w:t>
      </w:r>
      <w:r w:rsidR="00C8198F">
        <w:rPr>
          <w:sz w:val="20"/>
          <w:szCs w:val="20"/>
        </w:rPr>
        <w:t>lomustin</w:t>
      </w:r>
      <w:r>
        <w:rPr>
          <w:sz w:val="20"/>
          <w:szCs w:val="20"/>
        </w:rPr>
        <w:t>, vinkristin</w:t>
      </w:r>
      <w:r w:rsidR="00C8198F">
        <w:rPr>
          <w:sz w:val="20"/>
          <w:szCs w:val="20"/>
        </w:rPr>
        <w:t>.</w:t>
      </w:r>
      <w:r w:rsidR="00D745ED" w:rsidRPr="00D745ED">
        <w:rPr>
          <w:sz w:val="20"/>
          <w:szCs w:val="20"/>
        </w:rPr>
        <w:t xml:space="preserve"> </w:t>
      </w:r>
    </w:p>
    <w:p w14:paraId="19427423" w14:textId="77777777" w:rsidR="00447CBE" w:rsidRPr="00D745ED" w:rsidRDefault="00447CBE" w:rsidP="00447CBE">
      <w:pPr>
        <w:spacing w:after="0"/>
        <w:rPr>
          <w:sz w:val="20"/>
          <w:szCs w:val="20"/>
        </w:rPr>
      </w:pPr>
    </w:p>
    <w:p w14:paraId="082DD2C7" w14:textId="0ADDD8B3" w:rsidR="00D745ED" w:rsidRDefault="00C8198F" w:rsidP="00BB7AB3">
      <w:pPr>
        <w:pStyle w:val="Odstavecseseznamem"/>
        <w:tabs>
          <w:tab w:val="left" w:pos="975"/>
        </w:tabs>
        <w:ind w:left="0"/>
        <w:jc w:val="center"/>
      </w:pPr>
      <w:r>
        <w:rPr>
          <w:noProof/>
        </w:rPr>
        <w:drawing>
          <wp:inline distT="0" distB="0" distL="0" distR="0" wp14:anchorId="7BCEF881" wp14:editId="3618472D">
            <wp:extent cx="5373102" cy="3414568"/>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3838" t="26461" r="874" b="24127"/>
                    <a:stretch/>
                  </pic:blipFill>
                  <pic:spPr bwMode="auto">
                    <a:xfrm>
                      <a:off x="0" y="0"/>
                      <a:ext cx="5403659" cy="3433987"/>
                    </a:xfrm>
                    <a:prstGeom prst="rect">
                      <a:avLst/>
                    </a:prstGeom>
                    <a:ln>
                      <a:noFill/>
                    </a:ln>
                    <a:extLst>
                      <a:ext uri="{53640926-AAD7-44D8-BBD7-CCE9431645EC}">
                        <a14:shadowObscured xmlns:a14="http://schemas.microsoft.com/office/drawing/2010/main"/>
                      </a:ext>
                    </a:extLst>
                  </pic:spPr>
                </pic:pic>
              </a:graphicData>
            </a:graphic>
          </wp:inline>
        </w:drawing>
      </w:r>
    </w:p>
    <w:p w14:paraId="0F66B8A9" w14:textId="41CF72CE" w:rsidR="00447CBE" w:rsidRDefault="00306B65" w:rsidP="00EA79DA">
      <w:pPr>
        <w:spacing w:after="0"/>
        <w:jc w:val="both"/>
        <w:rPr>
          <w:sz w:val="20"/>
          <w:szCs w:val="20"/>
        </w:rPr>
      </w:pPr>
      <w:bookmarkStart w:id="18" w:name="_Toc67162692"/>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5</w:t>
      </w:r>
      <w:r w:rsidRPr="00306B65">
        <w:rPr>
          <w:b/>
          <w:bCs/>
          <w:sz w:val="20"/>
          <w:szCs w:val="20"/>
        </w:rPr>
        <w:fldChar w:fldCharType="end"/>
      </w:r>
      <w:r w:rsidRPr="00306B65">
        <w:rPr>
          <w:b/>
          <w:bCs/>
          <w:sz w:val="20"/>
          <w:szCs w:val="20"/>
        </w:rPr>
        <w:t>:</w:t>
      </w:r>
      <w:r>
        <w:rPr>
          <w:b/>
          <w:bCs/>
          <w:sz w:val="20"/>
          <w:szCs w:val="20"/>
        </w:rPr>
        <w:t xml:space="preserve"> </w:t>
      </w:r>
      <w:r w:rsidR="00D745ED" w:rsidRPr="00E413BA">
        <w:rPr>
          <w:sz w:val="20"/>
          <w:szCs w:val="20"/>
        </w:rPr>
        <w:t xml:space="preserve">Klinický postup léčby </w:t>
      </w:r>
      <w:r w:rsidR="00D745ED" w:rsidRPr="00E413BA">
        <w:rPr>
          <w:i/>
          <w:iCs/>
          <w:sz w:val="20"/>
          <w:szCs w:val="20"/>
        </w:rPr>
        <w:t>IDH</w:t>
      </w:r>
      <w:r w:rsidR="00D745ED" w:rsidRPr="00E413BA">
        <w:rPr>
          <w:sz w:val="20"/>
          <w:szCs w:val="20"/>
        </w:rPr>
        <w:t xml:space="preserve"> wild type difuzních gliomů u dospělých.</w:t>
      </w:r>
      <w:r w:rsidR="00EA79DA" w:rsidRPr="00EA79DA">
        <w:rPr>
          <w:sz w:val="20"/>
          <w:szCs w:val="20"/>
        </w:rPr>
        <w:t xml:space="preserve"> </w:t>
      </w:r>
      <w:r w:rsidR="00EA79DA" w:rsidRPr="00E413BA">
        <w:rPr>
          <w:sz w:val="20"/>
          <w:szCs w:val="20"/>
        </w:rPr>
        <w:t xml:space="preserve">Upraveno dle </w:t>
      </w:r>
      <w:r w:rsidR="00EA79DA" w:rsidRPr="00E413BA">
        <w:rPr>
          <w:sz w:val="20"/>
          <w:szCs w:val="20"/>
        </w:rPr>
        <w:fldChar w:fldCharType="begin" w:fldLock="1"/>
      </w:r>
      <w:r w:rsidR="00EA79DA" w:rsidRPr="00E413BA">
        <w:rPr>
          <w:sz w:val="20"/>
          <w:szCs w:val="20"/>
        </w:rPr>
        <w:instrText>ADDIN CSL_CITATION {"citationItems":[{"id":"ITEM-1","itemData":{"DOI":"10.1038/s41571-020-00447-z","ISSN":"17594782","abstract":"In response to major changes in diagnostic algorithms and the publication of mature results from various large clinical trials, the European Association of Neuro-Oncology (EANO) recognized the need to provide updated guidelines for the diagnosis and management of adult patients with diffuse gliomas. Through these evidence-based guidelines, a task force of EANO provides recommendations for the diagnosis, treatment and follow-up of adult patients with diffuse gliomas. The diagnostic component is based on the 2016 update of the WHO Classification of Tumors of the Central Nervous System and the subsequent recommendations of the Consortium to Inform Molecular and Practical Approaches to CNS Tumour Taxonomy — Not Officially WHO (cIMPACT-NOW). With regard to therapy, we formulated recommendations based on the results from the latest practice-changing clinical trials and also provide guidance for neuropathological and neuroradiological assessment. In these guidelines, we define the role of the major treatment modalities of surgery, radiotherapy and systemic pharmacotherapy, covering current advances and cognizant that unnecessary interventions and expenses should be avoided. This document is intended to be a source of reference for professionals involved in the management of adult patients with diffuse gliomas, for patients and caregivers, and for health-care providers.","author":[{"dropping-particle":"","family":"Weller","given":"Michael","non-dropping-particle":"","parse-names":false,"suffix":""},{"dropping-particle":"","family":"Bent","given":"Martin","non-dropping-particle":"van den","parse-names":false,"suffix":""},{"dropping-particle":"","family":"Preusser","given":"Matthias","non-dropping-particle":"","parse-names":false,"suffix":""},{"dropping-particle":"","family":"Rhun","given":"Emilie","non-dropping-particle":"Le","parse-names":false,"suffix":""},{"dropping-particle":"","family":"Tonn","given":"Jörg C.","non-dropping-particle":"","parse-names":false,"suffix":""},{"dropping-particle":"","family":"Minniti","given":"Giuseppe","non-dropping-particle":"","parse-names":false,"suffix":""},{"dropping-particle":"","family":"Bendszus","given":"Martin","non-dropping-particle":"","parse-names":false,"suffix":""},{"dropping-particle":"","family":"Balana","given":"Carmen","non-dropping-particle":"","parse-names":false,"suffix":""},{"dropping-particle":"","family":"Chinot","given":"Olivier","non-dropping-particle":"","parse-names":false,"suffix":""},{"dropping-particle":"","family":"Dirven","given":"Linda","non-dropping-particle":"","parse-names":false,"suffix":""},{"dropping-particle":"","family":"French","given":"Pim","non-dropping-particle":"","parse-names":false,"suffix":""},{"dropping-particle":"","family":"Hegi","given":"Monika E.","non-dropping-particle":"","parse-names":false,"suffix":""},{"dropping-particle":"","family":"Jakola","given":"Asgeir S.","non-dropping-particle":"","parse-names":false,"suffix":""},{"dropping-particle":"","family":"Platten","given":"Michael","non-dropping-particle":"","parse-names":false,"suffix":""},{"dropping-particle":"","family":"Roth","given":"Patrick","non-dropping-particle":"","parse-names":false,"suffix":""},{"dropping-particle":"","family":"Rudà","given":"Roberta","non-dropping-particle":"","parse-names":false,"suffix":""},{"dropping-particle":"","family":"Short","given":"Susan","non-dropping-particle":"","parse-names":false,"suffix":""},{"dropping-particle":"","family":"Smits","given":"Marion","non-dropping-particle":"","parse-names":false,"suffix":""},{"dropping-particle":"","family":"Taphoorn","given":"Martin J.B.","non-dropping-particle":"","parse-names":false,"suffix":""},{"dropping-particle":"","family":"Deimling","given":"Andreas","non-dropping-particle":"von","parse-names":false,"suffix":""},{"dropping-particle":"","family":"Westphal","given":"Manfred","non-dropping-particle":"","parse-names":false,"suffix":""},{"dropping-particle":"","family":"Soffietti","given":"Riccardo","non-dropping-particle":"","parse-names":false,"suffix":""},{"dropping-particle":"","family":"Reifenberger","given":"Guido","non-dropping-particle":"","parse-names":false,"suffix":""},{"dropping-particle":"","family":"Wick","given":"Wolfgang","non-dropping-particle":"","parse-names":false,"suffix":""}],"container-title":"Nature Reviews Clinical Oncology","id":"ITEM-1","issued":{"date-parts":[["2020","12","8"]]},"page":"30","publisher":"Nature Research","title":"EANO guidelines on the diagnosis and treatment of diffuse gliomas of adulthood","type":"article-journal","volume":"17"},"uris":["http://www.mendeley.com/documents/?uuid=12f46b35-fad7-3b76-9a3b-6131b3f784c8"]}],"mendeley":{"formattedCitation":"&lt;sup&gt;37&lt;/sup&gt;","plainTextFormattedCitation":"37","previouslyFormattedCitation":"&lt;sup&gt;37&lt;/sup&gt;"},"properties":{"noteIndex":0},"schema":"https://github.com/citation-style-language/schema/raw/master/csl-citation.json"}</w:instrText>
      </w:r>
      <w:r w:rsidR="00EA79DA" w:rsidRPr="00E413BA">
        <w:rPr>
          <w:sz w:val="20"/>
          <w:szCs w:val="20"/>
        </w:rPr>
        <w:fldChar w:fldCharType="separate"/>
      </w:r>
      <w:r w:rsidR="00EA79DA" w:rsidRPr="00E413BA">
        <w:rPr>
          <w:noProof/>
          <w:sz w:val="20"/>
          <w:szCs w:val="20"/>
          <w:vertAlign w:val="superscript"/>
        </w:rPr>
        <w:t>37</w:t>
      </w:r>
      <w:r w:rsidR="00EA79DA" w:rsidRPr="00E413BA">
        <w:rPr>
          <w:sz w:val="20"/>
          <w:szCs w:val="20"/>
        </w:rPr>
        <w:fldChar w:fldCharType="end"/>
      </w:r>
      <w:r w:rsidR="00EA79DA" w:rsidRPr="00E413BA">
        <w:rPr>
          <w:sz w:val="20"/>
          <w:szCs w:val="20"/>
        </w:rPr>
        <w:t>.</w:t>
      </w:r>
      <w:bookmarkEnd w:id="18"/>
    </w:p>
    <w:p w14:paraId="008CFC16" w14:textId="77777777" w:rsidR="00217B12" w:rsidRDefault="00BB7AB3" w:rsidP="00EA79DA">
      <w:pPr>
        <w:spacing w:after="0"/>
        <w:jc w:val="both"/>
        <w:rPr>
          <w:sz w:val="20"/>
          <w:szCs w:val="20"/>
        </w:rPr>
        <w:sectPr w:rsidR="00217B12">
          <w:pgSz w:w="11906" w:h="16838"/>
          <w:pgMar w:top="1417" w:right="1417" w:bottom="1417" w:left="1417" w:header="708" w:footer="708" w:gutter="0"/>
          <w:cols w:space="708"/>
          <w:docGrid w:linePitch="360"/>
        </w:sectPr>
      </w:pPr>
      <w:r w:rsidRPr="00E413BA">
        <w:rPr>
          <w:sz w:val="20"/>
          <w:szCs w:val="20"/>
        </w:rPr>
        <w:t>KS – Karnofsk</w:t>
      </w:r>
      <w:r w:rsidR="009E26D8" w:rsidRPr="00E413BA">
        <w:rPr>
          <w:sz w:val="20"/>
          <w:szCs w:val="20"/>
        </w:rPr>
        <w:t>ého</w:t>
      </w:r>
      <w:r w:rsidRPr="00E413BA">
        <w:rPr>
          <w:sz w:val="20"/>
          <w:szCs w:val="20"/>
        </w:rPr>
        <w:t xml:space="preserve"> skóre, </w:t>
      </w:r>
      <w:r w:rsidRPr="00E413BA">
        <w:rPr>
          <w:i/>
          <w:iCs/>
          <w:sz w:val="20"/>
          <w:szCs w:val="20"/>
        </w:rPr>
        <w:t>MGMT</w:t>
      </w:r>
      <w:r w:rsidRPr="00E413BA">
        <w:rPr>
          <w:sz w:val="20"/>
          <w:szCs w:val="20"/>
        </w:rPr>
        <w:t xml:space="preserve"> - O6-methylguanin-DNA-methyltransferáza. </w:t>
      </w:r>
    </w:p>
    <w:p w14:paraId="6DC5CD47" w14:textId="46485877" w:rsidR="00063737" w:rsidRPr="003F228D" w:rsidRDefault="00786C91" w:rsidP="00EC4DAF">
      <w:pPr>
        <w:pStyle w:val="Nadpis2"/>
        <w:ind w:left="0" w:firstLine="0"/>
      </w:pPr>
      <w:bookmarkStart w:id="19" w:name="_Toc88741449"/>
      <w:bookmarkStart w:id="20" w:name="_Hlk67142652"/>
      <w:r w:rsidRPr="003F228D">
        <w:t xml:space="preserve">Klasifikace </w:t>
      </w:r>
      <w:r w:rsidR="005E63DA" w:rsidRPr="003F228D">
        <w:t>gliomů</w:t>
      </w:r>
      <w:bookmarkEnd w:id="19"/>
    </w:p>
    <w:p w14:paraId="35D3E94D" w14:textId="6CA3D814" w:rsidR="007E48C7" w:rsidRDefault="002D3223" w:rsidP="00EC4DAF">
      <w:pPr>
        <w:pStyle w:val="Odstavecseseznamem"/>
        <w:tabs>
          <w:tab w:val="left" w:pos="975"/>
        </w:tabs>
        <w:ind w:left="0"/>
        <w:jc w:val="both"/>
      </w:pPr>
      <w:r w:rsidRPr="00C637D0">
        <w:t>Na základě</w:t>
      </w:r>
      <w:r>
        <w:t xml:space="preserve"> </w:t>
      </w:r>
      <w:r w:rsidRPr="00917484">
        <w:t xml:space="preserve">potřeby sjednotit </w:t>
      </w:r>
      <w:r w:rsidR="00BD15F4" w:rsidRPr="00917484">
        <w:t xml:space="preserve">mezinárodně </w:t>
      </w:r>
      <w:r w:rsidRPr="00917484">
        <w:t>klasifikaci nádorů centrální nervové soustavy</w:t>
      </w:r>
      <w:r w:rsidR="00BD15F4" w:rsidRPr="00917484">
        <w:t xml:space="preserve"> (CNS)</w:t>
      </w:r>
      <w:r w:rsidRPr="00917484">
        <w:t xml:space="preserve">, bylo </w:t>
      </w:r>
      <w:r w:rsidR="00BD15F4" w:rsidRPr="00917484">
        <w:t>v roce 1979 vydáno první vydání Histologické typizace nádorů vydané Světovou zdravotnickou organizací (WHO)</w:t>
      </w:r>
      <w:r w:rsidR="00DD7301" w:rsidRPr="00917484">
        <w:t xml:space="preserve"> a na</w:t>
      </w:r>
      <w:r w:rsidR="00DD7301">
        <w:t xml:space="preserve"> ni v </w:t>
      </w:r>
      <w:r w:rsidR="007B4C38">
        <w:t>následujících</w:t>
      </w:r>
      <w:r w:rsidR="00DD7301">
        <w:t xml:space="preserve"> letech navázaly </w:t>
      </w:r>
      <w:r w:rsidR="007B4C38">
        <w:t xml:space="preserve">další </w:t>
      </w:r>
      <w:r w:rsidR="00F53CC3">
        <w:t>tři edice a jed</w:t>
      </w:r>
      <w:r w:rsidR="00DD7301">
        <w:t>no</w:t>
      </w:r>
      <w:r w:rsidR="00F53CC3">
        <w:t xml:space="preserve"> </w:t>
      </w:r>
      <w:r w:rsidR="00DD7301">
        <w:t>doplnění</w:t>
      </w:r>
      <w:r w:rsidR="00F53CC3">
        <w:t xml:space="preserve"> z roku 2016. </w:t>
      </w:r>
    </w:p>
    <w:p w14:paraId="15203F0F" w14:textId="77777777" w:rsidR="007B4C38" w:rsidRDefault="007B4C38" w:rsidP="00EC4DAF">
      <w:pPr>
        <w:pStyle w:val="Odstavecseseznamem"/>
        <w:tabs>
          <w:tab w:val="left" w:pos="975"/>
        </w:tabs>
        <w:ind w:left="0"/>
        <w:jc w:val="both"/>
      </w:pPr>
    </w:p>
    <w:p w14:paraId="6B1C2C67" w14:textId="449F09E3" w:rsidR="002D3223" w:rsidRDefault="007E48C7" w:rsidP="00EC4DAF">
      <w:pPr>
        <w:pStyle w:val="Odstavecseseznamem"/>
        <w:tabs>
          <w:tab w:val="left" w:pos="975"/>
        </w:tabs>
        <w:ind w:left="0"/>
        <w:jc w:val="both"/>
      </w:pPr>
      <w:r>
        <w:t>První edice z roku 1979 byla založena na pěti skupinách (0-IV) založených na prognóze bez ohledu na histologii a cytologii</w:t>
      </w:r>
      <w:r w:rsidR="00286F7C">
        <w:fldChar w:fldCharType="begin" w:fldLock="1"/>
      </w:r>
      <w:r w:rsidR="00C554E1">
        <w:instrText>ADDIN CSL_CITATION {"citationItems":[{"id":"ITEM-1","itemData":{"author":[{"dropping-particle":"","family":"Zülch","given":"Klaus Joachym","non-dropping-particle":"","parse-names":false,"suffix":""}],"id":"ITEM-1","issued":{"date-parts":[["1979"]]},"number-of-pages":"66","publisher-place":"Geneva","title":"Histological typing of tumours of the central nervous system ","type":"book"},"uris":["http://www.mendeley.com/documents/?uuid=4019a59b-8bd3-308d-a517-12259e10ef36"]}],"mendeley":{"formattedCitation":"&lt;sup&gt;38&lt;/sup&gt;","plainTextFormattedCitation":"38","previouslyFormattedCitation":"&lt;sup&gt;38&lt;/sup&gt;"},"properties":{"noteIndex":0},"schema":"https://github.com/citation-style-language/schema/raw/master/csl-citation.json"}</w:instrText>
      </w:r>
      <w:r w:rsidR="00286F7C">
        <w:fldChar w:fldCharType="separate"/>
      </w:r>
      <w:r w:rsidR="00C554E1" w:rsidRPr="00C554E1">
        <w:rPr>
          <w:noProof/>
          <w:vertAlign w:val="superscript"/>
        </w:rPr>
        <w:t>38</w:t>
      </w:r>
      <w:r w:rsidR="00286F7C">
        <w:fldChar w:fldCharType="end"/>
      </w:r>
      <w:r>
        <w:t xml:space="preserve">. </w:t>
      </w:r>
      <w:r w:rsidRPr="007E48C7">
        <w:t xml:space="preserve"> </w:t>
      </w:r>
      <w:r>
        <w:t xml:space="preserve">V následných edicích už byly do </w:t>
      </w:r>
      <w:r w:rsidR="00156DAD">
        <w:t>klasifikace zahrnuty i klinicko</w:t>
      </w:r>
      <w:r>
        <w:t xml:space="preserve">histologické znaky a značení gradu jako I-IV, vaskulární proliferace, strukturální abnormality, mitózy a nekrózy. </w:t>
      </w:r>
      <w:r w:rsidR="002158AD">
        <w:t>Postupný vývoj klasifikace reflektuje vývoj nových technologií v oblasti molekulární diagnostiky od světelné mikroskopie s imunohistochemi</w:t>
      </w:r>
      <w:r w:rsidR="002A19FF">
        <w:t>í</w:t>
      </w:r>
      <w:r w:rsidR="002158AD">
        <w:t xml:space="preserve"> </w:t>
      </w:r>
      <w:r w:rsidR="002A19FF">
        <w:t>přes</w:t>
      </w:r>
      <w:r w:rsidR="002158AD">
        <w:t xml:space="preserve"> fluorescenční </w:t>
      </w:r>
      <w:r w:rsidR="002158AD" w:rsidRPr="002A19FF">
        <w:rPr>
          <w:i/>
          <w:iCs/>
        </w:rPr>
        <w:t>in situ</w:t>
      </w:r>
      <w:r w:rsidR="002158AD">
        <w:t xml:space="preserve"> hybridizaci </w:t>
      </w:r>
      <w:r w:rsidR="002A19FF">
        <w:t xml:space="preserve">až </w:t>
      </w:r>
      <w:r w:rsidR="002158AD">
        <w:t xml:space="preserve">po sekvenování. </w:t>
      </w:r>
    </w:p>
    <w:p w14:paraId="0D9DF3ED" w14:textId="77777777" w:rsidR="007B4C38" w:rsidRDefault="007B4C38" w:rsidP="00EC4DAF">
      <w:pPr>
        <w:pStyle w:val="Odstavecseseznamem"/>
        <w:tabs>
          <w:tab w:val="left" w:pos="975"/>
        </w:tabs>
        <w:ind w:left="0"/>
        <w:jc w:val="both"/>
      </w:pPr>
    </w:p>
    <w:p w14:paraId="29F9582A" w14:textId="3B7484E8" w:rsidR="005E63DA" w:rsidRDefault="005E63DA" w:rsidP="00EC4DAF">
      <w:pPr>
        <w:pStyle w:val="Nadpis3"/>
        <w:ind w:left="0" w:firstLine="0"/>
      </w:pPr>
      <w:bookmarkStart w:id="21" w:name="_Toc88741450"/>
      <w:r w:rsidRPr="003F228D">
        <w:t xml:space="preserve">Klasifikace gliomů dle WHO </w:t>
      </w:r>
      <w:r w:rsidR="00ED6277" w:rsidRPr="003F228D">
        <w:t>2007</w:t>
      </w:r>
      <w:bookmarkEnd w:id="21"/>
    </w:p>
    <w:p w14:paraId="42C4173F" w14:textId="77777777" w:rsidR="00044845" w:rsidRPr="00C60576" w:rsidRDefault="00044845" w:rsidP="00EC4DAF">
      <w:pPr>
        <w:rPr>
          <w:sz w:val="6"/>
          <w:szCs w:val="6"/>
        </w:rPr>
      </w:pPr>
    </w:p>
    <w:p w14:paraId="679366CA" w14:textId="49744C9B" w:rsidR="00BD15F4" w:rsidRDefault="00BD15F4" w:rsidP="00EC4DAF">
      <w:pPr>
        <w:pStyle w:val="Odstavecseseznamem"/>
        <w:tabs>
          <w:tab w:val="left" w:pos="360"/>
        </w:tabs>
        <w:ind w:left="0"/>
        <w:jc w:val="both"/>
      </w:pPr>
      <w:r>
        <w:t>P</w:t>
      </w:r>
      <w:r w:rsidRPr="00BD15F4">
        <w:t xml:space="preserve">oslední </w:t>
      </w:r>
      <w:r w:rsidR="000A1638">
        <w:t xml:space="preserve">kompletní </w:t>
      </w:r>
      <w:r>
        <w:t xml:space="preserve">klasifikace nádorů CNS byla uvedena v roce 2007 Světovou zdravotnickou organizací, která rozšířila seznam o </w:t>
      </w:r>
      <w:r w:rsidR="00F53CC3">
        <w:t xml:space="preserve">další </w:t>
      </w:r>
      <w:r>
        <w:t xml:space="preserve">histologické varianty na základě různících se klinickopatologických </w:t>
      </w:r>
      <w:r w:rsidR="00F53CC3">
        <w:t xml:space="preserve">charakteristik. </w:t>
      </w:r>
      <w:r w:rsidR="001B6133">
        <w:t xml:space="preserve">Oproti předchozí edici byl kladen důraz na epidemiologii, klinické charakteristiky a symptomy, zobrazovací metody, prognostické a prediktivní faktory. </w:t>
      </w:r>
      <w:r w:rsidR="00A9306E">
        <w:t xml:space="preserve">Tato čtvrtá edice je založena na rozdělení gliálních nádorů dle histopatologických kritérií a gradu v rozmezí I až IV, které predikuje biologické chování nádoru. Grade I označuje nádory s nízkou proliferací a dobrou prognózou, naproti tomu gliální nádory gradu IV jsou maligní a </w:t>
      </w:r>
      <w:r w:rsidR="00F94B19">
        <w:t>pacienti s tímto typem nádoru mají krátkou dobou přežití. Všeobecně grade gliálních nádorů kombinuje predikci odpovědi na</w:t>
      </w:r>
      <w:r w:rsidR="00EA6F43">
        <w:t xml:space="preserve"> terapii</w:t>
      </w:r>
      <w:r w:rsidR="00F94B19">
        <w:t xml:space="preserve"> a samotný outcome pacienta</w:t>
      </w:r>
      <w:r w:rsidR="00EA6F43">
        <w:t xml:space="preserve">. </w:t>
      </w:r>
    </w:p>
    <w:p w14:paraId="219A9D9C" w14:textId="77777777" w:rsidR="0093692C" w:rsidRPr="00BD15F4" w:rsidRDefault="0093692C" w:rsidP="00EC4DAF">
      <w:pPr>
        <w:pStyle w:val="Odstavecseseznamem"/>
        <w:tabs>
          <w:tab w:val="left" w:pos="975"/>
        </w:tabs>
        <w:ind w:left="0"/>
      </w:pPr>
    </w:p>
    <w:p w14:paraId="7EA6F30F" w14:textId="0771BF18" w:rsidR="00ED6277" w:rsidRDefault="00EA6F43" w:rsidP="00A92FFD">
      <w:pPr>
        <w:pStyle w:val="Nadpis3"/>
      </w:pPr>
      <w:bookmarkStart w:id="22" w:name="_Toc88741451"/>
      <w:r>
        <w:t xml:space="preserve">Klasifikace gliomů s doplněním z roku </w:t>
      </w:r>
      <w:r w:rsidR="00ED6277">
        <w:t>2016</w:t>
      </w:r>
      <w:bookmarkEnd w:id="22"/>
    </w:p>
    <w:p w14:paraId="2797BA9E" w14:textId="77777777" w:rsidR="00044845" w:rsidRPr="00C60576" w:rsidRDefault="00044845" w:rsidP="00EC4DAF">
      <w:pPr>
        <w:rPr>
          <w:sz w:val="6"/>
          <w:szCs w:val="6"/>
        </w:rPr>
      </w:pPr>
    </w:p>
    <w:p w14:paraId="5FDEE72F" w14:textId="3FC8FDA8" w:rsidR="0052250B" w:rsidRDefault="002269CD" w:rsidP="00EC4DAF">
      <w:pPr>
        <w:pStyle w:val="Odstavecseseznamem"/>
        <w:tabs>
          <w:tab w:val="left" w:pos="975"/>
        </w:tabs>
        <w:ind w:left="0"/>
        <w:jc w:val="both"/>
      </w:pPr>
      <w:r>
        <w:t xml:space="preserve">Poprvé za dobu vzniku mezinárodní klasifikace nádorů CNS byly </w:t>
      </w:r>
      <w:r w:rsidR="005D7904">
        <w:t>využity</w:t>
      </w:r>
      <w:r>
        <w:t xml:space="preserve"> molekulární parametry, které </w:t>
      </w:r>
      <w:r w:rsidR="005D7904">
        <w:t>spolu s histologií pomohly lépe definovat</w:t>
      </w:r>
      <w:r w:rsidR="0052250B">
        <w:t xml:space="preserve"> jednotlivé nádory. </w:t>
      </w:r>
      <w:r w:rsidR="005D7904">
        <w:t xml:space="preserve">Doplnění molekulární charakterizace do klasifikace </w:t>
      </w:r>
      <w:r w:rsidR="004937E4">
        <w:t xml:space="preserve">jednoduše </w:t>
      </w:r>
      <w:r w:rsidR="005D7904">
        <w:t>odráží pokrok v oblasti tumorigeneze</w:t>
      </w:r>
      <w:r w:rsidR="004937E4">
        <w:t>, která se udála</w:t>
      </w:r>
      <w:r w:rsidR="005D7904">
        <w:t xml:space="preserve"> posledních dvacet let.</w:t>
      </w:r>
      <w:r w:rsidR="004937E4">
        <w:t xml:space="preserve"> Většina genetických změn byla známa už dříve, avšak se na ně pohlíželo pouze jako na prognostické a prediktivní markery v samotných podtypech, které byly do té doby definovány pouze histologicky. Až v roce 2016 došlo ke změně pohledu na tyto alterace a byly využity pro definování přesných podtypů</w:t>
      </w:r>
      <w:r w:rsidR="00BB1925">
        <w:t xml:space="preserve"> (Tabulka </w:t>
      </w:r>
      <w:r w:rsidR="00FE1CE7">
        <w:t>2</w:t>
      </w:r>
      <w:r w:rsidR="00BB1925">
        <w:t>)</w:t>
      </w:r>
      <w:r w:rsidR="004937E4">
        <w:t xml:space="preserve">. Spojením genotypizace a fenotypizace </w:t>
      </w:r>
      <w:r w:rsidR="00F15D3E">
        <w:t xml:space="preserve">přineslo určitý stupeň objektivity do diagnostického postupu. Vznikají tak více homogenní skupiny s přesnější diagnózou, což vede k lepšímu managementu léčby, odpovědi na ni a </w:t>
      </w:r>
      <w:r w:rsidR="00C37F2D">
        <w:t xml:space="preserve">zpřesnění </w:t>
      </w:r>
      <w:r w:rsidR="00F15D3E">
        <w:t>samotné prognóz</w:t>
      </w:r>
      <w:r w:rsidR="00C37F2D">
        <w:t>y</w:t>
      </w:r>
      <w:r w:rsidR="00F15D3E">
        <w:t xml:space="preserve"> onemocnění. </w:t>
      </w:r>
    </w:p>
    <w:p w14:paraId="41D375B1" w14:textId="77777777" w:rsidR="007B4C38" w:rsidRDefault="007B4C38" w:rsidP="00EC4DAF">
      <w:pPr>
        <w:pStyle w:val="Odstavecseseznamem"/>
        <w:tabs>
          <w:tab w:val="left" w:pos="975"/>
        </w:tabs>
        <w:ind w:left="0"/>
        <w:jc w:val="both"/>
      </w:pPr>
    </w:p>
    <w:p w14:paraId="4C40AB35" w14:textId="5C2E7191" w:rsidR="00E27288" w:rsidRDefault="00E27288" w:rsidP="00EC4DAF">
      <w:pPr>
        <w:pStyle w:val="Odstavecseseznamem"/>
        <w:tabs>
          <w:tab w:val="left" w:pos="975"/>
        </w:tabs>
        <w:ind w:left="0"/>
        <w:jc w:val="both"/>
      </w:pPr>
      <w:r>
        <w:t xml:space="preserve">Hlavní změny z roku 2016 se týkají restrukturalizace s doplněním geneticky definovaných podskupin u difuzních gliomů, meduloblastomů a embryonálních nádorů, </w:t>
      </w:r>
      <w:r w:rsidRPr="00E27288">
        <w:t>nov</w:t>
      </w:r>
      <w:r w:rsidR="00A211E3">
        <w:t>ého</w:t>
      </w:r>
      <w:r w:rsidRPr="00E27288">
        <w:t xml:space="preserve"> přístup</w:t>
      </w:r>
      <w:r w:rsidR="00A211E3">
        <w:t>u</w:t>
      </w:r>
      <w:r w:rsidRPr="00E27288">
        <w:t xml:space="preserve"> k rozlišení pediatrických nádorů</w:t>
      </w:r>
      <w:r>
        <w:t xml:space="preserve">, </w:t>
      </w:r>
      <w:r w:rsidR="00A211E3">
        <w:t xml:space="preserve">doplnění nových skupin podle molekulární charakterizace (glioblastom </w:t>
      </w:r>
      <w:r w:rsidR="00A211E3" w:rsidRPr="00E413BA">
        <w:rPr>
          <w:i/>
          <w:iCs/>
        </w:rPr>
        <w:t>IDH</w:t>
      </w:r>
      <w:r w:rsidR="00C60576">
        <w:t xml:space="preserve"> </w:t>
      </w:r>
      <w:r w:rsidR="00A211E3">
        <w:t>wild</w:t>
      </w:r>
      <w:r w:rsidR="00C60576">
        <w:t xml:space="preserve"> </w:t>
      </w:r>
      <w:r w:rsidR="00A211E3">
        <w:t>type/mutovaný</w:t>
      </w:r>
      <w:r w:rsidR="00A211E3" w:rsidRPr="00A211E3">
        <w:t xml:space="preserve">, epiteloidní glioblastom, ependymom s RELA fúzí, difúzní středočárový gliom </w:t>
      </w:r>
      <w:r w:rsidR="00A211E3" w:rsidRPr="00091D5F">
        <w:rPr>
          <w:i/>
          <w:iCs/>
        </w:rPr>
        <w:t>H3K27M</w:t>
      </w:r>
      <w:r w:rsidR="00A211E3" w:rsidRPr="00A211E3">
        <w:t xml:space="preserve"> mutovaný)</w:t>
      </w:r>
      <w:r w:rsidR="00A211E3">
        <w:t xml:space="preserve"> a dále došlo k odstranění již překonaných skupin (gliomatosis cerebri, protoplazmické a fibrilární astrocytomy, celulární ependymom aj.)</w:t>
      </w:r>
    </w:p>
    <w:p w14:paraId="3D0CC6A1" w14:textId="77777777" w:rsidR="00E27288" w:rsidRDefault="00E27288" w:rsidP="00EC4DAF">
      <w:pPr>
        <w:pStyle w:val="Odstavecseseznamem"/>
        <w:tabs>
          <w:tab w:val="left" w:pos="975"/>
        </w:tabs>
        <w:ind w:left="0"/>
        <w:jc w:val="both"/>
      </w:pPr>
    </w:p>
    <w:p w14:paraId="715D3310" w14:textId="28242B03" w:rsidR="00BB1925" w:rsidRPr="00BB1925" w:rsidRDefault="00E27288" w:rsidP="00EC4DAF">
      <w:pPr>
        <w:pStyle w:val="Odstavecseseznamem"/>
        <w:tabs>
          <w:tab w:val="left" w:pos="975"/>
        </w:tabs>
        <w:ind w:left="0"/>
        <w:jc w:val="both"/>
        <w:rPr>
          <w:sz w:val="20"/>
          <w:szCs w:val="20"/>
        </w:rPr>
      </w:pPr>
      <w:r>
        <w:t xml:space="preserve"> </w:t>
      </w:r>
      <w:bookmarkStart w:id="23" w:name="_Toc67162700"/>
      <w:r w:rsidR="00306B65" w:rsidRPr="00306B65">
        <w:rPr>
          <w:b/>
          <w:bCs/>
          <w:sz w:val="20"/>
          <w:szCs w:val="20"/>
        </w:rPr>
        <w:t xml:space="preserve">Tabulka </w:t>
      </w:r>
      <w:r w:rsidR="00306B65" w:rsidRPr="00306B65">
        <w:rPr>
          <w:b/>
          <w:bCs/>
          <w:sz w:val="20"/>
          <w:szCs w:val="20"/>
        </w:rPr>
        <w:fldChar w:fldCharType="begin"/>
      </w:r>
      <w:r w:rsidR="00306B65" w:rsidRPr="00306B65">
        <w:rPr>
          <w:b/>
          <w:bCs/>
          <w:sz w:val="20"/>
          <w:szCs w:val="20"/>
        </w:rPr>
        <w:instrText xml:space="preserve"> SEQ Tabulka \* ARABIC </w:instrText>
      </w:r>
      <w:r w:rsidR="00306B65" w:rsidRPr="00306B65">
        <w:rPr>
          <w:b/>
          <w:bCs/>
          <w:sz w:val="20"/>
          <w:szCs w:val="20"/>
        </w:rPr>
        <w:fldChar w:fldCharType="separate"/>
      </w:r>
      <w:r w:rsidR="00C43719">
        <w:rPr>
          <w:b/>
          <w:bCs/>
          <w:noProof/>
          <w:sz w:val="20"/>
          <w:szCs w:val="20"/>
        </w:rPr>
        <w:t>2</w:t>
      </w:r>
      <w:r w:rsidR="00306B65" w:rsidRPr="00306B65">
        <w:rPr>
          <w:b/>
          <w:bCs/>
          <w:sz w:val="20"/>
          <w:szCs w:val="20"/>
        </w:rPr>
        <w:fldChar w:fldCharType="end"/>
      </w:r>
      <w:r w:rsidR="00306B65" w:rsidRPr="00306B65">
        <w:rPr>
          <w:b/>
          <w:bCs/>
          <w:sz w:val="20"/>
          <w:szCs w:val="20"/>
        </w:rPr>
        <w:t xml:space="preserve">: </w:t>
      </w:r>
      <w:r w:rsidR="00BB1925" w:rsidRPr="00BB1925">
        <w:rPr>
          <w:sz w:val="20"/>
          <w:szCs w:val="20"/>
        </w:rPr>
        <w:t>Klasifikace, grade a kód morfologie dle WHO 2016.</w:t>
      </w:r>
      <w:bookmarkEnd w:id="23"/>
    </w:p>
    <w:tbl>
      <w:tblPr>
        <w:tblW w:w="8930" w:type="dxa"/>
        <w:tblInd w:w="284" w:type="dxa"/>
        <w:tblCellMar>
          <w:left w:w="70" w:type="dxa"/>
          <w:right w:w="70" w:type="dxa"/>
        </w:tblCellMar>
        <w:tblLook w:val="04A0" w:firstRow="1" w:lastRow="0" w:firstColumn="1" w:lastColumn="0" w:noHBand="0" w:noVBand="1"/>
      </w:tblPr>
      <w:tblGrid>
        <w:gridCol w:w="6416"/>
        <w:gridCol w:w="1097"/>
        <w:gridCol w:w="1417"/>
      </w:tblGrid>
      <w:tr w:rsidR="00BB1925" w:rsidRPr="00813A6A" w14:paraId="2BAEB930" w14:textId="77777777" w:rsidTr="00AD2D8A">
        <w:trPr>
          <w:trHeight w:val="315"/>
        </w:trPr>
        <w:tc>
          <w:tcPr>
            <w:tcW w:w="6416" w:type="dxa"/>
            <w:tcBorders>
              <w:top w:val="nil"/>
              <w:left w:val="nil"/>
              <w:bottom w:val="single" w:sz="8" w:space="0" w:color="auto"/>
              <w:right w:val="nil"/>
            </w:tcBorders>
            <w:shd w:val="clear" w:color="auto" w:fill="auto"/>
            <w:noWrap/>
            <w:vAlign w:val="bottom"/>
            <w:hideMark/>
          </w:tcPr>
          <w:p w14:paraId="1F7CE812" w14:textId="2BB84D59" w:rsidR="00BB1925" w:rsidRPr="00813A6A" w:rsidRDefault="00AD2D8A" w:rsidP="00EC4DAF">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typ gliálního nádoru</w:t>
            </w:r>
          </w:p>
        </w:tc>
        <w:tc>
          <w:tcPr>
            <w:tcW w:w="1097" w:type="dxa"/>
            <w:tcBorders>
              <w:top w:val="nil"/>
              <w:left w:val="nil"/>
              <w:bottom w:val="single" w:sz="8" w:space="0" w:color="auto"/>
              <w:right w:val="nil"/>
            </w:tcBorders>
            <w:shd w:val="clear" w:color="auto" w:fill="auto"/>
            <w:noWrap/>
            <w:vAlign w:val="bottom"/>
            <w:hideMark/>
          </w:tcPr>
          <w:p w14:paraId="15DFCCBD" w14:textId="599EFE18" w:rsidR="00BB1925" w:rsidRPr="00813A6A" w:rsidRDefault="00AD2D8A" w:rsidP="00EC4DAF">
            <w:pPr>
              <w:spacing w:after="0" w:line="240" w:lineRule="auto"/>
              <w:jc w:val="center"/>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g</w:t>
            </w:r>
            <w:r w:rsidR="00BB1925" w:rsidRPr="00813A6A">
              <w:rPr>
                <w:rFonts w:ascii="Calibri" w:eastAsia="Times New Roman" w:hAnsi="Calibri" w:cs="Calibri"/>
                <w:b/>
                <w:bCs/>
                <w:color w:val="000000"/>
                <w:sz w:val="20"/>
                <w:szCs w:val="20"/>
              </w:rPr>
              <w:t>rade</w:t>
            </w:r>
          </w:p>
        </w:tc>
        <w:tc>
          <w:tcPr>
            <w:tcW w:w="1417" w:type="dxa"/>
            <w:tcBorders>
              <w:top w:val="nil"/>
              <w:left w:val="nil"/>
              <w:bottom w:val="single" w:sz="8" w:space="0" w:color="auto"/>
              <w:right w:val="nil"/>
            </w:tcBorders>
            <w:shd w:val="clear" w:color="auto" w:fill="auto"/>
            <w:noWrap/>
            <w:vAlign w:val="bottom"/>
            <w:hideMark/>
          </w:tcPr>
          <w:p w14:paraId="45BE2C1A" w14:textId="22C7B319" w:rsidR="00BB1925" w:rsidRPr="00813A6A" w:rsidRDefault="00AD2D8A" w:rsidP="00EC4DAF">
            <w:pPr>
              <w:spacing w:after="0" w:line="240" w:lineRule="auto"/>
              <w:jc w:val="center"/>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k</w:t>
            </w:r>
            <w:r w:rsidR="00BB1925" w:rsidRPr="00813A6A">
              <w:rPr>
                <w:rFonts w:ascii="Calibri" w:eastAsia="Times New Roman" w:hAnsi="Calibri" w:cs="Calibri"/>
                <w:b/>
                <w:bCs/>
                <w:color w:val="000000"/>
                <w:sz w:val="20"/>
                <w:szCs w:val="20"/>
              </w:rPr>
              <w:t>ód morfologie</w:t>
            </w:r>
          </w:p>
        </w:tc>
      </w:tr>
      <w:tr w:rsidR="00BB1925" w:rsidRPr="00813A6A" w14:paraId="435E05F7" w14:textId="77777777" w:rsidTr="00AD2D8A">
        <w:trPr>
          <w:trHeight w:val="300"/>
        </w:trPr>
        <w:tc>
          <w:tcPr>
            <w:tcW w:w="6416" w:type="dxa"/>
            <w:tcBorders>
              <w:top w:val="nil"/>
              <w:left w:val="nil"/>
              <w:bottom w:val="single" w:sz="4" w:space="0" w:color="auto"/>
              <w:right w:val="nil"/>
            </w:tcBorders>
            <w:shd w:val="clear" w:color="auto" w:fill="auto"/>
            <w:noWrap/>
            <w:vAlign w:val="bottom"/>
            <w:hideMark/>
          </w:tcPr>
          <w:p w14:paraId="690334CF" w14:textId="2956676F" w:rsidR="00BB1925" w:rsidRPr="00813A6A" w:rsidRDefault="00AD2D8A" w:rsidP="00EC4DAF">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difúzní astrocytární a oligodendrogliální nádory</w:t>
            </w:r>
          </w:p>
        </w:tc>
        <w:tc>
          <w:tcPr>
            <w:tcW w:w="1097" w:type="dxa"/>
            <w:tcBorders>
              <w:top w:val="nil"/>
              <w:left w:val="nil"/>
              <w:bottom w:val="single" w:sz="4" w:space="0" w:color="auto"/>
              <w:right w:val="nil"/>
            </w:tcBorders>
            <w:shd w:val="clear" w:color="auto" w:fill="auto"/>
            <w:noWrap/>
            <w:vAlign w:val="bottom"/>
            <w:hideMark/>
          </w:tcPr>
          <w:p w14:paraId="3B0DE941" w14:textId="77777777" w:rsidR="00BB1925" w:rsidRPr="00813A6A" w:rsidRDefault="00BB1925"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w:t>
            </w:r>
          </w:p>
        </w:tc>
        <w:tc>
          <w:tcPr>
            <w:tcW w:w="1417" w:type="dxa"/>
            <w:tcBorders>
              <w:top w:val="nil"/>
              <w:left w:val="nil"/>
              <w:bottom w:val="single" w:sz="4" w:space="0" w:color="auto"/>
              <w:right w:val="nil"/>
            </w:tcBorders>
            <w:shd w:val="clear" w:color="auto" w:fill="auto"/>
            <w:noWrap/>
            <w:vAlign w:val="bottom"/>
            <w:hideMark/>
          </w:tcPr>
          <w:p w14:paraId="1FBA265A" w14:textId="77777777" w:rsidR="00BB1925" w:rsidRPr="00813A6A" w:rsidRDefault="00BB1925"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w:t>
            </w:r>
          </w:p>
        </w:tc>
      </w:tr>
      <w:tr w:rsidR="00BB1925" w:rsidRPr="00813A6A" w14:paraId="1E2C02FF" w14:textId="77777777" w:rsidTr="00AD2D8A">
        <w:trPr>
          <w:trHeight w:val="300"/>
        </w:trPr>
        <w:tc>
          <w:tcPr>
            <w:tcW w:w="6416" w:type="dxa"/>
            <w:tcBorders>
              <w:top w:val="nil"/>
              <w:left w:val="nil"/>
              <w:bottom w:val="nil"/>
              <w:right w:val="nil"/>
            </w:tcBorders>
            <w:shd w:val="clear" w:color="auto" w:fill="auto"/>
            <w:noWrap/>
            <w:vAlign w:val="bottom"/>
            <w:hideMark/>
          </w:tcPr>
          <w:p w14:paraId="0917A236" w14:textId="68226C25"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difúzní astrocytom, </w:t>
            </w:r>
            <w:r w:rsidRPr="00813A6A">
              <w:rPr>
                <w:rFonts w:ascii="Calibri" w:eastAsia="Times New Roman" w:hAnsi="Calibri" w:cs="Calibri"/>
                <w:i/>
                <w:iCs/>
                <w:color w:val="000000"/>
                <w:sz w:val="20"/>
                <w:szCs w:val="20"/>
              </w:rPr>
              <w:t>IDH</w:t>
            </w:r>
            <w:r w:rsidRPr="00813A6A">
              <w:rPr>
                <w:rFonts w:ascii="Calibri" w:eastAsia="Times New Roman" w:hAnsi="Calibri" w:cs="Calibri"/>
                <w:color w:val="000000"/>
                <w:sz w:val="20"/>
                <w:szCs w:val="20"/>
              </w:rPr>
              <w:t xml:space="preserve"> mutovaný</w:t>
            </w:r>
          </w:p>
        </w:tc>
        <w:tc>
          <w:tcPr>
            <w:tcW w:w="1097" w:type="dxa"/>
            <w:tcBorders>
              <w:top w:val="nil"/>
              <w:left w:val="nil"/>
              <w:bottom w:val="nil"/>
              <w:right w:val="nil"/>
            </w:tcBorders>
            <w:shd w:val="clear" w:color="auto" w:fill="auto"/>
            <w:noWrap/>
            <w:vAlign w:val="bottom"/>
            <w:hideMark/>
          </w:tcPr>
          <w:p w14:paraId="6AB69E0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7ADA278B"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9400/3</w:t>
            </w:r>
          </w:p>
        </w:tc>
      </w:tr>
      <w:tr w:rsidR="00BB1925" w:rsidRPr="00813A6A" w14:paraId="34F26946" w14:textId="77777777" w:rsidTr="00AD2D8A">
        <w:trPr>
          <w:trHeight w:val="300"/>
        </w:trPr>
        <w:tc>
          <w:tcPr>
            <w:tcW w:w="6416" w:type="dxa"/>
            <w:tcBorders>
              <w:top w:val="nil"/>
              <w:left w:val="nil"/>
              <w:bottom w:val="nil"/>
              <w:right w:val="nil"/>
            </w:tcBorders>
            <w:shd w:val="clear" w:color="auto" w:fill="auto"/>
            <w:noWrap/>
            <w:vAlign w:val="bottom"/>
            <w:hideMark/>
          </w:tcPr>
          <w:p w14:paraId="197BC216" w14:textId="463AEED8" w:rsidR="00BB1925" w:rsidRPr="00813A6A" w:rsidRDefault="00AD2D8A" w:rsidP="00EC4DAF">
            <w:pPr>
              <w:spacing w:after="0" w:line="240" w:lineRule="auto"/>
              <w:ind w:firstLineChars="500" w:firstLine="1000"/>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gemistocytární astrocytom, </w:t>
            </w:r>
            <w:r w:rsidR="00E413BA" w:rsidRPr="00E413BA">
              <w:rPr>
                <w:rFonts w:ascii="Calibri" w:eastAsia="Times New Roman" w:hAnsi="Calibri" w:cs="Calibri"/>
                <w:i/>
                <w:iCs/>
                <w:color w:val="000000"/>
                <w:sz w:val="20"/>
                <w:szCs w:val="20"/>
              </w:rPr>
              <w:t>IDH</w:t>
            </w:r>
            <w:r w:rsidRPr="00813A6A">
              <w:rPr>
                <w:rFonts w:ascii="Calibri" w:eastAsia="Times New Roman" w:hAnsi="Calibri" w:cs="Calibri"/>
                <w:color w:val="000000"/>
                <w:sz w:val="20"/>
                <w:szCs w:val="20"/>
              </w:rPr>
              <w:t xml:space="preserve"> mutovaný</w:t>
            </w:r>
          </w:p>
        </w:tc>
        <w:tc>
          <w:tcPr>
            <w:tcW w:w="1097" w:type="dxa"/>
            <w:tcBorders>
              <w:top w:val="nil"/>
              <w:left w:val="nil"/>
              <w:bottom w:val="nil"/>
              <w:right w:val="nil"/>
            </w:tcBorders>
            <w:shd w:val="clear" w:color="auto" w:fill="auto"/>
            <w:noWrap/>
            <w:vAlign w:val="bottom"/>
            <w:hideMark/>
          </w:tcPr>
          <w:p w14:paraId="3BD18A7A"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70BA44E8"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9411/3</w:t>
            </w:r>
          </w:p>
        </w:tc>
      </w:tr>
      <w:tr w:rsidR="00BB1925" w:rsidRPr="00813A6A" w14:paraId="14B7C807" w14:textId="77777777" w:rsidTr="00AD2D8A">
        <w:trPr>
          <w:trHeight w:val="300"/>
        </w:trPr>
        <w:tc>
          <w:tcPr>
            <w:tcW w:w="6416" w:type="dxa"/>
            <w:tcBorders>
              <w:top w:val="nil"/>
              <w:left w:val="nil"/>
              <w:bottom w:val="nil"/>
              <w:right w:val="nil"/>
            </w:tcBorders>
            <w:shd w:val="clear" w:color="auto" w:fill="auto"/>
            <w:noWrap/>
            <w:vAlign w:val="bottom"/>
            <w:hideMark/>
          </w:tcPr>
          <w:p w14:paraId="52BD78F9" w14:textId="1FFA70E8"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difúzní astrocytom, </w:t>
            </w:r>
            <w:r w:rsidRPr="00813A6A">
              <w:rPr>
                <w:rFonts w:ascii="Calibri" w:eastAsia="Times New Roman" w:hAnsi="Calibri" w:cs="Calibri"/>
                <w:i/>
                <w:iCs/>
                <w:color w:val="000000"/>
                <w:sz w:val="20"/>
                <w:szCs w:val="20"/>
              </w:rPr>
              <w:t>IDH</w:t>
            </w:r>
            <w:r w:rsidRPr="00813A6A">
              <w:rPr>
                <w:rFonts w:ascii="Calibri" w:eastAsia="Times New Roman" w:hAnsi="Calibri" w:cs="Calibri"/>
                <w:color w:val="000000"/>
                <w:sz w:val="20"/>
                <w:szCs w:val="20"/>
              </w:rPr>
              <w:t xml:space="preserve"> wildtype</w:t>
            </w:r>
          </w:p>
        </w:tc>
        <w:tc>
          <w:tcPr>
            <w:tcW w:w="1097" w:type="dxa"/>
            <w:tcBorders>
              <w:top w:val="nil"/>
              <w:left w:val="nil"/>
              <w:bottom w:val="nil"/>
              <w:right w:val="nil"/>
            </w:tcBorders>
            <w:shd w:val="clear" w:color="auto" w:fill="auto"/>
            <w:noWrap/>
            <w:vAlign w:val="bottom"/>
            <w:hideMark/>
          </w:tcPr>
          <w:p w14:paraId="49D6BA6E"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4DBADCD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9400/3</w:t>
            </w:r>
          </w:p>
        </w:tc>
      </w:tr>
      <w:tr w:rsidR="00BB1925" w:rsidRPr="00813A6A" w14:paraId="65A2F173" w14:textId="77777777" w:rsidTr="00AD2D8A">
        <w:trPr>
          <w:trHeight w:val="300"/>
        </w:trPr>
        <w:tc>
          <w:tcPr>
            <w:tcW w:w="6416" w:type="dxa"/>
            <w:tcBorders>
              <w:top w:val="nil"/>
              <w:left w:val="nil"/>
              <w:bottom w:val="nil"/>
              <w:right w:val="nil"/>
            </w:tcBorders>
            <w:shd w:val="clear" w:color="auto" w:fill="auto"/>
            <w:noWrap/>
            <w:vAlign w:val="bottom"/>
            <w:hideMark/>
          </w:tcPr>
          <w:p w14:paraId="698181CB" w14:textId="7A3DE97E"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difúzní astrocytom, nespecifikovaný</w:t>
            </w:r>
          </w:p>
        </w:tc>
        <w:tc>
          <w:tcPr>
            <w:tcW w:w="1097" w:type="dxa"/>
            <w:tcBorders>
              <w:top w:val="nil"/>
              <w:left w:val="nil"/>
              <w:bottom w:val="nil"/>
              <w:right w:val="nil"/>
            </w:tcBorders>
            <w:shd w:val="clear" w:color="auto" w:fill="auto"/>
            <w:noWrap/>
            <w:vAlign w:val="bottom"/>
            <w:hideMark/>
          </w:tcPr>
          <w:p w14:paraId="285D2D00"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19943431"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9400/3</w:t>
            </w:r>
          </w:p>
        </w:tc>
      </w:tr>
      <w:tr w:rsidR="00BB1925" w:rsidRPr="00813A6A" w14:paraId="1D379E5E" w14:textId="77777777" w:rsidTr="00AD2D8A">
        <w:trPr>
          <w:trHeight w:val="300"/>
        </w:trPr>
        <w:tc>
          <w:tcPr>
            <w:tcW w:w="6416" w:type="dxa"/>
            <w:tcBorders>
              <w:top w:val="nil"/>
              <w:left w:val="nil"/>
              <w:bottom w:val="nil"/>
              <w:right w:val="nil"/>
            </w:tcBorders>
            <w:shd w:val="clear" w:color="auto" w:fill="auto"/>
            <w:noWrap/>
            <w:vAlign w:val="bottom"/>
            <w:hideMark/>
          </w:tcPr>
          <w:p w14:paraId="3715A4B7" w14:textId="32C26401"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anaplastický astrocytom, </w:t>
            </w:r>
            <w:r w:rsidRPr="00813A6A">
              <w:rPr>
                <w:rFonts w:ascii="Calibri" w:eastAsia="Times New Roman" w:hAnsi="Calibri" w:cs="Calibri"/>
                <w:i/>
                <w:iCs/>
                <w:color w:val="000000"/>
                <w:sz w:val="20"/>
                <w:szCs w:val="20"/>
              </w:rPr>
              <w:t>IDH</w:t>
            </w:r>
            <w:r w:rsidRPr="00813A6A">
              <w:rPr>
                <w:rFonts w:ascii="Calibri" w:eastAsia="Times New Roman" w:hAnsi="Calibri" w:cs="Calibri"/>
                <w:color w:val="000000"/>
                <w:sz w:val="20"/>
                <w:szCs w:val="20"/>
              </w:rPr>
              <w:t xml:space="preserve"> mutovaný</w:t>
            </w:r>
          </w:p>
        </w:tc>
        <w:tc>
          <w:tcPr>
            <w:tcW w:w="1097" w:type="dxa"/>
            <w:tcBorders>
              <w:top w:val="nil"/>
              <w:left w:val="nil"/>
              <w:bottom w:val="nil"/>
              <w:right w:val="nil"/>
            </w:tcBorders>
            <w:shd w:val="clear" w:color="auto" w:fill="auto"/>
            <w:noWrap/>
            <w:vAlign w:val="bottom"/>
            <w:hideMark/>
          </w:tcPr>
          <w:p w14:paraId="545CD573"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III</w:t>
            </w:r>
          </w:p>
        </w:tc>
        <w:tc>
          <w:tcPr>
            <w:tcW w:w="1417" w:type="dxa"/>
            <w:tcBorders>
              <w:top w:val="nil"/>
              <w:left w:val="nil"/>
              <w:bottom w:val="nil"/>
              <w:right w:val="nil"/>
            </w:tcBorders>
            <w:shd w:val="clear" w:color="auto" w:fill="auto"/>
            <w:noWrap/>
            <w:vAlign w:val="bottom"/>
            <w:hideMark/>
          </w:tcPr>
          <w:p w14:paraId="087575DF"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9401/3</w:t>
            </w:r>
          </w:p>
        </w:tc>
      </w:tr>
      <w:tr w:rsidR="00BB1925" w:rsidRPr="00813A6A" w14:paraId="5EA1EFF4" w14:textId="77777777" w:rsidTr="00AD2D8A">
        <w:trPr>
          <w:trHeight w:val="300"/>
        </w:trPr>
        <w:tc>
          <w:tcPr>
            <w:tcW w:w="6416" w:type="dxa"/>
            <w:tcBorders>
              <w:top w:val="nil"/>
              <w:left w:val="nil"/>
              <w:bottom w:val="nil"/>
              <w:right w:val="nil"/>
            </w:tcBorders>
            <w:shd w:val="clear" w:color="auto" w:fill="auto"/>
            <w:noWrap/>
            <w:vAlign w:val="bottom"/>
            <w:hideMark/>
          </w:tcPr>
          <w:p w14:paraId="79C33205" w14:textId="7CC7A75B"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anaplastický astrocytom, </w:t>
            </w:r>
            <w:r w:rsidRPr="00813A6A">
              <w:rPr>
                <w:rFonts w:ascii="Calibri" w:eastAsia="Times New Roman" w:hAnsi="Calibri" w:cs="Calibri"/>
                <w:i/>
                <w:iCs/>
                <w:color w:val="000000"/>
                <w:sz w:val="20"/>
                <w:szCs w:val="20"/>
              </w:rPr>
              <w:t>IDH</w:t>
            </w:r>
            <w:r w:rsidRPr="00813A6A">
              <w:rPr>
                <w:rFonts w:ascii="Calibri" w:eastAsia="Times New Roman" w:hAnsi="Calibri" w:cs="Calibri"/>
                <w:color w:val="000000"/>
                <w:sz w:val="20"/>
                <w:szCs w:val="20"/>
              </w:rPr>
              <w:t xml:space="preserve"> wild</w:t>
            </w:r>
            <w:r w:rsidR="00C60576">
              <w:rPr>
                <w:rFonts w:ascii="Calibri" w:eastAsia="Times New Roman" w:hAnsi="Calibri" w:cs="Calibri"/>
                <w:color w:val="000000"/>
                <w:sz w:val="20"/>
                <w:szCs w:val="20"/>
              </w:rPr>
              <w:t xml:space="preserve"> </w:t>
            </w:r>
            <w:r w:rsidRPr="00813A6A">
              <w:rPr>
                <w:rFonts w:ascii="Calibri" w:eastAsia="Times New Roman" w:hAnsi="Calibri" w:cs="Calibri"/>
                <w:color w:val="000000"/>
                <w:sz w:val="20"/>
                <w:szCs w:val="20"/>
              </w:rPr>
              <w:t>type</w:t>
            </w:r>
          </w:p>
        </w:tc>
        <w:tc>
          <w:tcPr>
            <w:tcW w:w="1097" w:type="dxa"/>
            <w:tcBorders>
              <w:top w:val="nil"/>
              <w:left w:val="nil"/>
              <w:bottom w:val="nil"/>
              <w:right w:val="nil"/>
            </w:tcBorders>
            <w:shd w:val="clear" w:color="auto" w:fill="auto"/>
            <w:noWrap/>
            <w:vAlign w:val="bottom"/>
            <w:hideMark/>
          </w:tcPr>
          <w:p w14:paraId="5062DAA8"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III</w:t>
            </w:r>
          </w:p>
        </w:tc>
        <w:tc>
          <w:tcPr>
            <w:tcW w:w="1417" w:type="dxa"/>
            <w:tcBorders>
              <w:top w:val="nil"/>
              <w:left w:val="nil"/>
              <w:bottom w:val="nil"/>
              <w:right w:val="nil"/>
            </w:tcBorders>
            <w:shd w:val="clear" w:color="auto" w:fill="auto"/>
            <w:noWrap/>
            <w:vAlign w:val="bottom"/>
            <w:hideMark/>
          </w:tcPr>
          <w:p w14:paraId="7B6B4E26"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9401/3</w:t>
            </w:r>
          </w:p>
        </w:tc>
      </w:tr>
      <w:tr w:rsidR="00BB1925" w:rsidRPr="00813A6A" w14:paraId="7C003949" w14:textId="77777777" w:rsidTr="00AD2D8A">
        <w:trPr>
          <w:trHeight w:val="300"/>
        </w:trPr>
        <w:tc>
          <w:tcPr>
            <w:tcW w:w="6416" w:type="dxa"/>
            <w:tcBorders>
              <w:top w:val="nil"/>
              <w:left w:val="nil"/>
              <w:bottom w:val="nil"/>
              <w:right w:val="nil"/>
            </w:tcBorders>
            <w:shd w:val="clear" w:color="auto" w:fill="auto"/>
            <w:noWrap/>
            <w:vAlign w:val="bottom"/>
            <w:hideMark/>
          </w:tcPr>
          <w:p w14:paraId="057F5011" w14:textId="1049E336"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anaplastický astrocytom, nespecifikovaný</w:t>
            </w:r>
          </w:p>
        </w:tc>
        <w:tc>
          <w:tcPr>
            <w:tcW w:w="1097" w:type="dxa"/>
            <w:tcBorders>
              <w:top w:val="nil"/>
              <w:left w:val="nil"/>
              <w:bottom w:val="nil"/>
              <w:right w:val="nil"/>
            </w:tcBorders>
            <w:shd w:val="clear" w:color="auto" w:fill="auto"/>
            <w:noWrap/>
            <w:vAlign w:val="bottom"/>
            <w:hideMark/>
          </w:tcPr>
          <w:p w14:paraId="002F4949"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III</w:t>
            </w:r>
          </w:p>
        </w:tc>
        <w:tc>
          <w:tcPr>
            <w:tcW w:w="1417" w:type="dxa"/>
            <w:tcBorders>
              <w:top w:val="nil"/>
              <w:left w:val="nil"/>
              <w:bottom w:val="nil"/>
              <w:right w:val="nil"/>
            </w:tcBorders>
            <w:shd w:val="clear" w:color="auto" w:fill="auto"/>
            <w:noWrap/>
            <w:vAlign w:val="bottom"/>
            <w:hideMark/>
          </w:tcPr>
          <w:p w14:paraId="311B3655"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9401/3</w:t>
            </w:r>
          </w:p>
        </w:tc>
      </w:tr>
      <w:tr w:rsidR="00BB1925" w:rsidRPr="00813A6A" w14:paraId="208B4340" w14:textId="77777777" w:rsidTr="00AD2D8A">
        <w:trPr>
          <w:trHeight w:val="300"/>
        </w:trPr>
        <w:tc>
          <w:tcPr>
            <w:tcW w:w="6416" w:type="dxa"/>
            <w:tcBorders>
              <w:top w:val="nil"/>
              <w:left w:val="nil"/>
              <w:bottom w:val="nil"/>
              <w:right w:val="nil"/>
            </w:tcBorders>
            <w:shd w:val="clear" w:color="auto" w:fill="auto"/>
            <w:noWrap/>
            <w:vAlign w:val="bottom"/>
            <w:hideMark/>
          </w:tcPr>
          <w:p w14:paraId="2FA2AF04" w14:textId="126C4C8A"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glioblastom,</w:t>
            </w:r>
            <w:r w:rsidRPr="00813A6A">
              <w:rPr>
                <w:rFonts w:ascii="Calibri" w:eastAsia="Times New Roman" w:hAnsi="Calibri" w:cs="Calibri"/>
                <w:i/>
                <w:iCs/>
                <w:color w:val="000000"/>
                <w:sz w:val="20"/>
                <w:szCs w:val="20"/>
              </w:rPr>
              <w:t xml:space="preserve"> IDH</w:t>
            </w:r>
            <w:r w:rsidRPr="00813A6A">
              <w:rPr>
                <w:rFonts w:ascii="Calibri" w:eastAsia="Times New Roman" w:hAnsi="Calibri" w:cs="Calibri"/>
                <w:color w:val="000000"/>
                <w:sz w:val="20"/>
                <w:szCs w:val="20"/>
              </w:rPr>
              <w:t xml:space="preserve"> wild</w:t>
            </w:r>
            <w:r w:rsidR="00C60576">
              <w:rPr>
                <w:rFonts w:ascii="Calibri" w:eastAsia="Times New Roman" w:hAnsi="Calibri" w:cs="Calibri"/>
                <w:color w:val="000000"/>
                <w:sz w:val="20"/>
                <w:szCs w:val="20"/>
              </w:rPr>
              <w:t xml:space="preserve"> </w:t>
            </w:r>
            <w:r w:rsidRPr="00813A6A">
              <w:rPr>
                <w:rFonts w:ascii="Calibri" w:eastAsia="Times New Roman" w:hAnsi="Calibri" w:cs="Calibri"/>
                <w:color w:val="000000"/>
                <w:sz w:val="20"/>
                <w:szCs w:val="20"/>
              </w:rPr>
              <w:t>type</w:t>
            </w:r>
          </w:p>
        </w:tc>
        <w:tc>
          <w:tcPr>
            <w:tcW w:w="1097" w:type="dxa"/>
            <w:tcBorders>
              <w:top w:val="nil"/>
              <w:left w:val="nil"/>
              <w:bottom w:val="nil"/>
              <w:right w:val="nil"/>
            </w:tcBorders>
            <w:shd w:val="clear" w:color="auto" w:fill="auto"/>
            <w:noWrap/>
            <w:vAlign w:val="bottom"/>
            <w:hideMark/>
          </w:tcPr>
          <w:p w14:paraId="0F20EBE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IV</w:t>
            </w:r>
          </w:p>
        </w:tc>
        <w:tc>
          <w:tcPr>
            <w:tcW w:w="1417" w:type="dxa"/>
            <w:tcBorders>
              <w:top w:val="nil"/>
              <w:left w:val="nil"/>
              <w:bottom w:val="nil"/>
              <w:right w:val="nil"/>
            </w:tcBorders>
            <w:shd w:val="clear" w:color="auto" w:fill="auto"/>
            <w:noWrap/>
            <w:vAlign w:val="bottom"/>
            <w:hideMark/>
          </w:tcPr>
          <w:p w14:paraId="7D076A70"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9440/3</w:t>
            </w:r>
          </w:p>
        </w:tc>
      </w:tr>
      <w:tr w:rsidR="00BB1925" w:rsidRPr="00813A6A" w14:paraId="4AE4AF67" w14:textId="77777777" w:rsidTr="00AD2D8A">
        <w:trPr>
          <w:trHeight w:val="300"/>
        </w:trPr>
        <w:tc>
          <w:tcPr>
            <w:tcW w:w="6416" w:type="dxa"/>
            <w:tcBorders>
              <w:top w:val="nil"/>
              <w:left w:val="nil"/>
              <w:bottom w:val="nil"/>
              <w:right w:val="nil"/>
            </w:tcBorders>
            <w:shd w:val="clear" w:color="auto" w:fill="auto"/>
            <w:noWrap/>
            <w:vAlign w:val="bottom"/>
            <w:hideMark/>
          </w:tcPr>
          <w:p w14:paraId="199FABC5" w14:textId="00F72080"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                      velkobuněčný glioblastom</w:t>
            </w:r>
          </w:p>
        </w:tc>
        <w:tc>
          <w:tcPr>
            <w:tcW w:w="1097" w:type="dxa"/>
            <w:tcBorders>
              <w:top w:val="nil"/>
              <w:left w:val="nil"/>
              <w:bottom w:val="nil"/>
              <w:right w:val="nil"/>
            </w:tcBorders>
            <w:shd w:val="clear" w:color="auto" w:fill="auto"/>
            <w:noWrap/>
            <w:vAlign w:val="bottom"/>
            <w:hideMark/>
          </w:tcPr>
          <w:p w14:paraId="1D8D5CEA"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IV</w:t>
            </w:r>
          </w:p>
        </w:tc>
        <w:tc>
          <w:tcPr>
            <w:tcW w:w="1417" w:type="dxa"/>
            <w:tcBorders>
              <w:top w:val="nil"/>
              <w:left w:val="nil"/>
              <w:bottom w:val="nil"/>
              <w:right w:val="nil"/>
            </w:tcBorders>
            <w:shd w:val="clear" w:color="auto" w:fill="auto"/>
            <w:noWrap/>
            <w:vAlign w:val="bottom"/>
            <w:hideMark/>
          </w:tcPr>
          <w:p w14:paraId="53324743"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9441/3</w:t>
            </w:r>
          </w:p>
        </w:tc>
      </w:tr>
      <w:tr w:rsidR="00BB1925" w:rsidRPr="00813A6A" w14:paraId="28255B5C" w14:textId="77777777" w:rsidTr="00AD2D8A">
        <w:trPr>
          <w:trHeight w:val="300"/>
        </w:trPr>
        <w:tc>
          <w:tcPr>
            <w:tcW w:w="6416" w:type="dxa"/>
            <w:tcBorders>
              <w:top w:val="nil"/>
              <w:left w:val="nil"/>
              <w:bottom w:val="nil"/>
              <w:right w:val="nil"/>
            </w:tcBorders>
            <w:shd w:val="clear" w:color="auto" w:fill="auto"/>
            <w:noWrap/>
            <w:vAlign w:val="bottom"/>
            <w:hideMark/>
          </w:tcPr>
          <w:p w14:paraId="4229E8FF" w14:textId="44037A72" w:rsidR="00BB1925" w:rsidRPr="00813A6A" w:rsidRDefault="00AD2D8A" w:rsidP="00EC4DAF">
            <w:pPr>
              <w:spacing w:after="0" w:line="240" w:lineRule="auto"/>
              <w:ind w:firstLineChars="500" w:firstLine="1000"/>
              <w:rPr>
                <w:rFonts w:ascii="Calibri" w:eastAsia="Times New Roman" w:hAnsi="Calibri" w:cs="Calibri"/>
                <w:color w:val="000000"/>
                <w:sz w:val="20"/>
                <w:szCs w:val="20"/>
              </w:rPr>
            </w:pPr>
            <w:r w:rsidRPr="00813A6A">
              <w:rPr>
                <w:rFonts w:ascii="Calibri" w:eastAsia="Times New Roman" w:hAnsi="Calibri" w:cs="Calibri"/>
                <w:color w:val="000000"/>
                <w:sz w:val="20"/>
                <w:szCs w:val="20"/>
              </w:rPr>
              <w:t>gliosarkom</w:t>
            </w:r>
          </w:p>
        </w:tc>
        <w:tc>
          <w:tcPr>
            <w:tcW w:w="1097" w:type="dxa"/>
            <w:tcBorders>
              <w:top w:val="nil"/>
              <w:left w:val="nil"/>
              <w:bottom w:val="nil"/>
              <w:right w:val="nil"/>
            </w:tcBorders>
            <w:shd w:val="clear" w:color="auto" w:fill="auto"/>
            <w:noWrap/>
            <w:vAlign w:val="bottom"/>
            <w:hideMark/>
          </w:tcPr>
          <w:p w14:paraId="5CDC4BA9"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IV</w:t>
            </w:r>
          </w:p>
        </w:tc>
        <w:tc>
          <w:tcPr>
            <w:tcW w:w="1417" w:type="dxa"/>
            <w:tcBorders>
              <w:top w:val="nil"/>
              <w:left w:val="nil"/>
              <w:bottom w:val="nil"/>
              <w:right w:val="nil"/>
            </w:tcBorders>
            <w:shd w:val="clear" w:color="auto" w:fill="auto"/>
            <w:noWrap/>
            <w:vAlign w:val="bottom"/>
            <w:hideMark/>
          </w:tcPr>
          <w:p w14:paraId="0A4F881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9442/3</w:t>
            </w:r>
          </w:p>
        </w:tc>
      </w:tr>
      <w:tr w:rsidR="00BB1925" w:rsidRPr="00813A6A" w14:paraId="3DC071BF" w14:textId="77777777" w:rsidTr="00AD2D8A">
        <w:trPr>
          <w:trHeight w:val="300"/>
        </w:trPr>
        <w:tc>
          <w:tcPr>
            <w:tcW w:w="6416" w:type="dxa"/>
            <w:tcBorders>
              <w:top w:val="nil"/>
              <w:left w:val="nil"/>
              <w:bottom w:val="nil"/>
              <w:right w:val="nil"/>
            </w:tcBorders>
            <w:shd w:val="clear" w:color="auto" w:fill="auto"/>
            <w:noWrap/>
            <w:vAlign w:val="bottom"/>
            <w:hideMark/>
          </w:tcPr>
          <w:p w14:paraId="3C2EB34F" w14:textId="1C6B1932"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                      epiteloidní glioblastom </w:t>
            </w:r>
          </w:p>
        </w:tc>
        <w:tc>
          <w:tcPr>
            <w:tcW w:w="1097" w:type="dxa"/>
            <w:tcBorders>
              <w:top w:val="nil"/>
              <w:left w:val="nil"/>
              <w:bottom w:val="nil"/>
              <w:right w:val="nil"/>
            </w:tcBorders>
            <w:shd w:val="clear" w:color="auto" w:fill="auto"/>
            <w:noWrap/>
            <w:vAlign w:val="bottom"/>
            <w:hideMark/>
          </w:tcPr>
          <w:p w14:paraId="66A1C433"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IV</w:t>
            </w:r>
          </w:p>
        </w:tc>
        <w:tc>
          <w:tcPr>
            <w:tcW w:w="1417" w:type="dxa"/>
            <w:tcBorders>
              <w:top w:val="nil"/>
              <w:left w:val="nil"/>
              <w:bottom w:val="nil"/>
              <w:right w:val="nil"/>
            </w:tcBorders>
            <w:shd w:val="clear" w:color="auto" w:fill="auto"/>
            <w:noWrap/>
            <w:vAlign w:val="bottom"/>
            <w:hideMark/>
          </w:tcPr>
          <w:p w14:paraId="66F0C4F2"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9440/3</w:t>
            </w:r>
          </w:p>
        </w:tc>
      </w:tr>
      <w:tr w:rsidR="00BB1925" w:rsidRPr="00813A6A" w14:paraId="2A22EED4" w14:textId="77777777" w:rsidTr="00AD2D8A">
        <w:trPr>
          <w:trHeight w:val="300"/>
        </w:trPr>
        <w:tc>
          <w:tcPr>
            <w:tcW w:w="6416" w:type="dxa"/>
            <w:tcBorders>
              <w:top w:val="nil"/>
              <w:left w:val="nil"/>
              <w:bottom w:val="nil"/>
              <w:right w:val="nil"/>
            </w:tcBorders>
            <w:shd w:val="clear" w:color="auto" w:fill="auto"/>
            <w:noWrap/>
            <w:vAlign w:val="bottom"/>
            <w:hideMark/>
          </w:tcPr>
          <w:p w14:paraId="1AD89391" w14:textId="36386D90"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glioblastom, </w:t>
            </w:r>
            <w:r w:rsidRPr="00813A6A">
              <w:rPr>
                <w:rFonts w:ascii="Calibri" w:eastAsia="Times New Roman" w:hAnsi="Calibri" w:cs="Calibri"/>
                <w:i/>
                <w:iCs/>
                <w:color w:val="000000"/>
                <w:sz w:val="20"/>
                <w:szCs w:val="20"/>
              </w:rPr>
              <w:t>IDH</w:t>
            </w:r>
            <w:r w:rsidRPr="00813A6A">
              <w:rPr>
                <w:rFonts w:ascii="Calibri" w:eastAsia="Times New Roman" w:hAnsi="Calibri" w:cs="Calibri"/>
                <w:color w:val="000000"/>
                <w:sz w:val="20"/>
                <w:szCs w:val="20"/>
              </w:rPr>
              <w:t xml:space="preserve"> mutovaný</w:t>
            </w:r>
          </w:p>
        </w:tc>
        <w:tc>
          <w:tcPr>
            <w:tcW w:w="1097" w:type="dxa"/>
            <w:tcBorders>
              <w:top w:val="nil"/>
              <w:left w:val="nil"/>
              <w:bottom w:val="nil"/>
              <w:right w:val="nil"/>
            </w:tcBorders>
            <w:shd w:val="clear" w:color="auto" w:fill="auto"/>
            <w:noWrap/>
            <w:vAlign w:val="bottom"/>
            <w:hideMark/>
          </w:tcPr>
          <w:p w14:paraId="01A1D9BA"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IV</w:t>
            </w:r>
          </w:p>
        </w:tc>
        <w:tc>
          <w:tcPr>
            <w:tcW w:w="1417" w:type="dxa"/>
            <w:tcBorders>
              <w:top w:val="nil"/>
              <w:left w:val="nil"/>
              <w:bottom w:val="nil"/>
              <w:right w:val="nil"/>
            </w:tcBorders>
            <w:shd w:val="clear" w:color="auto" w:fill="auto"/>
            <w:noWrap/>
            <w:vAlign w:val="bottom"/>
            <w:hideMark/>
          </w:tcPr>
          <w:p w14:paraId="392A62F4"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9445/3</w:t>
            </w:r>
          </w:p>
        </w:tc>
      </w:tr>
      <w:tr w:rsidR="00BB1925" w:rsidRPr="00813A6A" w14:paraId="6FA1417F" w14:textId="77777777" w:rsidTr="00AD2D8A">
        <w:trPr>
          <w:trHeight w:val="300"/>
        </w:trPr>
        <w:tc>
          <w:tcPr>
            <w:tcW w:w="6416" w:type="dxa"/>
            <w:tcBorders>
              <w:top w:val="nil"/>
              <w:left w:val="nil"/>
              <w:bottom w:val="nil"/>
              <w:right w:val="nil"/>
            </w:tcBorders>
            <w:shd w:val="clear" w:color="auto" w:fill="auto"/>
            <w:noWrap/>
            <w:vAlign w:val="bottom"/>
            <w:hideMark/>
          </w:tcPr>
          <w:p w14:paraId="19310533" w14:textId="1E29230A"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glioblastom, nespecifikovaný</w:t>
            </w:r>
          </w:p>
        </w:tc>
        <w:tc>
          <w:tcPr>
            <w:tcW w:w="1097" w:type="dxa"/>
            <w:tcBorders>
              <w:top w:val="nil"/>
              <w:left w:val="nil"/>
              <w:bottom w:val="nil"/>
              <w:right w:val="nil"/>
            </w:tcBorders>
            <w:shd w:val="clear" w:color="auto" w:fill="auto"/>
            <w:noWrap/>
            <w:vAlign w:val="bottom"/>
            <w:hideMark/>
          </w:tcPr>
          <w:p w14:paraId="08A12243"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IV</w:t>
            </w:r>
          </w:p>
        </w:tc>
        <w:tc>
          <w:tcPr>
            <w:tcW w:w="1417" w:type="dxa"/>
            <w:tcBorders>
              <w:top w:val="nil"/>
              <w:left w:val="nil"/>
              <w:bottom w:val="nil"/>
              <w:right w:val="nil"/>
            </w:tcBorders>
            <w:shd w:val="clear" w:color="auto" w:fill="auto"/>
            <w:noWrap/>
            <w:vAlign w:val="bottom"/>
            <w:hideMark/>
          </w:tcPr>
          <w:p w14:paraId="28AC28AD"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9440/3</w:t>
            </w:r>
          </w:p>
        </w:tc>
      </w:tr>
      <w:tr w:rsidR="00BB1925" w:rsidRPr="00813A6A" w14:paraId="25A71F3A" w14:textId="77777777" w:rsidTr="00AD2D8A">
        <w:trPr>
          <w:trHeight w:val="300"/>
        </w:trPr>
        <w:tc>
          <w:tcPr>
            <w:tcW w:w="6416" w:type="dxa"/>
            <w:tcBorders>
              <w:top w:val="nil"/>
              <w:left w:val="nil"/>
              <w:bottom w:val="nil"/>
              <w:right w:val="nil"/>
            </w:tcBorders>
            <w:shd w:val="clear" w:color="auto" w:fill="auto"/>
            <w:noWrap/>
            <w:vAlign w:val="bottom"/>
            <w:hideMark/>
          </w:tcPr>
          <w:p w14:paraId="185A9E60" w14:textId="0389BD48"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difúzní středočárový gliom </w:t>
            </w:r>
            <w:r w:rsidRPr="00C60576">
              <w:rPr>
                <w:rFonts w:ascii="Calibri" w:eastAsia="Times New Roman" w:hAnsi="Calibri" w:cs="Calibri"/>
                <w:i/>
                <w:iCs/>
                <w:color w:val="000000"/>
                <w:sz w:val="20"/>
                <w:szCs w:val="20"/>
              </w:rPr>
              <w:t>H3K27</w:t>
            </w:r>
            <w:r w:rsidRPr="00813A6A">
              <w:rPr>
                <w:rFonts w:ascii="Calibri" w:eastAsia="Times New Roman" w:hAnsi="Calibri" w:cs="Calibri"/>
                <w:i/>
                <w:iCs/>
                <w:color w:val="000000"/>
                <w:sz w:val="20"/>
                <w:szCs w:val="20"/>
              </w:rPr>
              <w:t>M</w:t>
            </w:r>
            <w:r w:rsidRPr="00813A6A">
              <w:rPr>
                <w:rFonts w:ascii="Calibri" w:eastAsia="Times New Roman" w:hAnsi="Calibri" w:cs="Calibri"/>
                <w:color w:val="000000"/>
                <w:sz w:val="20"/>
                <w:szCs w:val="20"/>
              </w:rPr>
              <w:t xml:space="preserve"> mutovaný</w:t>
            </w:r>
          </w:p>
        </w:tc>
        <w:tc>
          <w:tcPr>
            <w:tcW w:w="1097" w:type="dxa"/>
            <w:tcBorders>
              <w:top w:val="nil"/>
              <w:left w:val="nil"/>
              <w:bottom w:val="nil"/>
              <w:right w:val="nil"/>
            </w:tcBorders>
            <w:shd w:val="clear" w:color="auto" w:fill="auto"/>
            <w:noWrap/>
            <w:vAlign w:val="bottom"/>
            <w:hideMark/>
          </w:tcPr>
          <w:p w14:paraId="677A7874"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IV</w:t>
            </w:r>
          </w:p>
        </w:tc>
        <w:tc>
          <w:tcPr>
            <w:tcW w:w="1417" w:type="dxa"/>
            <w:tcBorders>
              <w:top w:val="nil"/>
              <w:left w:val="nil"/>
              <w:bottom w:val="nil"/>
              <w:right w:val="nil"/>
            </w:tcBorders>
            <w:shd w:val="clear" w:color="auto" w:fill="auto"/>
            <w:noWrap/>
            <w:vAlign w:val="bottom"/>
            <w:hideMark/>
          </w:tcPr>
          <w:p w14:paraId="606BE117"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9385/3</w:t>
            </w:r>
          </w:p>
        </w:tc>
      </w:tr>
      <w:tr w:rsidR="00BB1925" w:rsidRPr="00813A6A" w14:paraId="1E5D4501" w14:textId="77777777" w:rsidTr="00AD2D8A">
        <w:trPr>
          <w:trHeight w:val="300"/>
        </w:trPr>
        <w:tc>
          <w:tcPr>
            <w:tcW w:w="6416" w:type="dxa"/>
            <w:tcBorders>
              <w:top w:val="nil"/>
              <w:left w:val="nil"/>
              <w:bottom w:val="nil"/>
              <w:right w:val="nil"/>
            </w:tcBorders>
            <w:shd w:val="clear" w:color="auto" w:fill="auto"/>
            <w:noWrap/>
            <w:vAlign w:val="bottom"/>
            <w:hideMark/>
          </w:tcPr>
          <w:p w14:paraId="1765AED1" w14:textId="5AE4B05B"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oligodendrogliom, </w:t>
            </w:r>
            <w:r w:rsidRPr="00813A6A">
              <w:rPr>
                <w:rFonts w:ascii="Calibri" w:eastAsia="Times New Roman" w:hAnsi="Calibri" w:cs="Calibri"/>
                <w:i/>
                <w:iCs/>
                <w:color w:val="000000"/>
                <w:sz w:val="20"/>
                <w:szCs w:val="20"/>
              </w:rPr>
              <w:t>IDH</w:t>
            </w:r>
            <w:r w:rsidRPr="00813A6A">
              <w:rPr>
                <w:rFonts w:ascii="Calibri" w:eastAsia="Times New Roman" w:hAnsi="Calibri" w:cs="Calibri"/>
                <w:color w:val="000000"/>
                <w:sz w:val="20"/>
                <w:szCs w:val="20"/>
              </w:rPr>
              <w:t xml:space="preserve"> mutovaný a 1p/19q kodeletovaný</w:t>
            </w:r>
          </w:p>
        </w:tc>
        <w:tc>
          <w:tcPr>
            <w:tcW w:w="1097" w:type="dxa"/>
            <w:tcBorders>
              <w:top w:val="nil"/>
              <w:left w:val="nil"/>
              <w:bottom w:val="nil"/>
              <w:right w:val="nil"/>
            </w:tcBorders>
            <w:shd w:val="clear" w:color="auto" w:fill="auto"/>
            <w:noWrap/>
            <w:vAlign w:val="bottom"/>
            <w:hideMark/>
          </w:tcPr>
          <w:p w14:paraId="32F04AFD"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47799531"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9450/3</w:t>
            </w:r>
          </w:p>
        </w:tc>
      </w:tr>
      <w:tr w:rsidR="00BB1925" w:rsidRPr="00813A6A" w14:paraId="46EE854D" w14:textId="77777777" w:rsidTr="00AD2D8A">
        <w:trPr>
          <w:trHeight w:val="300"/>
        </w:trPr>
        <w:tc>
          <w:tcPr>
            <w:tcW w:w="6416" w:type="dxa"/>
            <w:tcBorders>
              <w:top w:val="nil"/>
              <w:left w:val="nil"/>
              <w:bottom w:val="nil"/>
              <w:right w:val="nil"/>
            </w:tcBorders>
            <w:shd w:val="clear" w:color="auto" w:fill="auto"/>
            <w:noWrap/>
            <w:vAlign w:val="bottom"/>
            <w:hideMark/>
          </w:tcPr>
          <w:p w14:paraId="7B2D06C9" w14:textId="45E0213F"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oligodendrogliom, nespecifikovaný</w:t>
            </w:r>
          </w:p>
        </w:tc>
        <w:tc>
          <w:tcPr>
            <w:tcW w:w="1097" w:type="dxa"/>
            <w:tcBorders>
              <w:top w:val="nil"/>
              <w:left w:val="nil"/>
              <w:bottom w:val="nil"/>
              <w:right w:val="nil"/>
            </w:tcBorders>
            <w:shd w:val="clear" w:color="auto" w:fill="auto"/>
            <w:noWrap/>
            <w:vAlign w:val="bottom"/>
            <w:hideMark/>
          </w:tcPr>
          <w:p w14:paraId="096A3B8B"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4B7AF3F9"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9450/3</w:t>
            </w:r>
          </w:p>
        </w:tc>
      </w:tr>
      <w:tr w:rsidR="00BB1925" w:rsidRPr="00813A6A" w14:paraId="51D50144" w14:textId="77777777" w:rsidTr="00AD2D8A">
        <w:trPr>
          <w:trHeight w:val="300"/>
        </w:trPr>
        <w:tc>
          <w:tcPr>
            <w:tcW w:w="6416" w:type="dxa"/>
            <w:tcBorders>
              <w:top w:val="nil"/>
              <w:left w:val="nil"/>
              <w:bottom w:val="nil"/>
              <w:right w:val="nil"/>
            </w:tcBorders>
            <w:shd w:val="clear" w:color="auto" w:fill="auto"/>
            <w:noWrap/>
            <w:vAlign w:val="bottom"/>
            <w:hideMark/>
          </w:tcPr>
          <w:p w14:paraId="477CBFC0" w14:textId="2EFEB04C"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anaplastický oligodendrogliom, IDH mutovaný a 1p/19q kodeletovaný</w:t>
            </w:r>
          </w:p>
        </w:tc>
        <w:tc>
          <w:tcPr>
            <w:tcW w:w="1097" w:type="dxa"/>
            <w:tcBorders>
              <w:top w:val="nil"/>
              <w:left w:val="nil"/>
              <w:bottom w:val="nil"/>
              <w:right w:val="nil"/>
            </w:tcBorders>
            <w:shd w:val="clear" w:color="auto" w:fill="auto"/>
            <w:noWrap/>
            <w:vAlign w:val="bottom"/>
            <w:hideMark/>
          </w:tcPr>
          <w:p w14:paraId="17D50E5B"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63947839"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9451/3</w:t>
            </w:r>
          </w:p>
        </w:tc>
      </w:tr>
      <w:tr w:rsidR="00BB1925" w:rsidRPr="00813A6A" w14:paraId="39E7D13E" w14:textId="77777777" w:rsidTr="00AD2D8A">
        <w:trPr>
          <w:trHeight w:val="300"/>
        </w:trPr>
        <w:tc>
          <w:tcPr>
            <w:tcW w:w="6416" w:type="dxa"/>
            <w:tcBorders>
              <w:top w:val="nil"/>
              <w:left w:val="nil"/>
              <w:bottom w:val="nil"/>
              <w:right w:val="nil"/>
            </w:tcBorders>
            <w:shd w:val="clear" w:color="auto" w:fill="auto"/>
            <w:noWrap/>
            <w:vAlign w:val="bottom"/>
            <w:hideMark/>
          </w:tcPr>
          <w:p w14:paraId="739E7062" w14:textId="0F59B21D"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anaplastický oligodendrogliom, nespecifikovaný</w:t>
            </w:r>
          </w:p>
        </w:tc>
        <w:tc>
          <w:tcPr>
            <w:tcW w:w="1097" w:type="dxa"/>
            <w:tcBorders>
              <w:top w:val="nil"/>
              <w:left w:val="nil"/>
              <w:bottom w:val="nil"/>
              <w:right w:val="nil"/>
            </w:tcBorders>
            <w:shd w:val="clear" w:color="auto" w:fill="auto"/>
            <w:noWrap/>
            <w:vAlign w:val="bottom"/>
            <w:hideMark/>
          </w:tcPr>
          <w:p w14:paraId="204A41E9"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III</w:t>
            </w:r>
          </w:p>
        </w:tc>
        <w:tc>
          <w:tcPr>
            <w:tcW w:w="1417" w:type="dxa"/>
            <w:tcBorders>
              <w:top w:val="nil"/>
              <w:left w:val="nil"/>
              <w:bottom w:val="nil"/>
              <w:right w:val="nil"/>
            </w:tcBorders>
            <w:shd w:val="clear" w:color="auto" w:fill="auto"/>
            <w:noWrap/>
            <w:vAlign w:val="bottom"/>
            <w:hideMark/>
          </w:tcPr>
          <w:p w14:paraId="5BCF471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9451/3</w:t>
            </w:r>
          </w:p>
        </w:tc>
      </w:tr>
      <w:tr w:rsidR="00BB1925" w:rsidRPr="00813A6A" w14:paraId="599C45BC" w14:textId="77777777" w:rsidTr="00AD2D8A">
        <w:trPr>
          <w:trHeight w:val="300"/>
        </w:trPr>
        <w:tc>
          <w:tcPr>
            <w:tcW w:w="6416" w:type="dxa"/>
            <w:tcBorders>
              <w:top w:val="nil"/>
              <w:left w:val="nil"/>
              <w:bottom w:val="nil"/>
              <w:right w:val="nil"/>
            </w:tcBorders>
            <w:shd w:val="clear" w:color="auto" w:fill="auto"/>
            <w:noWrap/>
            <w:vAlign w:val="bottom"/>
            <w:hideMark/>
          </w:tcPr>
          <w:p w14:paraId="0D5309B9" w14:textId="30BADB6E"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oligoastrocytom, nespecifikovaný</w:t>
            </w:r>
          </w:p>
        </w:tc>
        <w:tc>
          <w:tcPr>
            <w:tcW w:w="1097" w:type="dxa"/>
            <w:tcBorders>
              <w:top w:val="nil"/>
              <w:left w:val="nil"/>
              <w:bottom w:val="nil"/>
              <w:right w:val="nil"/>
            </w:tcBorders>
            <w:shd w:val="clear" w:color="auto" w:fill="auto"/>
            <w:noWrap/>
            <w:vAlign w:val="bottom"/>
            <w:hideMark/>
          </w:tcPr>
          <w:p w14:paraId="45A8BBA6"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7533A70B"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9382/3</w:t>
            </w:r>
          </w:p>
        </w:tc>
      </w:tr>
      <w:tr w:rsidR="00BB1925" w:rsidRPr="00813A6A" w14:paraId="45F60749" w14:textId="77777777" w:rsidTr="00AD2D8A">
        <w:trPr>
          <w:trHeight w:val="300"/>
        </w:trPr>
        <w:tc>
          <w:tcPr>
            <w:tcW w:w="6416" w:type="dxa"/>
            <w:tcBorders>
              <w:top w:val="nil"/>
              <w:left w:val="nil"/>
              <w:bottom w:val="single" w:sz="4" w:space="0" w:color="auto"/>
              <w:right w:val="nil"/>
            </w:tcBorders>
            <w:shd w:val="clear" w:color="auto" w:fill="auto"/>
            <w:noWrap/>
            <w:vAlign w:val="bottom"/>
            <w:hideMark/>
          </w:tcPr>
          <w:p w14:paraId="5B2C1722" w14:textId="5BDDAAF0"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anaplastický oligoastrocytom, nespecifikovaný</w:t>
            </w:r>
          </w:p>
        </w:tc>
        <w:tc>
          <w:tcPr>
            <w:tcW w:w="1097" w:type="dxa"/>
            <w:tcBorders>
              <w:top w:val="nil"/>
              <w:left w:val="nil"/>
              <w:bottom w:val="single" w:sz="4" w:space="0" w:color="auto"/>
              <w:right w:val="nil"/>
            </w:tcBorders>
            <w:shd w:val="clear" w:color="auto" w:fill="auto"/>
            <w:noWrap/>
            <w:vAlign w:val="bottom"/>
            <w:hideMark/>
          </w:tcPr>
          <w:p w14:paraId="45806B63"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III</w:t>
            </w:r>
          </w:p>
        </w:tc>
        <w:tc>
          <w:tcPr>
            <w:tcW w:w="1417" w:type="dxa"/>
            <w:tcBorders>
              <w:top w:val="nil"/>
              <w:left w:val="nil"/>
              <w:bottom w:val="single" w:sz="4" w:space="0" w:color="auto"/>
              <w:right w:val="nil"/>
            </w:tcBorders>
            <w:shd w:val="clear" w:color="auto" w:fill="auto"/>
            <w:noWrap/>
            <w:vAlign w:val="bottom"/>
            <w:hideMark/>
          </w:tcPr>
          <w:p w14:paraId="6AA48E5A"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9382/3</w:t>
            </w:r>
          </w:p>
        </w:tc>
      </w:tr>
      <w:tr w:rsidR="00BB1925" w:rsidRPr="00813A6A" w14:paraId="1C31E048" w14:textId="77777777" w:rsidTr="00AD2D8A">
        <w:trPr>
          <w:trHeight w:val="300"/>
        </w:trPr>
        <w:tc>
          <w:tcPr>
            <w:tcW w:w="6416" w:type="dxa"/>
            <w:tcBorders>
              <w:top w:val="single" w:sz="4" w:space="0" w:color="auto"/>
              <w:left w:val="nil"/>
              <w:bottom w:val="single" w:sz="4" w:space="0" w:color="auto"/>
              <w:right w:val="nil"/>
            </w:tcBorders>
            <w:shd w:val="clear" w:color="auto" w:fill="auto"/>
            <w:noWrap/>
            <w:vAlign w:val="bottom"/>
            <w:hideMark/>
          </w:tcPr>
          <w:p w14:paraId="0A824747" w14:textId="5C2D993E" w:rsidR="00BB1925" w:rsidRPr="00813A6A" w:rsidRDefault="00AD2D8A" w:rsidP="00EC4DAF">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ostatní astrocytární nádory</w:t>
            </w:r>
          </w:p>
        </w:tc>
        <w:tc>
          <w:tcPr>
            <w:tcW w:w="1097" w:type="dxa"/>
            <w:tcBorders>
              <w:top w:val="single" w:sz="4" w:space="0" w:color="auto"/>
              <w:left w:val="nil"/>
              <w:bottom w:val="single" w:sz="4" w:space="0" w:color="auto"/>
              <w:right w:val="nil"/>
            </w:tcBorders>
            <w:shd w:val="clear" w:color="auto" w:fill="auto"/>
            <w:noWrap/>
            <w:vAlign w:val="bottom"/>
            <w:hideMark/>
          </w:tcPr>
          <w:p w14:paraId="42F51468" w14:textId="77777777" w:rsidR="00BB1925" w:rsidRPr="00813A6A" w:rsidRDefault="00BB1925" w:rsidP="00EC4DAF">
            <w:pPr>
              <w:spacing w:after="0" w:line="240" w:lineRule="auto"/>
              <w:jc w:val="center"/>
              <w:rPr>
                <w:rFonts w:ascii="Calibri" w:eastAsia="Times New Roman" w:hAnsi="Calibri" w:cs="Calibri"/>
                <w:color w:val="000000"/>
                <w:sz w:val="20"/>
                <w:szCs w:val="20"/>
              </w:rPr>
            </w:pPr>
          </w:p>
        </w:tc>
        <w:tc>
          <w:tcPr>
            <w:tcW w:w="1417" w:type="dxa"/>
            <w:tcBorders>
              <w:top w:val="single" w:sz="4" w:space="0" w:color="auto"/>
              <w:left w:val="nil"/>
              <w:bottom w:val="single" w:sz="4" w:space="0" w:color="auto"/>
              <w:right w:val="nil"/>
            </w:tcBorders>
            <w:shd w:val="clear" w:color="auto" w:fill="auto"/>
            <w:noWrap/>
            <w:vAlign w:val="bottom"/>
            <w:hideMark/>
          </w:tcPr>
          <w:p w14:paraId="4F1CBAAA" w14:textId="77777777" w:rsidR="00BB1925" w:rsidRPr="00813A6A" w:rsidRDefault="00BB1925" w:rsidP="00EC4DAF">
            <w:pPr>
              <w:spacing w:after="0" w:line="240" w:lineRule="auto"/>
              <w:jc w:val="center"/>
              <w:rPr>
                <w:rFonts w:ascii="Calibri" w:eastAsia="Times New Roman" w:hAnsi="Calibri" w:cs="Calibri"/>
                <w:color w:val="000000"/>
                <w:sz w:val="20"/>
                <w:szCs w:val="20"/>
              </w:rPr>
            </w:pPr>
          </w:p>
        </w:tc>
      </w:tr>
      <w:tr w:rsidR="00BB1925" w:rsidRPr="00813A6A" w14:paraId="39759469" w14:textId="77777777" w:rsidTr="00AD2D8A">
        <w:trPr>
          <w:trHeight w:val="300"/>
        </w:trPr>
        <w:tc>
          <w:tcPr>
            <w:tcW w:w="6416" w:type="dxa"/>
            <w:tcBorders>
              <w:top w:val="nil"/>
              <w:left w:val="nil"/>
              <w:bottom w:val="nil"/>
              <w:right w:val="nil"/>
            </w:tcBorders>
            <w:shd w:val="clear" w:color="auto" w:fill="auto"/>
            <w:noWrap/>
            <w:vAlign w:val="bottom"/>
            <w:hideMark/>
          </w:tcPr>
          <w:p w14:paraId="4075D970" w14:textId="6EEC17AD"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pilocytární astrocytom</w:t>
            </w:r>
          </w:p>
        </w:tc>
        <w:tc>
          <w:tcPr>
            <w:tcW w:w="1097" w:type="dxa"/>
            <w:tcBorders>
              <w:top w:val="nil"/>
              <w:left w:val="nil"/>
              <w:bottom w:val="nil"/>
              <w:right w:val="nil"/>
            </w:tcBorders>
            <w:shd w:val="clear" w:color="auto" w:fill="auto"/>
            <w:noWrap/>
            <w:vAlign w:val="bottom"/>
            <w:hideMark/>
          </w:tcPr>
          <w:p w14:paraId="042368C5"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w:t>
            </w:r>
          </w:p>
        </w:tc>
        <w:tc>
          <w:tcPr>
            <w:tcW w:w="1417" w:type="dxa"/>
            <w:tcBorders>
              <w:top w:val="nil"/>
              <w:left w:val="nil"/>
              <w:bottom w:val="nil"/>
              <w:right w:val="nil"/>
            </w:tcBorders>
            <w:shd w:val="clear" w:color="auto" w:fill="auto"/>
            <w:noWrap/>
            <w:vAlign w:val="bottom"/>
            <w:hideMark/>
          </w:tcPr>
          <w:p w14:paraId="5D770131"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9421/1</w:t>
            </w:r>
          </w:p>
        </w:tc>
      </w:tr>
      <w:tr w:rsidR="00BB1925" w:rsidRPr="00813A6A" w14:paraId="5A9845BE" w14:textId="77777777" w:rsidTr="00AD2D8A">
        <w:trPr>
          <w:trHeight w:val="300"/>
        </w:trPr>
        <w:tc>
          <w:tcPr>
            <w:tcW w:w="6416" w:type="dxa"/>
            <w:tcBorders>
              <w:top w:val="nil"/>
              <w:left w:val="nil"/>
              <w:bottom w:val="nil"/>
              <w:right w:val="nil"/>
            </w:tcBorders>
            <w:shd w:val="clear" w:color="auto" w:fill="auto"/>
            <w:noWrap/>
            <w:vAlign w:val="bottom"/>
            <w:hideMark/>
          </w:tcPr>
          <w:p w14:paraId="6ECB514A" w14:textId="496712C0"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                   pilomyxoidní astrocytom</w:t>
            </w:r>
          </w:p>
        </w:tc>
        <w:tc>
          <w:tcPr>
            <w:tcW w:w="1097" w:type="dxa"/>
            <w:tcBorders>
              <w:top w:val="nil"/>
              <w:left w:val="nil"/>
              <w:bottom w:val="nil"/>
              <w:right w:val="nil"/>
            </w:tcBorders>
            <w:shd w:val="clear" w:color="auto" w:fill="auto"/>
            <w:noWrap/>
            <w:vAlign w:val="bottom"/>
            <w:hideMark/>
          </w:tcPr>
          <w:p w14:paraId="08FA7939"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w:t>
            </w:r>
          </w:p>
        </w:tc>
        <w:tc>
          <w:tcPr>
            <w:tcW w:w="1417" w:type="dxa"/>
            <w:tcBorders>
              <w:top w:val="nil"/>
              <w:left w:val="nil"/>
              <w:bottom w:val="nil"/>
              <w:right w:val="nil"/>
            </w:tcBorders>
            <w:shd w:val="clear" w:color="auto" w:fill="auto"/>
            <w:noWrap/>
            <w:vAlign w:val="bottom"/>
            <w:hideMark/>
          </w:tcPr>
          <w:p w14:paraId="0C094492"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9425/3</w:t>
            </w:r>
          </w:p>
        </w:tc>
      </w:tr>
      <w:tr w:rsidR="00BB1925" w:rsidRPr="00813A6A" w14:paraId="19157DD0" w14:textId="77777777" w:rsidTr="00AD2D8A">
        <w:trPr>
          <w:trHeight w:val="300"/>
        </w:trPr>
        <w:tc>
          <w:tcPr>
            <w:tcW w:w="6416" w:type="dxa"/>
            <w:tcBorders>
              <w:top w:val="nil"/>
              <w:left w:val="nil"/>
              <w:bottom w:val="nil"/>
              <w:right w:val="nil"/>
            </w:tcBorders>
            <w:shd w:val="clear" w:color="auto" w:fill="auto"/>
            <w:noWrap/>
            <w:vAlign w:val="bottom"/>
            <w:hideMark/>
          </w:tcPr>
          <w:p w14:paraId="1EB8666A" w14:textId="4EE55999"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subependymální velkobuněčný astrocytom</w:t>
            </w:r>
          </w:p>
        </w:tc>
        <w:tc>
          <w:tcPr>
            <w:tcW w:w="1097" w:type="dxa"/>
            <w:tcBorders>
              <w:top w:val="nil"/>
              <w:left w:val="nil"/>
              <w:bottom w:val="nil"/>
              <w:right w:val="nil"/>
            </w:tcBorders>
            <w:shd w:val="clear" w:color="auto" w:fill="auto"/>
            <w:noWrap/>
            <w:vAlign w:val="bottom"/>
            <w:hideMark/>
          </w:tcPr>
          <w:p w14:paraId="233DA290"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w:t>
            </w:r>
          </w:p>
        </w:tc>
        <w:tc>
          <w:tcPr>
            <w:tcW w:w="1417" w:type="dxa"/>
            <w:tcBorders>
              <w:top w:val="nil"/>
              <w:left w:val="nil"/>
              <w:bottom w:val="nil"/>
              <w:right w:val="nil"/>
            </w:tcBorders>
            <w:shd w:val="clear" w:color="auto" w:fill="auto"/>
            <w:noWrap/>
            <w:vAlign w:val="bottom"/>
            <w:hideMark/>
          </w:tcPr>
          <w:p w14:paraId="0E922EAE"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9384/1</w:t>
            </w:r>
          </w:p>
        </w:tc>
      </w:tr>
      <w:tr w:rsidR="00BB1925" w:rsidRPr="00813A6A" w14:paraId="117688EC" w14:textId="77777777" w:rsidTr="00AD2D8A">
        <w:trPr>
          <w:trHeight w:val="300"/>
        </w:trPr>
        <w:tc>
          <w:tcPr>
            <w:tcW w:w="6416" w:type="dxa"/>
            <w:tcBorders>
              <w:top w:val="nil"/>
              <w:left w:val="nil"/>
              <w:bottom w:val="nil"/>
              <w:right w:val="nil"/>
            </w:tcBorders>
            <w:shd w:val="clear" w:color="auto" w:fill="auto"/>
            <w:noWrap/>
            <w:vAlign w:val="bottom"/>
            <w:hideMark/>
          </w:tcPr>
          <w:p w14:paraId="68885BAB" w14:textId="70BF004D"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pleomorfní xanthoastrocytom</w:t>
            </w:r>
          </w:p>
        </w:tc>
        <w:tc>
          <w:tcPr>
            <w:tcW w:w="1097" w:type="dxa"/>
            <w:tcBorders>
              <w:top w:val="nil"/>
              <w:left w:val="nil"/>
              <w:bottom w:val="nil"/>
              <w:right w:val="nil"/>
            </w:tcBorders>
            <w:shd w:val="clear" w:color="auto" w:fill="auto"/>
            <w:noWrap/>
            <w:vAlign w:val="bottom"/>
            <w:hideMark/>
          </w:tcPr>
          <w:p w14:paraId="5231976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538ADE14"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9424/3</w:t>
            </w:r>
          </w:p>
        </w:tc>
      </w:tr>
      <w:tr w:rsidR="00BB1925" w:rsidRPr="00813A6A" w14:paraId="6C642614" w14:textId="77777777" w:rsidTr="00AD2D8A">
        <w:trPr>
          <w:trHeight w:val="300"/>
        </w:trPr>
        <w:tc>
          <w:tcPr>
            <w:tcW w:w="6416" w:type="dxa"/>
            <w:tcBorders>
              <w:top w:val="nil"/>
              <w:left w:val="nil"/>
              <w:bottom w:val="single" w:sz="4" w:space="0" w:color="auto"/>
              <w:right w:val="nil"/>
            </w:tcBorders>
            <w:shd w:val="clear" w:color="auto" w:fill="auto"/>
            <w:noWrap/>
            <w:vAlign w:val="bottom"/>
            <w:hideMark/>
          </w:tcPr>
          <w:p w14:paraId="0B6F8F8B" w14:textId="21062B5F"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anaplastický pleomorfní xanthoastrocytom</w:t>
            </w:r>
          </w:p>
        </w:tc>
        <w:tc>
          <w:tcPr>
            <w:tcW w:w="1097" w:type="dxa"/>
            <w:tcBorders>
              <w:top w:val="nil"/>
              <w:left w:val="nil"/>
              <w:bottom w:val="single" w:sz="4" w:space="0" w:color="auto"/>
              <w:right w:val="nil"/>
            </w:tcBorders>
            <w:shd w:val="clear" w:color="auto" w:fill="auto"/>
            <w:noWrap/>
            <w:vAlign w:val="bottom"/>
            <w:hideMark/>
          </w:tcPr>
          <w:p w14:paraId="51E277C0"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III</w:t>
            </w:r>
          </w:p>
        </w:tc>
        <w:tc>
          <w:tcPr>
            <w:tcW w:w="1417" w:type="dxa"/>
            <w:tcBorders>
              <w:top w:val="nil"/>
              <w:left w:val="nil"/>
              <w:bottom w:val="single" w:sz="4" w:space="0" w:color="auto"/>
              <w:right w:val="nil"/>
            </w:tcBorders>
            <w:shd w:val="clear" w:color="auto" w:fill="auto"/>
            <w:noWrap/>
            <w:vAlign w:val="bottom"/>
            <w:hideMark/>
          </w:tcPr>
          <w:p w14:paraId="7818D9B0"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9424/3</w:t>
            </w:r>
          </w:p>
        </w:tc>
      </w:tr>
      <w:tr w:rsidR="00BB1925" w:rsidRPr="00813A6A" w14:paraId="469B1E37" w14:textId="77777777" w:rsidTr="00AD2D8A">
        <w:trPr>
          <w:trHeight w:val="300"/>
        </w:trPr>
        <w:tc>
          <w:tcPr>
            <w:tcW w:w="6416" w:type="dxa"/>
            <w:tcBorders>
              <w:top w:val="single" w:sz="4" w:space="0" w:color="auto"/>
              <w:left w:val="nil"/>
              <w:bottom w:val="single" w:sz="4" w:space="0" w:color="auto"/>
              <w:right w:val="nil"/>
            </w:tcBorders>
            <w:shd w:val="clear" w:color="auto" w:fill="auto"/>
            <w:noWrap/>
            <w:vAlign w:val="bottom"/>
            <w:hideMark/>
          </w:tcPr>
          <w:p w14:paraId="5915B1E5" w14:textId="0767CAEB" w:rsidR="00BB1925" w:rsidRPr="00813A6A" w:rsidRDefault="00AD2D8A" w:rsidP="00EC4DAF">
            <w:pPr>
              <w:spacing w:after="0" w:line="240" w:lineRule="auto"/>
              <w:rPr>
                <w:rFonts w:ascii="Calibri" w:eastAsia="Times New Roman" w:hAnsi="Calibri" w:cs="Calibri"/>
                <w:b/>
                <w:bCs/>
                <w:color w:val="000000"/>
                <w:sz w:val="20"/>
                <w:szCs w:val="20"/>
              </w:rPr>
            </w:pPr>
            <w:r w:rsidRPr="00813A6A">
              <w:rPr>
                <w:rFonts w:ascii="Calibri" w:eastAsia="Times New Roman" w:hAnsi="Calibri" w:cs="Calibri"/>
                <w:b/>
                <w:bCs/>
                <w:color w:val="000000"/>
                <w:sz w:val="20"/>
                <w:szCs w:val="20"/>
              </w:rPr>
              <w:t>ependymální nádory</w:t>
            </w:r>
          </w:p>
        </w:tc>
        <w:tc>
          <w:tcPr>
            <w:tcW w:w="1097" w:type="dxa"/>
            <w:tcBorders>
              <w:top w:val="single" w:sz="4" w:space="0" w:color="auto"/>
              <w:left w:val="nil"/>
              <w:bottom w:val="single" w:sz="4" w:space="0" w:color="auto"/>
              <w:right w:val="nil"/>
            </w:tcBorders>
            <w:shd w:val="clear" w:color="auto" w:fill="auto"/>
            <w:noWrap/>
            <w:vAlign w:val="bottom"/>
            <w:hideMark/>
          </w:tcPr>
          <w:p w14:paraId="305675EF" w14:textId="77777777" w:rsidR="00BB1925" w:rsidRPr="00813A6A" w:rsidRDefault="00BB1925" w:rsidP="00EC4DAF">
            <w:pPr>
              <w:spacing w:after="0" w:line="240" w:lineRule="auto"/>
              <w:jc w:val="center"/>
              <w:rPr>
                <w:rFonts w:ascii="Calibri" w:eastAsia="Times New Roman" w:hAnsi="Calibri" w:cs="Calibri"/>
                <w:color w:val="000000"/>
                <w:sz w:val="20"/>
                <w:szCs w:val="20"/>
              </w:rPr>
            </w:pPr>
          </w:p>
        </w:tc>
        <w:tc>
          <w:tcPr>
            <w:tcW w:w="1417" w:type="dxa"/>
            <w:tcBorders>
              <w:top w:val="single" w:sz="4" w:space="0" w:color="auto"/>
              <w:left w:val="nil"/>
              <w:bottom w:val="single" w:sz="4" w:space="0" w:color="auto"/>
              <w:right w:val="nil"/>
            </w:tcBorders>
            <w:shd w:val="clear" w:color="auto" w:fill="auto"/>
            <w:noWrap/>
            <w:vAlign w:val="bottom"/>
            <w:hideMark/>
          </w:tcPr>
          <w:p w14:paraId="7FF72032" w14:textId="77777777" w:rsidR="00BB1925" w:rsidRPr="00813A6A" w:rsidRDefault="00BB1925" w:rsidP="00EC4DAF">
            <w:pPr>
              <w:spacing w:after="0" w:line="240" w:lineRule="auto"/>
              <w:jc w:val="center"/>
              <w:rPr>
                <w:rFonts w:ascii="Calibri" w:eastAsia="Times New Roman" w:hAnsi="Calibri" w:cs="Calibri"/>
                <w:color w:val="000000"/>
                <w:sz w:val="20"/>
                <w:szCs w:val="20"/>
              </w:rPr>
            </w:pPr>
          </w:p>
        </w:tc>
      </w:tr>
      <w:tr w:rsidR="00BB1925" w:rsidRPr="00813A6A" w14:paraId="6EFA8CFA" w14:textId="77777777" w:rsidTr="00AD2D8A">
        <w:trPr>
          <w:trHeight w:val="300"/>
        </w:trPr>
        <w:tc>
          <w:tcPr>
            <w:tcW w:w="6416" w:type="dxa"/>
            <w:tcBorders>
              <w:top w:val="nil"/>
              <w:left w:val="nil"/>
              <w:bottom w:val="nil"/>
              <w:right w:val="nil"/>
            </w:tcBorders>
            <w:shd w:val="clear" w:color="auto" w:fill="auto"/>
            <w:noWrap/>
            <w:vAlign w:val="bottom"/>
            <w:hideMark/>
          </w:tcPr>
          <w:p w14:paraId="47E30E27" w14:textId="3E305B2B"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subependymom</w:t>
            </w:r>
          </w:p>
        </w:tc>
        <w:tc>
          <w:tcPr>
            <w:tcW w:w="1097" w:type="dxa"/>
            <w:tcBorders>
              <w:top w:val="nil"/>
              <w:left w:val="nil"/>
              <w:bottom w:val="nil"/>
              <w:right w:val="nil"/>
            </w:tcBorders>
            <w:shd w:val="clear" w:color="auto" w:fill="auto"/>
            <w:noWrap/>
            <w:vAlign w:val="bottom"/>
            <w:hideMark/>
          </w:tcPr>
          <w:p w14:paraId="6CA2D6C4"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w:t>
            </w:r>
          </w:p>
        </w:tc>
        <w:tc>
          <w:tcPr>
            <w:tcW w:w="1417" w:type="dxa"/>
            <w:tcBorders>
              <w:top w:val="nil"/>
              <w:left w:val="nil"/>
              <w:bottom w:val="nil"/>
              <w:right w:val="nil"/>
            </w:tcBorders>
            <w:shd w:val="clear" w:color="auto" w:fill="auto"/>
            <w:noWrap/>
            <w:vAlign w:val="bottom"/>
            <w:hideMark/>
          </w:tcPr>
          <w:p w14:paraId="3E160CE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9383/1</w:t>
            </w:r>
          </w:p>
        </w:tc>
      </w:tr>
      <w:tr w:rsidR="00BB1925" w:rsidRPr="00813A6A" w14:paraId="2569BA05" w14:textId="77777777" w:rsidTr="00AD2D8A">
        <w:trPr>
          <w:trHeight w:val="300"/>
        </w:trPr>
        <w:tc>
          <w:tcPr>
            <w:tcW w:w="6416" w:type="dxa"/>
            <w:tcBorders>
              <w:top w:val="nil"/>
              <w:left w:val="nil"/>
              <w:bottom w:val="nil"/>
              <w:right w:val="nil"/>
            </w:tcBorders>
            <w:shd w:val="clear" w:color="auto" w:fill="auto"/>
            <w:noWrap/>
            <w:vAlign w:val="bottom"/>
            <w:hideMark/>
          </w:tcPr>
          <w:p w14:paraId="1CFF4B75" w14:textId="3B7A4641"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myxopapilární ependymom</w:t>
            </w:r>
          </w:p>
        </w:tc>
        <w:tc>
          <w:tcPr>
            <w:tcW w:w="1097" w:type="dxa"/>
            <w:tcBorders>
              <w:top w:val="nil"/>
              <w:left w:val="nil"/>
              <w:bottom w:val="nil"/>
              <w:right w:val="nil"/>
            </w:tcBorders>
            <w:shd w:val="clear" w:color="auto" w:fill="auto"/>
            <w:noWrap/>
            <w:vAlign w:val="bottom"/>
            <w:hideMark/>
          </w:tcPr>
          <w:p w14:paraId="08FE8C11"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w:t>
            </w:r>
          </w:p>
        </w:tc>
        <w:tc>
          <w:tcPr>
            <w:tcW w:w="1417" w:type="dxa"/>
            <w:tcBorders>
              <w:top w:val="nil"/>
              <w:left w:val="nil"/>
              <w:bottom w:val="nil"/>
              <w:right w:val="nil"/>
            </w:tcBorders>
            <w:shd w:val="clear" w:color="auto" w:fill="auto"/>
            <w:noWrap/>
            <w:vAlign w:val="bottom"/>
            <w:hideMark/>
          </w:tcPr>
          <w:p w14:paraId="2850235F"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9394/1</w:t>
            </w:r>
          </w:p>
        </w:tc>
      </w:tr>
      <w:tr w:rsidR="00BB1925" w:rsidRPr="00813A6A" w14:paraId="577B1DF9" w14:textId="77777777" w:rsidTr="00AD2D8A">
        <w:trPr>
          <w:trHeight w:val="300"/>
        </w:trPr>
        <w:tc>
          <w:tcPr>
            <w:tcW w:w="6416" w:type="dxa"/>
            <w:tcBorders>
              <w:top w:val="nil"/>
              <w:left w:val="nil"/>
              <w:bottom w:val="nil"/>
              <w:right w:val="nil"/>
            </w:tcBorders>
            <w:shd w:val="clear" w:color="auto" w:fill="auto"/>
            <w:noWrap/>
            <w:vAlign w:val="bottom"/>
            <w:hideMark/>
          </w:tcPr>
          <w:p w14:paraId="641228BB" w14:textId="7E2CF32A"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ependymom</w:t>
            </w:r>
          </w:p>
        </w:tc>
        <w:tc>
          <w:tcPr>
            <w:tcW w:w="1097" w:type="dxa"/>
            <w:tcBorders>
              <w:top w:val="nil"/>
              <w:left w:val="nil"/>
              <w:bottom w:val="nil"/>
              <w:right w:val="nil"/>
            </w:tcBorders>
            <w:shd w:val="clear" w:color="auto" w:fill="auto"/>
            <w:noWrap/>
            <w:vAlign w:val="bottom"/>
            <w:hideMark/>
          </w:tcPr>
          <w:p w14:paraId="27B182C0"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5FF1BA0B"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9391/3</w:t>
            </w:r>
          </w:p>
        </w:tc>
      </w:tr>
      <w:tr w:rsidR="00BB1925" w:rsidRPr="00813A6A" w14:paraId="7783422F" w14:textId="77777777" w:rsidTr="00AD2D8A">
        <w:trPr>
          <w:trHeight w:val="300"/>
        </w:trPr>
        <w:tc>
          <w:tcPr>
            <w:tcW w:w="6416" w:type="dxa"/>
            <w:tcBorders>
              <w:top w:val="nil"/>
              <w:left w:val="nil"/>
              <w:bottom w:val="nil"/>
              <w:right w:val="nil"/>
            </w:tcBorders>
            <w:shd w:val="clear" w:color="auto" w:fill="auto"/>
            <w:noWrap/>
            <w:vAlign w:val="bottom"/>
            <w:hideMark/>
          </w:tcPr>
          <w:p w14:paraId="2939BB77" w14:textId="5B733082" w:rsidR="00BB1925" w:rsidRPr="00813A6A" w:rsidRDefault="00AD2D8A" w:rsidP="00EC4DAF">
            <w:pPr>
              <w:spacing w:after="0" w:line="240" w:lineRule="auto"/>
              <w:ind w:firstLineChars="500" w:firstLine="1000"/>
              <w:rPr>
                <w:rFonts w:ascii="Calibri" w:eastAsia="Times New Roman" w:hAnsi="Calibri" w:cs="Calibri"/>
                <w:color w:val="000000"/>
                <w:sz w:val="20"/>
                <w:szCs w:val="20"/>
              </w:rPr>
            </w:pPr>
            <w:r w:rsidRPr="00813A6A">
              <w:rPr>
                <w:rFonts w:ascii="Calibri" w:eastAsia="Times New Roman" w:hAnsi="Calibri" w:cs="Calibri"/>
                <w:color w:val="000000"/>
                <w:sz w:val="20"/>
                <w:szCs w:val="20"/>
              </w:rPr>
              <w:t>papilární</w:t>
            </w:r>
          </w:p>
        </w:tc>
        <w:tc>
          <w:tcPr>
            <w:tcW w:w="1097" w:type="dxa"/>
            <w:tcBorders>
              <w:top w:val="nil"/>
              <w:left w:val="nil"/>
              <w:bottom w:val="nil"/>
              <w:right w:val="nil"/>
            </w:tcBorders>
            <w:shd w:val="clear" w:color="auto" w:fill="auto"/>
            <w:noWrap/>
            <w:vAlign w:val="bottom"/>
            <w:hideMark/>
          </w:tcPr>
          <w:p w14:paraId="26D98E30"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033085A2"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9393/3</w:t>
            </w:r>
          </w:p>
        </w:tc>
      </w:tr>
      <w:tr w:rsidR="00BB1925" w:rsidRPr="00813A6A" w14:paraId="7E64690B" w14:textId="77777777" w:rsidTr="00AD2D8A">
        <w:trPr>
          <w:trHeight w:val="300"/>
        </w:trPr>
        <w:tc>
          <w:tcPr>
            <w:tcW w:w="6416" w:type="dxa"/>
            <w:tcBorders>
              <w:top w:val="nil"/>
              <w:left w:val="nil"/>
              <w:bottom w:val="nil"/>
              <w:right w:val="nil"/>
            </w:tcBorders>
            <w:shd w:val="clear" w:color="auto" w:fill="auto"/>
            <w:noWrap/>
            <w:vAlign w:val="bottom"/>
            <w:hideMark/>
          </w:tcPr>
          <w:p w14:paraId="018EF6F9" w14:textId="6B5E028F" w:rsidR="00BB1925" w:rsidRPr="00813A6A" w:rsidRDefault="00AD2D8A" w:rsidP="00EC4DAF">
            <w:pPr>
              <w:spacing w:after="0" w:line="240" w:lineRule="auto"/>
              <w:ind w:firstLineChars="500" w:firstLine="1000"/>
              <w:rPr>
                <w:rFonts w:ascii="Calibri" w:eastAsia="Times New Roman" w:hAnsi="Calibri" w:cs="Calibri"/>
                <w:color w:val="000000"/>
                <w:sz w:val="20"/>
                <w:szCs w:val="20"/>
              </w:rPr>
            </w:pPr>
            <w:r w:rsidRPr="00813A6A">
              <w:rPr>
                <w:rFonts w:ascii="Calibri" w:eastAsia="Times New Roman" w:hAnsi="Calibri" w:cs="Calibri"/>
                <w:color w:val="000000"/>
                <w:sz w:val="20"/>
                <w:szCs w:val="20"/>
              </w:rPr>
              <w:t>z jasných buněk</w:t>
            </w:r>
          </w:p>
        </w:tc>
        <w:tc>
          <w:tcPr>
            <w:tcW w:w="1097" w:type="dxa"/>
            <w:tcBorders>
              <w:top w:val="nil"/>
              <w:left w:val="nil"/>
              <w:bottom w:val="nil"/>
              <w:right w:val="nil"/>
            </w:tcBorders>
            <w:shd w:val="clear" w:color="auto" w:fill="auto"/>
            <w:noWrap/>
            <w:vAlign w:val="bottom"/>
            <w:hideMark/>
          </w:tcPr>
          <w:p w14:paraId="64A5563E"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35EA73AC"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9391/3</w:t>
            </w:r>
          </w:p>
        </w:tc>
      </w:tr>
      <w:tr w:rsidR="00BB1925" w:rsidRPr="00813A6A" w14:paraId="187BB1B6" w14:textId="77777777" w:rsidTr="00AD2D8A">
        <w:trPr>
          <w:trHeight w:val="300"/>
        </w:trPr>
        <w:tc>
          <w:tcPr>
            <w:tcW w:w="6416" w:type="dxa"/>
            <w:tcBorders>
              <w:top w:val="nil"/>
              <w:left w:val="nil"/>
              <w:bottom w:val="nil"/>
              <w:right w:val="nil"/>
            </w:tcBorders>
            <w:shd w:val="clear" w:color="auto" w:fill="auto"/>
            <w:noWrap/>
            <w:vAlign w:val="bottom"/>
            <w:hideMark/>
          </w:tcPr>
          <w:p w14:paraId="6D1EC9D9" w14:textId="43F60024" w:rsidR="00BB1925" w:rsidRPr="00813A6A" w:rsidRDefault="00AD2D8A" w:rsidP="00EC4DAF">
            <w:pPr>
              <w:spacing w:after="0" w:line="240" w:lineRule="auto"/>
              <w:ind w:firstLineChars="500" w:firstLine="1000"/>
              <w:rPr>
                <w:rFonts w:ascii="Calibri" w:eastAsia="Times New Roman" w:hAnsi="Calibri" w:cs="Calibri"/>
                <w:color w:val="000000"/>
                <w:sz w:val="20"/>
                <w:szCs w:val="20"/>
              </w:rPr>
            </w:pPr>
            <w:r w:rsidRPr="00813A6A">
              <w:rPr>
                <w:rFonts w:ascii="Calibri" w:eastAsia="Times New Roman" w:hAnsi="Calibri" w:cs="Calibri"/>
                <w:color w:val="000000"/>
                <w:sz w:val="20"/>
                <w:szCs w:val="20"/>
              </w:rPr>
              <w:t>tanycytický</w:t>
            </w:r>
          </w:p>
        </w:tc>
        <w:tc>
          <w:tcPr>
            <w:tcW w:w="1097" w:type="dxa"/>
            <w:tcBorders>
              <w:top w:val="nil"/>
              <w:left w:val="nil"/>
              <w:bottom w:val="nil"/>
              <w:right w:val="nil"/>
            </w:tcBorders>
            <w:shd w:val="clear" w:color="auto" w:fill="auto"/>
            <w:noWrap/>
            <w:vAlign w:val="bottom"/>
            <w:hideMark/>
          </w:tcPr>
          <w:p w14:paraId="5132779A"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w:t>
            </w:r>
          </w:p>
        </w:tc>
        <w:tc>
          <w:tcPr>
            <w:tcW w:w="1417" w:type="dxa"/>
            <w:tcBorders>
              <w:top w:val="nil"/>
              <w:left w:val="nil"/>
              <w:bottom w:val="nil"/>
              <w:right w:val="nil"/>
            </w:tcBorders>
            <w:shd w:val="clear" w:color="auto" w:fill="auto"/>
            <w:noWrap/>
            <w:vAlign w:val="bottom"/>
            <w:hideMark/>
          </w:tcPr>
          <w:p w14:paraId="18232CD5"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9391/3</w:t>
            </w:r>
          </w:p>
        </w:tc>
      </w:tr>
      <w:tr w:rsidR="00BB1925" w:rsidRPr="00813A6A" w14:paraId="0F0C700A" w14:textId="77777777" w:rsidTr="00AD2D8A">
        <w:trPr>
          <w:trHeight w:val="300"/>
        </w:trPr>
        <w:tc>
          <w:tcPr>
            <w:tcW w:w="6416" w:type="dxa"/>
            <w:tcBorders>
              <w:top w:val="nil"/>
              <w:left w:val="nil"/>
              <w:bottom w:val="nil"/>
              <w:right w:val="nil"/>
            </w:tcBorders>
            <w:shd w:val="clear" w:color="auto" w:fill="auto"/>
            <w:noWrap/>
            <w:vAlign w:val="bottom"/>
            <w:hideMark/>
          </w:tcPr>
          <w:p w14:paraId="5C5D4DC9" w14:textId="0822DF4A"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 xml:space="preserve">ependymom s </w:t>
            </w:r>
            <w:r w:rsidR="00C60576">
              <w:rPr>
                <w:rFonts w:ascii="Calibri" w:eastAsia="Times New Roman" w:hAnsi="Calibri" w:cs="Calibri"/>
                <w:i/>
                <w:iCs/>
                <w:color w:val="000000"/>
                <w:sz w:val="20"/>
                <w:szCs w:val="20"/>
              </w:rPr>
              <w:t xml:space="preserve">RELA </w:t>
            </w:r>
            <w:r w:rsidRPr="00813A6A">
              <w:rPr>
                <w:rFonts w:ascii="Calibri" w:eastAsia="Times New Roman" w:hAnsi="Calibri" w:cs="Calibri"/>
                <w:color w:val="000000"/>
                <w:sz w:val="20"/>
                <w:szCs w:val="20"/>
              </w:rPr>
              <w:t>fúzí</w:t>
            </w:r>
          </w:p>
        </w:tc>
        <w:tc>
          <w:tcPr>
            <w:tcW w:w="1097" w:type="dxa"/>
            <w:tcBorders>
              <w:top w:val="nil"/>
              <w:left w:val="nil"/>
              <w:bottom w:val="nil"/>
              <w:right w:val="nil"/>
            </w:tcBorders>
            <w:shd w:val="clear" w:color="auto" w:fill="auto"/>
            <w:noWrap/>
            <w:vAlign w:val="bottom"/>
            <w:hideMark/>
          </w:tcPr>
          <w:p w14:paraId="027DFA7B"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 nebo III</w:t>
            </w:r>
          </w:p>
        </w:tc>
        <w:tc>
          <w:tcPr>
            <w:tcW w:w="1417" w:type="dxa"/>
            <w:tcBorders>
              <w:top w:val="nil"/>
              <w:left w:val="nil"/>
              <w:bottom w:val="nil"/>
              <w:right w:val="nil"/>
            </w:tcBorders>
            <w:shd w:val="clear" w:color="auto" w:fill="auto"/>
            <w:noWrap/>
            <w:vAlign w:val="bottom"/>
            <w:hideMark/>
          </w:tcPr>
          <w:p w14:paraId="35FEE7B9"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9396/3</w:t>
            </w:r>
          </w:p>
        </w:tc>
      </w:tr>
      <w:tr w:rsidR="00BB1925" w:rsidRPr="00813A6A" w14:paraId="74C7C69C" w14:textId="77777777" w:rsidTr="00AD2D8A">
        <w:trPr>
          <w:trHeight w:val="300"/>
        </w:trPr>
        <w:tc>
          <w:tcPr>
            <w:tcW w:w="6416" w:type="dxa"/>
            <w:tcBorders>
              <w:top w:val="nil"/>
              <w:left w:val="nil"/>
              <w:bottom w:val="nil"/>
              <w:right w:val="nil"/>
            </w:tcBorders>
            <w:shd w:val="clear" w:color="auto" w:fill="auto"/>
            <w:noWrap/>
            <w:vAlign w:val="bottom"/>
            <w:hideMark/>
          </w:tcPr>
          <w:p w14:paraId="6B32F337" w14:textId="0CA2213A" w:rsidR="00BB1925" w:rsidRPr="00813A6A" w:rsidRDefault="00AD2D8A" w:rsidP="00EC4DAF">
            <w:pPr>
              <w:spacing w:after="0" w:line="240" w:lineRule="auto"/>
              <w:rPr>
                <w:rFonts w:ascii="Calibri" w:eastAsia="Times New Roman" w:hAnsi="Calibri" w:cs="Calibri"/>
                <w:color w:val="000000"/>
                <w:sz w:val="20"/>
                <w:szCs w:val="20"/>
              </w:rPr>
            </w:pPr>
            <w:r w:rsidRPr="00813A6A">
              <w:rPr>
                <w:rFonts w:ascii="Calibri" w:eastAsia="Times New Roman" w:hAnsi="Calibri" w:cs="Calibri"/>
                <w:color w:val="000000"/>
                <w:sz w:val="20"/>
                <w:szCs w:val="20"/>
              </w:rPr>
              <w:t>anaplastický ependymom</w:t>
            </w:r>
          </w:p>
        </w:tc>
        <w:tc>
          <w:tcPr>
            <w:tcW w:w="1097" w:type="dxa"/>
            <w:tcBorders>
              <w:top w:val="nil"/>
              <w:left w:val="nil"/>
              <w:bottom w:val="nil"/>
              <w:right w:val="nil"/>
            </w:tcBorders>
            <w:shd w:val="clear" w:color="auto" w:fill="auto"/>
            <w:noWrap/>
            <w:vAlign w:val="bottom"/>
            <w:hideMark/>
          </w:tcPr>
          <w:p w14:paraId="1CA97F0B"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III</w:t>
            </w:r>
          </w:p>
        </w:tc>
        <w:tc>
          <w:tcPr>
            <w:tcW w:w="1417" w:type="dxa"/>
            <w:tcBorders>
              <w:top w:val="nil"/>
              <w:left w:val="nil"/>
              <w:bottom w:val="nil"/>
              <w:right w:val="nil"/>
            </w:tcBorders>
            <w:shd w:val="clear" w:color="auto" w:fill="auto"/>
            <w:noWrap/>
            <w:vAlign w:val="bottom"/>
            <w:hideMark/>
          </w:tcPr>
          <w:p w14:paraId="2D7B786D" w14:textId="77777777" w:rsidR="00BB1925" w:rsidRPr="00813A6A" w:rsidRDefault="00BB1925" w:rsidP="00EC4DAF">
            <w:pPr>
              <w:spacing w:after="0" w:line="240" w:lineRule="auto"/>
              <w:jc w:val="center"/>
              <w:rPr>
                <w:rFonts w:ascii="Calibri" w:eastAsia="Times New Roman" w:hAnsi="Calibri" w:cs="Calibri"/>
                <w:color w:val="000000"/>
                <w:sz w:val="20"/>
                <w:szCs w:val="20"/>
              </w:rPr>
            </w:pPr>
            <w:r w:rsidRPr="00813A6A">
              <w:rPr>
                <w:rFonts w:ascii="Calibri" w:eastAsia="Times New Roman" w:hAnsi="Calibri" w:cs="Calibri"/>
                <w:color w:val="000000"/>
                <w:sz w:val="20"/>
                <w:szCs w:val="20"/>
              </w:rPr>
              <w:t>9392/3</w:t>
            </w:r>
          </w:p>
        </w:tc>
      </w:tr>
      <w:tr w:rsidR="007B4C38" w:rsidRPr="00813A6A" w14:paraId="5F10065B" w14:textId="77777777" w:rsidTr="00AD2D8A">
        <w:trPr>
          <w:trHeight w:val="300"/>
        </w:trPr>
        <w:tc>
          <w:tcPr>
            <w:tcW w:w="6416" w:type="dxa"/>
            <w:tcBorders>
              <w:top w:val="nil"/>
              <w:left w:val="nil"/>
              <w:bottom w:val="nil"/>
              <w:right w:val="nil"/>
            </w:tcBorders>
            <w:shd w:val="clear" w:color="auto" w:fill="auto"/>
            <w:noWrap/>
            <w:vAlign w:val="bottom"/>
          </w:tcPr>
          <w:p w14:paraId="4BD91471" w14:textId="77777777" w:rsidR="007B4C38" w:rsidRPr="00813A6A" w:rsidRDefault="007B4C38" w:rsidP="00EC4DAF">
            <w:pPr>
              <w:spacing w:after="0" w:line="240" w:lineRule="auto"/>
              <w:rPr>
                <w:rFonts w:ascii="Calibri" w:eastAsia="Times New Roman" w:hAnsi="Calibri" w:cs="Calibri"/>
                <w:color w:val="000000"/>
                <w:sz w:val="20"/>
                <w:szCs w:val="20"/>
              </w:rPr>
            </w:pPr>
          </w:p>
          <w:p w14:paraId="7A02598F" w14:textId="04BC6E1D" w:rsidR="00712885" w:rsidRPr="00813A6A" w:rsidRDefault="00712885" w:rsidP="00EC4DAF">
            <w:pPr>
              <w:spacing w:after="0" w:line="240" w:lineRule="auto"/>
              <w:rPr>
                <w:rFonts w:ascii="Calibri" w:eastAsia="Times New Roman" w:hAnsi="Calibri" w:cs="Calibri"/>
                <w:color w:val="000000"/>
                <w:sz w:val="20"/>
                <w:szCs w:val="20"/>
              </w:rPr>
            </w:pPr>
          </w:p>
        </w:tc>
        <w:tc>
          <w:tcPr>
            <w:tcW w:w="1097" w:type="dxa"/>
            <w:tcBorders>
              <w:top w:val="nil"/>
              <w:left w:val="nil"/>
              <w:bottom w:val="nil"/>
              <w:right w:val="nil"/>
            </w:tcBorders>
            <w:shd w:val="clear" w:color="auto" w:fill="auto"/>
            <w:noWrap/>
            <w:vAlign w:val="bottom"/>
          </w:tcPr>
          <w:p w14:paraId="4732B4C4" w14:textId="77777777" w:rsidR="007B4C38" w:rsidRPr="00813A6A" w:rsidRDefault="007B4C38" w:rsidP="00EC4DAF">
            <w:pPr>
              <w:spacing w:after="0" w:line="240" w:lineRule="auto"/>
              <w:jc w:val="center"/>
              <w:rPr>
                <w:rFonts w:ascii="Calibri" w:eastAsia="Times New Roman" w:hAnsi="Calibri" w:cs="Calibri"/>
                <w:color w:val="000000"/>
                <w:sz w:val="20"/>
                <w:szCs w:val="20"/>
              </w:rPr>
            </w:pPr>
          </w:p>
        </w:tc>
        <w:tc>
          <w:tcPr>
            <w:tcW w:w="1417" w:type="dxa"/>
            <w:tcBorders>
              <w:top w:val="nil"/>
              <w:left w:val="nil"/>
              <w:bottom w:val="nil"/>
              <w:right w:val="nil"/>
            </w:tcBorders>
            <w:shd w:val="clear" w:color="auto" w:fill="auto"/>
            <w:noWrap/>
            <w:vAlign w:val="bottom"/>
          </w:tcPr>
          <w:p w14:paraId="7F4D99BE" w14:textId="77777777" w:rsidR="007B4C38" w:rsidRPr="00813A6A" w:rsidRDefault="007B4C38" w:rsidP="00EC4DAF">
            <w:pPr>
              <w:spacing w:after="0" w:line="240" w:lineRule="auto"/>
              <w:jc w:val="center"/>
              <w:rPr>
                <w:rFonts w:ascii="Calibri" w:eastAsia="Times New Roman" w:hAnsi="Calibri" w:cs="Calibri"/>
                <w:color w:val="000000"/>
                <w:sz w:val="20"/>
                <w:szCs w:val="20"/>
              </w:rPr>
            </w:pPr>
          </w:p>
        </w:tc>
      </w:tr>
    </w:tbl>
    <w:p w14:paraId="6FD53665" w14:textId="04D0C67A" w:rsidR="00EA6F43" w:rsidRDefault="00EA6F43" w:rsidP="00A92FFD">
      <w:pPr>
        <w:pStyle w:val="Nadpis4"/>
      </w:pPr>
      <w:bookmarkStart w:id="24" w:name="_Toc88741452"/>
      <w:r w:rsidRPr="00F01BD1">
        <w:t>Difúzní astrocytární a oligodendrogliální nádory</w:t>
      </w:r>
      <w:bookmarkEnd w:id="24"/>
    </w:p>
    <w:p w14:paraId="585ADBA2" w14:textId="77777777" w:rsidR="007B4C38" w:rsidRPr="00C60576" w:rsidRDefault="007B4C38" w:rsidP="00EC4DAF">
      <w:pPr>
        <w:rPr>
          <w:sz w:val="6"/>
          <w:szCs w:val="6"/>
        </w:rPr>
      </w:pPr>
    </w:p>
    <w:p w14:paraId="40387FFE" w14:textId="33A8328F" w:rsidR="00EA6F43" w:rsidRDefault="003968AF" w:rsidP="00EC4DAF">
      <w:pPr>
        <w:pStyle w:val="Odstavecseseznamem"/>
        <w:tabs>
          <w:tab w:val="left" w:pos="975"/>
        </w:tabs>
        <w:ind w:left="0"/>
        <w:jc w:val="both"/>
      </w:pPr>
      <w:r>
        <w:t>Dle</w:t>
      </w:r>
      <w:r w:rsidR="009B13B9">
        <w:t xml:space="preserve"> doplnění klasifikace nádorů CNS z roku 2016 došlo k seskupení difuzně infiltrujících nádorů na základě podobného růstového vzoru a chování, ale hlavním důvodem j</w:t>
      </w:r>
      <w:r w:rsidR="00A86A39">
        <w:t>sou</w:t>
      </w:r>
      <w:r w:rsidR="00B960E7">
        <w:t xml:space="preserve"> </w:t>
      </w:r>
      <w:r w:rsidR="00A86A39">
        <w:t xml:space="preserve">společné driver mutace v genech pro </w:t>
      </w:r>
      <w:r w:rsidR="00A86A39" w:rsidRPr="00091D5F">
        <w:rPr>
          <w:i/>
          <w:iCs/>
        </w:rPr>
        <w:t>IDH1</w:t>
      </w:r>
      <w:r w:rsidR="00A86A39">
        <w:t xml:space="preserve"> a </w:t>
      </w:r>
      <w:r w:rsidR="00A86A39" w:rsidRPr="00091D5F">
        <w:rPr>
          <w:i/>
          <w:iCs/>
        </w:rPr>
        <w:t>IDH2</w:t>
      </w:r>
      <w:r w:rsidR="00A86A39">
        <w:t xml:space="preserve">. I z prognostického hlediska se jedná o skupinu nádorů se stejnými markery a </w:t>
      </w:r>
      <w:r w:rsidR="00C60576">
        <w:t>podobným směrem léčby</w:t>
      </w:r>
      <w:r w:rsidR="00A86A39" w:rsidRPr="00B960E7">
        <w:t>, ať</w:t>
      </w:r>
      <w:r w:rsidR="00A86A39">
        <w:t xml:space="preserve"> už standardní nebo cílené</w:t>
      </w:r>
      <w:r w:rsidR="00B960E7">
        <w:fldChar w:fldCharType="begin" w:fldLock="1"/>
      </w:r>
      <w:r w:rsidR="00156DBC">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B960E7">
        <w:fldChar w:fldCharType="separate"/>
      </w:r>
      <w:r w:rsidR="00B960E7" w:rsidRPr="00B960E7">
        <w:rPr>
          <w:noProof/>
          <w:vertAlign w:val="superscript"/>
        </w:rPr>
        <w:t>12</w:t>
      </w:r>
      <w:r w:rsidR="00B960E7">
        <w:fldChar w:fldCharType="end"/>
      </w:r>
      <w:r w:rsidR="00A86A39">
        <w:t>.</w:t>
      </w:r>
      <w:r w:rsidR="005018DE">
        <w:t xml:space="preserve"> </w:t>
      </w:r>
      <w:r w:rsidR="00C60576">
        <w:t>Inovativní a</w:t>
      </w:r>
      <w:r w:rsidR="005018DE">
        <w:t>lgoritmus</w:t>
      </w:r>
      <w:r w:rsidR="00C60576">
        <w:t xml:space="preserve"> z roku 2016 vede</w:t>
      </w:r>
      <w:r w:rsidR="005018DE">
        <w:t xml:space="preserve"> </w:t>
      </w:r>
      <w:r w:rsidR="00C637D0">
        <w:t xml:space="preserve">od histologie </w:t>
      </w:r>
      <w:r w:rsidR="00C60576">
        <w:t>přes</w:t>
      </w:r>
      <w:r w:rsidR="00C637D0">
        <w:t xml:space="preserve"> </w:t>
      </w:r>
      <w:r w:rsidR="005018DE">
        <w:t>molekulární parametr</w:t>
      </w:r>
      <w:r w:rsidR="00C60576">
        <w:t xml:space="preserve">y </w:t>
      </w:r>
      <w:r w:rsidR="005018DE">
        <w:t>vedoucí k přesné diagnóze</w:t>
      </w:r>
      <w:r w:rsidR="00C637D0">
        <w:t xml:space="preserve"> </w:t>
      </w:r>
      <w:r w:rsidR="00C60576">
        <w:t xml:space="preserve">a </w:t>
      </w:r>
      <w:r w:rsidR="00C637D0">
        <w:t xml:space="preserve">je uveden na Obrázku </w:t>
      </w:r>
      <w:r w:rsidR="00C60576">
        <w:t>6</w:t>
      </w:r>
      <w:r w:rsidR="00C637D0">
        <w:t>.</w:t>
      </w:r>
    </w:p>
    <w:p w14:paraId="5ADE2DCA" w14:textId="4D60C564" w:rsidR="00AA193D" w:rsidRDefault="00AA193D" w:rsidP="00EC4DAF">
      <w:pPr>
        <w:pStyle w:val="Odstavecseseznamem"/>
        <w:tabs>
          <w:tab w:val="left" w:pos="975"/>
        </w:tabs>
        <w:ind w:left="0"/>
        <w:jc w:val="both"/>
      </w:pPr>
    </w:p>
    <w:p w14:paraId="14815A5B" w14:textId="77777777" w:rsidR="00AA193D" w:rsidRDefault="00AA193D" w:rsidP="00060B29">
      <w:pPr>
        <w:pStyle w:val="Odstavecseseznamem"/>
        <w:tabs>
          <w:tab w:val="left" w:pos="975"/>
        </w:tabs>
        <w:ind w:left="284"/>
        <w:jc w:val="both"/>
      </w:pPr>
    </w:p>
    <w:p w14:paraId="55674345" w14:textId="2E827BB5" w:rsidR="00AA193D" w:rsidRDefault="00AA193D" w:rsidP="00060B29">
      <w:pPr>
        <w:pStyle w:val="Odstavecseseznamem"/>
        <w:tabs>
          <w:tab w:val="left" w:pos="975"/>
        </w:tabs>
        <w:ind w:left="284"/>
        <w:jc w:val="both"/>
      </w:pPr>
      <w:r>
        <w:rPr>
          <w:noProof/>
        </w:rPr>
        <w:drawing>
          <wp:inline distT="0" distB="0" distL="0" distR="0" wp14:anchorId="5ED0AAB0" wp14:editId="6D04F2BB">
            <wp:extent cx="5894070" cy="3467100"/>
            <wp:effectExtent l="0" t="0" r="0" b="0"/>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ázek 205"/>
                    <pic:cNvPicPr/>
                  </pic:nvPicPr>
                  <pic:blipFill rotWithShape="1">
                    <a:blip r:embed="rId17" cstate="print">
                      <a:extLst>
                        <a:ext uri="{28A0092B-C50C-407E-A947-70E740481C1C}">
                          <a14:useLocalDpi xmlns:a14="http://schemas.microsoft.com/office/drawing/2010/main" val="0"/>
                        </a:ext>
                      </a:extLst>
                    </a:blip>
                    <a:srcRect l="5456" t="42811" r="4596" b="17365"/>
                    <a:stretch/>
                  </pic:blipFill>
                  <pic:spPr bwMode="auto">
                    <a:xfrm>
                      <a:off x="0" y="0"/>
                      <a:ext cx="5895074" cy="3467691"/>
                    </a:xfrm>
                    <a:prstGeom prst="rect">
                      <a:avLst/>
                    </a:prstGeom>
                    <a:ln>
                      <a:noFill/>
                    </a:ln>
                    <a:extLst>
                      <a:ext uri="{53640926-AAD7-44D8-BBD7-CCE9431645EC}">
                        <a14:shadowObscured xmlns:a14="http://schemas.microsoft.com/office/drawing/2010/main"/>
                      </a:ext>
                    </a:extLst>
                  </pic:spPr>
                </pic:pic>
              </a:graphicData>
            </a:graphic>
          </wp:inline>
        </w:drawing>
      </w:r>
    </w:p>
    <w:p w14:paraId="335816AC" w14:textId="0672E307" w:rsidR="00BC14AB" w:rsidRDefault="00BC14AB" w:rsidP="00060B29">
      <w:pPr>
        <w:pStyle w:val="Odstavecseseznamem"/>
        <w:tabs>
          <w:tab w:val="left" w:pos="975"/>
        </w:tabs>
        <w:ind w:left="284"/>
        <w:jc w:val="both"/>
      </w:pPr>
    </w:p>
    <w:p w14:paraId="047C1897" w14:textId="169C3968" w:rsidR="00BC14AB" w:rsidRDefault="00306B65" w:rsidP="00217B12">
      <w:pPr>
        <w:pStyle w:val="Odstavecseseznamem"/>
        <w:tabs>
          <w:tab w:val="left" w:pos="975"/>
        </w:tabs>
        <w:spacing w:after="0"/>
        <w:ind w:left="0"/>
        <w:rPr>
          <w:sz w:val="20"/>
          <w:szCs w:val="20"/>
        </w:rPr>
      </w:pPr>
      <w:bookmarkStart w:id="25" w:name="_Toc67162693"/>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6</w:t>
      </w:r>
      <w:r w:rsidRPr="00306B65">
        <w:rPr>
          <w:b/>
          <w:bCs/>
          <w:sz w:val="20"/>
          <w:szCs w:val="20"/>
        </w:rPr>
        <w:fldChar w:fldCharType="end"/>
      </w:r>
      <w:r w:rsidRPr="00306B65">
        <w:rPr>
          <w:b/>
          <w:bCs/>
          <w:sz w:val="20"/>
          <w:szCs w:val="20"/>
        </w:rPr>
        <w:t>:</w:t>
      </w:r>
      <w:r>
        <w:rPr>
          <w:b/>
          <w:bCs/>
          <w:sz w:val="20"/>
          <w:szCs w:val="20"/>
        </w:rPr>
        <w:t xml:space="preserve"> </w:t>
      </w:r>
      <w:r w:rsidR="00B960E7">
        <w:rPr>
          <w:sz w:val="20"/>
          <w:szCs w:val="20"/>
        </w:rPr>
        <w:t>Zjednodušený algoritmus klasifikace difuzních gliomů založených na histologii a genetických znacích. Převzato z originálu</w:t>
      </w:r>
      <w:r w:rsidR="00365229">
        <w:rPr>
          <w:sz w:val="20"/>
          <w:szCs w:val="20"/>
        </w:rPr>
        <w:fldChar w:fldCharType="begin" w:fldLock="1"/>
      </w:r>
      <w:r w:rsidR="0020523A">
        <w:rPr>
          <w:sz w:val="20"/>
          <w:szCs w:val="20"/>
        </w:rPr>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365229">
        <w:rPr>
          <w:sz w:val="20"/>
          <w:szCs w:val="20"/>
        </w:rPr>
        <w:fldChar w:fldCharType="separate"/>
      </w:r>
      <w:r w:rsidR="00365229" w:rsidRPr="00365229">
        <w:rPr>
          <w:noProof/>
          <w:sz w:val="20"/>
          <w:szCs w:val="20"/>
          <w:vertAlign w:val="superscript"/>
        </w:rPr>
        <w:t>12</w:t>
      </w:r>
      <w:r w:rsidR="00365229">
        <w:rPr>
          <w:sz w:val="20"/>
          <w:szCs w:val="20"/>
        </w:rPr>
        <w:fldChar w:fldCharType="end"/>
      </w:r>
      <w:r w:rsidR="00B960E7">
        <w:rPr>
          <w:sz w:val="20"/>
          <w:szCs w:val="20"/>
        </w:rPr>
        <w:t>.</w:t>
      </w:r>
      <w:bookmarkEnd w:id="25"/>
    </w:p>
    <w:p w14:paraId="6F51618D" w14:textId="20185955" w:rsidR="00B960E7" w:rsidRDefault="00B960E7" w:rsidP="00EC4DAF">
      <w:pPr>
        <w:pStyle w:val="Odstavecseseznamem"/>
        <w:tabs>
          <w:tab w:val="left" w:pos="975"/>
        </w:tabs>
        <w:ind w:left="0"/>
        <w:rPr>
          <w:sz w:val="20"/>
          <w:szCs w:val="20"/>
        </w:rPr>
      </w:pPr>
    </w:p>
    <w:p w14:paraId="0BCFE421" w14:textId="5DB3CBF8" w:rsidR="00EA6F43" w:rsidRDefault="009B13B9" w:rsidP="00EC4DAF">
      <w:pPr>
        <w:pStyle w:val="Nadpis5"/>
        <w:spacing w:line="480" w:lineRule="auto"/>
      </w:pPr>
      <w:bookmarkStart w:id="26" w:name="_Toc88741453"/>
      <w:r>
        <w:t>Difúzní a</w:t>
      </w:r>
      <w:r w:rsidR="00EA6F43">
        <w:t>strocytom</w:t>
      </w:r>
      <w:bookmarkEnd w:id="26"/>
    </w:p>
    <w:p w14:paraId="5842E5CA" w14:textId="43F62044" w:rsidR="00D364EE" w:rsidRDefault="00DF6294" w:rsidP="00EC4DAF">
      <w:pPr>
        <w:pStyle w:val="Odstavecseseznamem"/>
        <w:tabs>
          <w:tab w:val="left" w:pos="975"/>
        </w:tabs>
        <w:ind w:left="0"/>
        <w:jc w:val="both"/>
      </w:pPr>
      <w:r w:rsidRPr="00DF6294">
        <w:t xml:space="preserve">Pro difúzní astrocytom </w:t>
      </w:r>
      <w:r>
        <w:t xml:space="preserve">je typický pomalý </w:t>
      </w:r>
      <w:r w:rsidR="00D364EE">
        <w:t>i</w:t>
      </w:r>
      <w:r>
        <w:t xml:space="preserve">nfiltrující růst, </w:t>
      </w:r>
      <w:r w:rsidR="00D364EE">
        <w:t>vysoká buněčnost, velký počet mitóz a jadern</w:t>
      </w:r>
      <w:r w:rsidR="00C60576">
        <w:t>ý</w:t>
      </w:r>
      <w:r w:rsidR="00D364EE">
        <w:t xml:space="preserve"> polymorfizmu</w:t>
      </w:r>
      <w:r w:rsidR="00C60576">
        <w:t>s</w:t>
      </w:r>
      <w:r w:rsidR="00D364EE">
        <w:t>. Toto onemocnění postihuje dospělé ve středním věku</w:t>
      </w:r>
      <w:r w:rsidR="00BC14AB">
        <w:t xml:space="preserve"> (30-40 let)</w:t>
      </w:r>
      <w:r w:rsidR="00D364EE">
        <w:t>, jeho prognóza je špatná z důvodu častého zvratu v maligní varianty jako je anaplastický astrocytom nebo glioblastom</w:t>
      </w:r>
      <w:r w:rsidR="003968AF">
        <w:fldChar w:fldCharType="begin" w:fldLock="1"/>
      </w:r>
      <w:r w:rsidR="00F90F1D">
        <w:instrText>ADDIN CSL_CITATION {"citationItems":[{"id":"ITEM-1","itemData":{"DOI":"10.2353/ajpath.2007.070011","ISSN":"00029440","PMID":"17456751","abstract":"Glioblastoma is the most frequent and most malignant human brain tumor. The prognosis remains very poor, with most patients dying within 1 year after diagnosis. Primary and secondary glioblastoma constitute distinct disease subtypes, affecting patients of different age and developing through different genetic pathways. The majority of cases (&gt;90%) are primary glioblastomas that develop rapidly de novo, without clinical or histological evidence of a less malignant precursor lesion. They affect mainly the elderly and are genetically characterized by loss of heterozygosity 10q (70% of cases), EGFR amplification (36%), p16INK4a deletion (31%), and PTEN mutations (25%). Secondary glioblastomas develop through progression from low-grade diffuse astrocytoma or anaplastic astrocytoma and manifest in younger patients. In the pathway to secondary glioblastoma, TP53 mutations are the most frequent and earliest detectable genetic alteration, already present in 60% of precursor low-grade astrocytomas. The mutation pattern is characterized by frequent G:C→A:T mutations at CpG sites. During progression to glioblastoma, additional mutations accumulate, including loss of heterozygosity 10q25-qter (</w:instrText>
      </w:r>
      <w:r w:rsidR="00F90F1D">
        <w:rPr>
          <w:rFonts w:ascii="Cambria Math" w:hAnsi="Cambria Math" w:cs="Cambria Math"/>
        </w:rPr>
        <w:instrText>∼</w:instrText>
      </w:r>
      <w:r w:rsidR="00F90F1D">
        <w:instrText>70%), which is the most frequent genetic alteration in both primary and secondary glioblastomas. Primary and secondary glioblastomas also differ significantly in their pattern of promoter methylation and in expression profiles at RNA and protein levels. This has significant implications, particularly for the development of novel, targeted therapies, as discussed in this review. Copyright © American Society for Investigative Pathology.","author":[{"dropping-particle":"","family":"Ohgaki","given":"Hiroko","non-dropping-particle":"","parse-names":false,"suffix":""},{"dropping-particle":"","family":"Kleihues","given":"Paul","non-dropping-particle":"","parse-names":false,"suffix":""}],"container-title":"American Journal of Pathology","id":"ITEM-1","issue":"5","issued":{"date-parts":[["2007"]]},"page":"1445-1453","publisher":"American Society for Investigative Pathology Inc.","title":"Genetic pathways to primary and secondary glioblastoma","type":"article","volume":"170"},"uris":["http://www.mendeley.com/documents/?uuid=28bf176a-1d02-314b-9e33-555e9f848170"]}],"mendeley":{"formattedCitation":"&lt;sup&gt;39&lt;/sup&gt;","plainTextFormattedCitation":"39","previouslyFormattedCitation":"&lt;sup&gt;39&lt;/sup&gt;"},"properties":{"noteIndex":0},"schema":"https://github.com/citation-style-language/schema/raw/master/csl-citation.json"}</w:instrText>
      </w:r>
      <w:r w:rsidR="003968AF">
        <w:fldChar w:fldCharType="separate"/>
      </w:r>
      <w:r w:rsidR="00CB0011" w:rsidRPr="00CB0011">
        <w:rPr>
          <w:noProof/>
          <w:vertAlign w:val="superscript"/>
        </w:rPr>
        <w:t>39</w:t>
      </w:r>
      <w:r w:rsidR="003968AF">
        <w:fldChar w:fldCharType="end"/>
      </w:r>
      <w:r w:rsidR="00D364EE">
        <w:t xml:space="preserve">. </w:t>
      </w:r>
    </w:p>
    <w:p w14:paraId="6346874B" w14:textId="64B56C9D" w:rsidR="003968AF" w:rsidRDefault="003968AF" w:rsidP="00EC4DAF">
      <w:pPr>
        <w:pStyle w:val="Odstavecseseznamem"/>
        <w:tabs>
          <w:tab w:val="left" w:pos="975"/>
        </w:tabs>
        <w:ind w:left="0"/>
        <w:jc w:val="both"/>
      </w:pPr>
      <w:r>
        <w:t xml:space="preserve">Klasifikace difuzního astrocytomu je doplněna o vyšetření na </w:t>
      </w:r>
      <w:r w:rsidRPr="00091D5F">
        <w:rPr>
          <w:i/>
          <w:iCs/>
        </w:rPr>
        <w:t xml:space="preserve">IDH </w:t>
      </w:r>
      <w:r>
        <w:t>mutace. Na základě tohoto vyšetření, které</w:t>
      </w:r>
      <w:r w:rsidR="00C60576">
        <w:t xml:space="preserve"> značně</w:t>
      </w:r>
      <w:r>
        <w:t xml:space="preserve"> zpřesňuj</w:t>
      </w:r>
      <w:r w:rsidR="00C60576">
        <w:t>e</w:t>
      </w:r>
      <w:r>
        <w:t xml:space="preserve"> prognózu jednotlivých skupin, se dělí na</w:t>
      </w:r>
      <w:r w:rsidRPr="00091D5F">
        <w:rPr>
          <w:i/>
          <w:iCs/>
        </w:rPr>
        <w:t xml:space="preserve"> IDH</w:t>
      </w:r>
      <w:r>
        <w:t xml:space="preserve"> mutovaný, </w:t>
      </w:r>
      <w:r w:rsidRPr="00091D5F">
        <w:rPr>
          <w:i/>
          <w:iCs/>
        </w:rPr>
        <w:t>IDH</w:t>
      </w:r>
      <w:r>
        <w:t xml:space="preserve"> </w:t>
      </w:r>
      <w:r w:rsidR="004B2913">
        <w:t>wild</w:t>
      </w:r>
      <w:r w:rsidR="00091D5F">
        <w:t xml:space="preserve"> </w:t>
      </w:r>
      <w:r w:rsidR="004B2913">
        <w:t>type</w:t>
      </w:r>
      <w:r>
        <w:t xml:space="preserve"> a nespecifikovaný. </w:t>
      </w:r>
      <w:r w:rsidR="004B2913">
        <w:t xml:space="preserve">Varianta difuzního astrocytomu </w:t>
      </w:r>
      <w:r w:rsidR="004B2913" w:rsidRPr="00091D5F">
        <w:rPr>
          <w:i/>
          <w:iCs/>
        </w:rPr>
        <w:t>IDH</w:t>
      </w:r>
      <w:r w:rsidR="004B2913">
        <w:t xml:space="preserve"> wild</w:t>
      </w:r>
      <w:r w:rsidR="00091D5F">
        <w:t xml:space="preserve"> </w:t>
      </w:r>
      <w:r w:rsidR="004B2913">
        <w:t xml:space="preserve">type je málo častá a poslední výzkumy tuto variantu označují spíše za velmi </w:t>
      </w:r>
      <w:r w:rsidR="00787081">
        <w:t>raný</w:t>
      </w:r>
      <w:r w:rsidR="004B2913">
        <w:t xml:space="preserve"> glioblastom</w:t>
      </w:r>
      <w:r w:rsidR="00865F52">
        <w:fldChar w:fldCharType="begin" w:fldLock="1"/>
      </w:r>
      <w:r w:rsidR="00F90F1D">
        <w:instrText>ADDIN CSL_CITATION {"citationItems":[{"id":"ITEM-1","itemData":{"DOI":"10.1093/jnen/nly012","ISSN":"15546578","PMID":"29444314","abstract":"The histological and molecular features and even the mere existence of diffuse astrocytoma, IDH-wildtype, remain unclear. We therefore examined 212 diffuse astrocytomas (grade II WHO) in adults using IDH1(R132H) immunohistochemistry followed by IDH1/IDH2 sequencing and neuroimaging review. DNA methylation status and copy number profiles were assessed by Infinium HumanMethylation450k BeadChip. Only 25/212 patients harbored tumors without IDH1/IDH2 hotspot mutations and without contrast enhancement. By DNA methylation profiling, 10/25 tumors were classified as glioblastoma, IDH-wildtype, and an additional 7 cases could not be classified using methylome analysis, but showed genetic characteristics of glioblastoma. Histologically, all of these 17 tumors were low-grade diffuse astrocytomas. Nevertheless, 10/17 patients experienced early malignant progression. Other methylation classes included diffuse midline glioma, H3 K27M-mutant, diffuse astrocytoma, IDH-mutant, pilocytic astrocytoma, and normal or reactive brain tissue (total n=8). In conclusion, no convincing diffuse astrocytoma, IDH-wildtype, was identified. Most IDH-wildtype tumors showing histopathological and radiological features of low-grade diffuse astrocytoma exhibit molecular and clinical features of high-grade glioma and may represent an early stage of primary glioblastoma. Our findings have implications for the biology, classification and neuropathological diagnosis of diffuse astrocytoma, IDH-wildtype in adults.","author":[{"dropping-particle":"","family":"Hasselblatt","given":"Martin","non-dropping-particle":"","parse-names":false,"suffix":""},{"dropping-particle":"","family":"Jaber","given":"Mohammed","non-dropping-particle":"","parse-names":false,"suffix":""},{"dropping-particle":"","family":"Reuss","given":"David","non-dropping-particle":"","parse-names":false,"suffix":""},{"dropping-particle":"","family":"Grauer","given":"Oliver","non-dropping-particle":"","parse-names":false,"suffix":""},{"dropping-particle":"","family":"Bibo","given":"Annkatrin","non-dropping-particle":"","parse-names":false,"suffix":""},{"dropping-particle":"","family":"Terwey","given":"Stephanie","non-dropping-particle":"","parse-names":false,"suffix":""},{"dropping-particle":"","family":"Schick","given":"Uta","non-dropping-particle":"","parse-names":false,"suffix":""},{"dropping-particle":"","family":"Ebel","given":"Heinrich","non-dropping-particle":"","parse-names":false,"suffix":""},{"dropping-particle":"","family":"Niederstadt","given":"Thomas","non-dropping-particle":"","parse-names":false,"suffix":""},{"dropping-particle":"","family":"Stummer","given":"Walter","non-dropping-particle":"","parse-names":false,"suffix":""},{"dropping-particle":"","family":"Deimling","given":"Andreas","non-dropping-particle":"von","parse-names":false,"suffix":""},{"dropping-particle":"","family":"Paulus","given":"Werner","non-dropping-particle":"","parse-names":false,"suffix":""}],"container-title":"Journal of Neuropathology and Experimental Neurology","id":"ITEM-1","issue":"6","issued":{"date-parts":[["2018","6","1"]]},"page":"422-425","publisher":"Oxford University Press","title":"Diffuse astrocytoma, IDH-wildtype: A dissolving diagnosis","type":"article-journal","volume":"77"},"uris":["http://www.mendeley.com/documents/?uuid=ffeeea55-3560-3410-8169-110d1916fbb1"]}],"mendeley":{"formattedCitation":"&lt;sup&gt;40&lt;/sup&gt;","plainTextFormattedCitation":"40","previouslyFormattedCitation":"&lt;sup&gt;40&lt;/sup&gt;"},"properties":{"noteIndex":0},"schema":"https://github.com/citation-style-language/schema/raw/master/csl-citation.json"}</w:instrText>
      </w:r>
      <w:r w:rsidR="00865F52">
        <w:fldChar w:fldCharType="separate"/>
      </w:r>
      <w:r w:rsidR="00CB0011" w:rsidRPr="00CB0011">
        <w:rPr>
          <w:noProof/>
          <w:vertAlign w:val="superscript"/>
        </w:rPr>
        <w:t>40</w:t>
      </w:r>
      <w:r w:rsidR="00865F52">
        <w:fldChar w:fldCharType="end"/>
      </w:r>
      <w:r w:rsidR="004B2913">
        <w:t>.</w:t>
      </w:r>
    </w:p>
    <w:p w14:paraId="315F4181" w14:textId="77777777" w:rsidR="007B4C38" w:rsidRDefault="007B4C38" w:rsidP="00EC4DAF">
      <w:pPr>
        <w:pStyle w:val="Nadpis5"/>
        <w:spacing w:line="480" w:lineRule="auto"/>
      </w:pPr>
    </w:p>
    <w:p w14:paraId="2CF4EF75" w14:textId="6A67F642" w:rsidR="009B13B9" w:rsidRDefault="009B13B9" w:rsidP="00EC4DAF">
      <w:pPr>
        <w:pStyle w:val="Nadpis5"/>
        <w:spacing w:line="480" w:lineRule="auto"/>
      </w:pPr>
      <w:bookmarkStart w:id="27" w:name="_Toc88741454"/>
      <w:r>
        <w:t>Anaplastický astrocytom</w:t>
      </w:r>
      <w:bookmarkEnd w:id="27"/>
    </w:p>
    <w:p w14:paraId="0EF00DA7" w14:textId="19B798CF" w:rsidR="00913FD9" w:rsidRDefault="0045112E" w:rsidP="00EC4DAF">
      <w:pPr>
        <w:pStyle w:val="Odstavecseseznamem"/>
        <w:tabs>
          <w:tab w:val="left" w:pos="975"/>
        </w:tabs>
        <w:ind w:left="0"/>
        <w:jc w:val="both"/>
      </w:pPr>
      <w:r w:rsidRPr="00F605B2">
        <w:t>An</w:t>
      </w:r>
      <w:r w:rsidR="00F605B2" w:rsidRPr="00F605B2">
        <w:t>aplastický astrocytom je maligní, difuzně infiltrující primární nádor mozku</w:t>
      </w:r>
      <w:r w:rsidR="00913FD9">
        <w:t xml:space="preserve"> vznikající neoplastickou transformací</w:t>
      </w:r>
      <w:r w:rsidR="00194968">
        <w:t xml:space="preserve"> </w:t>
      </w:r>
      <w:r w:rsidR="00913FD9">
        <w:t>z astrocytárních buněk a často dochází k jeho progresi v nejmalignější typ gliálního nádoru, tedy glioblastom</w:t>
      </w:r>
      <w:r w:rsidR="000D6F40">
        <w:fldChar w:fldCharType="begin" w:fldLock="1"/>
      </w:r>
      <w:r w:rsidR="00F90F1D">
        <w:instrText>ADDIN CSL_CITATION {"citationItems":[{"id":"ITEM-1","itemData":{"DOI":"10.1007/s00401-007-0243-4","ISSN":"00016322","PMID":"17618441","abstract":"The fourth edition of the World Health Organization (WHO) classification of tumours of the central nervous system, published in 2007, lists several new entities, including angiocentric glioma, papillary glioneuronal tumour, rosette-forming glioneuronal tumour of the fourth ventricle, papillary tumour of the pineal region, pituicytoma and spindle cell oncocytoma of the adenohypophysis. Histological variants were added if there was evidence of a different age distribution, location, genetic profile or clinical behaviour; these included pilomyxoid astrocytoma, anaplastic medulloblastoma and medulloblastoma with extensive nodularity. The WHO grading scheme and the sections on genetic profiles were updated and the rhabdoid tumour predisposition syndrome was added to the list of familial tumour syndromes typically involving the nervous system. As in the previous, 2000 edition of the WHO 'Blue Book', the classification is accompanied by a concise commentary on clinico-pathological characteristics of each tumour type. The 2007 WHO classification is based on the consensus of an international Working Group of 25 pathologists and geneticists, as well as contributions from more than 70 international experts overall, and is presented as the standard for the definition of brain tumours to the clinical oncology and cancer research communities world-wide. © Springer-Verlag 2007.","author":[{"dropping-particle":"","family":"Louis","given":"David N.","non-dropping-particle":"","parse-names":false,"suffix":""},{"dropping-particle":"","family":"Ohgaki","given":"Hiroko","non-dropping-particle":"","parse-names":false,"suffix":""},{"dropping-particle":"","family":"Wiestler","given":"Otmar D.","non-dropping-particle":"","parse-names":false,"suffix":""},{"dropping-particle":"","family":"Cavenee","given":"Webster K.","non-dropping-particle":"","parse-names":false,"suffix":""},{"dropping-particle":"","family":"Burger","given":"Peter C.","non-dropping-particle":"","parse-names":false,"suffix":""},{"dropping-particle":"","family":"Jouvet","given":"Anne","non-dropping-particle":"","parse-names":false,"suffix":""},{"dropping-particle":"","family":"Scheithauer","given":"Bernd W.","non-dropping-particle":"","parse-names":false,"suffix":""},{"dropping-particle":"","family":"Kleihues","given":"Paul","non-dropping-particle":"","parse-names":false,"suffix":""}],"container-title":"Acta Neuropathologica","id":"ITEM-1","issue":"2","issued":{"date-parts":[["2007","8"]]},"page":"97-109","publisher":"Springer","title":"The 2007 WHO classification of tumours of the central nervous system","type":"article","volume":"114"},"uris":["http://www.mendeley.com/documents/?uuid=44b3a17a-fd3f-3a02-9a06-f8240bacf4b6"]},{"id":"ITEM-2","itemData":{"DOI":"10.1007/s00401-016-1545-1","ISSN":"14320533","PMID":"27157931","abstract":"The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Neuropathologica","id":"ITEM-2","issue":"6","issued":{"date-parts":[["2016","6","1"]]},"page":"803-820","publisher":"Springer Verlag","title":"The 2016 World Health Organization Classification of Tumors of the Central Nervous System: a summary","type":"article","volume":"131"},"uris":["http://www.mendeley.com/documents/?uuid=61d17050-a6fc-32c6-ad78-ea3ccfc131ec"]}],"mendeley":{"formattedCitation":"&lt;sup&gt;9,41&lt;/sup&gt;","plainTextFormattedCitation":"9,41","previouslyFormattedCitation":"&lt;sup&gt;9,41&lt;/sup&gt;"},"properties":{"noteIndex":0},"schema":"https://github.com/citation-style-language/schema/raw/master/csl-citation.json"}</w:instrText>
      </w:r>
      <w:r w:rsidR="000D6F40">
        <w:fldChar w:fldCharType="separate"/>
      </w:r>
      <w:r w:rsidR="00CB0011" w:rsidRPr="00CB0011">
        <w:rPr>
          <w:noProof/>
          <w:vertAlign w:val="superscript"/>
        </w:rPr>
        <w:t>9,41</w:t>
      </w:r>
      <w:r w:rsidR="000D6F40">
        <w:fldChar w:fldCharType="end"/>
      </w:r>
      <w:r w:rsidR="00033C38">
        <w:t xml:space="preserve">. </w:t>
      </w:r>
      <w:r w:rsidR="000D6F40">
        <w:t>Histologicky je anaplastický astrocytom je morfologicky velmi heterogenní; společnými znaky je zvýšená buněčnost</w:t>
      </w:r>
      <w:r w:rsidR="0059071C">
        <w:t xml:space="preserve"> s vysokým podílem mitóz</w:t>
      </w:r>
      <w:r w:rsidR="000D6F40">
        <w:t>, jaderná atypie a</w:t>
      </w:r>
      <w:r w:rsidR="0059071C">
        <w:t xml:space="preserve"> přítomnost gliálních markerů bez nekróz a vaskulární proliferace</w:t>
      </w:r>
      <w:r w:rsidR="0059071C">
        <w:fldChar w:fldCharType="begin" w:fldLock="1"/>
      </w:r>
      <w:r w:rsidR="00C554E1">
        <w:instrText>ADDIN CSL_CITATION {"citationItems":[{"id":"ITEM-1","itemData":{"DOI":"10.1007/s00401-010-0781-z","ISSN":"00016322","PMID":"21088844","abstract":"WHO grading of human brain tumors extends beyond a strictly histological grading system by providing a basis predictive for the clinical behavior of the respective neoplasm. For example, patients with glioblastoma WHO grade IV usually show a less favorable clinical course and receive more aggressive first-line treatment than patients with anaplastic astrocytoma WHO grade III. Here we provide evidence that the IDH1 status is more prognostic for overall survival than standard histological criteria that differentiate high-grade astrocytomas. We sequenced the isocitrate dehydrogenase 1 gene (IDH1) at codon 132 in 382 patients with anaplastic astrocytoma and glioblastoma from the NOA-04 trial and from a prospective translational cohort study of the German Glioma Network. Patients with anaplastic astrocytomas carried IDH1 mutations in 60%, and patients with glioblastomas in 7.2%. IDH1 was the most prominent single prognostic factor (RR 2.7; 95% CI 1.6-4.5) followed by age, diagnosis and MGMT. The sequence from more favorable to poorer outcome was (1) anaplastic astrocytoma with IDH1 mutation, (2) glioblastoma with IDH1 mutation, (3) anaplastic astrocytoma without IDH1 mutation and (4) glioblastoma without IDH1 mutation (p&lt;0.0001). In this combined set of anaplastic astrocytomas and glioblastomas both, IDH1 mutation and IDH1 expression status were of greater prognostic relevance than histological diagnosis according to the current WHO classification system. Our data indicate that much of the prognostic significance of patient age is due to the predominant occurrence of IDH1 mutations in younger patients. Immunohistochemistry using a mutation-specific antibody recognizing the R132H mutation yielded similar results. We propose to complement the current WHO classification and grading of high-grade astrocytic gliomas by the IDH1 mutation status and to use this combined histological and molecular classification in future clinical trials. © Springer-Verlag 2010.","author":[{"dropping-particle":"","family":"Hartmann","given":"Christian","non-dropping-particle":"","parse-names":false,"suffix":""},{"dropping-particle":"","family":"Hentschel","given":"Bettina","non-dropping-particle":"","parse-names":false,"suffix":""},{"dropping-particle":"","family":"Wick","given":"Wolfgang","non-dropping-particle":"","parse-names":false,"suffix":""},{"dropping-particle":"","family":"Capper","given":"David","non-dropping-particle":"","parse-names":false,"suffix":""},{"dropping-particle":"","family":"Felsberg","given":"Jörg","non-dropping-particle":"","parse-names":false,"suffix":""},{"dropping-particle":"","family":"Simon","given":"Matthias","non-dropping-particle":"","parse-names":false,"suffix":""},{"dropping-particle":"","family":"Westphal","given":"Manfred","non-dropping-particle":"","parse-names":false,"suffix":""},{"dropping-particle":"","family":"Schackert","given":"Gabriele","non-dropping-particle":"","parse-names":false,"suffix":""},{"dropping-particle":"","family":"Meyermann","given":"Richard","non-dropping-particle":"","parse-names":false,"suffix":""},{"dropping-particle":"","family":"Pietsch","given":"Torsten","non-dropping-particle":"","parse-names":false,"suffix":""},{"dropping-particle":"","family":"Reifenberger","given":"Guido","non-dropping-particle":"","parse-names":false,"suffix":""},{"dropping-particle":"","family":"Weller","given":"Michael","non-dropping-particle":"","parse-names":false,"suffix":""},{"dropping-particle":"","family":"Loeffler","given":"Markus","non-dropping-particle":"","parse-names":false,"suffix":""},{"dropping-particle":"","family":"Deimling","given":"Andreas","non-dropping-particle":"Von","parse-names":false,"suffix":""}],"container-title":"Acta Neuropathologica","id":"ITEM-1","issue":"6","issued":{"date-parts":[["2010","12"]]},"page":"707-718","publisher":"Acta Neuropathol","title":"Patients with IDH1 wild type anaplastic astrocytomas exhibit worse prognosis than IDH1-mutated glioblastomas, and IDH1 mutation status accounts for the unfavorable prognostic effect of higher age: Implications for classification of gliomas","type":"article-journal","volume":"120"},"uris":["http://www.mendeley.com/documents/?uuid=3874de40-81a8-39f6-bd04-55638fa6fb56"]}],"mendeley":{"formattedCitation":"&lt;sup&gt;42&lt;/sup&gt;","plainTextFormattedCitation":"42","previouslyFormattedCitation":"&lt;sup&gt;42&lt;/sup&gt;"},"properties":{"noteIndex":0},"schema":"https://github.com/citation-style-language/schema/raw/master/csl-citation.json"}</w:instrText>
      </w:r>
      <w:r w:rsidR="0059071C">
        <w:fldChar w:fldCharType="separate"/>
      </w:r>
      <w:r w:rsidR="00C554E1" w:rsidRPr="00C554E1">
        <w:rPr>
          <w:noProof/>
          <w:vertAlign w:val="superscript"/>
        </w:rPr>
        <w:t>42</w:t>
      </w:r>
      <w:r w:rsidR="0059071C">
        <w:fldChar w:fldCharType="end"/>
      </w:r>
      <w:r w:rsidR="00AD3A30">
        <w:t xml:space="preserve">. </w:t>
      </w:r>
      <w:r w:rsidR="00913FD9">
        <w:t>Manifestace tohoto onemocnění je okolo 41 roku</w:t>
      </w:r>
      <w:r w:rsidR="00913FD9">
        <w:fldChar w:fldCharType="begin" w:fldLock="1"/>
      </w:r>
      <w:r w:rsidR="00CC7CB0">
        <w:instrText>ADDIN CSL_CITATION {"citationItems":[{"id":"ITEM-1","itemData":{"DOI":"10.1007/s00401-007-0243-4","ISSN":"00016322","PMID":"17618441","abstract":"The fourth edition of the World Health Organization (WHO) classification of tumours of the central nervous system, published in 2007, lists several new entities, including angiocentric glioma, papillary glioneuronal tumour, rosette-forming glioneuronal tumour of the fourth ventricle, papillary tumour of the pineal region, pituicytoma and spindle cell oncocytoma of the adenohypophysis. Histological variants were added if there was evidence of a different age distribution, location, genetic profile or clinical behaviour; these included pilomyxoid astrocytoma, anaplastic medulloblastoma and medulloblastoma with extensive nodularity. The WHO grading scheme and the sections on genetic profiles were updated and the rhabdoid tumour predisposition syndrome was added to the list of familial tumour syndromes typically involving the nervous system. As in the previous, 2000 edition of the WHO 'Blue Book', the classification is accompanied by a concise commentary on clinico-pathological characteristics of each tumour type. The 2007 WHO classification is based on the consensus of an international Working Group of 25 pathologists and geneticists, as well as contributions from more than 70 international experts overall, and is presented as the standard for the definition of brain tumours to the clinical oncology and cancer research communities world-wide. © Springer-Verlag 2007.","author":[{"dropping-particle":"","family":"Louis","given":"David N.","non-dropping-particle":"","parse-names":false,"suffix":""},{"dropping-particle":"","family":"Ohgaki","given":"Hiroko","non-dropping-particle":"","parse-names":false,"suffix":""},{"dropping-particle":"","family":"Wiestler","given":"Otmar D.","non-dropping-particle":"","parse-names":false,"suffix":""},{"dropping-particle":"","family":"Cavenee","given":"Webster K.","non-dropping-particle":"","parse-names":false,"suffix":""},{"dropping-particle":"","family":"Burger","given":"Peter C.","non-dropping-particle":"","parse-names":false,"suffix":""},{"dropping-particle":"","family":"Jouvet","given":"Anne","non-dropping-particle":"","parse-names":false,"suffix":""},{"dropping-particle":"","family":"Scheithauer","given":"Bernd W.","non-dropping-particle":"","parse-names":false,"suffix":""},{"dropping-particle":"","family":"Kleihues","given":"Paul","non-dropping-particle":"","parse-names":false,"suffix":""}],"container-title":"Acta Neuropathologica","id":"ITEM-1","issue":"2","issued":{"date-parts":[["2007","8"]]},"page":"97-109","publisher":"Springer","title":"The 2007 WHO classification of tumours of the central nervous system","type":"article","volume":"114"},"uris":["http://www.mendeley.com/documents/?uuid=44b3a17a-fd3f-3a02-9a06-f8240bacf4b6"]}],"mendeley":{"formattedCitation":"&lt;sup&gt;9&lt;/sup&gt;","plainTextFormattedCitation":"9","previouslyFormattedCitation":"&lt;sup&gt;9&lt;/sup&gt;"},"properties":{"noteIndex":0},"schema":"https://github.com/citation-style-language/schema/raw/master/csl-citation.json"}</w:instrText>
      </w:r>
      <w:r w:rsidR="00913FD9">
        <w:fldChar w:fldCharType="separate"/>
      </w:r>
      <w:r w:rsidR="006431C6" w:rsidRPr="006431C6">
        <w:rPr>
          <w:noProof/>
          <w:vertAlign w:val="superscript"/>
        </w:rPr>
        <w:t>9</w:t>
      </w:r>
      <w:r w:rsidR="00913FD9">
        <w:fldChar w:fldCharType="end"/>
      </w:r>
      <w:r w:rsidR="00913FD9">
        <w:t>, avšak IDH mutovaná varianta může postihovat pacienty i dříve</w:t>
      </w:r>
      <w:r w:rsidR="00913FD9">
        <w:fldChar w:fldCharType="begin" w:fldLock="1"/>
      </w:r>
      <w:r w:rsidR="00C554E1">
        <w:instrText>ADDIN CSL_CITATION {"citationItems":[{"id":"ITEM-1","itemData":{"DOI":"10.1007/s00401-015-1438-8","ISSN":"14320533","PMID":"25962792","abstract":"The WHO 2007 classification of tumors of the CNS distinguishes between diffuse astrocytoma WHO grade II (A IIWHO2007) and anaplastic astrocytoma WHO grade III (AA IIIWHO2007). Patients with A IIWHO2007 are significantly younger and survive significantly longer than those with AA IIIWHO2007. So far, classification and grading relies on morphological grounds only and does not yet take into account IDH status, a molecular marker of prognostic relevance. We here demonstrate that WHO 2007 grading performs poorly in predicting prognosis when applied to astrocytoma carrying IDH mutations. Three independent series including a total of 1360 adult diffuse astrocytic gliomas with IDH mutation containing 683 A IIIDHmut, 562 AA IIIIDHmut and 115 GBMIDHmut have been examined for age distribution and survival. In all three series patients with A IIIDHmut and AA IIIIDHmut were of identical age at presentation of disease (36–37 years) and the difference in survival between grades was much less (10.9 years for A IIIDHmut, 9.3 years for AA IIIIDHmut) than that reported for A IIWHO2007versus AA IIIWHO2007. Our analyses imply that the differences in age and survival between A IIWHO2007 and AA IIIWHO2007 predominantly depend on the fraction of IDH-non-mutant astrocytomas in the cohort. This data poses a substantial challenge for the current practice of astrocytoma grading and risk stratification and is likely to have far-reaching consequences on the management of patients with IDH-mutant astrocytoma.","author":[{"dropping-particle":"","family":"Reuss","given":"David E.","non-dropping-particle":"","parse-names":false,"suffix":""},{"dropping-particle":"","family":"Mamatjan","given":"Yasin","non-dropping-particle":"","parse-names":false,"suffix":""},{"dropping-particle":"","family":"Schrimpf","given":"Daniel","non-dropping-particle":"","parse-names":false,"suffix":""},{"dropping-particle":"","family":"Capper","given":"David","non-dropping-particle":"","parse-names":false,"suffix":""},{"dropping-particle":"","family":"Hovestadt","given":"Volker","non-dropping-particle":"","parse-names":false,"suffix":""},{"dropping-particle":"","family":"Kratz","given":"Annekathrin","non-dropping-particle":"","parse-names":false,"suffix":""},{"dropping-particle":"","family":"Sahm","given":"Felix","non-dropping-particle":"","parse-names":false,"suffix":""},{"dropping-particle":"","family":"Koelsche","given":"Christian","non-dropping-particle":"","parse-names":false,"suffix":""},{"dropping-particle":"","family":"Korshunov","given":"Andrey","non-dropping-particle":"","parse-names":false,"suffix":""},{"dropping-particle":"","family":"Olar","given":"Adriana","non-dropping-particle":"","parse-names":false,"suffix":""},{"dropping-particle":"","family":"Hartmann","given":"Christian","non-dropping-particle":"","parse-names":false,"suffix":""},{"dropping-particle":"","family":"Reijneveld","given":"Jaap C.","non-dropping-particle":"","parse-names":false,"suffix":""},{"dropping-particle":"","family":"Wesseling","given":"Pieter","non-dropping-particle":"","parse-names":false,"suffix":""},{"dropping-particle":"","family":"Unterberg","given":"Andreas","non-dropping-particle":"","parse-names":false,"suffix":""},{"dropping-particle":"","family":"Platten","given":"Michael","non-dropping-particle":"","parse-names":false,"suffix":""},{"dropping-particle":"","family":"Wick","given":"Wolfgang","non-dropping-particle":"","parse-names":false,"suffix":""},{"dropping-particle":"","family":"Herold-Mende","given":"Christel","non-dropping-particle":"","parse-names":false,"suffix":""},{"dropping-particle":"","family":"Aldape","given":"Kenneth","non-dropping-particle":"","parse-names":false,"suffix":""},{"dropping-particle":"","family":"Deimling","given":"Andreas","non-dropping-particle":"von","parse-names":false,"suffix":""}],"container-title":"Acta Neuropathologica","id":"ITEM-1","issue":"6","issued":{"date-parts":[["2015","6","26"]]},"page":"867-873","publisher":"Springer Verlag","title":"IDH mutant diffuse and anaplastic astrocytomas have similar age at presentation and little difference in survival: a grading problem for WHO","type":"article-journal","volume":"129"},"uris":["http://www.mendeley.com/documents/?uuid=dd03b5ed-724f-31d1-9e43-093779e01b0d"]}],"mendeley":{"formattedCitation":"&lt;sup&gt;43&lt;/sup&gt;","plainTextFormattedCitation":"43","previouslyFormattedCitation":"&lt;sup&gt;43&lt;/sup&gt;"},"properties":{"noteIndex":0},"schema":"https://github.com/citation-style-language/schema/raw/master/csl-citation.json"}</w:instrText>
      </w:r>
      <w:r w:rsidR="00913FD9">
        <w:fldChar w:fldCharType="separate"/>
      </w:r>
      <w:r w:rsidR="00C554E1" w:rsidRPr="00C554E1">
        <w:rPr>
          <w:noProof/>
          <w:vertAlign w:val="superscript"/>
        </w:rPr>
        <w:t>43</w:t>
      </w:r>
      <w:r w:rsidR="00913FD9">
        <w:fldChar w:fldCharType="end"/>
      </w:r>
      <w:r w:rsidR="00913FD9">
        <w:t xml:space="preserve">. </w:t>
      </w:r>
    </w:p>
    <w:p w14:paraId="39F3EB0A" w14:textId="77777777" w:rsidR="00C60576" w:rsidRDefault="00C60576" w:rsidP="00EC4DAF">
      <w:pPr>
        <w:pStyle w:val="Odstavecseseznamem"/>
        <w:tabs>
          <w:tab w:val="left" w:pos="975"/>
        </w:tabs>
        <w:ind w:left="0"/>
        <w:jc w:val="both"/>
      </w:pPr>
    </w:p>
    <w:p w14:paraId="0C67537E" w14:textId="5D8CAB6F" w:rsidR="0045112E" w:rsidRDefault="00F605B2" w:rsidP="00EC4DAF">
      <w:pPr>
        <w:pStyle w:val="Odstavecseseznamem"/>
        <w:tabs>
          <w:tab w:val="left" w:pos="975"/>
        </w:tabs>
        <w:ind w:left="0"/>
        <w:jc w:val="both"/>
      </w:pPr>
      <w:r>
        <w:t>Dle WHO 2016 klasifikace se u tohoto typu nádoru nevyskytuje kodelece chromozomů 1p/19q.  Rozdělení anaplastického astrocytomu je založeno na statusu IDH</w:t>
      </w:r>
      <w:r w:rsidR="0059071C">
        <w:t xml:space="preserve">, který sebou nese různé klinické a prognostické charakteristiky. </w:t>
      </w:r>
      <w:r>
        <w:t>IDH mutovaný</w:t>
      </w:r>
      <w:r w:rsidR="0059071C">
        <w:t xml:space="preserve"> anaplastický a</w:t>
      </w:r>
      <w:r w:rsidR="00AD3A30">
        <w:t>st</w:t>
      </w:r>
      <w:r w:rsidR="0059071C">
        <w:t>rocytom</w:t>
      </w:r>
      <w:r>
        <w:t xml:space="preserve"> je spojován s lepší prognózou; IDH</w:t>
      </w:r>
      <w:r w:rsidR="004B2913">
        <w:t xml:space="preserve"> </w:t>
      </w:r>
      <w:r>
        <w:t>wild</w:t>
      </w:r>
      <w:r w:rsidR="00C60576">
        <w:t xml:space="preserve"> </w:t>
      </w:r>
      <w:r>
        <w:t>type s horší prognózou; a pokud není možné vyšetřit status IDH</w:t>
      </w:r>
      <w:r w:rsidR="000D6F40">
        <w:t xml:space="preserve"> imunohistochemicky ani sekvenováním</w:t>
      </w:r>
      <w:r>
        <w:t>, je anaplastický astrocytom klasifikován jako nespecifikovaný</w:t>
      </w:r>
      <w:r w:rsidR="006E7BE8">
        <w:fldChar w:fldCharType="begin" w:fldLock="1"/>
      </w:r>
      <w:r w:rsidR="00CC7CB0">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6E7BE8">
        <w:fldChar w:fldCharType="separate"/>
      </w:r>
      <w:r w:rsidR="006431C6" w:rsidRPr="006431C6">
        <w:rPr>
          <w:noProof/>
          <w:vertAlign w:val="superscript"/>
        </w:rPr>
        <w:t>12</w:t>
      </w:r>
      <w:r w:rsidR="006E7BE8">
        <w:fldChar w:fldCharType="end"/>
      </w:r>
      <w:r>
        <w:t xml:space="preserve">. </w:t>
      </w:r>
    </w:p>
    <w:p w14:paraId="519F43AB" w14:textId="3B76362E" w:rsidR="000D6F40" w:rsidRDefault="000D6F40" w:rsidP="00EC4DAF">
      <w:pPr>
        <w:pStyle w:val="Odstavecseseznamem"/>
        <w:tabs>
          <w:tab w:val="left" w:pos="975"/>
        </w:tabs>
        <w:ind w:left="0"/>
        <w:jc w:val="both"/>
      </w:pPr>
    </w:p>
    <w:p w14:paraId="4548CF56" w14:textId="79F3793E" w:rsidR="00BB1925" w:rsidRDefault="00BB1925" w:rsidP="00EC4DAF">
      <w:pPr>
        <w:pStyle w:val="Nadpis5"/>
        <w:spacing w:line="480" w:lineRule="auto"/>
      </w:pPr>
      <w:bookmarkStart w:id="28" w:name="_Toc88741455"/>
      <w:r>
        <w:t>Glioblastom</w:t>
      </w:r>
      <w:bookmarkEnd w:id="28"/>
    </w:p>
    <w:p w14:paraId="71C1D137" w14:textId="4743A400" w:rsidR="00BE5049" w:rsidRDefault="00865F52" w:rsidP="00EC4DAF">
      <w:pPr>
        <w:pStyle w:val="Odstavecseseznamem"/>
        <w:tabs>
          <w:tab w:val="left" w:pos="975"/>
        </w:tabs>
        <w:ind w:left="0"/>
        <w:jc w:val="both"/>
      </w:pPr>
      <w:r w:rsidRPr="00865F52">
        <w:t>Glioblastom je nejčastější a nejmalignější nádor</w:t>
      </w:r>
      <w:r>
        <w:t xml:space="preserve"> mozku</w:t>
      </w:r>
      <w:r w:rsidRPr="00865F52">
        <w:t xml:space="preserve"> u dospělýc</w:t>
      </w:r>
      <w:r w:rsidR="003B29FF">
        <w:t>h</w:t>
      </w:r>
      <w:r w:rsidR="00194968">
        <w:t xml:space="preserve">. </w:t>
      </w:r>
      <w:r w:rsidR="003E0957">
        <w:t>Histologicky je charakterizován špatnou diferenciací, jadernou atypií, vysokou mitotickou aktivitou, mikrovaskulární proliferací a obsahuj</w:t>
      </w:r>
      <w:r w:rsidR="00A773B0">
        <w:t>e</w:t>
      </w:r>
      <w:r w:rsidR="003E0957">
        <w:t xml:space="preserve"> četné nekrózy. Nádor bývá lokalizován v mozkových hemisférách s epicentrem v bílé hmotě a může zasahovat až na povrch mozku. </w:t>
      </w:r>
      <w:r w:rsidR="00BE5049">
        <w:t xml:space="preserve">Jak již bylo </w:t>
      </w:r>
      <w:r w:rsidR="00BE5049" w:rsidRPr="00A773B0">
        <w:t xml:space="preserve">výše uvedeno, glioblastomy </w:t>
      </w:r>
      <w:r w:rsidR="008A41E7">
        <w:t xml:space="preserve">vznikají u mladších pacientů z </w:t>
      </w:r>
      <w:r w:rsidR="00BE5049" w:rsidRPr="00A773B0">
        <w:t>difúzních a anaplastických astrocytomů nižšího</w:t>
      </w:r>
      <w:r w:rsidR="00BE5049">
        <w:t xml:space="preserve"> gradu</w:t>
      </w:r>
      <w:r w:rsidR="008A41E7">
        <w:t>, které označujeme jako sekundární</w:t>
      </w:r>
      <w:r w:rsidR="00033C38">
        <w:t xml:space="preserve">, </w:t>
      </w:r>
      <w:r w:rsidR="00BE5049">
        <w:t xml:space="preserve">nebo vznikají </w:t>
      </w:r>
      <w:r w:rsidR="008A41E7" w:rsidRPr="00A773B0">
        <w:rPr>
          <w:i/>
          <w:iCs/>
        </w:rPr>
        <w:t>de novo</w:t>
      </w:r>
      <w:r w:rsidR="008A41E7">
        <w:t xml:space="preserve"> a jsou označovány jako primární. </w:t>
      </w:r>
    </w:p>
    <w:p w14:paraId="38EDBFE7" w14:textId="77777777" w:rsidR="00C60576" w:rsidRDefault="00C60576" w:rsidP="00EC4DAF">
      <w:pPr>
        <w:pStyle w:val="Odstavecseseznamem"/>
        <w:tabs>
          <w:tab w:val="left" w:pos="975"/>
        </w:tabs>
        <w:ind w:left="0"/>
        <w:jc w:val="both"/>
      </w:pPr>
    </w:p>
    <w:p w14:paraId="66AF9F7B" w14:textId="0183F29C" w:rsidR="00A773B0" w:rsidRDefault="00A773B0" w:rsidP="00EC4DAF">
      <w:pPr>
        <w:pStyle w:val="Odstavecseseznamem"/>
        <w:tabs>
          <w:tab w:val="left" w:pos="975"/>
        </w:tabs>
        <w:ind w:left="0"/>
        <w:jc w:val="both"/>
      </w:pPr>
      <w:r w:rsidRPr="00865F52">
        <w:t xml:space="preserve">Pacienti s glioblastomem </w:t>
      </w:r>
      <w:r>
        <w:t>mají i přes maximální</w:t>
      </w:r>
      <w:r w:rsidR="003B29FF">
        <w:t xml:space="preserve"> léčebný</w:t>
      </w:r>
      <w:r>
        <w:t xml:space="preserve"> </w:t>
      </w:r>
      <w:r w:rsidR="00C60576">
        <w:t>režim</w:t>
      </w:r>
      <w:r>
        <w:t xml:space="preserve"> zahrnující resekci a chemoradioterapi</w:t>
      </w:r>
      <w:r w:rsidR="003B29FF">
        <w:t xml:space="preserve">i </w:t>
      </w:r>
      <w:r>
        <w:t>velmi krátkou dobu přežití okolo 12-18 měsíců a pouze 5</w:t>
      </w:r>
      <w:r w:rsidR="009165EA">
        <w:t xml:space="preserve"> </w:t>
      </w:r>
      <w:r>
        <w:t xml:space="preserve">% pacientů přežije 5 let. </w:t>
      </w:r>
      <w:r w:rsidR="00DB7D63">
        <w:t>Toto onemocnění se nejčastěji vyskytuje mezi 45. a 70</w:t>
      </w:r>
      <w:r w:rsidR="0030129D">
        <w:t>.</w:t>
      </w:r>
      <w:r w:rsidR="00DB7D63">
        <w:t xml:space="preserve"> rok</w:t>
      </w:r>
      <w:r w:rsidR="0030129D">
        <w:t>em</w:t>
      </w:r>
      <w:r w:rsidR="00DB7D63">
        <w:t xml:space="preserve">, s mediánem okolo 64. roku života. </w:t>
      </w:r>
    </w:p>
    <w:p w14:paraId="7B76FD51" w14:textId="77777777" w:rsidR="00C60576" w:rsidRDefault="00C60576" w:rsidP="00EC4DAF">
      <w:pPr>
        <w:pStyle w:val="Odstavecseseznamem"/>
        <w:tabs>
          <w:tab w:val="left" w:pos="975"/>
        </w:tabs>
        <w:ind w:left="0"/>
        <w:jc w:val="both"/>
      </w:pPr>
    </w:p>
    <w:p w14:paraId="68DEF2D7" w14:textId="5083C748" w:rsidR="00DB7D63" w:rsidRDefault="00DB7D63" w:rsidP="00EC4DAF">
      <w:pPr>
        <w:pStyle w:val="Odstavecseseznamem"/>
        <w:tabs>
          <w:tab w:val="left" w:pos="975"/>
        </w:tabs>
        <w:ind w:left="0"/>
        <w:jc w:val="both"/>
      </w:pPr>
      <w:r>
        <w:t xml:space="preserve">Klasifikace glioblastomů je opět dělena na základě statusu </w:t>
      </w:r>
      <w:r w:rsidRPr="00F20E43">
        <w:rPr>
          <w:i/>
          <w:iCs/>
        </w:rPr>
        <w:t>IDH</w:t>
      </w:r>
      <w:r>
        <w:t xml:space="preserve">, tedy na </w:t>
      </w:r>
      <w:r w:rsidRPr="00091D5F">
        <w:rPr>
          <w:i/>
          <w:iCs/>
        </w:rPr>
        <w:t>IDH</w:t>
      </w:r>
      <w:r>
        <w:t xml:space="preserve"> mutované, </w:t>
      </w:r>
      <w:r w:rsidR="0044278A">
        <w:t>IDH</w:t>
      </w:r>
      <w:r w:rsidR="0030129D">
        <w:t xml:space="preserve"> </w:t>
      </w:r>
      <w:r w:rsidR="0044278A">
        <w:t>wild</w:t>
      </w:r>
      <w:r w:rsidR="00F20E43">
        <w:t xml:space="preserve"> </w:t>
      </w:r>
      <w:r w:rsidR="0044278A">
        <w:t>type</w:t>
      </w:r>
      <w:r>
        <w:t xml:space="preserve"> a nespecifikované. </w:t>
      </w:r>
      <w:r w:rsidR="0044278A">
        <w:t xml:space="preserve">V rámci </w:t>
      </w:r>
      <w:r w:rsidR="0044278A" w:rsidRPr="00091D5F">
        <w:rPr>
          <w:i/>
          <w:iCs/>
        </w:rPr>
        <w:t xml:space="preserve">IDH </w:t>
      </w:r>
      <w:r w:rsidR="0044278A">
        <w:t>wild</w:t>
      </w:r>
      <w:r w:rsidR="00C60576">
        <w:t xml:space="preserve"> </w:t>
      </w:r>
      <w:r w:rsidR="0044278A">
        <w:t>type glioblastomu</w:t>
      </w:r>
      <w:r w:rsidR="0030129D">
        <w:t>, který čítá okolo 90</w:t>
      </w:r>
      <w:r w:rsidR="009165EA">
        <w:t xml:space="preserve"> </w:t>
      </w:r>
      <w:r w:rsidR="0030129D">
        <w:t xml:space="preserve">% všech glioblastomů, </w:t>
      </w:r>
      <w:r w:rsidR="0044278A">
        <w:t xml:space="preserve">jsou dále </w:t>
      </w:r>
      <w:r w:rsidR="0030129D">
        <w:t xml:space="preserve">vyčleněny tři skupiny: </w:t>
      </w:r>
      <w:r w:rsidR="00C26909">
        <w:t>v</w:t>
      </w:r>
      <w:r w:rsidR="0030129D" w:rsidRPr="00B33DFA">
        <w:rPr>
          <w:rFonts w:ascii="Calibri" w:eastAsia="Times New Roman" w:hAnsi="Calibri" w:cs="Calibri"/>
          <w:color w:val="000000"/>
        </w:rPr>
        <w:t>elkobuněčný glioblastom</w:t>
      </w:r>
      <w:r w:rsidR="0030129D">
        <w:rPr>
          <w:rFonts w:ascii="Calibri" w:eastAsia="Times New Roman" w:hAnsi="Calibri" w:cs="Calibri"/>
          <w:color w:val="000000"/>
        </w:rPr>
        <w:t>, gliosarkom a epiteloidní glioblastom</w:t>
      </w:r>
      <w:r w:rsidR="00C26909">
        <w:rPr>
          <w:rFonts w:ascii="Calibri" w:eastAsia="Times New Roman" w:hAnsi="Calibri" w:cs="Calibri"/>
          <w:color w:val="000000"/>
        </w:rPr>
        <w:t>, který byl do klasifikace uveden poprvé</w:t>
      </w:r>
      <w:r w:rsidR="0030129D">
        <w:rPr>
          <w:rFonts w:ascii="Calibri" w:eastAsia="Times New Roman" w:hAnsi="Calibri" w:cs="Calibri"/>
          <w:color w:val="000000"/>
        </w:rPr>
        <w:t>.</w:t>
      </w:r>
    </w:p>
    <w:p w14:paraId="6EEE3F24" w14:textId="1B8A28EE" w:rsidR="003B29FF" w:rsidRDefault="003B29FF" w:rsidP="00EC4DAF">
      <w:pPr>
        <w:pStyle w:val="Odstavecseseznamem"/>
        <w:tabs>
          <w:tab w:val="left" w:pos="975"/>
        </w:tabs>
        <w:ind w:left="0"/>
        <w:jc w:val="both"/>
      </w:pPr>
    </w:p>
    <w:p w14:paraId="6ECF6768" w14:textId="2E4F62BB" w:rsidR="00FA04AF" w:rsidRDefault="00FA04AF" w:rsidP="00EC4DAF">
      <w:pPr>
        <w:pStyle w:val="Nadpis5"/>
        <w:spacing w:line="480" w:lineRule="auto"/>
      </w:pPr>
      <w:bookmarkStart w:id="29" w:name="_Toc88741456"/>
      <w:r w:rsidRPr="00FA04AF">
        <w:t xml:space="preserve">Difúzní středočárový gliom </w:t>
      </w:r>
      <w:r w:rsidRPr="00301FC7">
        <w:rPr>
          <w:i/>
          <w:iCs/>
        </w:rPr>
        <w:t>H3K27M</w:t>
      </w:r>
      <w:r w:rsidRPr="00FA04AF">
        <w:t xml:space="preserve"> mutovaný</w:t>
      </w:r>
      <w:bookmarkEnd w:id="29"/>
    </w:p>
    <w:p w14:paraId="77241555" w14:textId="789D408E" w:rsidR="00680CDF" w:rsidRPr="00680CDF" w:rsidRDefault="00680CDF" w:rsidP="00EC4DAF">
      <w:pPr>
        <w:pStyle w:val="Odstavecseseznamem"/>
        <w:tabs>
          <w:tab w:val="left" w:pos="975"/>
        </w:tabs>
        <w:ind w:left="0"/>
        <w:jc w:val="both"/>
      </w:pPr>
      <w:r w:rsidRPr="00680CDF">
        <w:t xml:space="preserve">Tento gliální nádor </w:t>
      </w:r>
      <w:r>
        <w:t>byl pop</w:t>
      </w:r>
      <w:r w:rsidRPr="009165EA">
        <w:t xml:space="preserve">rvé zaveden do klasifikace až v roce 2016 a reprezentuje většinu </w:t>
      </w:r>
      <w:r w:rsidR="009165EA" w:rsidRPr="009165EA">
        <w:t>dif</w:t>
      </w:r>
      <w:r w:rsidR="009165EA">
        <w:t>ú</w:t>
      </w:r>
      <w:r w:rsidR="009165EA" w:rsidRPr="009165EA">
        <w:t>zní</w:t>
      </w:r>
      <w:r w:rsidR="009165EA">
        <w:t>ch</w:t>
      </w:r>
      <w:r w:rsidR="006D0660" w:rsidRPr="009165EA">
        <w:t xml:space="preserve"> </w:t>
      </w:r>
      <w:r w:rsidR="009165EA" w:rsidRPr="009165EA">
        <w:t>gliom</w:t>
      </w:r>
      <w:r w:rsidR="009165EA">
        <w:t>ů</w:t>
      </w:r>
      <w:r w:rsidR="009165EA" w:rsidRPr="009165EA">
        <w:t xml:space="preserve"> mozkového kmene</w:t>
      </w:r>
      <w:r w:rsidR="006D0660" w:rsidRPr="009165EA">
        <w:t>.</w:t>
      </w:r>
      <w:r w:rsidR="006D0660">
        <w:t xml:space="preserve"> Jedná se o </w:t>
      </w:r>
      <w:r w:rsidR="00417267">
        <w:t xml:space="preserve">vzácný </w:t>
      </w:r>
      <w:r w:rsidR="006D0660">
        <w:t xml:space="preserve">agresivní nádor se špatnou prognózou </w:t>
      </w:r>
      <w:r w:rsidR="001A7CD8">
        <w:t xml:space="preserve">přítomný převážně u pediatrických pacientů a ve vzácných případech je nalézán </w:t>
      </w:r>
      <w:r w:rsidR="00F20E43">
        <w:t xml:space="preserve">i </w:t>
      </w:r>
      <w:r w:rsidR="001A7CD8">
        <w:t xml:space="preserve">u dospělých. </w:t>
      </w:r>
      <w:r w:rsidR="006D0660">
        <w:t xml:space="preserve"> </w:t>
      </w:r>
      <w:r w:rsidR="00417267" w:rsidRPr="00417267">
        <w:t>Difúzní středočárový gliom</w:t>
      </w:r>
      <w:r w:rsidR="00417267">
        <w:t xml:space="preserve"> je lokalizován v mozkovém kmeni, thalamu, míše a mozečku. Pod mikroskopem má podobné znaky jako glioblastom a z tohoto důvodu je pro potvrzení diagnózy vyžadováno molekulární testování na přítomnost mutace </w:t>
      </w:r>
      <w:r w:rsidR="00417267" w:rsidRPr="00091D5F">
        <w:rPr>
          <w:i/>
          <w:iCs/>
        </w:rPr>
        <w:t>H3K27M</w:t>
      </w:r>
      <w:r w:rsidR="00417267">
        <w:t>, která je pro tento typ gliálního nádoru specifická</w:t>
      </w:r>
      <w:r w:rsidR="006E7BE8">
        <w:fldChar w:fldCharType="begin" w:fldLock="1"/>
      </w:r>
      <w:r w:rsidR="00C554E1">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summary","type":"article-journal","volume":"131"},"uris":["http://www.mendeley.com/documents/?uuid=8af243f0-550f-447e-814c-6fb570c155aa"]},{"id":"ITEM-2","itemData":{"DOI":"10.1016/j.ijscr.2020.02.046","ISSN":"22102612","abstract":"Introduction: H3K27M-mutant diffuse midline glioma is a recently classified unique entity predominantly affecting pediatric patients and rarely adults. The clinicopathologic features in adults remain poorly characterized. Presentation of case: A 36-year-old man presented with subacute progressive cognitive and visual deterioration, and hydrocephalus requiring ventricular shunting. MRI revealed a diffusely infiltrating lesion with a gliomatosis cerebri growth pattern, multiple foci of contrast enhancement, and diffuse leptomeningeal involvement. Suboccipital craniotomy with exploration of the posterior fossa revealed a subtle capsular lesion infiltrating into the choroid plexus. Although histologically low-grade, the tumor was found to have an H3K27 M mutation establishing the diagnosis. Discussion: In spite of diverse clinicopathologic characteristics, H3K27M-mutant diffuse midline gliomas are incurable, WHO grade IV lesions with poor prognosis. We discuss our case in the context of a review of published reports of H3K27-mutant diffuse midline gliomas in adults. Findings late in the disease course may mimic inflammatory or infectious pathologies radiographically, and low-grade infiltrative neoplasms histologically. Conclusion: The diverse clinical, radiographic and molecular features of H3K27M-mutant diffuse midline gliomas in adults remain to be completely characterized. A high index of suspicion is required to avoid missing the diagnosis. Early biopsy and detailed molecular characterization are critical for accurate diagnosis and patient counseling.","author":[{"dropping-particle":"","family":"Yekula","given":"Anudeep","non-dropping-particle":"","parse-names":false,"suffix":""},{"dropping-particle":"","family":"Gupta","given":"Mihir","non-dropping-particle":"","parse-names":false,"suffix":""},{"dropping-particle":"","family":"Coley","given":"Nicholas","non-dropping-particle":"","parse-names":false,"suffix":""},{"dropping-particle":"","family":"U","given":"Hoi Sang","non-dropping-particle":"","parse-names":false,"suffix":""}],"container-title":"International Journal of Surgery Case Reports","id":"ITEM-2","issued":{"date-parts":[["2020","1","1"]]},"page":"124-128","publisher":"Elsevier Ltd","title":"Adult H3K27M-mutant diffuse midline glioma with gliomatosis cerebri growth pattern: Case report and review of the literature","type":"article-journal","volume":"68"},"uris":["http://www.mendeley.com/documents/?uuid=dc12341c-6313-3ff4-a025-d89b45e95eda"]}],"mendeley":{"formattedCitation":"&lt;sup&gt;12,44&lt;/sup&gt;","plainTextFormattedCitation":"12,44","previouslyFormattedCitation":"&lt;sup&gt;12,44&lt;/sup&gt;"},"properties":{"noteIndex":0},"schema":"https://github.com/citation-style-language/schema/raw/master/csl-citation.json"}</w:instrText>
      </w:r>
      <w:r w:rsidR="006E7BE8">
        <w:fldChar w:fldCharType="separate"/>
      </w:r>
      <w:r w:rsidR="00C554E1" w:rsidRPr="00C554E1">
        <w:rPr>
          <w:noProof/>
          <w:vertAlign w:val="superscript"/>
        </w:rPr>
        <w:t>12,44</w:t>
      </w:r>
      <w:r w:rsidR="006E7BE8">
        <w:fldChar w:fldCharType="end"/>
      </w:r>
      <w:r w:rsidR="00417267">
        <w:t>.</w:t>
      </w:r>
    </w:p>
    <w:p w14:paraId="30E2C867" w14:textId="1FFF6075" w:rsidR="00FA04AF" w:rsidRDefault="00FA04AF" w:rsidP="00EC4DAF">
      <w:pPr>
        <w:pStyle w:val="Odstavecseseznamem"/>
        <w:tabs>
          <w:tab w:val="left" w:pos="975"/>
        </w:tabs>
        <w:ind w:left="0"/>
        <w:jc w:val="both"/>
      </w:pPr>
    </w:p>
    <w:p w14:paraId="77570DE1" w14:textId="0C7F407A" w:rsidR="00BB1925" w:rsidRDefault="00BB1925" w:rsidP="00EC4DAF">
      <w:pPr>
        <w:pStyle w:val="Nadpis5"/>
        <w:spacing w:line="480" w:lineRule="auto"/>
      </w:pPr>
      <w:bookmarkStart w:id="30" w:name="_Toc88741457"/>
      <w:r>
        <w:t>Oligodendrogliom</w:t>
      </w:r>
      <w:bookmarkEnd w:id="30"/>
    </w:p>
    <w:p w14:paraId="153A559F" w14:textId="22257A07" w:rsidR="00C26909" w:rsidRDefault="00C26909" w:rsidP="00EC4DAF">
      <w:pPr>
        <w:pStyle w:val="Odstavecseseznamem"/>
        <w:tabs>
          <w:tab w:val="left" w:pos="975"/>
        </w:tabs>
        <w:ind w:left="0"/>
        <w:jc w:val="both"/>
      </w:pPr>
      <w:r w:rsidRPr="00C26909">
        <w:t xml:space="preserve">Oligodendrogliom je difuzně infiltrující </w:t>
      </w:r>
      <w:r>
        <w:t>diferencovaný gliální nádor čítající okolo 5</w:t>
      </w:r>
      <w:r w:rsidR="009165EA">
        <w:t xml:space="preserve"> </w:t>
      </w:r>
      <w:r>
        <w:t xml:space="preserve">% všech glálních nádorů dospělých. Oligodendrogliom </w:t>
      </w:r>
      <w:r w:rsidR="00F43A47">
        <w:t xml:space="preserve">je dobře diferencovaný gliální nádor </w:t>
      </w:r>
      <w:r w:rsidR="00680CDF">
        <w:t xml:space="preserve">gradu II </w:t>
      </w:r>
      <w:r w:rsidR="00FA04AF">
        <w:t>s výskytem v mozkových hemisférách</w:t>
      </w:r>
      <w:r w:rsidR="00493B79">
        <w:t xml:space="preserve"> s převahou výskytu v čelním laloku</w:t>
      </w:r>
      <w:r w:rsidR="00FA04AF">
        <w:t xml:space="preserve">. </w:t>
      </w:r>
      <w:r w:rsidR="00F43A47">
        <w:t xml:space="preserve"> </w:t>
      </w:r>
      <w:r w:rsidR="00FA04AF">
        <w:t>Neoplastické buňky pod mikroskopem připomínají oligodendrocyty, avšak není doposud přesně zjistěno z jaké buňky je tento nádor odvozen. Vzhledem k nízké proliferační aktivitě, dochází zřídka kdy k recidivě či progresi do vyšších gradů.</w:t>
      </w:r>
      <w:r w:rsidR="00147073">
        <w:t xml:space="preserve"> Pro přesnou diagnózu se vyšetřuje kromě statusu IDH i kodelece chromomozomálních oblastí 1p/19q, což dělí </w:t>
      </w:r>
      <w:r w:rsidR="00680CDF">
        <w:t>tuto skupinu na IDH mutovaný a 1p/19q kodeletovaný a nespecifikovaný</w:t>
      </w:r>
      <w:r w:rsidR="00680CDF">
        <w:fldChar w:fldCharType="begin" w:fldLock="1"/>
      </w:r>
      <w:r w:rsidR="00C554E1">
        <w:instrText>ADDIN CSL_CITATION {"citationItems":[{"id":"ITEM-1","itemData":{"DOI":"10.1007/s00401-015-1424-1","ISSN":"14320533","PMID":"25943885","abstract":"For nearly a century, the diagnosis and grading of oligodendrogliomas and oligoastrocytomas has been based on histopathology alone. Roughly 20 years ago, the first glioma-associated molecular signature was found with complete chromosome 1p and 19q codeletion being particularly common in histologically classic oligodendrogliomas. Subsequently, this codeletion appeared to not only carry diagnostic, but also prognostic and predictive information, the latter aspect only recently resolved after carefully constructed clinical trials with very long follow-up times. More recently described biomarkers, including the non-balanced translocation leading to 1p/19q codeletion, promoter hypermethylation of the MGMT gene, mutations of the IDH1 or IDH2 gene, and mutations of FUBP1 (on 1p) or CIC (on 19q), have greatly enhanced our understanding of oligodendroglioma biology, although their diagnostic, prognostic, and predictive roles are less clear. It has therefore been suggested that complete 1p/19q codeletion be required for the diagnosis of ‘canonical oligodendroglioma’. This transition to an integrated morphological and molecular diagnosis may result in the disappearance of oligoastrocytoma as an entity, but brings new challenges as well. For instance it needs to be sorted out how (histopathological) criteria for grading of ‘canonical oligodendrogliomas’ should be adapted, how pediatric oligodendrogliomas (known to lack codeletions) should be defined, which platforms and cut-off levels should ideally be used for demonstration of particular molecular aberrations, and how the diagnosis of oligodendroglioma should be made in centers/countries where molecular diagnostics is not available. Meanwhile, smart integration of morphological and molecular information will lead to recognition of biologically much more uniform groups within the spectrum of diffuse gliomas and thereby facilitate tailored treatments for individual patients.","author":[{"dropping-particle":"","family":"Wesseling","given":"Pieter","non-dropping-particle":"","parse-names":false,"suffix":""},{"dropping-particle":"","family":"Bent","given":"Martin","non-dropping-particle":"van den","parse-names":false,"suffix":""},{"dropping-particle":"","family":"Perry","given":"Arie","non-dropping-particle":"","parse-names":false,"suffix":""}],"container-title":"Acta Neuropathologica","id":"ITEM-1","issue":"6","issued":{"date-parts":[["2015","6","26"]]},"page":"809-827","publisher":"Springer Verlag","title":"Oligodendroglioma: pathology, molecular mechanisms and markers","type":"article","volume":"129"},"uris":["http://www.mendeley.com/documents/?uuid=0ec05785-146d-3ffd-9ea9-a354b7ded4d5"]},{"id":"ITEM-2","itemData":{"PMID":"32644610","abstract":"Oligodendroglioma (OG) is a type of diffusely infiltrating glioma and constitutes approximately 5% of primary intracranial tumors.[1] They often involve the cortical gray matter and are most commonly seen in the frontal lobes. Historically OG was diagnosed based on the histological appearance of the tumor. However, in 2016 the WHO changed the criteria for the classification of CNS tumors to include both phenotypic and genotypic analysis.[2] OGs are generally low grade WHO grade II neoplasms that are slow-growing tumors and have a favorable treatment response when compared to other gliomas. Grade III anaplastic OG is a more malignant form of the tumor which portends a less favorable prognosis and may occur de novo or as degeneration from the lower grade OG.[3]","author":[{"dropping-particle":"","family":"Tork","given":"Craig A.","non-dropping-particle":"","parse-names":false,"suffix":""},{"dropping-particle":"","family":"Atkinson","given":"Christopher","non-dropping-particle":"","parse-names":false,"suffix":""}],"container-title":"StatPearls","id":"ITEM-2","issued":{"date-parts":[["2020","6","10"]]},"publisher":"StatPearls Publishing","title":"Oligodendroglioma","type":"book"},"uris":["http://www.mendeley.com/documents/?uuid=e6637017-c68e-36d3-acea-5a1cb6972eb7"]}],"mendeley":{"formattedCitation":"&lt;sup&gt;45,46&lt;/sup&gt;","plainTextFormattedCitation":"45,46","previouslyFormattedCitation":"&lt;sup&gt;45,46&lt;/sup&gt;"},"properties":{"noteIndex":0},"schema":"https://github.com/citation-style-language/schema/raw/master/csl-citation.json"}</w:instrText>
      </w:r>
      <w:r w:rsidR="00680CDF">
        <w:fldChar w:fldCharType="separate"/>
      </w:r>
      <w:r w:rsidR="00C554E1" w:rsidRPr="00C554E1">
        <w:rPr>
          <w:noProof/>
          <w:vertAlign w:val="superscript"/>
        </w:rPr>
        <w:t>45,46</w:t>
      </w:r>
      <w:r w:rsidR="00680CDF">
        <w:fldChar w:fldCharType="end"/>
      </w:r>
      <w:r w:rsidR="00680CDF">
        <w:t xml:space="preserve">. </w:t>
      </w:r>
    </w:p>
    <w:p w14:paraId="53BEE730" w14:textId="3E013EF2" w:rsidR="00FA04AF" w:rsidRDefault="00FA04AF" w:rsidP="00EC4DAF">
      <w:pPr>
        <w:pStyle w:val="Odstavecseseznamem"/>
        <w:tabs>
          <w:tab w:val="left" w:pos="975"/>
        </w:tabs>
        <w:ind w:left="0"/>
        <w:rPr>
          <w:b/>
          <w:bCs/>
        </w:rPr>
      </w:pPr>
    </w:p>
    <w:p w14:paraId="0098DDA2" w14:textId="09C208BC" w:rsidR="00C26909" w:rsidRDefault="00C26909" w:rsidP="00EC4DAF">
      <w:pPr>
        <w:pStyle w:val="Nadpis5"/>
        <w:spacing w:line="480" w:lineRule="auto"/>
      </w:pPr>
      <w:bookmarkStart w:id="31" w:name="_Toc88741458"/>
      <w:r>
        <w:t>Anaplastický oligodendrogliom</w:t>
      </w:r>
      <w:bookmarkEnd w:id="31"/>
    </w:p>
    <w:p w14:paraId="3A3157BD" w14:textId="4CB4F002" w:rsidR="00C37F2D" w:rsidRDefault="00493B79" w:rsidP="00EC4DAF">
      <w:pPr>
        <w:pStyle w:val="Odstavecseseznamem"/>
        <w:tabs>
          <w:tab w:val="left" w:pos="975"/>
        </w:tabs>
        <w:ind w:left="0"/>
        <w:jc w:val="both"/>
        <w:rPr>
          <w:color w:val="000000"/>
          <w:shd w:val="clear" w:color="auto" w:fill="FFFFFF"/>
        </w:rPr>
      </w:pPr>
      <w:r>
        <w:rPr>
          <w:color w:val="000000"/>
          <w:shd w:val="clear" w:color="auto" w:fill="FFFFFF"/>
        </w:rPr>
        <w:t>Anaplastický oligodendrogliom je označe</w:t>
      </w:r>
      <w:r w:rsidR="00F20E43">
        <w:rPr>
          <w:color w:val="000000"/>
          <w:shd w:val="clear" w:color="auto" w:fill="FFFFFF"/>
        </w:rPr>
        <w:t>n</w:t>
      </w:r>
      <w:r>
        <w:rPr>
          <w:color w:val="000000"/>
          <w:shd w:val="clear" w:color="auto" w:fill="FFFFFF"/>
        </w:rPr>
        <w:t xml:space="preserve"> jako grade III a jedná se o maligní formu s horší prognózou. Může vznikat </w:t>
      </w:r>
      <w:r w:rsidRPr="00493B79">
        <w:rPr>
          <w:i/>
          <w:iCs/>
          <w:color w:val="000000"/>
          <w:shd w:val="clear" w:color="auto" w:fill="FFFFFF"/>
        </w:rPr>
        <w:t>de novo</w:t>
      </w:r>
      <w:r>
        <w:rPr>
          <w:i/>
          <w:iCs/>
          <w:color w:val="000000"/>
          <w:shd w:val="clear" w:color="auto" w:fill="FFFFFF"/>
        </w:rPr>
        <w:t xml:space="preserve"> </w:t>
      </w:r>
      <w:r w:rsidRPr="00493B79">
        <w:rPr>
          <w:color w:val="000000"/>
          <w:shd w:val="clear" w:color="auto" w:fill="FFFFFF"/>
        </w:rPr>
        <w:t>nebo</w:t>
      </w:r>
      <w:r>
        <w:rPr>
          <w:color w:val="000000"/>
          <w:shd w:val="clear" w:color="auto" w:fill="FFFFFF"/>
        </w:rPr>
        <w:t xml:space="preserve"> jako progrese z oligodendrogliomu. Všeobecně dochází k manifestaci oligodendrogliomů kolem 50. až 60. roku života</w:t>
      </w:r>
      <w:r w:rsidR="002D0CDD">
        <w:rPr>
          <w:color w:val="000000"/>
          <w:shd w:val="clear" w:color="auto" w:fill="FFFFFF"/>
        </w:rPr>
        <w:t>. Medián doby přežití je u tohoto typu gliálního nádoru okolo 12 až 14 let díky relativně nízké věkové kategorii pacientů</w:t>
      </w:r>
      <w:r w:rsidR="002D0CDD">
        <w:rPr>
          <w:color w:val="000000"/>
          <w:shd w:val="clear" w:color="auto" w:fill="FFFFFF"/>
        </w:rPr>
        <w:fldChar w:fldCharType="begin" w:fldLock="1"/>
      </w:r>
      <w:r w:rsidR="00C554E1">
        <w:rPr>
          <w:color w:val="000000"/>
          <w:shd w:val="clear" w:color="auto" w:fill="FFFFFF"/>
        </w:rPr>
        <w:instrText>ADDIN CSL_CITATION {"citationItems":[{"id":"ITEM-1","itemData":{"DOI":"10.1038/sj.bjc.6602321","ISSN":"00070920","PMID":"15655548","abstract":"Recently, cancer mortality has been compared to research spending by the National Cancer Research Institute (NCRI), whose research budget is approximately £250 million. The analysis shows a mis-match between mortality and research spending. As well as crude mortality rates, other measures of cancer burden should be considered because they contribute additional information. 'Years of life lost' (YLL) summed over each individual dying after a diagnosis of cancer represents a population-based mortality indicator of the impact of that disease on society. Years of life lost divided by the number of deaths for each cancer site produces an additional statistic, the average years of life lost (AYLL), which is a measure of the burden of cancer to the individual patient. For 17 cancer sites where data are available, four tumour sites have a rather large difference in mortality, comparing YLL to crude mortality. Years of life lost shows the population burden from cancers of the ovary, cervix, and CNS to be rather larger than suggested by crude mortality, despite screening programmes for cervix cancer. Using YLL, the underprovision of funding for lung cancer research is similar to that reported using percentage mortality. Breast cancer and leukaemia receive a relatively higher research spend than the population burden of these cancers, and the spending on leukaemia is quite extreme. Prostate cancer has a low per cent YLL but attracts a moderate amount of research spending. The use of AYLL as an indicator of individual cancer burden considerably changes the ranking of the mortality from different tumours. The mean AYLL is 12.5 years. Prostate cancer has the lowest AYLL, only 6.1 years; brain tumour patients have the highest, at just over 20 years. Comparing AYLL to research spending suggests four 'Cinderella' cancer sites with high individual cancer burden but low research spending: CNS tumours, cervix and kidney cancers, and melanoma. Breast cancer and leukaemia have roughly average AYLL but a considerable excess of research spending. YLL emphasises the discrepancy between research spending and mortality, and may be helpful for decisions concerning research support. Avearage years of life lost measures the burden to individual patients and may be helpful where individuals' needs are relevant, such as palliative care. As well as crude mortality, more subtle and comprehensive calculations of mortality statistics would be useful in debates on research funding and publ…","author":[{"dropping-particle":"","family":"Burnet","given":"N. G.","non-dropping-particle":"","parse-names":false,"suffix":""},{"dropping-particle":"","family":"Jefferies","given":"S. J.","non-dropping-particle":"","parse-names":false,"suffix":""},{"dropping-particle":"","family":"Benson","given":"R. J.","non-dropping-particle":"","parse-names":false,"suffix":""},{"dropping-particle":"","family":"Hunt","given":"D. P.","non-dropping-particle":"","parse-names":false,"suffix":""},{"dropping-particle":"","family":"Treasure","given":"F. P.","non-dropping-particle":"","parse-names":false,"suffix":""}],"container-title":"British Journal of Cancer","id":"ITEM-1","issue":"2","issued":{"date-parts":[["2005","1","31"]]},"page":"241-245","publisher":"Br J Cancer","title":"Years of life lost (YLL) from cancer is an important measure of population burden - And should be considered when allocating research funds","type":"article-journal","volume":"92"},"uris":["http://www.mendeley.com/documents/?uuid=35d5d33a-410f-3376-a3b8-fe5e7c0240f8"]}],"mendeley":{"formattedCitation":"&lt;sup&gt;47&lt;/sup&gt;","plainTextFormattedCitation":"47","previouslyFormattedCitation":"&lt;sup&gt;47&lt;/sup&gt;"},"properties":{"noteIndex":0},"schema":"https://github.com/citation-style-language/schema/raw/master/csl-citation.json"}</w:instrText>
      </w:r>
      <w:r w:rsidR="002D0CDD">
        <w:rPr>
          <w:color w:val="000000"/>
          <w:shd w:val="clear" w:color="auto" w:fill="FFFFFF"/>
        </w:rPr>
        <w:fldChar w:fldCharType="separate"/>
      </w:r>
      <w:r w:rsidR="00C554E1" w:rsidRPr="00C554E1">
        <w:rPr>
          <w:noProof/>
          <w:color w:val="000000"/>
          <w:shd w:val="clear" w:color="auto" w:fill="FFFFFF"/>
          <w:vertAlign w:val="superscript"/>
        </w:rPr>
        <w:t>47</w:t>
      </w:r>
      <w:r w:rsidR="002D0CDD">
        <w:rPr>
          <w:color w:val="000000"/>
          <w:shd w:val="clear" w:color="auto" w:fill="FFFFFF"/>
        </w:rPr>
        <w:fldChar w:fldCharType="end"/>
      </w:r>
      <w:r w:rsidR="002D0CDD">
        <w:rPr>
          <w:color w:val="000000"/>
          <w:shd w:val="clear" w:color="auto" w:fill="FFFFFF"/>
        </w:rPr>
        <w:t xml:space="preserve">. Pro histologický obraz anaplastického oligodendrogliomu jsou typické zvětšené buňky </w:t>
      </w:r>
      <w:r w:rsidR="00D97309">
        <w:rPr>
          <w:color w:val="000000"/>
          <w:shd w:val="clear" w:color="auto" w:fill="FFFFFF"/>
        </w:rPr>
        <w:t>s jadernou pleomorfií, vezikularizací chromatinu, výrazným jadérkem a vyšší mitotickou aktivitou</w:t>
      </w:r>
      <w:r w:rsidR="00D97309">
        <w:rPr>
          <w:color w:val="000000"/>
          <w:shd w:val="clear" w:color="auto" w:fill="FFFFFF"/>
        </w:rPr>
        <w:fldChar w:fldCharType="begin" w:fldLock="1"/>
      </w:r>
      <w:r w:rsidR="00C554E1">
        <w:rPr>
          <w:color w:val="000000"/>
          <w:shd w:val="clear" w:color="auto" w:fill="FFFFFF"/>
        </w:rPr>
        <w:instrText>ADDIN CSL_CITATION {"citationItems":[{"id":"ITEM-1","itemData":{"DOI":"10.1200/JCO.2006.08.1497","ISSN":"0732183X","PMID":"17135643","abstract":"Purpose: High-grade gliomas (HGGs; WHO grades 3-4) are highly diverse, with survival times ranging from months to years. WHO 2000 grading criteria for high-grade oligodendroglial neoplasms [anaplastic oligoastrocytoma (AOA) and anaplastic oligodendroglioma (AO)] remain subjective, and the existence of grade 4 variants is controversial. Patients and Methods: Overall survival (OS) of 1,093 adult patients with a cerebral HGG newly diagnosed between 1990 and 2005 was analyzed by univariate and multivariate models for significance of the following factors: patient age, surgery type, year of diagnosis, endothelial proliferation, necrosis, oligodendroglial histology, treatment center, and chromosome 1p, 19q, 7p (EGFR), and 10q (PTEN) abnormalities by fluorescence in situ hybridization (FISH). Results: Necrosis was a statistically significant predictor of poor OS on univariate and multivariate analyses in AOA but not in AO. Median OS for patients with necrotic AOA (22.8 months) was significantly worse than for patients with non-necrotic AOA (86.9 months; P &lt; .0001) but was better than conventional glioblastomas (9.8 months; P &lt; .0001). In addition to patient age, the following were significant independent prognostic factors (P ≤ .001): grade and surgery type for the entire HGG cohort; modified grade for AOA (3 v 4); and modified grade, 1p/19q codeletion status, and oligodendroglial histology for the 586 HGGs analyzed by FISH. Conclusion: Stratification of AOA, but not of pure AO, into grades 3 and 4 on the basis of necrosis is prognostically justified and is more powerful than the current approach. Both routine histology and genetic testing provide independent, prognostically useful information. © 2006 by American Society of Clinical Oncology.","author":[{"dropping-particle":"","family":"Miller","given":"C. Ryan","non-dropping-particle":"","parse-names":false,"suffix":""},{"dropping-particle":"","family":"Dunham","given":"Christopher P.","non-dropping-particle":"","parse-names":false,"suffix":""},{"dropping-particle":"","family":"Scheithauer","given":"Bernd W.","non-dropping-particle":"","parse-names":false,"suffix":""},{"dropping-particle":"","family":"Perry","given":"Arie","non-dropping-particle":"","parse-names":false,"suffix":""}],"container-title":"Journal of Clinical Oncology","id":"ITEM-1","issue":"34","issued":{"date-parts":[["2006","12","1"]]},"page":"5419-5426","publisher":"J Clin Oncol","title":"Significance of necrosis in grading of oligodendroglial neoplasms: A clinicopathologic and genetic study of newly diagnosed high-grade gliomas","type":"article-journal","volume":"24"},"uris":["http://www.mendeley.com/documents/?uuid=987f02ba-3156-366c-a29f-80cd7b595458"]}],"mendeley":{"formattedCitation":"&lt;sup&gt;48&lt;/sup&gt;","plainTextFormattedCitation":"48","previouslyFormattedCitation":"&lt;sup&gt;48&lt;/sup&gt;"},"properties":{"noteIndex":0},"schema":"https://github.com/citation-style-language/schema/raw/master/csl-citation.json"}</w:instrText>
      </w:r>
      <w:r w:rsidR="00D97309">
        <w:rPr>
          <w:color w:val="000000"/>
          <w:shd w:val="clear" w:color="auto" w:fill="FFFFFF"/>
        </w:rPr>
        <w:fldChar w:fldCharType="separate"/>
      </w:r>
      <w:r w:rsidR="00C554E1" w:rsidRPr="00C554E1">
        <w:rPr>
          <w:noProof/>
          <w:color w:val="000000"/>
          <w:shd w:val="clear" w:color="auto" w:fill="FFFFFF"/>
          <w:vertAlign w:val="superscript"/>
        </w:rPr>
        <w:t>48</w:t>
      </w:r>
      <w:r w:rsidR="00D97309">
        <w:rPr>
          <w:color w:val="000000"/>
          <w:shd w:val="clear" w:color="auto" w:fill="FFFFFF"/>
        </w:rPr>
        <w:fldChar w:fldCharType="end"/>
      </w:r>
      <w:r w:rsidR="00D97309">
        <w:rPr>
          <w:color w:val="000000"/>
          <w:shd w:val="clear" w:color="auto" w:fill="FFFFFF"/>
        </w:rPr>
        <w:t xml:space="preserve">. </w:t>
      </w:r>
      <w:r w:rsidR="0093692C">
        <w:rPr>
          <w:color w:val="000000"/>
          <w:shd w:val="clear" w:color="auto" w:fill="FFFFFF"/>
        </w:rPr>
        <w:t>Pro přesnou k</w:t>
      </w:r>
      <w:r w:rsidR="00F20E43">
        <w:rPr>
          <w:color w:val="000000"/>
          <w:shd w:val="clear" w:color="auto" w:fill="FFFFFF"/>
        </w:rPr>
        <w:t>la</w:t>
      </w:r>
      <w:r w:rsidR="0093692C">
        <w:rPr>
          <w:color w:val="000000"/>
          <w:shd w:val="clear" w:color="auto" w:fill="FFFFFF"/>
        </w:rPr>
        <w:t xml:space="preserve">sifikaci je nutné vyšetřit status mutace IDH a stanovit </w:t>
      </w:r>
      <w:r w:rsidR="006222F8">
        <w:rPr>
          <w:color w:val="000000"/>
          <w:shd w:val="clear" w:color="auto" w:fill="FFFFFF"/>
        </w:rPr>
        <w:t>přítomnost kodelece 1p/19q. V případě, že nelze vyšetření uzavřít, je tento anaplastický astrocytom označen jako nespecifikovaný</w:t>
      </w:r>
      <w:r w:rsidR="006222F8">
        <w:rPr>
          <w:color w:val="000000"/>
          <w:shd w:val="clear" w:color="auto" w:fill="FFFFFF"/>
        </w:rPr>
        <w:fldChar w:fldCharType="begin" w:fldLock="1"/>
      </w:r>
      <w:r w:rsidR="00F90F1D">
        <w:rPr>
          <w:color w:val="000000"/>
          <w:shd w:val="clear" w:color="auto" w:fill="FFFFFF"/>
        </w:rPr>
        <w:instrText>ADDIN CSL_CITATION {"citationItems":[{"id":"ITEM-1","itemData":{"DOI":"10.1007/s00401-016-1545-1","ISSN":"14320533","PMID":"27157931","abstract":"The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Neuropathologica","id":"ITEM-1","issue":"6","issued":{"date-parts":[["2016","6","1"]]},"page":"803-820","publisher":"Springer Verlag","title":"The 2016 World Health Organization Classification of Tumors of the Central Nervous System: a summary","type":"article","volume":"131"},"uris":["http://www.mendeley.com/documents/?uuid=61d17050-a6fc-32c6-ad78-ea3ccfc131ec"]}],"mendeley":{"formattedCitation":"&lt;sup&gt;41&lt;/sup&gt;","plainTextFormattedCitation":"41","previouslyFormattedCitation":"&lt;sup&gt;41&lt;/sup&gt;"},"properties":{"noteIndex":0},"schema":"https://github.com/citation-style-language/schema/raw/master/csl-citation.json"}</w:instrText>
      </w:r>
      <w:r w:rsidR="006222F8">
        <w:rPr>
          <w:color w:val="000000"/>
          <w:shd w:val="clear" w:color="auto" w:fill="FFFFFF"/>
        </w:rPr>
        <w:fldChar w:fldCharType="separate"/>
      </w:r>
      <w:r w:rsidR="00CB0011" w:rsidRPr="00CB0011">
        <w:rPr>
          <w:noProof/>
          <w:color w:val="000000"/>
          <w:shd w:val="clear" w:color="auto" w:fill="FFFFFF"/>
          <w:vertAlign w:val="superscript"/>
        </w:rPr>
        <w:t>41</w:t>
      </w:r>
      <w:r w:rsidR="006222F8">
        <w:rPr>
          <w:color w:val="000000"/>
          <w:shd w:val="clear" w:color="auto" w:fill="FFFFFF"/>
        </w:rPr>
        <w:fldChar w:fldCharType="end"/>
      </w:r>
      <w:r w:rsidR="006222F8">
        <w:rPr>
          <w:color w:val="000000"/>
          <w:shd w:val="clear" w:color="auto" w:fill="FFFFFF"/>
        </w:rPr>
        <w:t xml:space="preserve">. </w:t>
      </w:r>
    </w:p>
    <w:p w14:paraId="4985AD1F" w14:textId="77777777" w:rsidR="006222F8" w:rsidRDefault="006222F8" w:rsidP="00EC4DAF">
      <w:pPr>
        <w:pStyle w:val="Odstavecseseznamem"/>
        <w:tabs>
          <w:tab w:val="left" w:pos="975"/>
        </w:tabs>
        <w:ind w:left="0"/>
        <w:rPr>
          <w:b/>
          <w:bCs/>
        </w:rPr>
      </w:pPr>
    </w:p>
    <w:p w14:paraId="470DA50A" w14:textId="677CA558" w:rsidR="00BB1925" w:rsidRDefault="00BB1925" w:rsidP="00EC4DAF">
      <w:pPr>
        <w:pStyle w:val="Nadpis5"/>
        <w:spacing w:line="480" w:lineRule="auto"/>
      </w:pPr>
      <w:bookmarkStart w:id="32" w:name="_Toc88741459"/>
      <w:r>
        <w:t>Oligoastrocytom</w:t>
      </w:r>
      <w:bookmarkEnd w:id="32"/>
    </w:p>
    <w:p w14:paraId="2FEB9D36" w14:textId="09BCA998" w:rsidR="007E28B7" w:rsidRDefault="006222F8" w:rsidP="00EC4DAF">
      <w:pPr>
        <w:pStyle w:val="Odstavecseseznamem"/>
        <w:tabs>
          <w:tab w:val="left" w:pos="975"/>
        </w:tabs>
        <w:ind w:left="0"/>
        <w:jc w:val="both"/>
      </w:pPr>
      <w:r w:rsidRPr="006222F8">
        <w:t xml:space="preserve">Oligoastrcytom </w:t>
      </w:r>
      <w:r>
        <w:t>má difuzně infiltrující charakter růstu a obsahuje</w:t>
      </w:r>
      <w:r w:rsidR="007621A2">
        <w:t xml:space="preserve"> dvě komponenty</w:t>
      </w:r>
      <w:r w:rsidR="007E28B7">
        <w:t xml:space="preserve"> neoplastick</w:t>
      </w:r>
      <w:r w:rsidR="007621A2">
        <w:t xml:space="preserve">ých </w:t>
      </w:r>
      <w:r w:rsidR="007E28B7">
        <w:t>bu</w:t>
      </w:r>
      <w:r w:rsidR="007621A2">
        <w:t>něk</w:t>
      </w:r>
      <w:r w:rsidR="007E28B7">
        <w:t xml:space="preserve"> morfologicky podobn</w:t>
      </w:r>
      <w:r w:rsidR="007621A2">
        <w:t>ých</w:t>
      </w:r>
      <w:r w:rsidR="007E28B7">
        <w:t xml:space="preserve"> oligodendrogliomu a difúznímu astrocytomu. </w:t>
      </w:r>
      <w:r w:rsidR="007621A2">
        <w:t xml:space="preserve">Histopatologicky je nádor popsán vysoce buněčnými lézemi, které mohou obsahovat mikrokalcifikace a </w:t>
      </w:r>
      <w:r w:rsidR="007621A2" w:rsidRPr="008C6FF5">
        <w:t>mikrocystické degenerace</w:t>
      </w:r>
      <w:r w:rsidR="007621A2">
        <w:t xml:space="preserve">. </w:t>
      </w:r>
      <w:r w:rsidR="008C6FF5">
        <w:t>Tento typ gliomu</w:t>
      </w:r>
      <w:r w:rsidR="007621A2">
        <w:t xml:space="preserve"> je označe</w:t>
      </w:r>
      <w:r w:rsidR="008C6FF5">
        <w:t xml:space="preserve">n </w:t>
      </w:r>
      <w:r w:rsidR="007621A2">
        <w:t>jako grade II</w:t>
      </w:r>
      <w:r w:rsidR="008C6FF5">
        <w:t>,</w:t>
      </w:r>
      <w:r w:rsidR="007621A2">
        <w:t xml:space="preserve"> má velmi nízkou mitotickou aktivitu</w:t>
      </w:r>
      <w:r w:rsidR="008C6FF5">
        <w:t xml:space="preserve"> a je lokalizován v mozkových hemisférách</w:t>
      </w:r>
      <w:r w:rsidR="008C6FF5">
        <w:fldChar w:fldCharType="begin" w:fldLock="1"/>
      </w:r>
      <w:r w:rsidR="00CC7CB0">
        <w:instrText>ADDIN CSL_CITATION {"citationItems":[{"id":"ITEM-1","itemData":{"DOI":"10.1007/s00401-007-0243-4","ISSN":"00016322","PMID":"17618441","abstract":"The fourth edition of the World Health Organization (WHO) classification of tumours of the central nervous system, published in 2007, lists several new entities, including angiocentric glioma, papillary glioneuronal tumour, rosette-forming glioneuronal tumour of the fourth ventricle, papillary tumour of the pineal region, pituicytoma and spindle cell oncocytoma of the adenohypophysis. Histological variants were added if there was evidence of a different age distribution, location, genetic profile or clinical behaviour; these included pilomyxoid astrocytoma, anaplastic medulloblastoma and medulloblastoma with extensive nodularity. The WHO grading scheme and the sections on genetic profiles were updated and the rhabdoid tumour predisposition syndrome was added to the list of familial tumour syndromes typically involving the nervous system. As in the previous, 2000 edition of the WHO 'Blue Book', the classification is accompanied by a concise commentary on clinico-pathological characteristics of each tumour type. The 2007 WHO classification is based on the consensus of an international Working Group of 25 pathologists and geneticists, as well as contributions from more than 70 international experts overall, and is presented as the standard for the definition of brain tumours to the clinical oncology and cancer research communities world-wide. © Springer-Verlag 2007.","author":[{"dropping-particle":"","family":"Louis","given":"David N.","non-dropping-particle":"","parse-names":false,"suffix":""},{"dropping-particle":"","family":"Ohgaki","given":"Hiroko","non-dropping-particle":"","parse-names":false,"suffix":""},{"dropping-particle":"","family":"Wiestler","given":"Otmar D.","non-dropping-particle":"","parse-names":false,"suffix":""},{"dropping-particle":"","family":"Cavenee","given":"Webster K.","non-dropping-particle":"","parse-names":false,"suffix":""},{"dropping-particle":"","family":"Burger","given":"Peter C.","non-dropping-particle":"","parse-names":false,"suffix":""},{"dropping-particle":"","family":"Jouvet","given":"Anne","non-dropping-particle":"","parse-names":false,"suffix":""},{"dropping-particle":"","family":"Scheithauer","given":"Bernd W.","non-dropping-particle":"","parse-names":false,"suffix":""},{"dropping-particle":"","family":"Kleihues","given":"Paul","non-dropping-particle":"","parse-names":false,"suffix":""}],"container-title":"Acta Neuropathologica","id":"ITEM-1","issue":"2","issued":{"date-parts":[["2007","8"]]},"page":"97-109","publisher":"Springer","title":"The 2007 WHO classification of tumours of the central nervous system","type":"article","volume":"114"},"uris":["http://www.mendeley.com/documents/?uuid=44b3a17a-fd3f-3a02-9a06-f8240bacf4b6"]}],"mendeley":{"formattedCitation":"&lt;sup&gt;9&lt;/sup&gt;","plainTextFormattedCitation":"9","previouslyFormattedCitation":"&lt;sup&gt;9&lt;/sup&gt;"},"properties":{"noteIndex":0},"schema":"https://github.com/citation-style-language/schema/raw/master/csl-citation.json"}</w:instrText>
      </w:r>
      <w:r w:rsidR="008C6FF5">
        <w:fldChar w:fldCharType="separate"/>
      </w:r>
      <w:r w:rsidR="006431C6" w:rsidRPr="006431C6">
        <w:rPr>
          <w:noProof/>
          <w:vertAlign w:val="superscript"/>
        </w:rPr>
        <w:t>9</w:t>
      </w:r>
      <w:r w:rsidR="008C6FF5">
        <w:fldChar w:fldCharType="end"/>
      </w:r>
      <w:r w:rsidR="008C6FF5">
        <w:t xml:space="preserve">. </w:t>
      </w:r>
    </w:p>
    <w:p w14:paraId="25C2E05F" w14:textId="77777777" w:rsidR="00F20E43" w:rsidRDefault="00F20E43" w:rsidP="00EC4DAF">
      <w:pPr>
        <w:pStyle w:val="Odstavecseseznamem"/>
        <w:tabs>
          <w:tab w:val="left" w:pos="975"/>
        </w:tabs>
        <w:ind w:left="0"/>
        <w:jc w:val="both"/>
      </w:pPr>
    </w:p>
    <w:p w14:paraId="3FA43780" w14:textId="0CF60C97" w:rsidR="007E28B7" w:rsidRDefault="00AC25AF" w:rsidP="00EC4DAF">
      <w:pPr>
        <w:pStyle w:val="Odstavecseseznamem"/>
        <w:tabs>
          <w:tab w:val="left" w:pos="975"/>
        </w:tabs>
        <w:ind w:left="0"/>
        <w:jc w:val="both"/>
      </w:pPr>
      <w:r>
        <w:t>Tento</w:t>
      </w:r>
      <w:r w:rsidR="007E28B7">
        <w:t xml:space="preserve"> typ gliálního nádoru </w:t>
      </w:r>
      <w:r>
        <w:t xml:space="preserve">bylo </w:t>
      </w:r>
      <w:r w:rsidR="007E28B7">
        <w:t>vždy těžké definovat a docházelo k časté diskonkordanci</w:t>
      </w:r>
      <w:r>
        <w:t>. Od roku 2016 tento gliom prakticky mizí na základě ne/</w:t>
      </w:r>
      <w:r w:rsidRPr="00091D5F">
        <w:t>přítomnosti molekulárních markerů, které přesně definují oligodendrogli</w:t>
      </w:r>
      <w:r w:rsidR="007621A2" w:rsidRPr="00091D5F">
        <w:t>o</w:t>
      </w:r>
      <w:r w:rsidRPr="00091D5F">
        <w:t xml:space="preserve">my (1p/19q kodelece, </w:t>
      </w:r>
      <w:r w:rsidRPr="00091D5F">
        <w:rPr>
          <w:i/>
          <w:iCs/>
        </w:rPr>
        <w:t>IDH</w:t>
      </w:r>
      <w:r w:rsidRPr="00091D5F">
        <w:t xml:space="preserve"> m</w:t>
      </w:r>
      <w:r w:rsidR="007621A2" w:rsidRPr="00091D5F">
        <w:t>u</w:t>
      </w:r>
      <w:r w:rsidRPr="00091D5F">
        <w:t xml:space="preserve">tace) a astrocytomy (mutace </w:t>
      </w:r>
      <w:r w:rsidRPr="00091D5F">
        <w:rPr>
          <w:i/>
          <w:iCs/>
        </w:rPr>
        <w:t>ATRX</w:t>
      </w:r>
      <w:r w:rsidR="007621A2" w:rsidRPr="00091D5F">
        <w:t>, overexprese p53, nepřítomnost kodelece 1p/19q)</w:t>
      </w:r>
      <w:r w:rsidR="007621A2" w:rsidRPr="00091D5F">
        <w:fldChar w:fldCharType="begin" w:fldLock="1"/>
      </w:r>
      <w:r w:rsidR="00F90F1D">
        <w:instrText>ADDIN CSL_CITATION {"citationItems":[{"id":"ITEM-1","itemData":{"DOI":"10.1007/s00401-016-1545-1","ISSN":"14320533","PMID":"27157931","abstract":"The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Neuropathologica","id":"ITEM-1","issue":"6","issued":{"date-parts":[["2016","6","1"]]},"page":"803-820","publisher":"Springer Verlag","title":"The 2016 World Health Organization Classification of Tumors of the Central Nervous System: a summary","type":"article","volume":"131"},"uris":["http://www.mendeley.com/documents/?uuid=61d17050-a6fc-32c6-ad78-ea3ccfc131ec"]}],"mendeley":{"formattedCitation":"&lt;sup&gt;41&lt;/sup&gt;","plainTextFormattedCitation":"41","previouslyFormattedCitation":"&lt;sup&gt;41&lt;/sup&gt;"},"properties":{"noteIndex":0},"schema":"https://github.com/citation-style-language/schema/raw/master/csl-citation.json"}</w:instrText>
      </w:r>
      <w:r w:rsidR="007621A2" w:rsidRPr="00091D5F">
        <w:fldChar w:fldCharType="separate"/>
      </w:r>
      <w:r w:rsidR="00CB0011" w:rsidRPr="00CB0011">
        <w:rPr>
          <w:noProof/>
          <w:vertAlign w:val="superscript"/>
        </w:rPr>
        <w:t>41</w:t>
      </w:r>
      <w:r w:rsidR="007621A2" w:rsidRPr="00091D5F">
        <w:fldChar w:fldCharType="end"/>
      </w:r>
      <w:r w:rsidR="007621A2" w:rsidRPr="00091D5F">
        <w:t>.</w:t>
      </w:r>
    </w:p>
    <w:p w14:paraId="315D6872" w14:textId="77777777" w:rsidR="006222F8" w:rsidRDefault="006222F8" w:rsidP="00EC4DAF">
      <w:pPr>
        <w:pStyle w:val="Odstavecseseznamem"/>
        <w:tabs>
          <w:tab w:val="left" w:pos="975"/>
        </w:tabs>
        <w:ind w:left="0"/>
        <w:rPr>
          <w:b/>
          <w:bCs/>
        </w:rPr>
      </w:pPr>
    </w:p>
    <w:p w14:paraId="2BC04281" w14:textId="6B5747EB" w:rsidR="00417267" w:rsidRDefault="00417267" w:rsidP="00EC4DAF">
      <w:pPr>
        <w:pStyle w:val="Nadpis5"/>
        <w:spacing w:line="480" w:lineRule="auto"/>
      </w:pPr>
      <w:bookmarkStart w:id="33" w:name="_Toc88741460"/>
      <w:r>
        <w:t>Anaplastický oligoastrocytom</w:t>
      </w:r>
      <w:bookmarkEnd w:id="33"/>
    </w:p>
    <w:p w14:paraId="16B2400A" w14:textId="4B9C84E0" w:rsidR="00BB1925" w:rsidRDefault="00B72C10" w:rsidP="00EC4DAF">
      <w:pPr>
        <w:pStyle w:val="Odstavecseseznamem"/>
        <w:tabs>
          <w:tab w:val="left" w:pos="975"/>
        </w:tabs>
        <w:ind w:left="0"/>
        <w:jc w:val="both"/>
      </w:pPr>
      <w:r>
        <w:t xml:space="preserve">Anaplastický astrocytome je dle WHO označen jako grade III a jedná se o velmi raritní maligní gliální nádor. Nejčastější lokalizace je uváděna ve frontálním a spánkovém laloku. </w:t>
      </w:r>
      <w:r w:rsidR="008C6FF5" w:rsidRPr="008C6FF5">
        <w:t>Histologicky je anaplastický astrocytom charakterizován zv</w:t>
      </w:r>
      <w:r w:rsidR="008C6FF5">
        <w:t>ý</w:t>
      </w:r>
      <w:r w:rsidR="008C6FF5" w:rsidRPr="008C6FF5">
        <w:t>šenou buněčností, jadernou atypií, pleomorfizmem</w:t>
      </w:r>
      <w:r w:rsidR="00E97A41">
        <w:t>, mikrovaskulární proliferací</w:t>
      </w:r>
      <w:r w:rsidR="008C6FF5" w:rsidRPr="008C6FF5">
        <w:t xml:space="preserve"> a vysokou mitotickou aktivitou</w:t>
      </w:r>
      <w:r w:rsidR="00D92AF8">
        <w:fldChar w:fldCharType="begin" w:fldLock="1"/>
      </w:r>
      <w:r w:rsidR="00C554E1">
        <w:instrText>ADDIN CSL_CITATION {"citationItems":[{"id":"ITEM-1","itemData":{"ISSN":"08909091","PMID":"23781695","abstract":"Anaplastic oligodendroglioma (AO) is a rare malignant tumor occurring in adults. Despite early indications of chemosensitivity, no clinical trial had demonstrated a benefit of chemotherapy beyond that of radiotherapy alone. Now, however, the Radiation Therapy Oncology Group (RTOG) 9402 and the European Organisation for Research and Treatment of Cancer (EORTC) 26951 studies investigating PCV (procarbazine [Matulane], lomustine [CeeNU], and vincristine) and radiation therapy vs radiation alone both show improved outcomes in patients with the 1p/19q codeletion who received PCV and radiation therapy. These differences were detected with additional follow-up after publication of the initial results in 2006, when no differences in survival were detected. The two studies have also validated the use of the 1p/19q codeletion as a predictive biomarker in AO. Many will debate the wisdom of adopting PCV therapy as standard of care because of the greater toxicity of PCV compared with temozolomide (Temodar). Nonetheless, although important questions still remain regarding chemotherapy choice, sequence, and dosing, the answers to which will require additional large phase III trials, radiotherapy alone is no longer appropriate therapy for 1p/19q codeleted AOs.","author":[{"dropping-particle":"","family":"Anderson","given":"Mark D.","non-dropping-particle":"","parse-names":false,"suffix":""},{"dropping-particle":"","family":"Gilbert","given":"Mark R.","non-dropping-particle":"","parse-names":false,"suffix":""}],"container-title":"ONCOLOGY (United States)","id":"ITEM-1","issue":"4","issued":{"date-parts":[["2013"]]},"publisher":"UBM Medica Healthcare Publications","title":"Treatment recommendations for anaplastic oligodendrogliomas that are codeleted","type":"article-journal","volume":"27"},"uris":["http://www.mendeley.com/documents/?uuid=55ce7f88-e06c-3a92-9903-71dc00514e0d"]}],"mendeley":{"formattedCitation":"&lt;sup&gt;49&lt;/sup&gt;","plainTextFormattedCitation":"49","previouslyFormattedCitation":"&lt;sup&gt;49&lt;/sup&gt;"},"properties":{"noteIndex":0},"schema":"https://github.com/citation-style-language/schema/raw/master/csl-citation.json"}</w:instrText>
      </w:r>
      <w:r w:rsidR="00D92AF8">
        <w:fldChar w:fldCharType="separate"/>
      </w:r>
      <w:r w:rsidR="00C554E1" w:rsidRPr="00C554E1">
        <w:rPr>
          <w:noProof/>
          <w:vertAlign w:val="superscript"/>
        </w:rPr>
        <w:t>49</w:t>
      </w:r>
      <w:r w:rsidR="00D92AF8">
        <w:fldChar w:fldCharType="end"/>
      </w:r>
      <w:r w:rsidR="008C6FF5" w:rsidRPr="008C6FF5">
        <w:t xml:space="preserve">. </w:t>
      </w:r>
      <w:r w:rsidR="00365229">
        <w:t xml:space="preserve"> </w:t>
      </w:r>
    </w:p>
    <w:p w14:paraId="4EF8A4AC" w14:textId="77777777" w:rsidR="007B4C38" w:rsidRPr="00365229" w:rsidRDefault="007B4C38" w:rsidP="00EC4DAF">
      <w:pPr>
        <w:pStyle w:val="Odstavecseseznamem"/>
        <w:tabs>
          <w:tab w:val="left" w:pos="975"/>
        </w:tabs>
        <w:ind w:left="0"/>
        <w:jc w:val="both"/>
      </w:pPr>
    </w:p>
    <w:p w14:paraId="3758BB53" w14:textId="1AAEDD3A" w:rsidR="00BB1925" w:rsidRDefault="00BB1925" w:rsidP="00A92FFD">
      <w:pPr>
        <w:pStyle w:val="Nadpis4"/>
      </w:pPr>
      <w:bookmarkStart w:id="34" w:name="_Toc88741461"/>
      <w:r w:rsidRPr="00A92FFD">
        <w:t>Ostatní</w:t>
      </w:r>
      <w:r>
        <w:t xml:space="preserve"> as</w:t>
      </w:r>
      <w:r w:rsidR="0052250B">
        <w:t>t</w:t>
      </w:r>
      <w:r>
        <w:t>rocytární nádory</w:t>
      </w:r>
      <w:bookmarkEnd w:id="34"/>
    </w:p>
    <w:tbl>
      <w:tblPr>
        <w:tblW w:w="8788" w:type="dxa"/>
        <w:tblCellMar>
          <w:left w:w="70" w:type="dxa"/>
          <w:right w:w="70" w:type="dxa"/>
        </w:tblCellMar>
        <w:tblLook w:val="04A0" w:firstRow="1" w:lastRow="0" w:firstColumn="1" w:lastColumn="0" w:noHBand="0" w:noVBand="1"/>
      </w:tblPr>
      <w:tblGrid>
        <w:gridCol w:w="8788"/>
      </w:tblGrid>
      <w:tr w:rsidR="004D2515" w:rsidRPr="00B33DFA" w14:paraId="3224109C" w14:textId="77777777" w:rsidTr="00AD2D8A">
        <w:trPr>
          <w:trHeight w:val="300"/>
        </w:trPr>
        <w:tc>
          <w:tcPr>
            <w:tcW w:w="8788" w:type="dxa"/>
            <w:tcBorders>
              <w:top w:val="nil"/>
              <w:left w:val="nil"/>
              <w:bottom w:val="nil"/>
              <w:right w:val="nil"/>
            </w:tcBorders>
            <w:shd w:val="clear" w:color="auto" w:fill="auto"/>
            <w:noWrap/>
            <w:vAlign w:val="bottom"/>
            <w:hideMark/>
          </w:tcPr>
          <w:p w14:paraId="3FAF6C71" w14:textId="68FE95AC" w:rsidR="005D726C" w:rsidRDefault="0020523A" w:rsidP="00AD2D8A">
            <w:pPr>
              <w:pStyle w:val="Odstavecseseznamem"/>
              <w:tabs>
                <w:tab w:val="left" w:pos="975"/>
              </w:tabs>
              <w:ind w:left="-75"/>
              <w:jc w:val="both"/>
            </w:pPr>
            <w:r w:rsidRPr="005D726C">
              <w:t xml:space="preserve">Do této skupiny patří </w:t>
            </w:r>
            <w:r w:rsidR="005D726C">
              <w:t>raritní gliální nádory jako jsou pi</w:t>
            </w:r>
            <w:r w:rsidR="00033C38">
              <w:t>l</w:t>
            </w:r>
            <w:r w:rsidR="005D726C">
              <w:t>ocytární astrocytom, subependymální velkobuněčný astrocytom, pleomorfní xanthoastrocytom a anaplastický pleomorfní xanthoastrocytom.</w:t>
            </w:r>
          </w:p>
          <w:p w14:paraId="76DDDF5F" w14:textId="77777777" w:rsidR="005D726C" w:rsidRDefault="005D726C" w:rsidP="00AD2D8A">
            <w:pPr>
              <w:pStyle w:val="Odstavecseseznamem"/>
              <w:tabs>
                <w:tab w:val="left" w:pos="975"/>
              </w:tabs>
              <w:ind w:left="-75"/>
              <w:jc w:val="both"/>
            </w:pPr>
          </w:p>
          <w:p w14:paraId="3EA582E5" w14:textId="155694E2" w:rsidR="00365229" w:rsidRPr="005D726C" w:rsidRDefault="005D726C" w:rsidP="00AD2D8A">
            <w:pPr>
              <w:pStyle w:val="Odstavecseseznamem"/>
              <w:tabs>
                <w:tab w:val="left" w:pos="975"/>
              </w:tabs>
              <w:ind w:left="-75"/>
              <w:jc w:val="both"/>
            </w:pPr>
            <w:r>
              <w:t>P</w:t>
            </w:r>
            <w:r w:rsidR="0020523A" w:rsidRPr="005D726C">
              <w:t xml:space="preserve">ilocytární astrocytom je dobře definovaný </w:t>
            </w:r>
            <w:r>
              <w:t xml:space="preserve">nádor CNS </w:t>
            </w:r>
            <w:r w:rsidR="00033C38">
              <w:t xml:space="preserve">s </w:t>
            </w:r>
            <w:r w:rsidR="0020523A" w:rsidRPr="005D726C">
              <w:t>dobrou prognózou, vyskytuje se u mladších paci</w:t>
            </w:r>
            <w:r w:rsidR="00033C38">
              <w:t xml:space="preserve">entů a je označován gradem I. V </w:t>
            </w:r>
            <w:r w:rsidR="0020523A" w:rsidRPr="005D726C">
              <w:t>některých případech je pozorována kalcifikace a většina těchto nádorů vzniká v mozečku</w:t>
            </w:r>
            <w:r w:rsidR="0020523A" w:rsidRPr="005D726C">
              <w:fldChar w:fldCharType="begin" w:fldLock="1"/>
            </w:r>
            <w:r w:rsidR="00C554E1">
              <w:instrText>ADDIN CSL_CITATION {"citationItems":[{"id":"ITEM-1","itemData":{"PMID":"32809449","author":[{"dropping-particle":"","family":"Knight","given":"James","non-dropping-particle":"","parse-names":false,"suffix":""},{"dropping-particle":"De","family":"Jesus","given":"Orlando","non-dropping-particle":"","parse-names":false,"suffix":""}],"id":"ITEM-1","issued":{"date-parts":[["2020","11","14"]]},"publisher":"StatPearls Publishing","title":"Pilocytic Astrocytoma","type":"article-journal"},"uris":["http://www.mendeley.com/documents/?uuid=6213d741-6e32-36c6-961b-ad486a07cfd7"]}],"mendeley":{"formattedCitation":"&lt;sup&gt;50&lt;/sup&gt;","plainTextFormattedCitation":"50","previouslyFormattedCitation":"&lt;sup&gt;50&lt;/sup&gt;"},"properties":{"noteIndex":0},"schema":"https://github.com/citation-style-language/schema/raw/master/csl-citation.json"}</w:instrText>
            </w:r>
            <w:r w:rsidR="0020523A" w:rsidRPr="005D726C">
              <w:fldChar w:fldCharType="separate"/>
            </w:r>
            <w:r w:rsidR="00C554E1" w:rsidRPr="00C554E1">
              <w:rPr>
                <w:noProof/>
                <w:vertAlign w:val="superscript"/>
              </w:rPr>
              <w:t>50</w:t>
            </w:r>
            <w:r w:rsidR="0020523A" w:rsidRPr="005D726C">
              <w:fldChar w:fldCharType="end"/>
            </w:r>
            <w:r w:rsidR="0020523A" w:rsidRPr="005D726C">
              <w:t xml:space="preserve">. </w:t>
            </w:r>
          </w:p>
          <w:p w14:paraId="02A63196" w14:textId="77777777" w:rsidR="00F604A2" w:rsidRPr="005D726C" w:rsidRDefault="00F604A2" w:rsidP="00AD2D8A">
            <w:pPr>
              <w:pStyle w:val="Odstavecseseznamem"/>
              <w:tabs>
                <w:tab w:val="left" w:pos="975"/>
              </w:tabs>
              <w:ind w:left="-75"/>
              <w:jc w:val="both"/>
            </w:pPr>
          </w:p>
          <w:p w14:paraId="2FC31717" w14:textId="780D906C" w:rsidR="00F604A2" w:rsidRPr="005D726C" w:rsidRDefault="00F604A2" w:rsidP="00AD2D8A">
            <w:pPr>
              <w:pStyle w:val="Odstavecseseznamem"/>
              <w:tabs>
                <w:tab w:val="left" w:pos="975"/>
              </w:tabs>
              <w:ind w:left="-75"/>
              <w:jc w:val="both"/>
              <w:rPr>
                <w:rFonts w:ascii="Calibri" w:eastAsia="Times New Roman" w:hAnsi="Calibri" w:cs="Calibri"/>
                <w:color w:val="000000"/>
              </w:rPr>
            </w:pPr>
            <w:r w:rsidRPr="005D726C">
              <w:rPr>
                <w:rFonts w:ascii="Calibri" w:eastAsia="Times New Roman" w:hAnsi="Calibri" w:cs="Calibri"/>
                <w:color w:val="000000"/>
              </w:rPr>
              <w:t>Subependymální velkobuněčný astrocytom patří mezi benigní nádory gradu I a je popisován u mladých pacientů do 20 let a jen ojediněle se vyskytuje u starších pacientů.</w:t>
            </w:r>
            <w:r w:rsidR="00675679" w:rsidRPr="005D726C">
              <w:rPr>
                <w:rFonts w:ascii="Calibri" w:eastAsia="Times New Roman" w:hAnsi="Calibri" w:cs="Calibri"/>
                <w:color w:val="000000"/>
              </w:rPr>
              <w:t xml:space="preserve"> </w:t>
            </w:r>
            <w:r w:rsidRPr="005D726C">
              <w:rPr>
                <w:rFonts w:ascii="Calibri" w:eastAsia="Times New Roman" w:hAnsi="Calibri" w:cs="Calibri"/>
                <w:color w:val="000000"/>
              </w:rPr>
              <w:t xml:space="preserve"> Hlavn</w:t>
            </w:r>
            <w:r w:rsidR="00033C38">
              <w:rPr>
                <w:rFonts w:ascii="Calibri" w:eastAsia="Times New Roman" w:hAnsi="Calibri" w:cs="Calibri"/>
                <w:color w:val="000000"/>
              </w:rPr>
              <w:t xml:space="preserve">í léčba tohoto nádoru spočívá v </w:t>
            </w:r>
            <w:r w:rsidRPr="005D726C">
              <w:rPr>
                <w:rFonts w:ascii="Calibri" w:eastAsia="Times New Roman" w:hAnsi="Calibri" w:cs="Calibri"/>
                <w:color w:val="000000"/>
              </w:rPr>
              <w:t>operativním odstranění</w:t>
            </w:r>
            <w:r w:rsidR="005D726C">
              <w:rPr>
                <w:rFonts w:ascii="Calibri" w:eastAsia="Times New Roman" w:hAnsi="Calibri" w:cs="Calibri"/>
                <w:color w:val="000000"/>
              </w:rPr>
              <w:fldChar w:fldCharType="begin" w:fldLock="1"/>
            </w:r>
            <w:r w:rsidR="00C554E1">
              <w:rPr>
                <w:rFonts w:ascii="Calibri" w:eastAsia="Times New Roman" w:hAnsi="Calibri" w:cs="Calibri"/>
                <w:color w:val="000000"/>
              </w:rPr>
              <w:instrText>ADDIN CSL_CITATION {"citationItems":[{"id":"ITEM-1","itemData":{"DOI":"10.1016/B978-0-12-802997-8.00024-4","ISBN":"9780128029978","ISSN":"22124152","PMID":"26948368","abstract":"This chapter describes the epidemiology, pathology, molecular characteristics, clinical and neuroimaging features, treatment, outcome, and prognostic factors of the rare glial tumors. This category includes subependymal giant cell astrocytoma, pleomorphic xanthoastrocytoma, astroblastoma, chordoid glioma of the third ventricle, angiocentric glioma, ganglioglioma, desmoplastic infantile astrocytoma and ganglioma, dysembryoplastic neuroepithelial tumor, papillary glioneuronal tumor, and rosette-forming glioneuronal tumor of the fourth ventricle.Many of these tumors, in particular glioneuronal tumors, prevail in children and young adults, are characterized by pharmacoresistant seizures, and have an indolent course, and long survival following surgical resection. Radiotherapy and chemotherapy are reserved for recurrent and/or aggressive forms. New molecular alterations are increasingly recognized.","author":[{"dropping-particle":"","family":"Soffietti","given":"Riccardo","non-dropping-particle":"","parse-names":false,"suffix":""},{"dropping-particle":"","family":"Rudà","given":"Roberta","non-dropping-particle":"","parse-names":false,"suffix":""},{"dropping-particle":"","family":"Reardon","given":"David","non-dropping-particle":"","parse-names":false,"suffix":""}],"container-title":"Handbook of Clinical Neurology","id":"ITEM-1","issued":{"date-parts":[["2016","1","1"]]},"page":"399-415","publisher":"Elsevier B.V.","title":"Rare glial tumors","type":"chapter","volume":"134"},"uris":["http://www.mendeley.com/documents/?uuid=1ee43bb7-8c91-3173-b75d-52499caa5634"]}],"mendeley":{"formattedCitation":"&lt;sup&gt;51&lt;/sup&gt;","plainTextFormattedCitation":"51","previouslyFormattedCitation":"&lt;sup&gt;51&lt;/sup&gt;"},"properties":{"noteIndex":0},"schema":"https://github.com/citation-style-language/schema/raw/master/csl-citation.json"}</w:instrText>
            </w:r>
            <w:r w:rsidR="005D726C">
              <w:rPr>
                <w:rFonts w:ascii="Calibri" w:eastAsia="Times New Roman" w:hAnsi="Calibri" w:cs="Calibri"/>
                <w:color w:val="000000"/>
              </w:rPr>
              <w:fldChar w:fldCharType="separate"/>
            </w:r>
            <w:r w:rsidR="00C554E1" w:rsidRPr="00C554E1">
              <w:rPr>
                <w:rFonts w:ascii="Calibri" w:eastAsia="Times New Roman" w:hAnsi="Calibri" w:cs="Calibri"/>
                <w:noProof/>
                <w:color w:val="000000"/>
                <w:vertAlign w:val="superscript"/>
              </w:rPr>
              <w:t>51</w:t>
            </w:r>
            <w:r w:rsidR="005D726C">
              <w:rPr>
                <w:rFonts w:ascii="Calibri" w:eastAsia="Times New Roman" w:hAnsi="Calibri" w:cs="Calibri"/>
                <w:color w:val="000000"/>
              </w:rPr>
              <w:fldChar w:fldCharType="end"/>
            </w:r>
            <w:r w:rsidRPr="005D726C">
              <w:rPr>
                <w:rFonts w:ascii="Calibri" w:eastAsia="Times New Roman" w:hAnsi="Calibri" w:cs="Calibri"/>
                <w:color w:val="000000"/>
              </w:rPr>
              <w:t xml:space="preserve">. </w:t>
            </w:r>
          </w:p>
          <w:p w14:paraId="208834A4" w14:textId="77777777" w:rsidR="00F604A2" w:rsidRPr="00EA1916" w:rsidRDefault="00F604A2" w:rsidP="00AD2D8A">
            <w:pPr>
              <w:pStyle w:val="Odstavecseseznamem"/>
              <w:tabs>
                <w:tab w:val="left" w:pos="975"/>
              </w:tabs>
              <w:ind w:left="-75"/>
              <w:rPr>
                <w:rFonts w:ascii="Calibri" w:eastAsia="Times New Roman" w:hAnsi="Calibri" w:cs="Calibri"/>
                <w:color w:val="000000"/>
                <w:highlight w:val="yellow"/>
              </w:rPr>
            </w:pPr>
          </w:p>
          <w:p w14:paraId="61286A98" w14:textId="0D774C75" w:rsidR="004D2515" w:rsidRDefault="00F604A2" w:rsidP="00AD2D8A">
            <w:pPr>
              <w:pStyle w:val="Odstavecseseznamem"/>
              <w:tabs>
                <w:tab w:val="left" w:pos="975"/>
              </w:tabs>
              <w:ind w:left="-75"/>
              <w:jc w:val="both"/>
              <w:rPr>
                <w:rFonts w:ascii="Calibri" w:eastAsia="Times New Roman" w:hAnsi="Calibri" w:cs="Calibri"/>
                <w:color w:val="000000"/>
              </w:rPr>
            </w:pPr>
            <w:r w:rsidRPr="005D726C">
              <w:rPr>
                <w:rFonts w:ascii="Calibri" w:eastAsia="Times New Roman" w:hAnsi="Calibri" w:cs="Calibri"/>
                <w:color w:val="000000"/>
              </w:rPr>
              <w:t>Pleomorfní xanthoastrocytom</w:t>
            </w:r>
            <w:r w:rsidR="005D726C">
              <w:rPr>
                <w:rFonts w:ascii="Calibri" w:eastAsia="Times New Roman" w:hAnsi="Calibri" w:cs="Calibri"/>
                <w:color w:val="000000"/>
              </w:rPr>
              <w:t xml:space="preserve"> patří mezi nádory označené gradem II</w:t>
            </w:r>
            <w:r w:rsidR="00D421B4">
              <w:rPr>
                <w:rFonts w:ascii="Calibri" w:eastAsia="Times New Roman" w:hAnsi="Calibri" w:cs="Calibri"/>
                <w:color w:val="000000"/>
              </w:rPr>
              <w:t>,</w:t>
            </w:r>
            <w:r w:rsidR="005D726C">
              <w:rPr>
                <w:rFonts w:ascii="Calibri" w:eastAsia="Times New Roman" w:hAnsi="Calibri" w:cs="Calibri"/>
                <w:color w:val="000000"/>
              </w:rPr>
              <w:t xml:space="preserve"> je nalézán u mladších </w:t>
            </w:r>
            <w:r w:rsidR="00033C38">
              <w:rPr>
                <w:rFonts w:ascii="Calibri" w:eastAsia="Times New Roman" w:hAnsi="Calibri" w:cs="Calibri"/>
                <w:color w:val="000000"/>
              </w:rPr>
              <w:t xml:space="preserve">pacientů s nejvyšší incidencí v </w:t>
            </w:r>
            <w:r w:rsidR="005D726C">
              <w:rPr>
                <w:rFonts w:ascii="Calibri" w:eastAsia="Times New Roman" w:hAnsi="Calibri" w:cs="Calibri"/>
                <w:color w:val="000000"/>
              </w:rPr>
              <w:t>rozmezí 10. a 30. roku věku</w:t>
            </w:r>
            <w:r w:rsidR="00D421B4">
              <w:rPr>
                <w:rFonts w:ascii="Calibri" w:eastAsia="Times New Roman" w:hAnsi="Calibri" w:cs="Calibri"/>
                <w:color w:val="000000"/>
              </w:rPr>
              <w:t xml:space="preserve"> a vzniká ze spánkového laloku. Pokud je nalezeno </w:t>
            </w:r>
            <w:r w:rsidR="00D421B4" w:rsidRPr="00D421B4">
              <w:rPr>
                <w:rFonts w:ascii="Calibri" w:eastAsia="Times New Roman" w:hAnsi="Calibri" w:cs="Calibri"/>
                <w:color w:val="000000"/>
              </w:rPr>
              <w:t>více jak 5 mitóz na 10 zorných polí, jedná se o a</w:t>
            </w:r>
            <w:r w:rsidRPr="00D421B4">
              <w:rPr>
                <w:rFonts w:ascii="Calibri" w:eastAsia="Times New Roman" w:hAnsi="Calibri" w:cs="Calibri"/>
                <w:color w:val="000000"/>
              </w:rPr>
              <w:t>naplastický pleomorfní xanthoastrocytom</w:t>
            </w:r>
            <w:r w:rsidR="00D421B4" w:rsidRPr="00D421B4">
              <w:rPr>
                <w:rFonts w:ascii="Calibri" w:eastAsia="Times New Roman" w:hAnsi="Calibri" w:cs="Calibri"/>
                <w:color w:val="000000"/>
              </w:rPr>
              <w:t xml:space="preserve"> označený</w:t>
            </w:r>
            <w:r w:rsidR="00D421B4">
              <w:rPr>
                <w:rFonts w:ascii="Calibri" w:eastAsia="Times New Roman" w:hAnsi="Calibri" w:cs="Calibri"/>
                <w:color w:val="000000"/>
              </w:rPr>
              <w:t xml:space="preserve"> gradem III</w:t>
            </w:r>
            <w:r w:rsidR="00F20E43">
              <w:rPr>
                <w:rFonts w:ascii="Calibri" w:eastAsia="Times New Roman" w:hAnsi="Calibri" w:cs="Calibri"/>
                <w:color w:val="000000"/>
              </w:rPr>
              <w:t xml:space="preserve">, který </w:t>
            </w:r>
            <w:r w:rsidR="00D421B4">
              <w:rPr>
                <w:rFonts w:ascii="Calibri" w:eastAsia="Times New Roman" w:hAnsi="Calibri" w:cs="Calibri"/>
                <w:color w:val="000000"/>
              </w:rPr>
              <w:t>je charakterizován značně horší prognózou</w:t>
            </w:r>
            <w:r w:rsidR="00D421B4">
              <w:rPr>
                <w:rFonts w:ascii="Calibri" w:eastAsia="Times New Roman" w:hAnsi="Calibri" w:cs="Calibri"/>
                <w:color w:val="000000"/>
              </w:rPr>
              <w:fldChar w:fldCharType="begin" w:fldLock="1"/>
            </w:r>
            <w:r w:rsidR="00C554E1">
              <w:rPr>
                <w:rFonts w:ascii="Calibri" w:eastAsia="Times New Roman" w:hAnsi="Calibri" w:cs="Calibri"/>
                <w:color w:val="000000"/>
              </w:rPr>
              <w:instrText>ADDIN CSL_CITATION {"citationItems":[{"id":"ITEM-1","itemData":{"DOI":"10.1016/B978-0-12-802997-8.00024-4","ISBN":"9780128029978","ISSN":"22124152","PMID":"26948368","abstract":"This chapter describes the epidemiology, pathology, molecular characteristics, clinical and neuroimaging features, treatment, outcome, and prognostic factors of the rare glial tumors. This category includes subependymal giant cell astrocytoma, pleomorphic xanthoastrocytoma, astroblastoma, chordoid glioma of the third ventricle, angiocentric glioma, ganglioglioma, desmoplastic infantile astrocytoma and ganglioma, dysembryoplastic neuroepithelial tumor, papillary glioneuronal tumor, and rosette-forming glioneuronal tumor of the fourth ventricle.Many of these tumors, in particular glioneuronal tumors, prevail in children and young adults, are characterized by pharmacoresistant seizures, and have an indolent course, and long survival following surgical resection. Radiotherapy and chemotherapy are reserved for recurrent and/or aggressive forms. New molecular alterations are increasingly recognized.","author":[{"dropping-particle":"","family":"Soffietti","given":"Riccardo","non-dropping-particle":"","parse-names":false,"suffix":""},{"dropping-particle":"","family":"Rudà","given":"Roberta","non-dropping-particle":"","parse-names":false,"suffix":""},{"dropping-particle":"","family":"Reardon","given":"David","non-dropping-particle":"","parse-names":false,"suffix":""}],"container-title":"Handbook of Clinical Neurology","id":"ITEM-1","issued":{"date-parts":[["2016","1","1"]]},"page":"399-415","publisher":"Elsevier B.V.","title":"Rare glial tumors","type":"chapter","volume":"134"},"uris":["http://www.mendeley.com/documents/?uuid=1ee43bb7-8c91-3173-b75d-52499caa5634"]}],"mendeley":{"formattedCitation":"&lt;sup&gt;51&lt;/sup&gt;","plainTextFormattedCitation":"51","previouslyFormattedCitation":"&lt;sup&gt;51&lt;/sup&gt;"},"properties":{"noteIndex":0},"schema":"https://github.com/citation-style-language/schema/raw/master/csl-citation.json"}</w:instrText>
            </w:r>
            <w:r w:rsidR="00D421B4">
              <w:rPr>
                <w:rFonts w:ascii="Calibri" w:eastAsia="Times New Roman" w:hAnsi="Calibri" w:cs="Calibri"/>
                <w:color w:val="000000"/>
              </w:rPr>
              <w:fldChar w:fldCharType="separate"/>
            </w:r>
            <w:r w:rsidR="00C554E1" w:rsidRPr="00C554E1">
              <w:rPr>
                <w:rFonts w:ascii="Calibri" w:eastAsia="Times New Roman" w:hAnsi="Calibri" w:cs="Calibri"/>
                <w:noProof/>
                <w:color w:val="000000"/>
                <w:vertAlign w:val="superscript"/>
              </w:rPr>
              <w:t>51</w:t>
            </w:r>
            <w:r w:rsidR="00D421B4">
              <w:rPr>
                <w:rFonts w:ascii="Calibri" w:eastAsia="Times New Roman" w:hAnsi="Calibri" w:cs="Calibri"/>
                <w:color w:val="000000"/>
              </w:rPr>
              <w:fldChar w:fldCharType="end"/>
            </w:r>
            <w:r w:rsidR="00D421B4">
              <w:rPr>
                <w:rFonts w:ascii="Calibri" w:eastAsia="Times New Roman" w:hAnsi="Calibri" w:cs="Calibri"/>
                <w:color w:val="000000"/>
              </w:rPr>
              <w:t xml:space="preserve">. </w:t>
            </w:r>
          </w:p>
          <w:p w14:paraId="1D9FB8E0" w14:textId="77777777" w:rsidR="007B4C38" w:rsidRDefault="007B4C38" w:rsidP="00EC4DAF">
            <w:pPr>
              <w:pStyle w:val="Odstavecseseznamem"/>
              <w:tabs>
                <w:tab w:val="left" w:pos="975"/>
              </w:tabs>
              <w:ind w:left="0"/>
              <w:jc w:val="both"/>
              <w:rPr>
                <w:rFonts w:ascii="Calibri" w:eastAsia="Times New Roman" w:hAnsi="Calibri" w:cs="Calibri"/>
                <w:color w:val="000000"/>
              </w:rPr>
            </w:pPr>
          </w:p>
          <w:p w14:paraId="48FD2292" w14:textId="1CE6E694" w:rsidR="00D421B4" w:rsidRPr="00B33DFA" w:rsidRDefault="00D421B4" w:rsidP="00EC4DAF">
            <w:pPr>
              <w:pStyle w:val="Odstavecseseznamem"/>
              <w:tabs>
                <w:tab w:val="left" w:pos="975"/>
              </w:tabs>
              <w:ind w:left="0"/>
              <w:jc w:val="both"/>
              <w:rPr>
                <w:rFonts w:ascii="Calibri" w:eastAsia="Times New Roman" w:hAnsi="Calibri" w:cs="Calibri"/>
                <w:color w:val="000000"/>
              </w:rPr>
            </w:pPr>
          </w:p>
        </w:tc>
      </w:tr>
    </w:tbl>
    <w:p w14:paraId="14C6B6FF" w14:textId="28C15822" w:rsidR="0052250B" w:rsidRDefault="0052250B" w:rsidP="00A92FFD">
      <w:pPr>
        <w:pStyle w:val="Nadpis4"/>
      </w:pPr>
      <w:bookmarkStart w:id="35" w:name="_Toc88741462"/>
      <w:r w:rsidRPr="005C69E2">
        <w:t>Ependymální nádory</w:t>
      </w:r>
      <w:bookmarkEnd w:id="35"/>
      <w:r w:rsidRPr="005C69E2">
        <w:t xml:space="preserve"> </w:t>
      </w:r>
    </w:p>
    <w:p w14:paraId="6F0AD9CC" w14:textId="62AB935D" w:rsidR="00865B6C" w:rsidRDefault="00FD745B" w:rsidP="00EC4DAF">
      <w:pPr>
        <w:pStyle w:val="Odstavecseseznamem"/>
        <w:ind w:left="0"/>
        <w:jc w:val="both"/>
      </w:pPr>
      <w:r>
        <w:t>Ependymomy vznikají z neuroepitel</w:t>
      </w:r>
      <w:r w:rsidR="00033C38">
        <w:t xml:space="preserve">u CNS a vyskytují se jak u dětí, </w:t>
      </w:r>
      <w:r>
        <w:t xml:space="preserve">tak u dospělých pacientů. </w:t>
      </w:r>
      <w:r w:rsidR="0095590C">
        <w:t xml:space="preserve">Tyto nádory se vyskytují </w:t>
      </w:r>
      <w:r w:rsidR="00E26F61">
        <w:t xml:space="preserve">podél celé </w:t>
      </w:r>
      <w:r w:rsidR="0095590C">
        <w:t>nervové trubice</w:t>
      </w:r>
      <w:r w:rsidR="00E26F61">
        <w:t xml:space="preserve"> zahrnující</w:t>
      </w:r>
      <w:r w:rsidR="00033C38">
        <w:t xml:space="preserve"> mozkové hemisféry, zadní mozek</w:t>
      </w:r>
      <w:r w:rsidR="00E26F61">
        <w:t xml:space="preserve"> a míchu</w:t>
      </w:r>
      <w:r w:rsidR="00E26F61">
        <w:fldChar w:fldCharType="begin" w:fldLock="1"/>
      </w:r>
      <w:r w:rsidR="00CC7CB0">
        <w:instrText>ADDIN CSL_CITATION {"citationItems":[{"id":"ITEM-1","itemData":{"DOI":"10.1007/s00401-007-0243-4","ISSN":"00016322","PMID":"17618441","abstract":"The fourth edition of the World Health Organization (WHO) classification of tumours of the central nervous system, published in 2007, lists several new entities, including angiocentric glioma, papillary glioneuronal tumour, rosette-forming glioneuronal tumour of the fourth ventricle, papillary tumour of the pineal region, pituicytoma and spindle cell oncocytoma of the adenohypophysis. Histological variants were added if there was evidence of a different age distribution, location, genetic profile or clinical behaviour; these included pilomyxoid astrocytoma, anaplastic medulloblastoma and medulloblastoma with extensive nodularity. The WHO grading scheme and the sections on genetic profiles were updated and the rhabdoid tumour predisposition syndrome was added to the list of familial tumour syndromes typically involving the nervous system. As in the previous, 2000 edition of the WHO 'Blue Book', the classification is accompanied by a concise commentary on clinico-pathological characteristics of each tumour type. The 2007 WHO classification is based on the consensus of an international Working Group of 25 pathologists and geneticists, as well as contributions from more than 70 international experts overall, and is presented as the standard for the definition of brain tumours to the clinical oncology and cancer research communities world-wide. © Springer-Verlag 2007.","author":[{"dropping-particle":"","family":"Louis","given":"David N.","non-dropping-particle":"","parse-names":false,"suffix":""},{"dropping-particle":"","family":"Ohgaki","given":"Hiroko","non-dropping-particle":"","parse-names":false,"suffix":""},{"dropping-particle":"","family":"Wiestler","given":"Otmar D.","non-dropping-particle":"","parse-names":false,"suffix":""},{"dropping-particle":"","family":"Cavenee","given":"Webster K.","non-dropping-particle":"","parse-names":false,"suffix":""},{"dropping-particle":"","family":"Burger","given":"Peter C.","non-dropping-particle":"","parse-names":false,"suffix":""},{"dropping-particle":"","family":"Jouvet","given":"Anne","non-dropping-particle":"","parse-names":false,"suffix":""},{"dropping-particle":"","family":"Scheithauer","given":"Bernd W.","non-dropping-particle":"","parse-names":false,"suffix":""},{"dropping-particle":"","family":"Kleihues","given":"Paul","non-dropping-particle":"","parse-names":false,"suffix":""}],"container-title":"Acta Neuropathologica","id":"ITEM-1","issue":"2","issued":{"date-parts":[["2007","8"]]},"page":"97-109","publisher":"Springer","title":"The 2007 WHO classification of tumours of the central nervous system","type":"article","volume":"114"},"uris":["http://www.mendeley.com/documents/?uuid=44b3a17a-fd3f-3a02-9a06-f8240bacf4b6"]}],"mendeley":{"formattedCitation":"&lt;sup&gt;9&lt;/sup&gt;","plainTextFormattedCitation":"9","previouslyFormattedCitation":"&lt;sup&gt;9&lt;/sup&gt;"},"properties":{"noteIndex":0},"schema":"https://github.com/citation-style-language/schema/raw/master/csl-citation.json"}</w:instrText>
      </w:r>
      <w:r w:rsidR="00E26F61">
        <w:fldChar w:fldCharType="separate"/>
      </w:r>
      <w:r w:rsidR="006431C6" w:rsidRPr="006431C6">
        <w:rPr>
          <w:noProof/>
          <w:vertAlign w:val="superscript"/>
        </w:rPr>
        <w:t>9</w:t>
      </w:r>
      <w:r w:rsidR="00E26F61">
        <w:fldChar w:fldCharType="end"/>
      </w:r>
      <w:r w:rsidR="00E26F61">
        <w:t xml:space="preserve">. </w:t>
      </w:r>
      <w:r w:rsidR="002A4792">
        <w:t>Klinické chování ependymom</w:t>
      </w:r>
      <w:r w:rsidR="00E26F61">
        <w:t>ů</w:t>
      </w:r>
      <w:r w:rsidR="002A4792">
        <w:t xml:space="preserve"> je velmi </w:t>
      </w:r>
      <w:r w:rsidR="00E26F61">
        <w:t>heterogenní</w:t>
      </w:r>
      <w:r w:rsidR="002A4792">
        <w:t xml:space="preserve"> a okolo 40 % pacientů je neléčitelných z důvodu nedostatku efektivní léčby</w:t>
      </w:r>
      <w:r w:rsidR="00E26F61">
        <w:t xml:space="preserve">, která se skládá </w:t>
      </w:r>
      <w:r w:rsidR="00CA5B50">
        <w:t xml:space="preserve">pouze </w:t>
      </w:r>
      <w:r w:rsidR="00E26F61">
        <w:t>z resekce následovan</w:t>
      </w:r>
      <w:r w:rsidR="00CA5B50">
        <w:t>ou</w:t>
      </w:r>
      <w:r w:rsidR="00E26F61">
        <w:t xml:space="preserve"> radioterapií</w:t>
      </w:r>
      <w:r w:rsidR="002A4792">
        <w:fldChar w:fldCharType="begin" w:fldLock="1"/>
      </w:r>
      <w:r w:rsidR="00C554E1">
        <w:instrText>ADDIN CSL_CITATION {"citationItems":[{"id":"ITEM-1","itemData":{"DOI":"10.1200/JCO.2009.27.3359","ISSN":"0732183X","PMID":"20516456","abstract":"Purpose: The biologic behavior of intracranial ependymoma is unpredictable on the basis of current staging approaches. We aimed at the identification of recurrent genetic aberrations in ependymoma and evaluated their prognostic significance to develop a molecular staging system that could complement current classification criteria. Patients and Methods: As a screening cohort, we studied a cohort of 122 patients with ependymoma before standardized therapy by using array-based comparative genomic hybridization. DNA copy-number aberrations identified as possible prognostic markers were validated in an independent cohort of 170 patients with ependymoma by fluorescence in situ hybridization analysis. Copy-number aberrations were correlated with clinical, histopathologic, and survival data. Results: In the screening cohort, age at diagnosis, gain of 1q, and homozygous deletion of CDKN2A comprised the most powerful independent indicators of unfavorable prognosis. In contrast, gains of chromosomes 9, 15q, and 18 and loss of chromosome 6 were associated with excellent survival. On the basis of these findings, we developed a molecular staging system comprised of three genetic risk groups, which was then confirmed in the validation cohort. Likelihood ratio tests and multivariate Cox regression also demonstrated the clear improvement in predictive accuracy after the addition of these novel genetic markers. Conclusion: Genomic aberrations in ependymomas are powerful independent markers of disease progression and survival. By adding genetic markers to established clinical and histopathologic variables, outcome prediction can potentially be improved. Because the analyses can be conducted on routine paraffin-embedded material, it will now be possible to prospectively validate these markers in multicenter clinical trials on population-based cohorts. © 2010 by American Society of Clinical Oncology.","author":[{"dropping-particle":"","family":"Korshunov","given":"Andrey","non-dropping-particle":"","parse-names":false,"suffix":""},{"dropping-particle":"","family":"Witt","given":"Hendrik","non-dropping-particle":"","parse-names":false,"suffix":""},{"dropping-particle":"","family":"Hielscher","given":"Thomas","non-dropping-particle":"","parse-names":false,"suffix":""},{"dropping-particle":"","family":"Benner","given":"Axel","non-dropping-particle":"","parse-names":false,"suffix":""},{"dropping-particle":"","family":"Remke","given":"Marc","non-dropping-particle":"","parse-names":false,"suffix":""},{"dropping-particle":"","family":"Ryzhova","given":"Marina","non-dropping-particle":"","parse-names":false,"suffix":""},{"dropping-particle":"","family":"Milde","given":"Till","non-dropping-particle":"","parse-names":false,"suffix":""},{"dropping-particle":"","family":"Bender","given":"Sebastian","non-dropping-particle":"","parse-names":false,"suffix":""},{"dropping-particle":"","family":"Wittmann","given":"Andrea","non-dropping-particle":"","parse-names":false,"suffix":""},{"dropping-particle":"","family":"Schöttler","given":"Anna","non-dropping-particle":"","parse-names":false,"suffix":""},{"dropping-particle":"","family":"Kulozik","given":"Andreas E.","non-dropping-particle":"","parse-names":false,"suffix":""},{"dropping-particle":"","family":"Witt","given":"Olaf","non-dropping-particle":"","parse-names":false,"suffix":""},{"dropping-particle":"","family":"Deimling","given":"Andreas","non-dropping-particle":"Von","parse-names":false,"suffix":""},{"dropping-particle":"","family":"Lichter","given":"Peter","non-dropping-particle":"","parse-names":false,"suffix":""},{"dropping-particle":"","family":"Pfister","given":"Stefan","non-dropping-particle":"","parse-names":false,"suffix":""}],"container-title":"Journal of Clinical Oncology","id":"ITEM-1","issue":"19","issued":{"date-parts":[["2010","7","1"]]},"page":"3182-3190","publisher":"J Clin Oncol","title":"Molecular staging of intracranial ependymoma in children and adults","type":"article-journal","volume":"28"},"uris":["http://www.mendeley.com/documents/?uuid=11d59b4a-3745-354c-b9ab-8837d07ffc34"]}],"mendeley":{"formattedCitation":"&lt;sup&gt;52&lt;/sup&gt;","plainTextFormattedCitation":"52","previouslyFormattedCitation":"&lt;sup&gt;52&lt;/sup&gt;"},"properties":{"noteIndex":0},"schema":"https://github.com/citation-style-language/schema/raw/master/csl-citation.json"}</w:instrText>
      </w:r>
      <w:r w:rsidR="002A4792">
        <w:fldChar w:fldCharType="separate"/>
      </w:r>
      <w:r w:rsidR="00C554E1" w:rsidRPr="00C554E1">
        <w:rPr>
          <w:noProof/>
          <w:vertAlign w:val="superscript"/>
        </w:rPr>
        <w:t>52</w:t>
      </w:r>
      <w:r w:rsidR="002A4792">
        <w:fldChar w:fldCharType="end"/>
      </w:r>
      <w:r w:rsidR="002A4792">
        <w:t xml:space="preserve">. </w:t>
      </w:r>
    </w:p>
    <w:p w14:paraId="4721ED3C" w14:textId="2B5939A7" w:rsidR="00FD745B" w:rsidRPr="00FD745B" w:rsidRDefault="00865B6C" w:rsidP="00EC4DAF">
      <w:pPr>
        <w:pStyle w:val="Odstavecseseznamem"/>
        <w:ind w:left="0"/>
        <w:jc w:val="both"/>
      </w:pPr>
      <w:r>
        <w:t xml:space="preserve">Jedinou molekulární alterací v této skupině gliomů je </w:t>
      </w:r>
      <w:r w:rsidRPr="001E77FF">
        <w:rPr>
          <w:iCs/>
        </w:rPr>
        <w:t>RELA</w:t>
      </w:r>
      <w:r w:rsidRPr="00091D5F">
        <w:rPr>
          <w:i/>
          <w:iCs/>
        </w:rPr>
        <w:t xml:space="preserve"> </w:t>
      </w:r>
      <w:r>
        <w:t xml:space="preserve">fúze vyskytující se u pediatrických pacientů. Další molekulární změny čekají na odhalení s přesahem pro přesnější popsání </w:t>
      </w:r>
      <w:r w:rsidR="00E26F61">
        <w:t>jednotlivých podskupin ependymomů</w:t>
      </w:r>
      <w:r>
        <w:fldChar w:fldCharType="begin" w:fldLock="1"/>
      </w:r>
      <w:r w:rsidR="00CC7CB0">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fldChar w:fldCharType="separate"/>
      </w:r>
      <w:r w:rsidR="006431C6" w:rsidRPr="006431C6">
        <w:rPr>
          <w:noProof/>
          <w:vertAlign w:val="superscript"/>
        </w:rPr>
        <w:t>12</w:t>
      </w:r>
      <w:r>
        <w:fldChar w:fldCharType="end"/>
      </w:r>
      <w:r>
        <w:t>.</w:t>
      </w:r>
      <w:r w:rsidR="00E26F61">
        <w:t xml:space="preserve">  </w:t>
      </w:r>
    </w:p>
    <w:p w14:paraId="3D0CE925" w14:textId="77777777" w:rsidR="004D2515" w:rsidRDefault="004D2515" w:rsidP="00EC4DAF">
      <w:pPr>
        <w:pStyle w:val="Odstavecseseznamem"/>
        <w:tabs>
          <w:tab w:val="left" w:pos="975"/>
        </w:tabs>
        <w:ind w:left="0"/>
        <w:rPr>
          <w:b/>
          <w:bCs/>
        </w:rPr>
      </w:pPr>
    </w:p>
    <w:p w14:paraId="6013640F" w14:textId="64FF9C1D" w:rsidR="00ED6277" w:rsidRPr="00BD449B" w:rsidRDefault="00301FC7" w:rsidP="00EC4DAF">
      <w:pPr>
        <w:pStyle w:val="Nadpis3"/>
        <w:ind w:left="0" w:firstLine="0"/>
      </w:pPr>
      <w:bookmarkStart w:id="36" w:name="_Toc88741463"/>
      <w:r w:rsidRPr="00BD449B">
        <w:t>Souhrn kapitoly</w:t>
      </w:r>
      <w:bookmarkEnd w:id="36"/>
    </w:p>
    <w:p w14:paraId="65519F25" w14:textId="66DA0D9A" w:rsidR="00063737" w:rsidRDefault="00063737" w:rsidP="00EC4DAF">
      <w:pPr>
        <w:pStyle w:val="Odstavecseseznamem"/>
        <w:tabs>
          <w:tab w:val="left" w:pos="975"/>
        </w:tabs>
        <w:ind w:left="0"/>
        <w:jc w:val="both"/>
        <w:rPr>
          <w:color w:val="000000"/>
          <w:shd w:val="clear" w:color="auto" w:fill="FFFFFF"/>
        </w:rPr>
      </w:pPr>
    </w:p>
    <w:p w14:paraId="397D27C4" w14:textId="6D94F951" w:rsidR="00BB7AB3" w:rsidRDefault="00BB7AB3" w:rsidP="00BB7AB3">
      <w:pPr>
        <w:pStyle w:val="Odstavecseseznamem"/>
        <w:tabs>
          <w:tab w:val="left" w:pos="975"/>
        </w:tabs>
        <w:ind w:left="0"/>
        <w:jc w:val="both"/>
      </w:pPr>
      <w:r w:rsidRPr="00F20E43">
        <w:t>Update klasifikace nádoru CNS z roku 2016 způsobil převrat v klasifikaci, kdy do samotného názvosloví byla přidána přesnější molekulární charakteristika. Tím došlo k rozpadu histologických subtypů do dalších menších skupin se záměrem zpřesnění diagnózy a prognózy jednotlivých nádorů CNS</w:t>
      </w:r>
      <w:r w:rsidRPr="00F20E43">
        <w:fldChar w:fldCharType="begin" w:fldLock="1"/>
      </w:r>
      <w:r w:rsidR="00F90F1D">
        <w:instrText>ADDIN CSL_CITATION {"citationItems":[{"id":"ITEM-1","itemData":{"DOI":"10.1007/s00401-016-1545-1","ISSN":"14320533","PMID":"27157931","abstract":"The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Neuropathologica","id":"ITEM-1","issue":"6","issued":{"date-parts":[["2016","6","1"]]},"page":"803-820","publisher":"Springer Verlag","title":"The 2016 World Health Organization Classification of Tumors of the Central Nervous System: a summary","type":"article","volume":"131"},"uris":["http://www.mendeley.com/documents/?uuid=61d17050-a6fc-32c6-ad78-ea3ccfc131ec"]}],"mendeley":{"formattedCitation":"&lt;sup&gt;41&lt;/sup&gt;","plainTextFormattedCitation":"41","previouslyFormattedCitation":"&lt;sup&gt;41&lt;/sup&gt;"},"properties":{"noteIndex":0},"schema":"https://github.com/citation-style-language/schema/raw/master/csl-citation.json"}</w:instrText>
      </w:r>
      <w:r w:rsidRPr="00F20E43">
        <w:fldChar w:fldCharType="separate"/>
      </w:r>
      <w:r w:rsidR="00CB0011" w:rsidRPr="00CB0011">
        <w:rPr>
          <w:noProof/>
          <w:vertAlign w:val="superscript"/>
        </w:rPr>
        <w:t>41</w:t>
      </w:r>
      <w:r w:rsidRPr="00F20E43">
        <w:fldChar w:fldCharType="end"/>
      </w:r>
      <w:r w:rsidRPr="00F20E43">
        <w:t>.</w:t>
      </w:r>
      <w:r>
        <w:t xml:space="preserve"> </w:t>
      </w:r>
      <w:r w:rsidR="00F20E43">
        <w:t>V klinické praxi dochází na základě těchto změn zpřesnění výběru vhodného léčebného režimu, ze kterého by mohl</w:t>
      </w:r>
      <w:r w:rsidR="00992CBE">
        <w:t xml:space="preserve">y určité skupiny </w:t>
      </w:r>
      <w:r w:rsidR="00F20E43">
        <w:t>pacient</w:t>
      </w:r>
      <w:r w:rsidR="00992CBE">
        <w:t>ů s gliomy</w:t>
      </w:r>
      <w:r w:rsidR="00F20E43">
        <w:t xml:space="preserve"> profitovat. </w:t>
      </w:r>
      <w:r w:rsidR="00992CBE">
        <w:t>Do budoucna se předpokládá, že dojde k dalšímu zpřesňování diagnóz a vývoji cílené terapie právě podle přesnější molekulární charakterizace nádorů CNS.</w:t>
      </w:r>
    </w:p>
    <w:bookmarkEnd w:id="20"/>
    <w:p w14:paraId="0BF06B85" w14:textId="77777777" w:rsidR="00447CBE" w:rsidRDefault="00447CBE" w:rsidP="00BB1925">
      <w:pPr>
        <w:pStyle w:val="Odstavecseseznamem"/>
        <w:tabs>
          <w:tab w:val="left" w:pos="975"/>
        </w:tabs>
        <w:ind w:left="0"/>
        <w:rPr>
          <w:sz w:val="20"/>
          <w:szCs w:val="20"/>
        </w:rPr>
        <w:sectPr w:rsidR="00447CBE">
          <w:pgSz w:w="11906" w:h="16838"/>
          <w:pgMar w:top="1417" w:right="1417" w:bottom="1417" w:left="1417" w:header="708" w:footer="708" w:gutter="0"/>
          <w:cols w:space="708"/>
          <w:docGrid w:linePitch="360"/>
        </w:sectPr>
      </w:pPr>
    </w:p>
    <w:p w14:paraId="54133C12" w14:textId="17A55FDC" w:rsidR="000157FF" w:rsidRDefault="007D72E0" w:rsidP="00EC4DAF">
      <w:pPr>
        <w:pStyle w:val="Nadpis2"/>
        <w:ind w:left="0" w:firstLine="0"/>
      </w:pPr>
      <w:bookmarkStart w:id="37" w:name="_Toc88741464"/>
      <w:r>
        <w:t>Molekulárně cytogenetické změny u gliomů</w:t>
      </w:r>
      <w:bookmarkEnd w:id="37"/>
    </w:p>
    <w:p w14:paraId="0867FB68" w14:textId="688DCF04" w:rsidR="007D72E0" w:rsidRDefault="00992CBE" w:rsidP="00992CBE">
      <w:pPr>
        <w:jc w:val="both"/>
      </w:pPr>
      <w:r>
        <w:t>Před samotnou resekcí nádoru dochází k biopsii gliálního nádoru, kdy je tkáň buď zamražena nebo uchována v médiu pro následné zpracování a histologické vyšetření na patologii.  Souběžně s tímto vyšetřením probíhá molekulárně cytogenetick</w:t>
      </w:r>
      <w:r w:rsidR="00460780">
        <w:t>á</w:t>
      </w:r>
      <w:r>
        <w:t xml:space="preserve"> charakterizace nádoru.  Jak již bylo řečeno, základním vyšetřením </w:t>
      </w:r>
      <w:r w:rsidR="00460780">
        <w:t>je</w:t>
      </w:r>
      <w:r>
        <w:t xml:space="preserve"> zhodnocení ne/přítomnosti mutace </w:t>
      </w:r>
      <w:r w:rsidRPr="00992CBE">
        <w:rPr>
          <w:i/>
          <w:iCs/>
        </w:rPr>
        <w:t>IDH</w:t>
      </w:r>
      <w:r w:rsidR="00460780">
        <w:t>, které se stalo součástí diagnózy. Na základě experimentálních studií bylo odhaleno velké množství dalších molekulárně cytogenetických aberací, které však čekají na validaci a zařazení mezi jednoznačné prognosticko prediktivní markery.</w:t>
      </w:r>
    </w:p>
    <w:p w14:paraId="63E76BD9" w14:textId="77777777" w:rsidR="00460780" w:rsidRPr="00992CBE" w:rsidRDefault="00460780" w:rsidP="00992CBE">
      <w:pPr>
        <w:jc w:val="both"/>
      </w:pPr>
    </w:p>
    <w:p w14:paraId="5DBB4B89" w14:textId="1F0D9F63" w:rsidR="007D72E0" w:rsidRDefault="007D72E0" w:rsidP="00EC4DAF">
      <w:pPr>
        <w:pStyle w:val="Nadpis3"/>
        <w:ind w:left="0" w:firstLine="0"/>
      </w:pPr>
      <w:bookmarkStart w:id="38" w:name="_Toc88741465"/>
      <w:r>
        <w:t>Hereditární nádorové syndromy spojené s výskytem gliomů</w:t>
      </w:r>
      <w:bookmarkEnd w:id="38"/>
    </w:p>
    <w:p w14:paraId="15D563EF" w14:textId="77777777" w:rsidR="00CC7CB0" w:rsidRPr="00460780" w:rsidRDefault="00CC7CB0" w:rsidP="00EC4DAF">
      <w:pPr>
        <w:pStyle w:val="Odstavecseseznamem"/>
        <w:tabs>
          <w:tab w:val="left" w:pos="975"/>
        </w:tabs>
        <w:ind w:left="0"/>
        <w:jc w:val="both"/>
        <w:rPr>
          <w:rFonts w:cstheme="minorHAnsi"/>
          <w:sz w:val="20"/>
          <w:szCs w:val="20"/>
        </w:rPr>
      </w:pPr>
    </w:p>
    <w:p w14:paraId="6C94C466" w14:textId="2A5C8582" w:rsidR="00CC7CB0" w:rsidRDefault="00CC7CB0" w:rsidP="00EC4DAF">
      <w:pPr>
        <w:pStyle w:val="Odstavecseseznamem"/>
        <w:tabs>
          <w:tab w:val="left" w:pos="975"/>
        </w:tabs>
        <w:ind w:left="0"/>
        <w:jc w:val="both"/>
        <w:rPr>
          <w:rFonts w:cstheme="minorHAnsi"/>
        </w:rPr>
      </w:pPr>
      <w:r>
        <w:rPr>
          <w:rFonts w:cstheme="minorHAnsi"/>
        </w:rPr>
        <w:t xml:space="preserve">Malé procento difuzních gliomů je způsobeno hereditárními syndromy založených na mutaci jediného genu </w:t>
      </w:r>
      <w:r w:rsidR="00460780">
        <w:rPr>
          <w:rFonts w:cstheme="minorHAnsi"/>
        </w:rPr>
        <w:t>jako je</w:t>
      </w:r>
      <w:r w:rsidRPr="00091D5F">
        <w:rPr>
          <w:rFonts w:cstheme="minorHAnsi"/>
        </w:rPr>
        <w:t xml:space="preserve"> Li-Fraumeni syndrom (</w:t>
      </w:r>
      <w:r w:rsidRPr="00091D5F">
        <w:rPr>
          <w:rFonts w:cstheme="minorHAnsi"/>
          <w:i/>
          <w:iCs/>
        </w:rPr>
        <w:t>TP53</w:t>
      </w:r>
      <w:r w:rsidRPr="00091D5F">
        <w:rPr>
          <w:rFonts w:cstheme="minorHAnsi"/>
        </w:rPr>
        <w:t>), neurofibromatóza typu 1 a 2 (</w:t>
      </w:r>
      <w:r w:rsidRPr="00091D5F">
        <w:rPr>
          <w:rFonts w:cstheme="minorHAnsi"/>
          <w:i/>
          <w:iCs/>
        </w:rPr>
        <w:t>NF1 a NF2</w:t>
      </w:r>
      <w:r w:rsidRPr="00091D5F">
        <w:rPr>
          <w:rFonts w:cstheme="minorHAnsi"/>
        </w:rPr>
        <w:t>), Lynchův syndrom (</w:t>
      </w:r>
      <w:r w:rsidRPr="00091D5F">
        <w:rPr>
          <w:rFonts w:cstheme="minorHAnsi"/>
          <w:i/>
          <w:iCs/>
        </w:rPr>
        <w:t>MSH2, MSH6, MLH1, PMS2</w:t>
      </w:r>
      <w:r w:rsidRPr="00091D5F">
        <w:rPr>
          <w:rFonts w:cstheme="minorHAnsi"/>
        </w:rPr>
        <w:t>)</w:t>
      </w:r>
      <w:r w:rsidR="00460780">
        <w:rPr>
          <w:rFonts w:cstheme="minorHAnsi"/>
        </w:rPr>
        <w:t>,</w:t>
      </w:r>
      <w:r w:rsidRPr="00091D5F">
        <w:rPr>
          <w:rFonts w:cstheme="minorHAnsi"/>
        </w:rPr>
        <w:t xml:space="preserve"> tuberkulózní</w:t>
      </w:r>
      <w:r>
        <w:rPr>
          <w:rFonts w:cstheme="minorHAnsi"/>
        </w:rPr>
        <w:t xml:space="preserve"> </w:t>
      </w:r>
      <w:r w:rsidRPr="00091D5F">
        <w:rPr>
          <w:rFonts w:cstheme="minorHAnsi"/>
        </w:rPr>
        <w:t>skleróza (</w:t>
      </w:r>
      <w:r w:rsidRPr="00091D5F">
        <w:rPr>
          <w:rFonts w:cstheme="minorHAnsi"/>
          <w:i/>
          <w:iCs/>
        </w:rPr>
        <w:t>TSC1, TSC2</w:t>
      </w:r>
      <w:r w:rsidRPr="00091D5F">
        <w:rPr>
          <w:rFonts w:cstheme="minorHAnsi"/>
        </w:rPr>
        <w:t>),</w:t>
      </w:r>
      <w:r>
        <w:rPr>
          <w:rFonts w:cstheme="minorHAnsi"/>
        </w:rPr>
        <w:t xml:space="preserve"> Ollierova choroba (</w:t>
      </w:r>
      <w:r w:rsidRPr="00091D5F">
        <w:rPr>
          <w:rFonts w:cstheme="minorHAnsi"/>
          <w:i/>
          <w:iCs/>
        </w:rPr>
        <w:t>IDH1, IDH2</w:t>
      </w:r>
      <w:r>
        <w:rPr>
          <w:rFonts w:cstheme="minorHAnsi"/>
        </w:rPr>
        <w:t xml:space="preserve">) a syndrom familiárního melanomu </w:t>
      </w:r>
      <w:r w:rsidRPr="00091D5F">
        <w:rPr>
          <w:rFonts w:cstheme="minorHAnsi"/>
        </w:rPr>
        <w:t>(</w:t>
      </w:r>
      <w:r w:rsidRPr="00091D5F">
        <w:rPr>
          <w:rFonts w:cstheme="minorHAnsi"/>
          <w:i/>
          <w:iCs/>
        </w:rPr>
        <w:t>p16</w:t>
      </w:r>
      <w:r w:rsidRPr="00091D5F">
        <w:rPr>
          <w:rFonts w:cstheme="minorHAnsi"/>
        </w:rPr>
        <w:t>)</w:t>
      </w:r>
      <w:r w:rsidRPr="00091D5F">
        <w:rPr>
          <w:rFonts w:cstheme="minorHAnsi"/>
        </w:rPr>
        <w:fldChar w:fldCharType="begin" w:fldLock="1"/>
      </w:r>
      <w:r w:rsidR="00C554E1">
        <w:rPr>
          <w:rFonts w:cstheme="minorHAnsi"/>
        </w:rPr>
        <w:instrText>ADDIN CSL_CITATION {"citationItems":[{"id":"ITEM-1","itemData":{"DOI":"10.1093/jncimonographs/lgn001","ISSN":"17456614","PMID":"18559331","author":[{"dropping-particle":"","family":"Lindor","given":"Noralane M.","non-dropping-particle":"","parse-names":false,"suffix":""},{"dropping-particle":"","family":"McMaster","given":"Mary L.","non-dropping-particle":"","parse-names":false,"suffix":""},{"dropping-particle":"","family":"Lindor","given":"Carl J.","non-dropping-particle":"","parse-names":false,"suffix":""},{"dropping-particle":"","family":"Greene","given":"Mark H.","non-dropping-particle":"","parse-names":false,"suffix":""}],"container-title":"Journal of the National Cancer Institute - Monographs","id":"ITEM-1","issue":"38","issued":{"date-parts":[["2008"]]},"page":"1-93","publisher":"Oxford University Press","title":"Concise handbook of familial cancer susceptibility syndromes: Second edition","type":"article-journal","volume":"2008"},"uris":["http://www.mendeley.com/documents/?uuid=30ed8412-a956-36a9-b520-ac8694c37429"]},{"id":"ITEM-2","itemData":{"DOI":"10.1093/nop/npv026","ISSN":"20542585","abstract":"During the past six years, researchers have made major progress identifying common inherited genetic variation that increases risk for primary adult glioma. This paper summarizes knowledge about rare familial cancer syndromes that include adult glioma and reviews the available literature on the more recently discovered common inherited variation. Ten independent inherited variants in eight chromosomal regions have been convincingly associated with increased risk for adult glioma. Most of these variants increase relative risk of primary adult glioma by 20% to 40%, but the TP53 variant rs78378222 confers a two-fold relative risk (ie, 200%), and rs557505857 on chromosome 8 confers a six-fold relative risk of IDH-mutated astrocytomas and oligodendroglial tumors (ie, 600%). Even with a sixfold relative risk, the overall risk of developing adult glioma is too low for screening for the high-risk variant on chromosome 8. Future studies will help clarify which inherited adult glioma risk variants are associated with subtypes defined by histology and/or acquired tumor mutations. This review also provides an information sheet for primary adult glioma patients and their families.","author":[{"dropping-particle":"","family":"Rice","given":"Terri","non-dropping-particle":"","parse-names":false,"suffix":""},{"dropping-particle":"","family":"Lachance","given":"Daniel H.","non-dropping-particle":"","parse-names":false,"suffix":""},{"dropping-particle":"","family":"Molinaro","given":"Annette M.","non-dropping-particle":"","parse-names":false,"suffix":""},{"dropping-particle":"","family":"Eckel-Passow","given":"Jeanette E.","non-dropping-particle":"","parse-names":false,"suffix":""},{"dropping-particle":"","family":"Walsh","given":"Kyle M.","non-dropping-particle":"","parse-names":false,"suffix":""},{"dropping-particle":"","family":"Barnholtz-Sloan","given":"Jill","non-dropping-particle":"","parse-names":false,"suffix":""},{"dropping-particle":"","family":"Ostrom","given":"Quinn T.","non-dropping-particle":"","parse-names":false,"suffix":""},{"dropping-particle":"","family":"Francis","given":"Stephen S.","non-dropping-particle":"","parse-names":false,"suffix":""},{"dropping-particle":"","family":"Wiemels","given":"Joseph","non-dropping-particle":"","parse-names":false,"suffix":""},{"dropping-particle":"","family":"Jenkins","given":"Robert B.","non-dropping-particle":"","parse-names":false,"suffix":""},{"dropping-particle":"","family":"Wiencke","given":"John K.","non-dropping-particle":"","parse-names":false,"suffix":""},{"dropping-particle":"","family":"Wrensch","given":"Margaret R.","non-dropping-particle":"","parse-names":false,"suffix":""}],"container-title":"Neuro-Oncology Practice","id":"ITEM-2","issue":"1","issued":{"date-parts":[["2015","3","20"]]},"page":"1-16","publisher":"Oxford University Press","title":"Neuro-oncology practice: Understanding inherited genetic risk of adult glioma - A review","type":"article-journal","volume":"3"},"uris":["http://www.mendeley.com/documents/?uuid=d3cbfd2d-df58-39bb-89e6-81cc5ab9d55d"]}],"mendeley":{"formattedCitation":"&lt;sup&gt;53,54&lt;/sup&gt;","plainTextFormattedCitation":"53,54","previouslyFormattedCitation":"&lt;sup&gt;53,54&lt;/sup&gt;"},"properties":{"noteIndex":0},"schema":"https://github.com/citation-style-language/schema/raw/master/csl-citation.json"}</w:instrText>
      </w:r>
      <w:r w:rsidRPr="00091D5F">
        <w:rPr>
          <w:rFonts w:cstheme="minorHAnsi"/>
        </w:rPr>
        <w:fldChar w:fldCharType="separate"/>
      </w:r>
      <w:r w:rsidR="00C554E1" w:rsidRPr="00C554E1">
        <w:rPr>
          <w:rFonts w:cstheme="minorHAnsi"/>
          <w:noProof/>
          <w:vertAlign w:val="superscript"/>
        </w:rPr>
        <w:t>53,54</w:t>
      </w:r>
      <w:r w:rsidRPr="00091D5F">
        <w:rPr>
          <w:rFonts w:cstheme="minorHAnsi"/>
        </w:rPr>
        <w:fldChar w:fldCharType="end"/>
      </w:r>
      <w:r>
        <w:rPr>
          <w:rFonts w:cstheme="minorHAnsi"/>
        </w:rPr>
        <w:t>.</w:t>
      </w:r>
      <w:r w:rsidR="00D24DB1">
        <w:rPr>
          <w:rFonts w:cstheme="minorHAnsi"/>
        </w:rPr>
        <w:t xml:space="preserve"> Molekulární charakteristika gliá</w:t>
      </w:r>
      <w:r w:rsidR="00033C38">
        <w:rPr>
          <w:rFonts w:cstheme="minorHAnsi"/>
        </w:rPr>
        <w:t>lních nádorů těchto pacientů se</w:t>
      </w:r>
      <w:r w:rsidR="00D24DB1">
        <w:rPr>
          <w:rFonts w:cstheme="minorHAnsi"/>
        </w:rPr>
        <w:t xml:space="preserve"> liší od nádorů pacientů bez hereditárního syndromu</w:t>
      </w:r>
      <w:r w:rsidR="00D24DB1">
        <w:rPr>
          <w:rFonts w:cstheme="minorHAnsi"/>
        </w:rPr>
        <w:fldChar w:fldCharType="begin" w:fldLock="1"/>
      </w:r>
      <w:r w:rsidR="00C554E1">
        <w:rPr>
          <w:rFonts w:cstheme="minorHAnsi"/>
        </w:rPr>
        <w:instrText>ADDIN CSL_CITATION {"citationItems":[{"id":"ITEM-1","itemData":{"DOI":"10.1093/neuonc/nop011","ISSN":"15228517","PMID":"20150373","abstract":"In gliomas, germline gene alterations play a significant role during malignant transformation of progenitor glial cells, at least for families with occurrence of multiple cancers or with specific hereditary cancer syndromes. Scientific evidence during the last few years has revealed several constitutive genetic abnormalities that may influence glioma formation. These germline abnormalities are manifested as either gene polymorphisms or hemizygous mutations of key regulatory genes that are involved either in DNA repair or in apoptosis. Such changes, among others, include hemizygous alterations of the neurofibromatosis 1 (NF1) and p53 genes that are involved in apoptotic pathways, and alterations in multiple DNA repair genes such as mismatch repair (MMR) genes, x-ray cross-complementary genes (XRCC), and O6-methylguanine-DNA methyltransferase (MGMT) genes. Subsequent cellular changes include somatic mutations in cell cycle regulatory genes and genes involved in angiogenesis and invasion, leading eventually to tumor formation in various stages. Future molecular diagnosis may identify new genomic regions that could harbor genes important for glioma predisposition and aid in the early diagnosis of these patients and genetic counseling of their families. © The Author(s) 2009.","author":[{"dropping-particle":"","family":"Kyritsis","given":"Athanassios P.","non-dropping-particle":"","parse-names":false,"suffix":""},{"dropping-particle":"","family":"Bondy","given":"Melissa L.","non-dropping-particle":"","parse-names":false,"suffix":""},{"dropping-particle":"","family":"Rao","given":"Jasti S.","non-dropping-particle":"","parse-names":false,"suffix":""},{"dropping-particle":"","family":"Sioka","given":"Chrissa","non-dropping-particle":"","parse-names":false,"suffix":""}],"container-title":"Neuro-Oncology","id":"ITEM-1","issue":"1","issued":{"date-parts":[["2010","1"]]},"page":"104-113","publisher":"Neuro Oncol","title":"Inherited predisposition to glioma","type":"article","volume":"12"},"uris":["http://www.mendeley.com/documents/?uuid=dc873a67-3202-3b84-918a-5e5eef02cd31"]},{"id":"ITEM-2","itemData":{"DOI":"10.1038/s41591-018-0263-8","ISSN":"1546170X","PMID":"30531922","abstract":"Neurofibromatosis type 1 (NF1) is a common tumor predisposition syndrome in which glioma is one of the prevalent tumors. Gliomagenesis in NF1 results in a heterogeneous spectrum of low- to high-grade neoplasms occurring during the entire lifespan of patients. The pattern of genetic and epigenetic alterations of glioma that develops in NF1 patients and the similarities with sporadic glioma remain unknown. Here, we present the molecular landscape of low- and high-grade gliomas in patients affected by NF1 (NF1-glioma). We found that the predisposing germline mutation of the NF1 gene was frequently converted to homozygosity and the somatic mutational load of NF1-glioma was influenced by age and grade. High-grade tumors harbored genetic alterations of TP53 and CDKN2A, frequent mutations of ATRX associated with Alternative Lengthening of Telomere, and were enriched in genetic alterations of transcription/chromatin regulation and PI3 kinase pathways. Low-grade tumors exhibited fewer mutations that were over-represented in genes of the MAP kinase pathway. Approximately 50% of low-grade NF1-gliomas displayed an immune signature, T lymphocyte infiltrates, and increased neo-antigen load. DNA methylation assigned NF1-glioma to LGm6, a poorly defined Isocitrate Dehydrogenase 1 wild-type subgroup enriched with ATRX mutations. Thus, the profiling of NF1-glioma defined a distinct landscape that recapitulates a subset of sporadic tumors.","author":[{"dropping-particle":"","family":"D’Angelo","given":"Fulvio","non-dropping-particle":"","parse-names":false,"suffix":""},{"dropping-particle":"","family":"Ceccarelli","given":"Michele","non-dropping-particle":"","parse-names":false,"suffix":""},{"dropping-particle":"","family":"Tala","given":"","non-dropping-particle":"","parse-names":false,"suffix":""},{"dropping-particle":"","family":"Garofano","given":"Luciano","non-dropping-particle":"","parse-names":false,"suffix":""},{"dropping-particle":"","family":"Zhang","given":"Jing","non-dropping-particle":"","parse-names":false,"suffix":""},{"dropping-particle":"","family":"Frattini","given":"Véronique","non-dropping-particle":"","parse-names":false,"suffix":""},{"dropping-particle":"","family":"Caruso","given":"Francesca P.","non-dropping-particle":"","parse-names":false,"suffix":""},{"dropping-particle":"","family":"Lewis","given":"Genevieve","non-dropping-particle":"","parse-names":false,"suffix":""},{"dropping-particle":"","family":"Alfaro","given":"Kristin D.","non-dropping-particle":"","parse-names":false,"suffix":""},{"dropping-particle":"","family":"Bauchet","given":"Luc","non-dropping-particle":"","parse-names":false,"suffix":""},{"dropping-particle":"","family":"Berzero","given":"Giulia","non-dropping-particle":"","parse-names":false,"suffix":""},{"dropping-particle":"","family":"Cachia","given":"David","non-dropping-particle":"","parse-names":false,"suffix":""},{"dropping-particle":"","family":"Cangiano","given":"Mario","non-dropping-particle":"","parse-names":false,"suffix":""},{"dropping-particle":"","family":"Capelle","given":"Laurent","non-dropping-particle":"","parse-names":false,"suffix":""},{"dropping-particle":"","family":"Groot","given":"John","non-dropping-particle":"de","parse-names":false,"suffix":""},{"dropping-particle":"","family":"DiMeco","given":"Francesco","non-dropping-particle":"","parse-names":false,"suffix":""},{"dropping-particle":"","family":"Ducray","given":"François","non-dropping-particle":"","parse-names":false,"suffix":""},{"dropping-particle":"","family":"Farah","given":"Walid","non-dropping-particle":"","parse-names":false,"suffix":""},{"dropping-particle":"","family":"Finocchiaro","given":"Gaetano","non-dropping-particle":"","parse-names":false,"suffix":""},{"dropping-particle":"","family":"Goutagny","given":"Stéphane","non-dropping-particle":"","parse-names":false,"suffix":""},{"dropping-particle":"","family":"Kamiya-Matsuoka","given":"Carlos","non-dropping-particle":"","parse-names":false,"suffix":""},{"dropping-particle":"","family":"Lavarino","given":"Cinzia","non-dropping-particle":"","parse-names":false,"suffix":""},{"dropping-particle":"","family":"Loiseau","given":"Hugues","non-dropping-particle":"","parse-names":false,"suffix":""},{"dropping-particle":"","family":"Lorgis","given":"Véronique","non-dropping-particle":"","parse-names":false,"suffix":""},{"dropping-particle":"","family":"Marras","given":"Carlo E.","non-dropping-particle":"","parse-names":false,"suffix":""},{"dropping-particle":"","family":"McCutcheon","given":"Ian","non-dropping-particle":"","parse-names":false,"suffix":""},{"dropping-particle":"","family":"Nam","given":"Do Hyun","non-dropping-particle":"","parse-names":false,"suffix":""},{"dropping-particle":"","family":"Ronchi","given":"Susanna","non-dropping-particle":"","parse-names":false,"suffix":""},{"dropping-particle":"","family":"Saletti","given":"Veronica","non-dropping-particle":"","parse-names":false,"suffix":""},{"dropping-particle":"","family":"Seizeur","given":"Romuald","non-dropping-particle":"","parse-names":false,"suffix":""},{"dropping-particle":"","family":"Slopis","given":"John","non-dropping-particle":"","parse-names":false,"suffix":""},{"dropping-particle":"","family":"Suñol","given":"Mariona","non-dropping-particle":"","parse-names":false,"suffix":""},{"dropping-particle":"","family":"Vandenbos","given":"Fanny","non-dropping-particle":"","parse-names":false,"suffix":""},{"dropping-particle":"","family":"Varlet","given":"Pascale","non-dropping-particle":"","parse-names":false,"suffix":""},{"dropping-particle":"","family":"Vidaud","given":"Dominique","non-dropping-particle":"","parse-names":false,"suffix":""},{"dropping-particle":"","family":"Watts","given":"Colin","non-dropping-particle":"","parse-names":false,"suffix":""},{"dropping-particle":"","family":"Tabar","given":"Viviane","non-dropping-particle":"","parse-names":false,"suffix":""},{"dropping-particle":"","family":"Reuss","given":"David E.","non-dropping-particle":"","parse-names":false,"suffix":""},{"dropping-particle":"","family":"Kim","given":"Seung Ki","non-dropping-particle":"","parse-names":false,"suffix":""},{"dropping-particle":"","family":"Meyronet","given":"David","non-dropping-particle":"","parse-names":false,"suffix":""},{"dropping-particle":"","family":"Mokhtari","given":"Karima","non-dropping-particle":"","parse-names":false,"suffix":""},{"dropping-particle":"","family":"Salvador","given":"Hector","non-dropping-particle":"","parse-names":false,"suffix":""},{"dropping-particle":"","family":"Bhat","given":"Krishna P.","non-dropping-particle":"","parse-names":false,"suffix":""},{"dropping-particle":"","family":"Eoli","given":"Marica","non-dropping-particle":"","parse-names":false,"suffix":""},{"dropping-particle":"","family":"Sanson","given":"Marc","non-dropping-particle":"","parse-names":false,"suffix":""},{"dropping-particle":"","family":"Lasorella","given":"Anna","non-dropping-particle":"","parse-names":false,"suffix":""},{"dropping-particle":"","family":"Iavarone","given":"Antonio","non-dropping-particle":"","parse-names":false,"suffix":""}],"container-title":"Nature Medicine","id":"ITEM-2","issue":"1","issued":{"date-parts":[["2019","1","1"]]},"page":"176-187","publisher":"Nature Publishing Group","title":"The molecular landscape of glioma in patients with Neurofibromatosis 1","type":"article-journal","volume":"25"},"uris":["http://www.mendeley.com/documents/?uuid=f35775c8-abf7-3ea5-9232-eaadaef8a6fa"]}],"mendeley":{"formattedCitation":"&lt;sup&gt;55,56&lt;/sup&gt;","plainTextFormattedCitation":"55,56","previouslyFormattedCitation":"&lt;sup&gt;55,56&lt;/sup&gt;"},"properties":{"noteIndex":0},"schema":"https://github.com/citation-style-language/schema/raw/master/csl-citation.json"}</w:instrText>
      </w:r>
      <w:r w:rsidR="00D24DB1">
        <w:rPr>
          <w:rFonts w:cstheme="minorHAnsi"/>
        </w:rPr>
        <w:fldChar w:fldCharType="separate"/>
      </w:r>
      <w:r w:rsidR="00C554E1" w:rsidRPr="00C554E1">
        <w:rPr>
          <w:rFonts w:cstheme="minorHAnsi"/>
          <w:noProof/>
          <w:vertAlign w:val="superscript"/>
        </w:rPr>
        <w:t>55,56</w:t>
      </w:r>
      <w:r w:rsidR="00D24DB1">
        <w:rPr>
          <w:rFonts w:cstheme="minorHAnsi"/>
        </w:rPr>
        <w:fldChar w:fldCharType="end"/>
      </w:r>
      <w:r w:rsidR="00D24DB1">
        <w:rPr>
          <w:rFonts w:cstheme="minorHAnsi"/>
        </w:rPr>
        <w:t xml:space="preserve">. </w:t>
      </w:r>
    </w:p>
    <w:p w14:paraId="6B5A162C" w14:textId="7A1173DE" w:rsidR="00D24DB1" w:rsidRDefault="00D24DB1" w:rsidP="00EC4DAF">
      <w:pPr>
        <w:pStyle w:val="Odstavecseseznamem"/>
        <w:tabs>
          <w:tab w:val="left" w:pos="975"/>
        </w:tabs>
        <w:ind w:left="0"/>
        <w:jc w:val="both"/>
        <w:rPr>
          <w:rFonts w:cstheme="minorHAnsi"/>
        </w:rPr>
      </w:pPr>
    </w:p>
    <w:p w14:paraId="0A970ACE" w14:textId="26B5C03A" w:rsidR="00D24DB1" w:rsidRDefault="00D24DB1" w:rsidP="00EC4DAF">
      <w:pPr>
        <w:pStyle w:val="Odstavecseseznamem"/>
        <w:tabs>
          <w:tab w:val="left" w:pos="975"/>
        </w:tabs>
        <w:ind w:left="0"/>
        <w:jc w:val="both"/>
        <w:rPr>
          <w:rFonts w:cstheme="minorHAnsi"/>
        </w:rPr>
      </w:pPr>
      <w:r>
        <w:rPr>
          <w:rFonts w:cstheme="minorHAnsi"/>
        </w:rPr>
        <w:t>Nad tento rámec existuje přibližně 5 – 10 % případů gliálních nádorů</w:t>
      </w:r>
      <w:r w:rsidR="00033C38">
        <w:rPr>
          <w:rFonts w:cstheme="minorHAnsi"/>
        </w:rPr>
        <w:t>,</w:t>
      </w:r>
      <w:r>
        <w:rPr>
          <w:rFonts w:cstheme="minorHAnsi"/>
        </w:rPr>
        <w:t xml:space="preserve"> charakterizovaných familiárním výskytem</w:t>
      </w:r>
      <w:r>
        <w:rPr>
          <w:rFonts w:cstheme="minorHAnsi"/>
        </w:rPr>
        <w:fldChar w:fldCharType="begin" w:fldLock="1"/>
      </w:r>
      <w:r w:rsidR="00C554E1">
        <w:rPr>
          <w:rFonts w:cstheme="minorHAnsi"/>
        </w:rPr>
        <w:instrText>ADDIN CSL_CITATION {"citationItems":[{"id":"ITEM-1","itemData":{"DOI":"10.1007/s10689-010-9346-5","ISSN":"13899600","PMID":"20455025","abstract":"There is increasing recognition of familial propensity to glioma as a distinct clinical entity beyond a few rare syndromes; however its genetic basis is poorly understood. The role of p16INK4A/p14ARF and p53 mutations in sporadic glioma provides a strong rationale for investigating germline mutations in these genes as a cause of familial glioma. To survey the familial glioma phenotype and examine the contribution of germline mutation in p16INK4A/p14ARF and p53 to the disease we have analyzed a series of 101 index familial cases collected through the GLIOGENE Consortium (http://braintumor. epigenetic.org/). There was little evidence for within family correlations for tumour histology, suggesting generic susceptibility to glial tumors. We did not detect any functional mutations in p16INK4A or p14ARF. One index case with glioblastoma multiforme (GBM) diagnosed at age 54 and had a family history comprised of a paternal aunt with GBM at age 55, carried the p53 R158H mutation, which is predicted to be functional and has previously been implicated as a cause of Li-Fraumeni syndrome. Our findings provide no evidence that p16INK4A/p14 ARF and p53 mutations contribute significantly to familial glioma. © Springer Science+Business Media B.V. 2010.","author":[{"dropping-particle":"","family":"Robertson","given":"Lindsay B.","non-dropping-particle":"","parse-names":false,"suffix":""},{"dropping-particle":"","family":"Armstrong","given":"Georgina N.","non-dropping-particle":"","parse-names":false,"suffix":""},{"dropping-particle":"","family":"Olver","given":"Bianca D.","non-dropping-particle":"","parse-names":false,"suffix":""},{"dropping-particle":"","family":"Lloyd","given":"Amy L.","non-dropping-particle":"","parse-names":false,"suffix":""},{"dropping-particle":"","family":"Shete","given":"Sanjay","non-dropping-particle":"","parse-names":false,"suffix":""},{"dropping-particle":"","family":"Lau","given":"Ching","non-dropping-particle":"","parse-names":false,"suffix":""},{"dropping-particle":"","family":"Claus","given":"Elizabeth B.","non-dropping-particle":"","parse-names":false,"suffix":""},{"dropping-particle":"","family":"Barnholtz-Sloan","given":"Jill","non-dropping-particle":"","parse-names":false,"suffix":""},{"dropping-particle":"","family":"Lai","given":"Rose","non-dropping-particle":"","parse-names":false,"suffix":""},{"dropping-particle":"","family":"Il'yasova","given":"Dora","non-dropping-particle":"","parse-names":false,"suffix":""},{"dropping-particle":"","family":"Schildkraut","given":"Joellen","non-dropping-particle":"","parse-names":false,"suffix":""},{"dropping-particle":"","family":"Bernstein","given":"Jonine L.","non-dropping-particle":"","parse-names":false,"suffix":""},{"dropping-particle":"","family":"Olson","given":"Sara H.","non-dropping-particle":"","parse-names":false,"suffix":""},{"dropping-particle":"","family":"Jenkins","given":"Robert B.","non-dropping-particle":"","parse-names":false,"suffix":""},{"dropping-particle":"","family":"Yang","given":"Ping","non-dropping-particle":"","parse-names":false,"suffix":""},{"dropping-particle":"","family":"Rynerason","given":"Amanda L.","non-dropping-particle":"","parse-names":false,"suffix":""},{"dropping-particle":"","family":"Wrensch","given":"Margaret","non-dropping-particle":"","parse-names":false,"suffix":""},{"dropping-particle":"","family":"McCoy","given":"Lucie","non-dropping-particle":"","parse-names":false,"suffix":""},{"dropping-particle":"","family":"Wienkce","given":"John K.","non-dropping-particle":"","parse-names":false,"suffix":""},{"dropping-particle":"","family":"McCarthy","given":"Bridget","non-dropping-particle":"","parse-names":false,"suffix":""},{"dropping-particle":"","family":"Davis","given":"Faith","non-dropping-particle":"","parse-names":false,"suffix":""},{"dropping-particle":"","family":"Vick","given":"Nicholas A.","non-dropping-particle":"","parse-names":false,"suffix":""},{"dropping-particle":"","family":"Johansenxs","given":"Christoffer","non-dropping-particle":"","parse-names":false,"suffix":""},{"dropping-particle":"","family":"Bødtcher","given":"Hanne","non-dropping-particle":"","parse-names":false,"suffix":""},{"dropping-particle":"","family":"Sadetzki","given":"Siegal","non-dropping-particle":"","parse-names":false,"suffix":""},{"dropping-particle":"","family":"Bruchim","given":"Revital Bar Sade","non-dropping-particle":"","parse-names":false,"suffix":""},{"dropping-particle":"","family":"Yechezkel","given":"Galit Hirsh","non-dropping-particle":"","parse-names":false,"suffix":""},{"dropping-particle":"","family":"Andersson","given":"Ulrika","non-dropping-particle":"","parse-names":false,"suffix":""},{"dropping-particle":"","family":"Melin","given":"Beatrice S.","non-dropping-particle":"","parse-names":false,"suffix":""},{"dropping-particle":"","family":"Bondy","given":"Melissa L.","non-dropping-particle":"","parse-names":false,"suffix":""},{"dropping-particle":"","family":"Houlston","given":"Richard S.","non-dropping-particle":"","parse-names":false,"suffix":""}],"container-title":"Familial Cancer","id":"ITEM-1","issue":"3","issued":{"date-parts":[["2010"]]},"page":"413-421","publisher":"Kluwer Academic Publishers","title":"Survey of familial glioma and role of germline p16INK4A/p14 ARF and p53 mutation","type":"article-journal","volume":"9"},"uris":["http://www.mendeley.com/documents/?uuid=b34d5fee-be6b-3b6c-917a-d2dd33f97145"]},{"id":"ITEM-2","itemData":{"DOI":"10.1093/oxfordjournals.aje.a009154","ISSN":"00029262","PMID":"9098174","abstract":"The causes of glioma, the most common type of primary malignant brain tumor, are poorly understood. This study compared the personal and first- degree familial medical histories of 462 adults newly diagnosed with glioma in the San Francisco Bay Area between August 1,1991, and March 31, 1994, with those of 443 controls who were frequency-matched on age, sex, and ethnicity. Cases and controls had equivalent personal histories of cancers other than brain cancer and most nervous system conditions, but they differed significantly regarding histories of epilepsy, seizures, or convulsions 3 or more years prior to diagnosis (odds ratio = 3.3, 95% confidence interval (CI) 1.4-7.9), chickenpox (odds ratio = 0.4, 95% CI 0.3-0.6), and shingles (odds ratio = 0.5, 95% CI 0.3-0.8). Four cases (less than 1%) and no controls had known genetic disorders (three had neurofibromatosis and one had tuberous sclerosis). Cases and controls had similar family histories of cancer and seizures. However, the odds ratio for a validated family history of primary brain tumor was 2.3 (95% CI 1.0-5.8). These results suggest that although family history of any cancer probably is not an important risk factor for adult glioma, a family history of brain tumors may play a role. Variation in exposure to or biologic response to common viral infections might play a greater role in the etiology of adult glioma than family history.","author":[{"dropping-particle":"","family":"Wrensch","given":"Margaret","non-dropping-particle":"","parse-names":false,"suffix":""},{"dropping-particle":"","family":"Lee","given":"Marion","non-dropping-particle":"","parse-names":false,"suffix":""},{"dropping-particle":"","family":"Miike","given":"Rei","non-dropping-particle":"","parse-names":false,"suffix":""},{"dropping-particle":"","family":"Newman","given":"Beth","non-dropping-particle":"","parse-names":false,"suffix":""},{"dropping-particle":"","family":"Barger","given":"Geoffrey","non-dropping-particle":"","parse-names":false,"suffix":""},{"dropping-particle":"","family":"Davis","given":"Richard","non-dropping-particle":"","parse-names":false,"suffix":""},{"dropping-particle":"","family":"Wiencke","given":"John","non-dropping-particle":"","parse-names":false,"suffix":""},{"dropping-particle":"","family":"Neuhaus","given":"John","non-dropping-particle":"","parse-names":false,"suffix":""}],"container-title":"American Journal of Epidemiology","id":"ITEM-2","issue":"7","issued":{"date-parts":[["1997"]]},"page":"581-593","publisher":"Oxford University Press","title":"Familial and personal medical history of cancer and nervous system conditions among adults with glioma and controls","type":"article-journal","volume":"145"},"uris":["http://www.mendeley.com/documents/?uuid=89232850-d8ce-316b-ad91-ad16f0220f1d"]}],"mendeley":{"formattedCitation":"&lt;sup&gt;57,58&lt;/sup&gt;","plainTextFormattedCitation":"57,58","previouslyFormattedCitation":"&lt;sup&gt;57,58&lt;/sup&gt;"},"properties":{"noteIndex":0},"schema":"https://github.com/citation-style-language/schema/raw/master/csl-citation.json"}</w:instrText>
      </w:r>
      <w:r>
        <w:rPr>
          <w:rFonts w:cstheme="minorHAnsi"/>
        </w:rPr>
        <w:fldChar w:fldCharType="separate"/>
      </w:r>
      <w:r w:rsidR="00C554E1" w:rsidRPr="00C554E1">
        <w:rPr>
          <w:rFonts w:cstheme="minorHAnsi"/>
          <w:noProof/>
          <w:vertAlign w:val="superscript"/>
        </w:rPr>
        <w:t>57,58</w:t>
      </w:r>
      <w:r>
        <w:rPr>
          <w:rFonts w:cstheme="minorHAnsi"/>
        </w:rPr>
        <w:fldChar w:fldCharType="end"/>
      </w:r>
      <w:r>
        <w:rPr>
          <w:rFonts w:cstheme="minorHAnsi"/>
        </w:rPr>
        <w:t xml:space="preserve">. </w:t>
      </w:r>
      <w:r w:rsidR="00853D69">
        <w:rPr>
          <w:rFonts w:cstheme="minorHAnsi"/>
        </w:rPr>
        <w:t>Tento výskyt je vysvětlován sdílenou genetickou zátěží spolu s enviro</w:t>
      </w:r>
      <w:r w:rsidR="00091D5F">
        <w:rPr>
          <w:rFonts w:cstheme="minorHAnsi"/>
        </w:rPr>
        <w:t>n</w:t>
      </w:r>
      <w:r w:rsidR="00853D69">
        <w:rPr>
          <w:rFonts w:cstheme="minorHAnsi"/>
        </w:rPr>
        <w:t xml:space="preserve">mentálni faktory. </w:t>
      </w:r>
    </w:p>
    <w:p w14:paraId="3B704D5E" w14:textId="5E54D49B" w:rsidR="00853D69" w:rsidRDefault="00853D69" w:rsidP="00EC4DAF">
      <w:pPr>
        <w:pStyle w:val="Odstavecseseznamem"/>
        <w:tabs>
          <w:tab w:val="left" w:pos="975"/>
        </w:tabs>
        <w:ind w:left="0"/>
        <w:jc w:val="both"/>
        <w:rPr>
          <w:rFonts w:cstheme="minorHAnsi"/>
        </w:rPr>
      </w:pPr>
    </w:p>
    <w:p w14:paraId="5638A280" w14:textId="55BEFC90" w:rsidR="00853D69" w:rsidRDefault="00853D69" w:rsidP="00EC4DAF">
      <w:pPr>
        <w:pStyle w:val="Odstavecseseznamem"/>
        <w:tabs>
          <w:tab w:val="left" w:pos="975"/>
        </w:tabs>
        <w:ind w:left="0"/>
        <w:jc w:val="both"/>
        <w:rPr>
          <w:rFonts w:cstheme="minorHAnsi"/>
        </w:rPr>
      </w:pPr>
    </w:p>
    <w:p w14:paraId="1AEC0804" w14:textId="130B3780" w:rsidR="00853D69" w:rsidRDefault="00853D69" w:rsidP="00EC4DAF">
      <w:pPr>
        <w:pStyle w:val="Nadpis3"/>
        <w:ind w:left="0" w:firstLine="0"/>
      </w:pPr>
      <w:bookmarkStart w:id="39" w:name="_Toc88741466"/>
      <w:r>
        <w:t>R</w:t>
      </w:r>
      <w:r w:rsidRPr="00853D69">
        <w:t>izikové faktory</w:t>
      </w:r>
      <w:bookmarkEnd w:id="39"/>
      <w:r w:rsidRPr="00853D69">
        <w:t xml:space="preserve"> </w:t>
      </w:r>
    </w:p>
    <w:p w14:paraId="36F21ECF" w14:textId="77777777" w:rsidR="00853D69" w:rsidRPr="00460780" w:rsidRDefault="00853D69" w:rsidP="00EC4DAF">
      <w:pPr>
        <w:rPr>
          <w:sz w:val="10"/>
          <w:szCs w:val="10"/>
        </w:rPr>
      </w:pPr>
    </w:p>
    <w:p w14:paraId="6B740269" w14:textId="764072D7" w:rsidR="00853D69" w:rsidRDefault="00853D69" w:rsidP="00EC4DAF">
      <w:pPr>
        <w:pStyle w:val="Odstavecseseznamem"/>
        <w:tabs>
          <w:tab w:val="left" w:pos="975"/>
        </w:tabs>
        <w:ind w:left="0"/>
        <w:jc w:val="both"/>
        <w:rPr>
          <w:rFonts w:cstheme="minorHAnsi"/>
        </w:rPr>
      </w:pPr>
      <w:r>
        <w:rPr>
          <w:rFonts w:cstheme="minorHAnsi"/>
        </w:rPr>
        <w:t>Bylo zji</w:t>
      </w:r>
      <w:r w:rsidR="00091D5F">
        <w:rPr>
          <w:rFonts w:cstheme="minorHAnsi"/>
        </w:rPr>
        <w:t>š</w:t>
      </w:r>
      <w:r>
        <w:rPr>
          <w:rFonts w:cstheme="minorHAnsi"/>
        </w:rPr>
        <w:t>těno, že kromě genetických faktorů má vliv na vznik nádorů mozku i environmenátlní prostředí a zdravý životní styl. Mezi prokázaná rizika</w:t>
      </w:r>
      <w:r w:rsidR="001E39F3">
        <w:rPr>
          <w:rFonts w:cstheme="minorHAnsi"/>
        </w:rPr>
        <w:t xml:space="preserve"> s velkým vlivem</w:t>
      </w:r>
      <w:r>
        <w:rPr>
          <w:rFonts w:cstheme="minorHAnsi"/>
        </w:rPr>
        <w:t xml:space="preserve"> patří ionizační záření</w:t>
      </w:r>
      <w:r w:rsidR="001E39F3">
        <w:rPr>
          <w:rFonts w:cstheme="minorHAnsi"/>
        </w:rPr>
        <w:t>, terapeutické ozařování v dětství a CT skenování s dávkami převyšujícími 50 mGy. Všeobecně je ionizující záření považováno za karcinogen, při němž dochází k poškození DNA a následnému možnému spuštění onkogeneze, která nastává v průběhu 7 až 9 let od ozařování</w:t>
      </w:r>
      <w:r w:rsidR="001E39F3">
        <w:rPr>
          <w:rFonts w:cstheme="minorHAnsi"/>
        </w:rPr>
        <w:fldChar w:fldCharType="begin" w:fldLock="1"/>
      </w:r>
      <w:r w:rsidR="00C554E1">
        <w:rPr>
          <w:rFonts w:cstheme="minorHAnsi"/>
        </w:rPr>
        <w:instrText>ADDIN CSL_CITATION {"citationItems":[{"id":"ITEM-1","itemData":{"DOI":"10.1158/0008-5472.CAN-03-2181","ISSN":"00085472","PMID":"15313891","abstract":"DNA repair genes play a major role in maintaining genomic stability through different repair pathways that are mediated by cell cycle control genes such as p53. We found previously that glioma patients were susceptible to γ-ray-induced chromosomal breaks, which may be influenced by genetic variation in genes involved in DNA strand breaks, such as XRCC1 in single-strand break repair, XRCC3 and RAD51 in homologous recombination repair, and XRCC7 in nonhomologous end joining double-strand break repair. Therefore, we tested the hypothesis that genetic polymorphisms in XRCC1, XRCC3, RAD51, XRCC7, and p53 were associated with risk of glioma in 309 patients with newly diagnosed glioma and 342 cancer-free control participants frequency matched on age (±5 years), sex, and self-reported ethnicity. We did not find any statistically significant differences in the distributions of XRCC1 Arg399Gln, XRCC3 Thr241Met, RAD51 G135C, and P53 Arg72Pro polymorphisms between the cases and the controls. However, the XRCC7 G6721T variant T allele and TT genotype were more common in the cases (0.668 and 43.4%, respectively) than in the controls (0.613 and 38.9%, respectively), and the differences were statistically significant (P = 0.045 and 0.040, respectively). The adjusted odds ratios were 1.78 (95% confidence interval, 1.08-2.94) and 1.86 (95% confidence interval, 1.12-3.09) for the GT heterozygotes and TT homozygotes, respectively. The combined T variant genotype (GT+TT) was associated with a 1.82-fold increased risk of glioma (95% confidence interval, 1.13-2.93). These results suggest that the T allele may be a risk allele, and this XRCC7 polymorphism may be a marker for the susceptibility to glioma. Larger studies are needed to confirm our findings and unravel the underlying mechanisms.","author":[{"dropping-particle":"","family":"Wang","given":"Li E.","non-dropping-particle":"","parse-names":false,"suffix":""},{"dropping-particle":"","family":"Bondy","given":"Melissa L.","non-dropping-particle":"","parse-names":false,"suffix":""},{"dropping-particle":"","family":"Shen","given":"Hongbing","non-dropping-particle":"","parse-names":false,"suffix":""},{"dropping-particle":"","family":"El-Zein","given":"Randa","non-dropping-particle":"","parse-names":false,"suffix":""},{"dropping-particle":"","family":"Aldape","given":"Kenneth","non-dropping-particle":"","parse-names":false,"suffix":""},{"dropping-particle":"","family":"Cao","given":"Yumei","non-dropping-particle":"","parse-names":false,"suffix":""},{"dropping-particle":"","family":"Pudavalli","given":"Vinay","non-dropping-particle":"","parse-names":false,"suffix":""},{"dropping-particle":"","family":"Levin","given":"Victor A.","non-dropping-particle":"","parse-names":false,"suffix":""},{"dropping-particle":"","family":"Yung","given":"W. K.Alfred","non-dropping-particle":"","parse-names":false,"suffix":""},{"dropping-particle":"","family":"Wei","given":"Qingyi","non-dropping-particle":"","parse-names":false,"suffix":""}],"container-title":"Cancer Research","id":"ITEM-1","issue":"16","issued":{"date-parts":[["2004","8","15"]]},"page":"5560-5563","publisher":"Cancer Res","title":"Polymorphisms of DNA repair genes and risk of glioma","type":"article-journal","volume":"64"},"uris":["http://www.mendeley.com/documents/?uuid=cdf9b62d-f87f-320c-9aaf-6469130698f4"]}],"mendeley":{"formattedCitation":"&lt;sup&gt;59&lt;/sup&gt;","plainTextFormattedCitation":"59","previouslyFormattedCitation":"&lt;sup&gt;59&lt;/sup&gt;"},"properties":{"noteIndex":0},"schema":"https://github.com/citation-style-language/schema/raw/master/csl-citation.json"}</w:instrText>
      </w:r>
      <w:r w:rsidR="001E39F3">
        <w:rPr>
          <w:rFonts w:cstheme="minorHAnsi"/>
        </w:rPr>
        <w:fldChar w:fldCharType="separate"/>
      </w:r>
      <w:r w:rsidR="00C554E1" w:rsidRPr="00C554E1">
        <w:rPr>
          <w:rFonts w:cstheme="minorHAnsi"/>
          <w:noProof/>
          <w:vertAlign w:val="superscript"/>
        </w:rPr>
        <w:t>59</w:t>
      </w:r>
      <w:r w:rsidR="001E39F3">
        <w:rPr>
          <w:rFonts w:cstheme="minorHAnsi"/>
        </w:rPr>
        <w:fldChar w:fldCharType="end"/>
      </w:r>
      <w:r w:rsidR="001E39F3">
        <w:rPr>
          <w:rFonts w:cstheme="minorHAnsi"/>
        </w:rPr>
        <w:t>. Bylo dokázáno, že terapeutické ozařování v dětství zvyšuje riziko vzniku gliálního nádoru 3x až 7x</w:t>
      </w:r>
      <w:r w:rsidR="001E39F3">
        <w:rPr>
          <w:rFonts w:cstheme="minorHAnsi"/>
        </w:rPr>
        <w:fldChar w:fldCharType="begin" w:fldLock="1"/>
      </w:r>
      <w:r w:rsidR="00C554E1">
        <w:rPr>
          <w:rFonts w:cstheme="minorHAnsi"/>
        </w:rPr>
        <w:instrText>ADDIN CSL_CITATION {"citationItems":[{"id":"ITEM-1","itemData":{"DOI":"10.1016/S0140-6736(12)60815-0","ISSN":"1474547X","PMID":"22681860","abstract":"Background Although CT scans are very useful clinically, potential cancer risks exist from associated ionising radiation, in particular for children who are more radiosensitive than adults. We aimed to assess the excess risk of leukaemia and brain tumours after CT scans in a cohort of children and young adults. Methods In our retrospective cohort study, we included patients without previous cancer diagnoses who were fi rst examined with CT in National Health Service (NHS) centres in England, Wales, or Scotland (Great Britain) between 1985 and 2002, when they were younger than 22 years of age. We obtained data for cancer incidence, mortality, and loss to follow-up from the NHS Central Registry from Jan 1, 1985, to Dec 31, 2008. We estimated absorbed brain and red bone marrow doses per CT scan in mGy and assessed excess incidence of leukaemia and brain tumours cancer with Poisson relative risk models. To avoid inclusion of CT scans related to cancer diagnosis, follow-up for leukaemia began 2 years after the fi rst CT and for brain tumours 5 years after the fi rst CT. Findings During follow-up, 74 of 178 604 patients were diagnosed with leukaemia and 135 of 176 587 patients were diagnosed with brain tumours. We noted a positive association between radiation dose from CT scans and leukaemia (excess relative risk [ERR] per mGy 0·036, 95% CI 0·005-0·120; p=0·0097) and brain tumours (0·023, 0·010-0·049; p&lt;0·0001). Compared with patients who received a dose of less than 5 mGy, the relative risk of leukaemia for patients who received a cumulative dose of at least 30 mGy (mean dose 51·13 mGy) was 3·18 (95% CI 1·46-6·94) and the relative risk of brain cancer for patients who received a cumulative dose of 50-74 mGy (mean dose 60·42 mGy) was 2·82 (1·33-6·03). Interpretation Use of CT scans in children to deliver cumulative doses of about 50 mGy might almost triple the risk of leukaemia and doses of about 60 mGy might triple the risk of brain cancer. Because these cancers are relatively rare, the cumulative absolute risks are small: in the 10 years after the fi rst scan for patients younger than 10 years, one excess case of leukaemia and one excess case of brain tumour per 10 000 head CT scans is estimated to occur. Nevertheless, although clinical benefi ts should outweigh the small absolute risks, radiation doses from CT scans ought to be kept as low as possible and alternative procedures, which do not involve ionising radiation, should be considered if appropriate.","author":[{"dropping-particle":"","family":"Pearce","given":"Mark S.","non-dropping-particle":"","parse-names":false,"suffix":""},{"dropping-particle":"","family":"Salotti","given":"Jane A.","non-dropping-particle":"","parse-names":false,"suffix":""},{"dropping-particle":"","family":"Little","given":"Mark P.","non-dropping-particle":"","parse-names":false,"suffix":""},{"dropping-particle":"","family":"McHugh","given":"Kieran","non-dropping-particle":"","parse-names":false,"suffix":""},{"dropping-particle":"","family":"Lee","given":"Choonsik","non-dropping-particle":"","parse-names":false,"suffix":""},{"dropping-particle":"","family":"Kim","given":"Kwang Pyo","non-dropping-particle":"","parse-names":false,"suffix":""},{"dropping-particle":"","family":"Howe","given":"Nicola L.","non-dropping-particle":"","parse-names":false,"suffix":""},{"dropping-particle":"","family":"Ronckers","given":"Cecile M.","non-dropping-particle":"","parse-names":false,"suffix":""},{"dropping-particle":"","family":"Rajaraman","given":"Preetha","non-dropping-particle":"","parse-names":false,"suffix":""},{"dropping-particle":"","family":"Craft","given":"Alan W.","non-dropping-particle":"","parse-names":false,"suffix":""},{"dropping-particle":"","family":"Parker","given":"Louise","non-dropping-particle":"","parse-names":false,"suffix":""},{"dropping-particle":"","family":"González","given":"Amy Berrington","non-dropping-particle":"De","parse-names":false,"suffix":""}],"container-title":"The Lancet","id":"ITEM-1","issue":"9840","issued":{"date-parts":[["2012"]]},"page":"499-505","publisher":"Lancet Publishing Group","title":"Radiation exposure from CT scans in childhood and subsequent risk of leukaemia and brain tumours: A retrospective cohort study","type":"article-journal","volume":"380"},"uris":["http://www.mendeley.com/documents/?uuid=4781a4db-f60b-397f-a005-7f49a0310f1c"]}],"mendeley":{"formattedCitation":"&lt;sup&gt;60&lt;/sup&gt;","plainTextFormattedCitation":"60","previouslyFormattedCitation":"&lt;sup&gt;60&lt;/sup&gt;"},"properties":{"noteIndex":0},"schema":"https://github.com/citation-style-language/schema/raw/master/csl-citation.json"}</w:instrText>
      </w:r>
      <w:r w:rsidR="001E39F3">
        <w:rPr>
          <w:rFonts w:cstheme="minorHAnsi"/>
        </w:rPr>
        <w:fldChar w:fldCharType="separate"/>
      </w:r>
      <w:r w:rsidR="00C554E1" w:rsidRPr="00C554E1">
        <w:rPr>
          <w:rFonts w:cstheme="minorHAnsi"/>
          <w:noProof/>
          <w:vertAlign w:val="superscript"/>
        </w:rPr>
        <w:t>60</w:t>
      </w:r>
      <w:r w:rsidR="001E39F3">
        <w:rPr>
          <w:rFonts w:cstheme="minorHAnsi"/>
        </w:rPr>
        <w:fldChar w:fldCharType="end"/>
      </w:r>
      <w:r w:rsidR="001E39F3">
        <w:rPr>
          <w:rFonts w:cstheme="minorHAnsi"/>
        </w:rPr>
        <w:t>.</w:t>
      </w:r>
      <w:r w:rsidR="004F76F5">
        <w:rPr>
          <w:rFonts w:cstheme="minorHAnsi"/>
        </w:rPr>
        <w:t xml:space="preserve"> </w:t>
      </w:r>
      <w:r w:rsidR="001E39F3">
        <w:rPr>
          <w:rFonts w:cstheme="minorHAnsi"/>
        </w:rPr>
        <w:t>Mezi možné avšak těžko prokazatelné paří neionizující záření jako je radiofrekvence elekt</w:t>
      </w:r>
      <w:r w:rsidR="00460780">
        <w:rPr>
          <w:rFonts w:cstheme="minorHAnsi"/>
        </w:rPr>
        <w:t>r</w:t>
      </w:r>
      <w:r w:rsidR="001E39F3">
        <w:rPr>
          <w:rFonts w:cstheme="minorHAnsi"/>
        </w:rPr>
        <w:t>omagneti</w:t>
      </w:r>
      <w:r w:rsidR="00091D5F">
        <w:rPr>
          <w:rFonts w:cstheme="minorHAnsi"/>
        </w:rPr>
        <w:t>c</w:t>
      </w:r>
      <w:r w:rsidR="001E39F3">
        <w:rPr>
          <w:rFonts w:cstheme="minorHAnsi"/>
        </w:rPr>
        <w:t xml:space="preserve">kých polí. </w:t>
      </w:r>
    </w:p>
    <w:p w14:paraId="76961926" w14:textId="77777777" w:rsidR="004F76F5" w:rsidRDefault="004F76F5" w:rsidP="00EC4DAF">
      <w:pPr>
        <w:pStyle w:val="Odstavecseseznamem"/>
        <w:tabs>
          <w:tab w:val="left" w:pos="975"/>
        </w:tabs>
        <w:ind w:left="0"/>
        <w:jc w:val="both"/>
        <w:rPr>
          <w:rFonts w:cstheme="minorHAnsi"/>
        </w:rPr>
      </w:pPr>
    </w:p>
    <w:p w14:paraId="5F234A97" w14:textId="36D2619E" w:rsidR="004F76F5" w:rsidRDefault="004F76F5" w:rsidP="00EC4DAF">
      <w:pPr>
        <w:pStyle w:val="Odstavecseseznamem"/>
        <w:tabs>
          <w:tab w:val="left" w:pos="975"/>
        </w:tabs>
        <w:ind w:left="0"/>
        <w:jc w:val="both"/>
      </w:pPr>
      <w:r w:rsidRPr="004F76F5">
        <w:t xml:space="preserve">Na druhou stranu </w:t>
      </w:r>
      <w:r>
        <w:t>velké množství studií naznačuje, že existuje nižší riziko rozvoje gliálního nádoru u lidí s astmatem, sennou rýmou, atopickým ekzémem popř. alergiemi</w:t>
      </w:r>
      <w:r>
        <w:fldChar w:fldCharType="begin" w:fldLock="1"/>
      </w:r>
      <w:r w:rsidR="00C554E1">
        <w:instrText>ADDIN CSL_CITATION {"citationItems":[{"id":"ITEM-1","itemData":{"DOI":"10.1093/jnci/djm170","ISSN":"00278874","PMID":"17925535","abstract":"Background: Glioma is a rapidly progressive disease, and little is known about its etiology. Atopic diseases are on the rise in western populations, with increasing interest on their long-term health consequences. An inverse association between atopy and the risk of glioma has been observed. We carried out a meta-analysis of studies examining the association between atopic disease and risk of glioma and meningioma. Methods: In an electronic literature search of the MEDLINE, ISI Web of Science, and EMBASE databases from 1979 through February 2007, we identified case-control and cohort studies quantifying associations between a history of asthma, eczema, or hay fever or allergy and a medically confirmed diagnosis of glioma or meningioma. We performed meta-analysis by pooling studies according to the inverse of their variances. We evaluated publication bias using funnel plot and sensitivity analyses. Results: A total of eight observational studies were included, with a total of 3450 patients diagnosed with glioma and 1070 patients with meningioma. A history of atopic disease was inversely related to risk of glioma. The pooled relative risks (RRs) of glioma comparing those with a history of an atopic condition with those with no history of that condition were 0.61 (95% confidence interval [CI] = 0.55 to 0.67) for allergy, 0.68 (95% CI = 0.58 to 0.80) for asthma, and 0.69 (95% CI = 0.58 to 0.82) for eczema. Proxy reporting was unlikely to explain the association because the pooled relative risk estimate from studies without proxy reporting remained inverse and statistically significant (RR = 0.66, 95% CI = 0.58 to 0.75). Publication bias was also an unlikely explanation for the inverse association because the association persisted in a sensitivity analysis and the funnel plot was symmetric. No overall statistically significant association was noted for atopy and meningioma, although the information on this disease was limited and heterogeneous. Conclusions: We observed a strong inverse relationship between atopic disease and glioma that is unlikely to be explained by methodologic bias alone. © The Author 2007. Published by Oxford University Press.","author":[{"dropping-particle":"","family":"Linos","given":"Eleni","non-dropping-particle":"","parse-names":false,"suffix":""},{"dropping-particle":"","family":"Raine","given":"Tim","non-dropping-particle":"","parse-names":false,"suffix":""},{"dropping-particle":"","family":"Alonso","given":"Alvaro","non-dropping-particle":"","parse-names":false,"suffix":""},{"dropping-particle":"","family":"Michaud","given":"Dominique","non-dropping-particle":"","parse-names":false,"suffix":""}],"container-title":"Journal of the National Cancer Institute","id":"ITEM-1","issue":"20","issued":{"date-parts":[["2007","10"]]},"page":"1544-1550","publisher":"J Natl Cancer Inst","title":"Atopy and risk of brain tumors: A meta-analysis","type":"article-journal","volume":"99"},"uris":["http://www.mendeley.com/documents/?uuid=f341cf96-c586-331e-b8e7-928721398af5"]},{"id":"ITEM-2","itemData":{"DOI":"10.1158/1055-9965.EPI-15-0847","ISSN":"10559965","PMID":"26908595","abstract":"Background: Several previous studies have found inverse associations between glioma susceptibility and a history of allergies or other atopic conditions. Some evidence indicates that respiratory allergies are likely to be particularly relevant with regard to glioma risk. Using data from the Glioma International Case-Control Study (GICC), we examined the effects of respiratory allergies and other atopic conditions on glioma risk. Methods: The GICC contains detailed information on history of atopic conditions for 4,533 cases and 4,171 controls, recruited from 14 study sites across five countries. Using two-stage randomeffects restricted maximum likelihood modeling to calculate meta-analysis ORs, we examined the associations between glioma and allergy status, respiratory allergy status, asthma, and eczema. Results: Having a history of respiratory allergies was associated with an approximately 30% lower glioma risk, compared with not having respiratory allergies (mOR, 0.72; 95% confidence interval, 0.58-0.90). This association was similar when restricting to highgrade glioma cases. Asthma and eczema were also significantly protective against glioma. Conclusion: A substantial amount of data on the inverse association between atopic conditions and glioma has accumulated, and findings from the GICC study further strengthen the existing evidence that the relationship between atopy and glioma is unlikely to be coincidental. Impact: As the literature approaches a consensus on the impact of allergies in glioma risk, future research can begin to shift focus to what the underlying biologic mechanism behind this association may be, which could, in turn, yield new opportunities for immunotherapy or cancer prevention.","author":[{"dropping-particle":"","family":"Amirian","given":"E. Susan","non-dropping-particle":"","parse-names":false,"suffix":""},{"dropping-particle":"","family":"Zhou","given":"Renke","non-dropping-particle":"","parse-names":false,"suffix":""},{"dropping-particle":"","family":"Wrensch","given":"Margaret R.","non-dropping-particle":"","parse-names":false,"suffix":""},{"dropping-particle":"","family":"Olson","given":"Sara H.","non-dropping-particle":"","parse-names":false,"suffix":""},{"dropping-particle":"","family":"Scheurer","given":"Michael E.","non-dropping-particle":"","parse-names":false,"suffix":""},{"dropping-particle":"","family":"Il'Yasova","given":"Dora","non-dropping-particle":"","parse-names":false,"suffix":""},{"dropping-particle":"","family":"Lachance","given":"Daniel","non-dropping-particle":"","parse-names":false,"suffix":""},{"dropping-particle":"","family":"Armstrong","given":"Georgina N.","non-dropping-particle":"","parse-names":false,"suffix":""},{"dropping-particle":"","family":"Mccoy","given":"Lucie S.","non-dropping-particle":"","parse-names":false,"suffix":""},{"dropping-particle":"","family":"Lau","given":"Ching C.","non-dropping-particle":"","parse-names":false,"suffix":""},{"dropping-particle":"","family":"Claus","given":"Elizabeth B.","non-dropping-particle":"","parse-names":false,"suffix":""},{"dropping-particle":"","family":"Barnholtz-Sloan","given":"Jill S.","non-dropping-particle":"","parse-names":false,"suffix":""},{"dropping-particle":"","family":"Schildkraut","given":"Joellen","non-dropping-particle":"","parse-names":false,"suffix":""},{"dropping-particle":"","family":"Ali-Osman","given":"Francis","non-dropping-particle":"","parse-names":false,"suffix":""},{"dropping-particle":"","family":"Sadetzki","given":"Siegal","non-dropping-particle":"","parse-names":false,"suffix":""},{"dropping-particle":"","family":"Johansen","given":"Christoffer","non-dropping-particle":"","parse-names":false,"suffix":""},{"dropping-particle":"","family":"Houlston","given":"Richard S.","non-dropping-particle":"","parse-names":false,"suffix":""},{"dropping-particle":"","family":"Jenkins","given":"Robert B.","non-dropping-particle":"","parse-names":false,"suffix":""},{"dropping-particle":"","family":"Bernstein","given":"Jonine L.","non-dropping-particle":"","parse-names":false,"suffix":""},{"dropping-particle":"","family":"Merrell","given":"Ryan T.","non-dropping-particle":"","parse-names":false,"suffix":""},{"dropping-particle":"","family":"Davis","given":"Faith G.","non-dropping-particle":"","parse-names":false,"suffix":""},{"dropping-particle":"","family":"Lai","given":"Rose","non-dropping-particle":"","parse-names":false,"suffix":""},{"dropping-particle":"","family":"Shete","given":"Sanjay","non-dropping-particle":"","parse-names":false,"suffix":""},{"dropping-particle":"","family":"Amos","given":"Christopher I.","non-dropping-particle":"","parse-names":false,"suffix":""},{"dropping-particle":"","family":"Melin","given":"Beatrice S.","non-dropping-particle":"","parse-names":false,"suffix":""},{"dropping-particle":"","family":"Bondy","given":"Melissa L.","non-dropping-particle":"","parse-names":false,"suffix":""}],"container-title":"Cancer Epidemiology Biomarkers and Prevention","id":"ITEM-2","issue":"2","issued":{"date-parts":[["2016","2","1"]]},"page":"282-290","publisher":"American Association for Cancer Research Inc.","title":"Approaching a scientific consensus on the association between allergies and glioma risk: A report from the glioma international case-control study","type":"article-journal","volume":"25"},"uris":["http://www.mendeley.com/documents/?uuid=ccd27d4b-0a40-3ac8-a6ab-ea170f67a3ca"]}],"mendeley":{"formattedCitation":"&lt;sup&gt;61,62&lt;/sup&gt;","plainTextFormattedCitation":"61,62","previouslyFormattedCitation":"&lt;sup&gt;61,62&lt;/sup&gt;"},"properties":{"noteIndex":0},"schema":"https://github.com/citation-style-language/schema/raw/master/csl-citation.json"}</w:instrText>
      </w:r>
      <w:r>
        <w:fldChar w:fldCharType="separate"/>
      </w:r>
      <w:r w:rsidR="00C554E1" w:rsidRPr="00C554E1">
        <w:rPr>
          <w:noProof/>
          <w:vertAlign w:val="superscript"/>
        </w:rPr>
        <w:t>61,62</w:t>
      </w:r>
      <w:r>
        <w:fldChar w:fldCharType="end"/>
      </w:r>
      <w:r>
        <w:t xml:space="preserve">. To je vysvětlováno zvýšenou imunitní odpovědí a brzkou </w:t>
      </w:r>
      <w:r w:rsidR="00460780">
        <w:t xml:space="preserve">reakcí </w:t>
      </w:r>
      <w:r>
        <w:t>imunitní odpověd</w:t>
      </w:r>
      <w:r w:rsidR="00460780">
        <w:t>i</w:t>
      </w:r>
      <w:r>
        <w:t xml:space="preserve"> na potlačení růstu nádoru</w:t>
      </w:r>
      <w:r>
        <w:fldChar w:fldCharType="begin" w:fldLock="1"/>
      </w:r>
      <w:r w:rsidR="00C554E1">
        <w:instrText>ADDIN CSL_CITATION {"citationItems":[{"id":"ITEM-1","itemData":{"DOI":"10.1093/jnci/djm170","ISSN":"00278874","PMID":"17925535","abstract":"Background: Glioma is a rapidly progressive disease, and little is known about its etiology. Atopic diseases are on the rise in western populations, with increasing interest on their long-term health consequences. An inverse association between atopy and the risk of glioma has been observed. We carried out a meta-analysis of studies examining the association between atopic disease and risk of glioma and meningioma. Methods: In an electronic literature search of the MEDLINE, ISI Web of Science, and EMBASE databases from 1979 through February 2007, we identified case-control and cohort studies quantifying associations between a history of asthma, eczema, or hay fever or allergy and a medically confirmed diagnosis of glioma or meningioma. We performed meta-analysis by pooling studies according to the inverse of their variances. We evaluated publication bias using funnel plot and sensitivity analyses. Results: A total of eight observational studies were included, with a total of 3450 patients diagnosed with glioma and 1070 patients with meningioma. A history of atopic disease was inversely related to risk of glioma. The pooled relative risks (RRs) of glioma comparing those with a history of an atopic condition with those with no history of that condition were 0.61 (95% confidence interval [CI] = 0.55 to 0.67) for allergy, 0.68 (95% CI = 0.58 to 0.80) for asthma, and 0.69 (95% CI = 0.58 to 0.82) for eczema. Proxy reporting was unlikely to explain the association because the pooled relative risk estimate from studies without proxy reporting remained inverse and statistically significant (RR = 0.66, 95% CI = 0.58 to 0.75). Publication bias was also an unlikely explanation for the inverse association because the association persisted in a sensitivity analysis and the funnel plot was symmetric. No overall statistically significant association was noted for atopy and meningioma, although the information on this disease was limited and heterogeneous. Conclusions: We observed a strong inverse relationship between atopic disease and glioma that is unlikely to be explained by methodologic bias alone. © The Author 2007. Published by Oxford University Press.","author":[{"dropping-particle":"","family":"Linos","given":"Eleni","non-dropping-particle":"","parse-names":false,"suffix":""},{"dropping-particle":"","family":"Raine","given":"Tim","non-dropping-particle":"","parse-names":false,"suffix":""},{"dropping-particle":"","family":"Alonso","given":"Alvaro","non-dropping-particle":"","parse-names":false,"suffix":""},{"dropping-particle":"","family":"Michaud","given":"Dominique","non-dropping-particle":"","parse-names":false,"suffix":""}],"container-title":"Journal of the National Cancer Institute","id":"ITEM-1","issue":"20","issued":{"date-parts":[["2007","10"]]},"page":"1544-1550","publisher":"J Natl Cancer Inst","title":"Atopy and risk of brain tumors: A meta-analysis","type":"article-journal","volume":"99"},"uris":["http://www.mendeley.com/documents/?uuid=f341cf96-c586-331e-b8e7-928721398af5"]}],"mendeley":{"formattedCitation":"&lt;sup&gt;61&lt;/sup&gt;","plainTextFormattedCitation":"61","previouslyFormattedCitation":"&lt;sup&gt;61&lt;/sup&gt;"},"properties":{"noteIndex":0},"schema":"https://github.com/citation-style-language/schema/raw/master/csl-citation.json"}</w:instrText>
      </w:r>
      <w:r>
        <w:fldChar w:fldCharType="separate"/>
      </w:r>
      <w:r w:rsidR="00C554E1" w:rsidRPr="00C554E1">
        <w:rPr>
          <w:noProof/>
          <w:vertAlign w:val="superscript"/>
        </w:rPr>
        <w:t>61</w:t>
      </w:r>
      <w:r>
        <w:fldChar w:fldCharType="end"/>
      </w:r>
      <w:r>
        <w:t xml:space="preserve">. </w:t>
      </w:r>
    </w:p>
    <w:p w14:paraId="4A463CF0" w14:textId="039CA13A" w:rsidR="004F76F5" w:rsidRDefault="004F76F5" w:rsidP="00EC4DAF">
      <w:pPr>
        <w:pStyle w:val="Odstavecseseznamem"/>
        <w:tabs>
          <w:tab w:val="left" w:pos="975"/>
        </w:tabs>
        <w:ind w:left="0"/>
        <w:jc w:val="both"/>
      </w:pPr>
    </w:p>
    <w:p w14:paraId="2AE1DFF9" w14:textId="37D18331" w:rsidR="004F76F5" w:rsidRDefault="004F76F5" w:rsidP="00EC4DAF">
      <w:pPr>
        <w:pStyle w:val="Odstavecseseznamem"/>
        <w:tabs>
          <w:tab w:val="left" w:pos="975"/>
        </w:tabs>
        <w:ind w:left="0"/>
        <w:jc w:val="both"/>
      </w:pPr>
      <w:r>
        <w:t>Mezi diskutabilní faktory patří obezita, úrazy hlavy, kouření, konzumace alkoholu a expozice pesticidy</w:t>
      </w:r>
      <w:r>
        <w:fldChar w:fldCharType="begin" w:fldLock="1"/>
      </w:r>
      <w:r w:rsidR="00C554E1">
        <w:instrText>ADDIN CSL_CITATION {"citationItems":[{"id":"ITEM-1","itemData":{"DOI":"10.1093/neuonc/nou087","ISSN":"15235866","PMID":"24842956","abstract":"Gliomas are the most common primary intracranial tumor, representing 81% of malignant brain tumors. Although relatively rare, they cause significant mortality and morbidity. Glioblastoma, the most common glioma histology (</w:instrText>
      </w:r>
      <w:r w:rsidR="00C554E1">
        <w:rPr>
          <w:rFonts w:ascii="Cambria Math" w:hAnsi="Cambria Math" w:cs="Cambria Math"/>
        </w:rPr>
        <w:instrText>∼</w:instrText>
      </w:r>
      <w:r w:rsidR="00C554E1">
        <w:instrText xml:space="preserve">45% of all gliomas), has a 5-year relative survival of </w:instrText>
      </w:r>
      <w:r w:rsidR="00C554E1">
        <w:rPr>
          <w:rFonts w:ascii="Cambria Math" w:hAnsi="Cambria Math" w:cs="Cambria Math"/>
        </w:rPr>
        <w:instrText>∼</w:instrText>
      </w:r>
      <w:r w:rsidR="00C554E1">
        <w:instrText>5%. A small portion of these tumors are caused by Mendelian disorders, including neurofibromatosis, tuberous sclerosis, and Li-Fraumeni syndrome. Genomic analyses of glioma have also produced new evidence about risk and prognosis. Recently discovered biomarkers that indicate improved survival include O 6-methylguanine-DNA methyltransferase methylation, isocitrate dehydrogenase mutation, and a glioma cytosine-phosphate-guanine island methylator phenotype. Genome-wide association studies have identified heritable risk alleles within 7 genes that are associated with increased risk of glioma. Many risk factors have been examined as potential contributors to glioma risk. Most significantly, these include an increase in risk by exposure to ionizing radiation and a decrease in risk by history of allergies or atopic disease(s). The potential influence of occupational exposures and cellular phones has also been examined, with inconclusive results. We provide a state of the science review of current research into causes and risk factors for gliomas in adults. © 2014 The Author(s).","author":[{"dropping-particle":"","family":"Ostrom","given":"Quinn T.","non-dropping-particle":"","parse-names":false,"suffix":""},{"dropping-particle":"","family":"Bauchet","given":"Luc","non-dropping-particle":"","parse-names":false,"suffix":""},{"dropping-particle":"","family":"Davis","given":"Faith G.","non-dropping-particle":"","parse-names":false,"suffix":""},{"dropping-particle":"","family":"Deltour","given":"Isabelle","non-dropping-particle":"","parse-names":false,"suffix":""},{"dropping-particle":"","family":"Fisher","given":"James L.","non-dropping-particle":"","parse-names":false,"suffix":""},{"dropping-particle":"","family":"Langer","given":"Chelsea Eastman","non-dropping-particle":"","parse-names":false,"suffix":""},{"dropping-particle":"","family":"Pekmezci","given":"Melike","non-dropping-particle":"","parse-names":false,"suffix":""},{"dropping-particle":"","family":"Schwartzbaum","given":"Judith A.","non-dropping-particle":"","parse-names":false,"suffix":""},{"dropping-particle":"","family":"Turner","given":"Michelle C.","non-dropping-particle":"","parse-names":false,"suffix":""},{"dropping-particle":"","family":"Walsh","given":"Kyle M.","non-dropping-particle":"","parse-names":false,"suffix":""},{"dropping-particle":"","family":"Wrensch","given":"Margaret R.","non-dropping-particle":"","parse-names":false,"suffix":""},{"dropping-particle":"","family":"Barnholtz-Sloan","given":"Jill S.","non-dropping-particle":"","parse-names":false,"suffix":""}],"container-title":"Neuro-Oncology","id":"ITEM-1","issue":"7","issued":{"date-parts":[["2014"]]},"page":"896-913","publisher":"Oxford University Press","title":"The epidemiology of glioma in adults: A state of the science review","type":"article","volume":"16"},"uris":["http://www.mendeley.com/documents/?uuid=9c82d9de-3ebb-317e-a4cc-7a70ba032bb4"]}],"mendeley":{"formattedCitation":"&lt;sup&gt;63&lt;/sup&gt;","plainTextFormattedCitation":"63","previouslyFormattedCitation":"&lt;sup&gt;63&lt;/sup&gt;"},"properties":{"noteIndex":0},"schema":"https://github.com/citation-style-language/schema/raw/master/csl-citation.json"}</w:instrText>
      </w:r>
      <w:r>
        <w:fldChar w:fldCharType="separate"/>
      </w:r>
      <w:r w:rsidR="00C554E1" w:rsidRPr="00C554E1">
        <w:rPr>
          <w:noProof/>
          <w:vertAlign w:val="superscript"/>
        </w:rPr>
        <w:t>63</w:t>
      </w:r>
      <w:r>
        <w:fldChar w:fldCharType="end"/>
      </w:r>
      <w:r>
        <w:t xml:space="preserve">. </w:t>
      </w:r>
      <w:r w:rsidR="00216379">
        <w:t xml:space="preserve">Napříč studiemi týkajícího se vlivu kouření na rozvoj gliálních nádorů se závěry bohužel rozchází </w:t>
      </w:r>
      <w:r>
        <w:fldChar w:fldCharType="begin" w:fldLock="1"/>
      </w:r>
      <w:r w:rsidR="00C554E1">
        <w:instrText>ADDIN CSL_CITATION {"citationItems":[{"id":"ITEM-1","itemData":{"DOI":"10.1093/neuonc/nov146","ISSN":"1522-8517","abstract":"Background Smoking increases the risk of numerous cancers; however, an association of smoking with adult gliomas has not been found in a population. Methods This case-control study included 4556 glioma cases (ICD-9 code 191.0-191.9) aged ≥30 years and 9112 controls from a national survey of smoking and mortality in China in 1989-1991. Controls from 325 255 surviving spouses of all-cause deaths were randomly assigned to cases in each of 103 areas according to sex and age groups at a ratio of 2:1. Smoking information was ascertained retrospectively by interviewing surviving spouses. Results After adjustment for confounders, smoking increased the risk of glioma deaths by 11% (odds ratio [OR] = 1.11; 95% confidence interval [CI]: 1.03-1.21). Compared with non-smokers; the increased risk was 9% (OR = 1.09; 95% CI: 0.99-1.20) in men and 16% (OR = 1.16; 95% CI: 1.00-1.36) in women. The risk increased with age and doses. For individuals aged ≥50 years, smoking was associated with higher risk of glioma death by 25% (OR = 1.25; 95% CI: 1.15-1.38); this increased risk for smokers who smoked ≥20 cigarettes daily for ≥30 years was 53% (OR = 1.53; 95% CI: 1.34-1.74). There were similar findings in both men and women and with either pathology-based or non-pathology-based comparisons. Conclusions This study indicates that smoking is associated with glioma deaths in the Chinese population. Long-term heavy smoking could be a factor for risk stratification in individuals attending brain tumor clinics.","author":[{"dropping-particle":"","family":"Hou","given":"Lei","non-dropping-particle":"","parse-names":false,"suffix":""},{"dropping-particle":"","family":"Jiang","given":"Jingmei","non-dropping-particle":"","parse-names":false,"suffix":""},{"dropping-particle":"","family":"Liu","given":"Boqi","non-dropping-particle":"","parse-names":false,"suffix":""},{"dropping-particle":"","family":"Han","given":"Wei","non-dropping-particle":"","parse-names":false,"suffix":""},{"dropping-particle":"","family":"Wu","given":"Yanping","non-dropping-particle":"","parse-names":false,"suffix":""},{"dropping-particle":"","family":"Zou","given":"Xiaonong","non-dropping-particle":"","parse-names":false,"suffix":""},{"dropping-particle":"","family":"Nasca","given":"Philip C.","non-dropping-particle":"","parse-names":false,"suffix":""},{"dropping-particle":"","family":"Xue","given":"Fang","non-dropping-particle":"","parse-names":false,"suffix":""},{"dropping-particle":"","family":"Chen","given":"Yuanli","non-dropping-particle":"","parse-names":false,"suffix":""},{"dropping-particle":"","family":"Zhang","given":"Biao","non-dropping-particle":"","parse-names":false,"suffix":""},{"dropping-particle":"","family":"Pang","given":"Haiyu","non-dropping-particle":"","parse-names":false,"suffix":""},{"dropping-particle":"","family":"Wang","given":"Yuyan","non-dropping-particle":"","parse-names":false,"suffix":""},{"dropping-particle":"","family":"Wang","given":"Zixing","non-dropping-particle":"","parse-names":false,"suffix":""},{"dropping-particle":"","family":"Li","given":"Junyao","non-dropping-particle":"","parse-names":false,"suffix":""}],"container-title":"Neuro-Oncology","id":"ITEM-1","issue":"1","issued":{"date-parts":[["2016","1","1"]]},"page":"105-113","publisher":"Oxford University Press","title":"Smoking and adult glioma: a population-based case-control study in China","type":"article-journal","volume":"18"},"uris":["http://www.mendeley.com/documents/?uuid=bd0274f4-5121-3298-b7bd-7256faa5d98c"]},{"id":"ITEM-2","itemData":{"DOI":"10.1038/bjc.2013.611","ISSN":"00070920","PMID":"24335921","abstract":"Background:Although cigarette smoking and alcohol drinking increase the risk of several cancers and certain components of cigarette smoke and alcohol can penetrate the blood-brain barrier, it remains unclear whether these exposures influence the risk of glioma.Methods:We examined the associations between cigarette smoking, alcohol intake, and risk of glioma in the National Institutes of Health-AARP Diet and Health Study, a prospective study of 477 095 US men and women ages 50-71 years at baseline. Hazard ratios (HRs) and 95% confidence intervals (CIs) were calculated using models with age as the time metric and adjusted for sex, race/ethnicity, education, and marital status.Results:During a median 10.5 person-years of follow-up, 492 men and 212 women were diagnosed with first primary glioma. Among men, current, heavier smoking was associated with a reduced risk of glioma compared with never smoking, but this was based on only nine cases. No associations were observed between smoking behaviours and glioma risk in women. Greater alcohol consumption was associated with a decreased risk of glioma, particularly among men (&gt;2 drinks per day vs &lt;1 drink per week: HR=0.67, 95% CI=0.51-0.90).Conclusion: Smoking and alcohol drinking do not appear to increase the risk of glioma. © 2014 Cancer Research UK.","author":[{"dropping-particle":"","family":"Braganza","given":"M. Z.","non-dropping-particle":"","parse-names":false,"suffix":""},{"dropping-particle":"","family":"Rajaraman","given":"P.","non-dropping-particle":"","parse-names":false,"suffix":""},{"dropping-particle":"","family":"Park","given":"Y.","non-dropping-particle":"","parse-names":false,"suffix":""},{"dropping-particle":"","family":"Inskip","given":"P. D.","non-dropping-particle":"","parse-names":false,"suffix":""},{"dropping-particle":"","family":"Freedman","given":"N. D.","non-dropping-particle":"","parse-names":false,"suffix":""},{"dropping-particle":"","family":"Hollenbeck","given":"A. R.","non-dropping-particle":"","parse-names":false,"suffix":""},{"dropping-particle":"","family":"González","given":"A. Berrington","non-dropping-particle":"De","parse-names":false,"suffix":""},{"dropping-particle":"","family":"Kitahara","given":"C. M.","non-dropping-particle":"","parse-names":false,"suffix":""}],"container-title":"British Journal of Cancer","id":"ITEM-2","issue":"1","issued":{"date-parts":[["2014"]]},"page":"242-248","publisher":"Br J Cancer","title":"Cigarette smoking, alcohol intake, and risk of glioma in the NIH-AARP diet and health study","type":"article-journal","volume":"110"},"uris":["http://www.mendeley.com/documents/?uuid=ee35f699-3a95-392f-8b39-4c5e89b4e61c"]},{"id":"ITEM-3","itemData":{"DOI":"10.2147/OTT.S99713","ISSN":"11786930","abstract":"Background: Cigarette smoking has been shown to be a risk factor for adult glioma by some but not all studies. We conducted a meta-analysis to systematically assess the potential association. Methods: PubMed and EMBASE were searched from the date of their inception to October 1, 2015, to identify relevant articles. Reference lists from these articles were reviewed to identify additional studies. Both cohort and case–control studies were included. Fixed-effects models were used to calculate the overall relative risk (RR) with corresponding 95% confidence intervals (CIs). Results: The final analysis included 24 studies (seven cohort and 17 case–control studies), involving more than 2.3 million individuals. The combined RR was 1.04 (95% CI: 1.00, 1.09; P=0.073) for ever-smokers, 0.97 (95% CI: 0.88, 1.07; P=0.574) for current-smokers, and 1.07 (95% CI: 0.98, 1.16; P=0.130) for past smokers, with little evidence of heterogeneity. Omission of any single study from the analysis had little effect on the result. No evidence of publication bias was found. A small but statistically significant increase was found in past smokers in females (RR: 1.13, 95% CI: 1.00, 1.28; P=0.046) but not in males. Conclusion: In general, there was no association between cigarette smoking and adult glioma. The small but statistically significant association in females requires further investigation.","author":[{"dropping-particle":"","family":"Li","given":"Hong xing","non-dropping-particle":"","parse-names":false,"suffix":""},{"dropping-particle":"","family":"Peng","given":"Xiao xiao","non-dropping-particle":"","parse-names":false,"suffix":""},{"dropping-particle":"","family":"Zong","given":"Qiang","non-dropping-particle":"","parse-names":false,"suffix":""},{"dropping-particle":"","family":"Zhang","given":"Kai","non-dropping-particle":"","parse-names":false,"suffix":""},{"dropping-particle":"","family":"Wang","given":"Ming xin","non-dropping-particle":"","parse-names":false,"suffix":""},{"dropping-particle":"","family":"Liu","given":"Yi zhe","non-dropping-particle":"","parse-names":false,"suffix":""},{"dropping-particle":"","family":"Han","given":"Guang liang","non-dropping-particle":"","parse-names":false,"suffix":""}],"container-title":"OncoTargets and Therapy","id":"ITEM-3","issued":{"date-parts":[["2016","6","14"]]},"page":"3511-3523","publisher":"Dove Medical Press Ltd.","title":"Cigarette smoking and risk of adult glioma: A meta-analysis of 24 observational studies involving more than 2.3 million individuals","type":"article-journal","volume":"9"},"uris":["http://www.mendeley.com/documents/?uuid=707f8d0a-add1-30a3-a3a8-fcdad86ee01c"]}],"mendeley":{"formattedCitation":"&lt;sup&gt;64–66&lt;/sup&gt;","plainTextFormattedCitation":"64–66","previouslyFormattedCitation":"&lt;sup&gt;64–66&lt;/sup&gt;"},"properties":{"noteIndex":0},"schema":"https://github.com/citation-style-language/schema/raw/master/csl-citation.json"}</w:instrText>
      </w:r>
      <w:r>
        <w:fldChar w:fldCharType="separate"/>
      </w:r>
      <w:r w:rsidR="00C554E1" w:rsidRPr="00C554E1">
        <w:rPr>
          <w:noProof/>
          <w:vertAlign w:val="superscript"/>
        </w:rPr>
        <w:t>64–66</w:t>
      </w:r>
      <w:r>
        <w:fldChar w:fldCharType="end"/>
      </w:r>
      <w:r w:rsidR="00216379">
        <w:t>.</w:t>
      </w:r>
    </w:p>
    <w:p w14:paraId="2080F13F" w14:textId="77777777" w:rsidR="004F76F5" w:rsidRPr="004F76F5" w:rsidRDefault="004F76F5" w:rsidP="00EC4DAF">
      <w:pPr>
        <w:pStyle w:val="Odstavecseseznamem"/>
        <w:tabs>
          <w:tab w:val="left" w:pos="975"/>
        </w:tabs>
        <w:ind w:left="0"/>
        <w:jc w:val="both"/>
      </w:pPr>
    </w:p>
    <w:p w14:paraId="6F3C67F5" w14:textId="5508F8A6" w:rsidR="007D72E0" w:rsidRDefault="007D72E0" w:rsidP="00EC4DAF">
      <w:pPr>
        <w:pStyle w:val="Nadpis3"/>
        <w:ind w:left="0" w:firstLine="0"/>
      </w:pPr>
      <w:bookmarkStart w:id="40" w:name="_Toc88741467"/>
      <w:r>
        <w:t>Získané molekulárně cytogenetické změny u gliomů</w:t>
      </w:r>
      <w:bookmarkEnd w:id="40"/>
    </w:p>
    <w:p w14:paraId="4402C0B3" w14:textId="0686C0D1" w:rsidR="004C39D8" w:rsidRDefault="00A344B6" w:rsidP="00A92FFD">
      <w:pPr>
        <w:pStyle w:val="Nadpis4"/>
      </w:pPr>
      <w:bookmarkStart w:id="41" w:name="_Toc88741468"/>
      <w:r>
        <w:t xml:space="preserve">Mutace </w:t>
      </w:r>
      <w:r w:rsidRPr="00091D5F">
        <w:t>genu</w:t>
      </w:r>
      <w:r w:rsidR="00773BB9" w:rsidRPr="00091D5F">
        <w:rPr>
          <w:i/>
        </w:rPr>
        <w:t xml:space="preserve"> </w:t>
      </w:r>
      <w:r w:rsidR="009D5590" w:rsidRPr="00091D5F">
        <w:rPr>
          <w:i/>
        </w:rPr>
        <w:t>IDH</w:t>
      </w:r>
      <w:bookmarkEnd w:id="41"/>
    </w:p>
    <w:p w14:paraId="0CC107C7" w14:textId="4CEFE240" w:rsidR="009022F2" w:rsidRDefault="00FA2E61" w:rsidP="000474FA">
      <w:pPr>
        <w:pStyle w:val="Odstavecseseznamem"/>
        <w:tabs>
          <w:tab w:val="left" w:pos="975"/>
        </w:tabs>
        <w:ind w:left="0"/>
        <w:jc w:val="both"/>
      </w:pPr>
      <w:r>
        <w:t xml:space="preserve">Status mutace </w:t>
      </w:r>
      <w:r w:rsidRPr="000474FA">
        <w:rPr>
          <w:i/>
          <w:iCs/>
        </w:rPr>
        <w:t>IDH</w:t>
      </w:r>
      <w:r>
        <w:t xml:space="preserve"> hraje základní roli v klasifikaci gliálních nádorů</w:t>
      </w:r>
      <w:r w:rsidR="006601B6">
        <w:t xml:space="preserve"> od roku 2016, kdy byly integrovány nejen fenotypové projevy gliomů, ale i jejich molekulární charakteristika. </w:t>
      </w:r>
      <w:r w:rsidR="009022F2">
        <w:t xml:space="preserve">IDH je enzym, který má 3 izoformy a je zapojen do důležitých metabolických procesů jako je Krebsův cyklus, </w:t>
      </w:r>
      <w:r w:rsidR="009022F2" w:rsidRPr="008C0F3F">
        <w:t>glutaminový metabol</w:t>
      </w:r>
      <w:r w:rsidR="009022F2">
        <w:t>izmus, lipogeneze nebo redoxní regulace</w:t>
      </w:r>
      <w:r w:rsidR="009022F2">
        <w:fldChar w:fldCharType="begin" w:fldLock="1"/>
      </w:r>
      <w:r w:rsidR="00C554E1">
        <w:instrText>ADDIN CSL_CITATION {"citationItems":[{"id":"ITEM-1","itemData":{"DOI":"10.1074/jbc.M402260200","ISSN":"00219258","PMID":"15254034","abstract":"NADPH is an essential cofactor for many enzymatic reactions including glutathione metabolism and fat and cholesterol biosynthesis. We have reported recently an important role for mitochondrial NADP+-dependent isocitrate dehydrogenase in cellular defense against oxidative damage by providing NADPH needed for the regeneration of reduced glutathione. However, the role of cytosolic NADP+-dependent isocitrate dehydrogenase (IDPc) is still unclear. We report here for the first time that IDPc plays a critical role in fat and cholesterol biosynthesis. During differentiation of 3T3-L1 adipocytes, both IDPc enzyme activity and its protein content were increased in parallel in a time-dependent manner. Increased expression of IDPc by stable transfection of IDPc cDNA positively correlated with adipogenesis of 3T3-L1 cells, whereas decreased IDPc expression by an antisense IDPc vector retarded adipogenesis. Furthermore, transgenic mice with overexpressed IDPc exhibited fatty liver, hyperlipidemia, and obesity. In the epididymal fat pads of the transgenic mice, the expressions of adipocyte-specific genes including peroxisome proliferator-activated receptor γ were markedly elevated. The hepatic and epididymal fat pad contents of acetyl-CoA and malonyl-CoA in the transgenic mice were significantly lower, whereas the total triglyceride and cholesterol contents were markedly higher in the liver and serum of transgenic mice compared with those measured in wild type mice, suggesting that the consumption rate of those lipogenic precursors needed for fat biosynthesis must be increased by elevated IDPc activity. Taken together, our findings strongly indicate that IDPc would be a major NADPH producer required for fat and cholesterol synthesis.","author":[{"dropping-particle":"","family":"Koh","given":"Ho Jin","non-dropping-particle":"","parse-names":false,"suffix":""},{"dropping-particle":"","family":"Lee","given":"Su Min","non-dropping-particle":"","parse-names":false,"suffix":""},{"dropping-particle":"","family":"Son","given":"Byung Gap","non-dropping-particle":"","parse-names":false,"suffix":""},{"dropping-particle":"","family":"Lee","given":"Soh Hyun","non-dropping-particle":"","parse-names":false,"suffix":""},{"dropping-particle":"","family":"Ryoo","given":"Zae Young","non-dropping-particle":"","parse-names":false,"suffix":""},{"dropping-particle":"","family":"Chang","given":"Kyu Tae","non-dropping-particle":"","parse-names":false,"suffix":""},{"dropping-particle":"","family":"Park","given":"Jeen Woo","non-dropping-particle":"","parse-names":false,"suffix":""},{"dropping-particle":"","family":"Park","given":"Dong Chan","non-dropping-particle":"","parse-names":false,"suffix":""},{"dropping-particle":"","family":"Song","given":"Byoung J.","non-dropping-particle":"","parse-names":false,"suffix":""},{"dropping-particle":"","family":"Veech","given":"Richard L.","non-dropping-particle":"","parse-names":false,"suffix":""},{"dropping-particle":"","family":"Song","given":"Hebok","non-dropping-particle":"","parse-names":false,"suffix":""},{"dropping-particle":"","family":"Huh","given":"Tae Lin","non-dropping-particle":"","parse-names":false,"suffix":""}],"container-title":"Journal of Biological Chemistry","id":"ITEM-1","issue":"38","issued":{"date-parts":[["2004","9","17"]]},"page":"39968-39974","publisher":"J Biol Chem","title":"Cytosolic NADP+-dependent isocitrate dehydrogenase plays a key role in lipid metabolism","type":"article-journal","volume":"279"},"uris":["http://www.mendeley.com/documents/?uuid=1631b043-b609-3a93-ba20-767c8afe9ec2"]},{"id":"ITEM-2","itemData":{"DOI":"10.1080/09553000400007680","ISSN":"09553002","PMID":"15586883","abstract":"Purpose: To investigate the regulation of NADPH-producing isocitrate dehydrogenase (ICDH) in cytosol (IDPc) and mitochondria (IDPm) upon γ-ray irradiation, and the roles of IDPc and IDPm in the protection against cellular damage induced by γ-ray irradiation. Materials and methods: Changes of IDPc and IDPm proteins upon γ-ray irradiation to NIH3T3 cells were analysed by immunoblotting. To increase or decrease the expression of IDPc or IDPm, NIH 3T3 cells were stably transfected with mouse IDPc or IDPm cDNA in either the sense or the antisense direction. The transfected cells with either increased or decreased IDPc or IDPm were exposed to γ-rays, and the levels of reactive oxygen species generation, protein oxidation and lipid peroxidation were measured. Results: Both IDPc and IDPm activities were induced by γ-ray in NIH3T3 cells. Cells with decreased expression of IDPc or IDPm had elevated reactive oxygen species generation, lipid peroxidation and protein oxidation. Conversely, overproduction of IDPc or IDPm protein partially protected the cells from oxidative damage induced by γ-ray irradiation. Conclusions: The protective role of IDPc and IDPm against γ-ray-induced cellular damage can be attributed to elevated NADPH, reducing equivalents needed for recycling reduced glutathione in the cytosol and mitochondria. Thus, a primary biological function of the ICDHs may be production of NADPH, which is a prerequisite for some cellular defence systems against oxidative damage.","author":[{"dropping-particle":"","family":"Lee","given":"S. H.","non-dropping-particle":"","parse-names":false,"suffix":""},{"dropping-particle":"","family":"Jo","given":"S. H.","non-dropping-particle":"","parse-names":false,"suffix":""},{"dropping-particle":"","family":"Lee","given":"S. M.","non-dropping-particle":"","parse-names":false,"suffix":""},{"dropping-particle":"","family":"Koh","given":"H. J.","non-dropping-particle":"","parse-names":false,"suffix":""},{"dropping-particle":"","family":"Song","given":"H.","non-dropping-particle":"","parse-names":false,"suffix":""},{"dropping-particle":"","family":"Park","given":"J. W.","non-dropping-particle":"","parse-names":false,"suffix":""},{"dropping-particle":"","family":"Lee","given":"W. H.","non-dropping-particle":"","parse-names":false,"suffix":""},{"dropping-particle":"","family":"Huh","given":"T. L.","non-dropping-particle":"","parse-names":false,"suffix":""}],"container-title":"International Journal of Radiation Biology","id":"ITEM-2","issue":"9","issued":{"date-parts":[["2004","9"]]},"page":"635-642","publisher":"Int J Radiat Biol","title":"Role of NADP+-dependent isocitrate dehydrogenase (NADP +-ICDH) on cellular defence against oxidative injury by γ-rays","type":"article-journal","volume":"80"},"uris":["http://www.mendeley.com/documents/?uuid=430b23cd-3785-3786-9f3c-a11104de6105"]}],"mendeley":{"formattedCitation":"&lt;sup&gt;67,68&lt;/sup&gt;","plainTextFormattedCitation":"67,68","previouslyFormattedCitation":"&lt;sup&gt;67,68&lt;/sup&gt;"},"properties":{"noteIndex":0},"schema":"https://github.com/citation-style-language/schema/raw/master/csl-citation.json"}</w:instrText>
      </w:r>
      <w:r w:rsidR="009022F2">
        <w:fldChar w:fldCharType="separate"/>
      </w:r>
      <w:r w:rsidR="00C554E1" w:rsidRPr="00C554E1">
        <w:rPr>
          <w:noProof/>
          <w:vertAlign w:val="superscript"/>
        </w:rPr>
        <w:t>67,68</w:t>
      </w:r>
      <w:r w:rsidR="009022F2">
        <w:fldChar w:fldCharType="end"/>
      </w:r>
      <w:r w:rsidR="009022F2">
        <w:t>. IDH1 se nachází v cytoplazmě a peroxizomech, zatímco IDH2 a IDH3 je umístěna v mitochondriální matrix</w:t>
      </w:r>
      <w:r w:rsidR="009022F2">
        <w:fldChar w:fldCharType="begin" w:fldLock="1"/>
      </w:r>
      <w:r w:rsidR="00C554E1">
        <w:instrText>ADDIN CSL_CITATION {"citationItems":[{"id":"ITEM-1","itemData":{"DOI":"10.1083/jcb.41.2.521","ISSN":"00219525","PMID":"4389026","author":[{"dropping-particle":"","family":"Leighton","given":"F.","non-dropping-particle":"","parse-names":false,"suffix":""},{"dropping-particle":"","family":"Poole","given":"B.","non-dropping-particle":"","parse-names":false,"suffix":""},{"dropping-particle":"","family":"Lazarow","given":"P. B.","non-dropping-particle":"","parse-names":false,"suffix":""},{"dropping-particle":"","family":"Duve","given":"C.","non-dropping-particle":"De","parse-names":false,"suffix":""}],"container-title":"The Journal of cell biology","id":"ITEM-1","issue":"2","issued":{"date-parts":[["1969"]]},"page":"521-535","publisher":"J Cell Biol","title":"The synthesis and turnover of rat liver peroxisomes. I. Fractionation of peroxisome proteins.","type":"article-journal","volume":"41"},"uris":["http://www.mendeley.com/documents/?uuid=d6dc5d61-7ee4-31da-8356-1ddde215dc28"]}],"mendeley":{"formattedCitation":"&lt;sup&gt;69&lt;/sup&gt;","plainTextFormattedCitation":"69","previouslyFormattedCitation":"&lt;sup&gt;69&lt;/sup&gt;"},"properties":{"noteIndex":0},"schema":"https://github.com/citation-style-language/schema/raw/master/csl-citation.json"}</w:instrText>
      </w:r>
      <w:r w:rsidR="009022F2">
        <w:fldChar w:fldCharType="separate"/>
      </w:r>
      <w:r w:rsidR="00C554E1" w:rsidRPr="00C554E1">
        <w:rPr>
          <w:noProof/>
          <w:vertAlign w:val="superscript"/>
        </w:rPr>
        <w:t>69</w:t>
      </w:r>
      <w:r w:rsidR="009022F2">
        <w:fldChar w:fldCharType="end"/>
      </w:r>
      <w:r w:rsidR="009022F2">
        <w:t>. V charakteristice gliomů se však využívají pouze mutace izoforem 1 a 2</w:t>
      </w:r>
      <w:r w:rsidR="000474FA">
        <w:t>;</w:t>
      </w:r>
      <w:r w:rsidR="009022F2">
        <w:t xml:space="preserve"> mutace </w:t>
      </w:r>
      <w:r w:rsidR="000474FA">
        <w:t>izoformy 3</w:t>
      </w:r>
      <w:r w:rsidR="009022F2">
        <w:t xml:space="preserve"> </w:t>
      </w:r>
      <w:r w:rsidR="000474FA">
        <w:t xml:space="preserve">nebyly prokázány </w:t>
      </w:r>
      <w:r w:rsidR="009022F2">
        <w:t>ve spojitosti s</w:t>
      </w:r>
      <w:r w:rsidR="000474FA">
        <w:t> </w:t>
      </w:r>
      <w:r w:rsidR="009022F2">
        <w:t>tumorigenezí</w:t>
      </w:r>
      <w:r w:rsidR="000474FA">
        <w:t>.</w:t>
      </w:r>
      <w:r w:rsidR="009022F2">
        <w:t xml:space="preserve"> </w:t>
      </w:r>
    </w:p>
    <w:p w14:paraId="4BD57310" w14:textId="77777777" w:rsidR="000474FA" w:rsidRDefault="000474FA" w:rsidP="000474FA">
      <w:pPr>
        <w:pStyle w:val="Odstavecseseznamem"/>
        <w:tabs>
          <w:tab w:val="left" w:pos="975"/>
        </w:tabs>
        <w:ind w:left="0"/>
        <w:jc w:val="both"/>
      </w:pPr>
    </w:p>
    <w:p w14:paraId="645403A8" w14:textId="31C78C06" w:rsidR="009022F2" w:rsidRDefault="009022F2" w:rsidP="000474FA">
      <w:pPr>
        <w:pStyle w:val="Odstavecseseznamem"/>
        <w:tabs>
          <w:tab w:val="left" w:pos="975"/>
        </w:tabs>
        <w:ind w:left="0"/>
        <w:jc w:val="both"/>
        <w:rPr>
          <w:rFonts w:cstheme="minorHAnsi"/>
        </w:rPr>
      </w:pPr>
      <w:r>
        <w:t>Mutace genů pro IDH 1 a 2 byly poprvé popsány v roce 2008 a jsou lokalizovány v chromozomálních oblastech 2q34 a 15q26</w:t>
      </w:r>
      <w:r>
        <w:fldChar w:fldCharType="begin" w:fldLock="1"/>
      </w:r>
      <w:r w:rsidR="00C554E1">
        <w:instrText>ADDIN CSL_CITATION {"citationItems":[{"id":"ITEM-1","itemData":{"DOI":"10.1126/science.1164382","ISSN":"00368075","PMID":"18772396","abstract":"Glioblastoma multiforme (GBM) is the most common and lethal type of brain cancer. To identify the genetic alterations in GBMs, we sequenced 20,661 protein coding genes, determined the presence of amplifications and deletions using high-density oligonucleotide arrays, and performed gene expression analyses using next-generation sequencing technologies in 22 human tumor samples. This comprehensive analysis led to the discovery of a variety of genes that were not known to be altered in GBMs. Most notably, we found recurrent mutations in the active site of isocitrate dehydrogenase 1 (IDH1) in 12% of GBM patients. Mutations in IDH1 occurred in a large fraction of young patients and in most patients with secondary GBMs and were associated with an increase in overall survival. These studies demonstrate the value of unbiased genomic analyses in the characterization of human brain cancer and identify a potentially useful genetic alteration for the classification and targeted therapy of GBMs.","author":[{"dropping-particle":"","family":"Parsons","given":"D. Williams","non-dropping-particle":"","parse-names":false,"suffix":""},{"dropping-particle":"","family":"Jones","given":"Siân","non-dropping-particle":"","parse-names":false,"suffix":""},{"dropping-particle":"","family":"Zhang","given":"Xiaosong","non-dropping-particle":"","parse-names":false,"suffix":""},{"dropping-particle":"","family":"Lin","given":"Jimmy Cheng Ho","non-dropping-particle":"","parse-names":false,"suffix":""},{"dropping-particle":"","family":"Leary","given":"Rebecca J.","non-dropping-particle":"","parse-names":false,"suffix":""},{"dropping-particle":"","family":"Angenendt","given":"Philipp","non-dropping-particle":"","parse-names":false,"suffix":""},{"dropping-particle":"","family":"Mankoo","given":"Parminder","non-dropping-particle":"","parse-names":false,"suffix":""},{"dropping-particle":"","family":"Carter","given":"Hannah","non-dropping-particle":"","parse-names":false,"suffix":""},{"dropping-particle":"","family":"Siu","given":"I. Mei","non-dropping-particle":"","parse-names":false,"suffix":""},{"dropping-particle":"","family":"Gallia","given":"Gary L.","non-dropping-particle":"","parse-names":false,"suffix":""},{"dropping-particle":"","family":"Olivi","given":"Alessandro","non-dropping-particle":"","parse-names":false,"suffix":""},{"dropping-particle":"","family":"McLendon","given":"Roger","non-dropping-particle":"","parse-names":false,"suffix":""},{"dropping-particle":"","family":"Rasheed","given":"B. Ahmed","non-dropping-particle":"","parse-names":false,"suffix":""},{"dropping-particle":"","family":"Keir","given":"Stephen","non-dropping-particle":"","parse-names":false,"suffix":""},{"dropping-particle":"","family":"Nikolskaya","given":"Tatiana","non-dropping-particle":"","parse-names":false,"suffix":""},{"dropping-particle":"","family":"Nikolsky","given":"Yuri","non-dropping-particle":"","parse-names":false,"suffix":""},{"dropping-particle":"","family":"Busam","given":"Dana A.","non-dropping-particle":"","parse-names":false,"suffix":""},{"dropping-particle":"","family":"Tekleab","given":"Hanna","non-dropping-particle":"","parse-names":false,"suffix":""},{"dropping-particle":"","family":"Diaz","given":"Luis A.","non-dropping-particle":"","parse-names":false,"suffix":""},{"dropping-particle":"","family":"Hartigan","given":"James","non-dropping-particle":"","parse-names":false,"suffix":""},{"dropping-particle":"","family":"Smith","given":"Doug R.","non-dropping-particle":"","parse-names":false,"suffix":""},{"dropping-particle":"","family":"Strausberg","given":"Robert L.","non-dropping-particle":"","parse-names":false,"suffix":""},{"dropping-particle":"","family":"Marie","given":"Suely Kazue Nagahashi","non-dropping-particle":"","parse-names":false,"suffix":""},{"dropping-particle":"","family":"Shinjo","given":"Sueli Mieko Oba","non-dropping-particle":"","parse-names":false,"suffix":""},{"dropping-particle":"","family":"Yan","given":"Hai","non-dropping-particle":"","parse-names":false,"suffix":""},{"dropping-particle":"","family":"Riggins","given":"Gregory J.","non-dropping-particle":"","parse-names":false,"suffix":""},{"dropping-particle":"","family":"Bigner","given":"Darell D.","non-dropping-particle":"","parse-names":false,"suffix":""},{"dropping-particle":"","family":"Karchin","given":"Rachel","non-dropping-particle":"","parse-names":false,"suffix":""},{"dropping-particle":"","family":"Papadopoulos","given":"Nick","non-dropping-particle":"","parse-names":false,"suffix":""},{"dropping-particle":"","family":"Parmigiani","given":"Giovanni","non-dropping-particle":"","parse-names":false,"suffix":""},{"dropping-particle":"","family":"Vogelstein","given":"Bert","non-dropping-particle":"","parse-names":false,"suffix":""},{"dropping-particle":"","family":"Velculescu","given":"Victor E.","non-dropping-particle":"","parse-names":false,"suffix":""},{"dropping-particle":"","family":"Kinzler","given":"Kenneth W.","non-dropping-particle":"","parse-names":false,"suffix":""}],"container-title":"Science","id":"ITEM-1","issue":"5897","issued":{"date-parts":[["2008","9","26"]]},"page":"1807-1812","publisher":"Science","title":"An integrated genomic analysis of human glioblastoma multiforme","type":"article-journal","volume":"321"},"uris":["http://www.mendeley.com/documents/?uuid=54146bff-429b-33ac-bd93-b67c96a253cc"]}],"mendeley":{"formattedCitation":"&lt;sup&gt;70&lt;/sup&gt;","plainTextFormattedCitation":"70","previouslyFormattedCitation":"&lt;sup&gt;70&lt;/sup&gt;"},"properties":{"noteIndex":0},"schema":"https://github.com/citation-style-language/schema/raw/master/csl-citation.json"}</w:instrText>
      </w:r>
      <w:r>
        <w:fldChar w:fldCharType="separate"/>
      </w:r>
      <w:r w:rsidR="00C554E1" w:rsidRPr="00C554E1">
        <w:rPr>
          <w:noProof/>
          <w:vertAlign w:val="superscript"/>
        </w:rPr>
        <w:t>70</w:t>
      </w:r>
      <w:r>
        <w:fldChar w:fldCharType="end"/>
      </w:r>
      <w:r>
        <w:t xml:space="preserve">.  IDH 1 a 2 jsou Krebsově cyklu </w:t>
      </w:r>
      <w:r w:rsidRPr="00091D5F">
        <w:t>nikotinamidadenindinukleotidfosfát (NADP</w:t>
      </w:r>
      <w:r w:rsidRPr="00091D5F">
        <w:rPr>
          <w:vertAlign w:val="superscript"/>
        </w:rPr>
        <w:t>+</w:t>
      </w:r>
      <w:r w:rsidRPr="00091D5F">
        <w:t xml:space="preserve">)-dependentní a katalyzují oxidativní dekarboxylaci isocitrátu na </w:t>
      </w:r>
      <w:r w:rsidRPr="00091D5F">
        <w:rPr>
          <w:rFonts w:cstheme="minorHAnsi"/>
        </w:rPr>
        <w:t>α</w:t>
      </w:r>
      <w:r w:rsidRPr="00091D5F">
        <w:t>-ketoglutarát (</w:t>
      </w:r>
      <w:r w:rsidRPr="00091D5F">
        <w:rPr>
          <w:rFonts w:cstheme="minorHAnsi"/>
        </w:rPr>
        <w:t>α-KG</w:t>
      </w:r>
      <w:r w:rsidRPr="00091D5F">
        <w:t>) s</w:t>
      </w:r>
      <w:r w:rsidR="00517894">
        <w:t> </w:t>
      </w:r>
      <w:r w:rsidRPr="00091D5F">
        <w:t>produkcí</w:t>
      </w:r>
      <w:r w:rsidR="00517894">
        <w:t xml:space="preserve"> </w:t>
      </w:r>
      <w:r w:rsidR="00FB69C5">
        <w:t>redukovan</w:t>
      </w:r>
      <w:r w:rsidR="000474FA">
        <w:t>ého</w:t>
      </w:r>
      <w:r>
        <w:t xml:space="preserve"> </w:t>
      </w:r>
      <w:r w:rsidR="00FB69C5" w:rsidRPr="00091D5F">
        <w:t>nikotinamidadenindinukleotidfosfát</w:t>
      </w:r>
      <w:r w:rsidR="000474FA">
        <w:t>u</w:t>
      </w:r>
      <w:r w:rsidR="00FB69C5">
        <w:t xml:space="preserve"> </w:t>
      </w:r>
      <w:r w:rsidR="00517894">
        <w:t>(</w:t>
      </w:r>
      <w:r>
        <w:t>NADPH</w:t>
      </w:r>
      <w:r w:rsidR="00517894">
        <w:t>)</w:t>
      </w:r>
      <w:r>
        <w:t xml:space="preserve">. IDH 1 a </w:t>
      </w:r>
      <w:r w:rsidRPr="008102F4">
        <w:t xml:space="preserve">2 udržují redoxní rovnováhu a ochraňují buňky proti oxidativnímu stresu díky molekulám NADPH a </w:t>
      </w:r>
      <w:r w:rsidRPr="008102F4">
        <w:rPr>
          <w:rFonts w:cstheme="minorHAnsi"/>
        </w:rPr>
        <w:t>α-KG</w:t>
      </w:r>
      <w:r>
        <w:rPr>
          <w:rFonts w:cstheme="minorHAnsi"/>
        </w:rPr>
        <w:t>, které mají silné redukční schopnosti a ochraňují tak DNA proti oxidativnímu stresu</w:t>
      </w:r>
      <w:r>
        <w:rPr>
          <w:rFonts w:cstheme="minorHAnsi"/>
        </w:rPr>
        <w:fldChar w:fldCharType="begin" w:fldLock="1"/>
      </w:r>
      <w:r w:rsidR="00C554E1">
        <w:rPr>
          <w:rFonts w:cstheme="minorHAnsi"/>
        </w:rPr>
        <w:instrText>ADDIN CSL_CITATION {"citationItems":[{"id":"ITEM-1","itemData":{"DOI":"10.1016/S0891-5849(02)00815-8","ISSN":"08915849","PMID":"12031902","abstract":"NADPH is an important cofactor in many biosynthesis pathways and the regeneration of reduced glutathione, critically important in cellular defense against oxidative damage. It is mainly produced by glucose 6-phosphate dehydrogenase (G6PD), malic enzyme, and the cytosolic form of NADP+-dependent isocitrate dehydrogenase (IDPc). Little information is available about the role of IDPc in antioxidant defense. In this study we investigated the role of IDPc against cytotoxicity induced by oxidative stress by comparing the relative degree of cellular responses in three different NIH3T3 cells with stable transfection with the cDNA for mouse IDPc in sense and antisense orientations, where IDPc activities were 3-4-fold higher and 35% lower, respectively, than that in the parental cells carrying the vector alone. Although the activities of other antioxidant enzymes, such as superoxide dismutase, catalase, glutathione reductase, glutathione peroxidase, and G6PD, were comparable in all transformed cells, the ratio of GSSG to total glutathione was significantly higher in the cells expressing the lower level of IDPc. This finding indicates that IDPc is essential for the efficient glutathione recycling. Upon transient exposure to increasing concentrations of H2O2 or menadione, an intracellular source of free radicals and reactive oxygen species, the cells with low levels of IDPc became more sensitive to oxidative damage by H2O2 or menadione. Lipid peroxidation, oxidative DNA damage, and intracellular peroxide generation were higher in the cell-line expressing the lower level of IDPc. However, the cells with the highly over-expressed IDPc exhibited enhanced resistance against oxidative stress, compared to the control cells. This study provides direct evidence correlating the activities of IDPc and the maintenance of the cellular redox state, suggesting that IDPc plays an important role in cellular defense against oxidative stress. © 2002 Elsevier Science Inc.","author":[{"dropping-particle":"","family":"Lee","given":"Su Min","non-dropping-particle":"","parse-names":false,"suffix":""},{"dropping-particle":"","family":"Koh","given":"Ho Jin","non-dropping-particle":"","parse-names":false,"suffix":""},{"dropping-particle":"","family":"Park","given":"Dong Chan","non-dropping-particle":"","parse-names":false,"suffix":""},{"dropping-particle":"","family":"Song","given":"Byoung J.","non-dropping-particle":"","parse-names":false,"suffix":""},{"dropping-particle":"","family":"Huh","given":"Tae Lin","non-dropping-particle":"","parse-names":false,"suffix":""},{"dropping-particle":"","family":"Park","given":"Jeen Woo","non-dropping-particle":"","parse-names":false,"suffix":""}],"container-title":"Free Radical Biology and Medicine","id":"ITEM-1","issue":"11","issued":{"date-parts":[["2002","6","1"]]},"page":"1185-1196","publisher":"Free Radic Biol Med","title":"Cytosolic NADP+-dependent isocitrate dehydrogenase status modulates oxidative damage to cells","type":"article-journal","volume":"32"},"uris":["http://www.mendeley.com/documents/?uuid=8dc37ffd-770d-3212-9ddf-27f2c8336d13"]}],"mendeley":{"formattedCitation":"&lt;sup&gt;71&lt;/sup&gt;","plainTextFormattedCitation":"71","previouslyFormattedCitation":"&lt;sup&gt;71&lt;/sup&gt;"},"properties":{"noteIndex":0},"schema":"https://github.com/citation-style-language/schema/raw/master/csl-citation.json"}</w:instrText>
      </w:r>
      <w:r>
        <w:rPr>
          <w:rFonts w:cstheme="minorHAnsi"/>
        </w:rPr>
        <w:fldChar w:fldCharType="separate"/>
      </w:r>
      <w:r w:rsidR="00C554E1" w:rsidRPr="00C554E1">
        <w:rPr>
          <w:rFonts w:cstheme="minorHAnsi"/>
          <w:noProof/>
          <w:vertAlign w:val="superscript"/>
        </w:rPr>
        <w:t>71</w:t>
      </w:r>
      <w:r>
        <w:rPr>
          <w:rFonts w:cstheme="minorHAnsi"/>
        </w:rPr>
        <w:fldChar w:fldCharType="end"/>
      </w:r>
      <w:r>
        <w:rPr>
          <w:rFonts w:cstheme="minorHAnsi"/>
        </w:rPr>
        <w:t>.</w:t>
      </w:r>
    </w:p>
    <w:p w14:paraId="10F31FFD" w14:textId="5A1EF3A4" w:rsidR="00CC7CB0" w:rsidRDefault="00CC7CB0" w:rsidP="000474FA">
      <w:pPr>
        <w:pStyle w:val="Odstavecseseznamem"/>
        <w:tabs>
          <w:tab w:val="left" w:pos="975"/>
        </w:tabs>
        <w:ind w:left="0"/>
        <w:jc w:val="both"/>
        <w:rPr>
          <w:rFonts w:cstheme="minorHAnsi"/>
        </w:rPr>
      </w:pPr>
    </w:p>
    <w:p w14:paraId="1EBF6CE9" w14:textId="5F4C3B23" w:rsidR="009022F2" w:rsidRDefault="009022F2" w:rsidP="000474FA">
      <w:pPr>
        <w:pStyle w:val="Odstavecseseznamem"/>
        <w:tabs>
          <w:tab w:val="left" w:pos="975"/>
        </w:tabs>
        <w:ind w:left="0"/>
        <w:jc w:val="both"/>
        <w:rPr>
          <w:rFonts w:cstheme="minorHAnsi"/>
        </w:rPr>
      </w:pPr>
      <w:r>
        <w:t>Mutace v </w:t>
      </w:r>
      <w:r w:rsidRPr="00091D5F">
        <w:rPr>
          <w:i/>
          <w:iCs/>
        </w:rPr>
        <w:t>IDH1</w:t>
      </w:r>
      <w:r>
        <w:t xml:space="preserve"> a </w:t>
      </w:r>
      <w:r w:rsidRPr="00091D5F">
        <w:rPr>
          <w:i/>
          <w:iCs/>
        </w:rPr>
        <w:t>2</w:t>
      </w:r>
      <w:r>
        <w:t xml:space="preserve"> získávají katalyzační schopnost </w:t>
      </w:r>
      <w:r w:rsidRPr="004502CB">
        <w:t xml:space="preserve">přeměnit </w:t>
      </w:r>
      <w:r w:rsidRPr="008C0F3F">
        <w:t xml:space="preserve">α-KG na 2-hydroxyglutarát, což je onkometabolit, který svou kumulací přispívá ke kancerogenezi </w:t>
      </w:r>
      <w:r w:rsidR="007469BD">
        <w:t>skrz</w:t>
      </w:r>
      <w:r>
        <w:t xml:space="preserve"> </w:t>
      </w:r>
      <w:r w:rsidRPr="008C0F3F">
        <w:t>inhibic</w:t>
      </w:r>
      <w:r w:rsidR="007469BD">
        <w:t>i</w:t>
      </w:r>
      <w:r w:rsidRPr="008C0F3F">
        <w:t xml:space="preserve"> demetylace histonů</w:t>
      </w:r>
      <w:r>
        <w:fldChar w:fldCharType="begin" w:fldLock="1"/>
      </w:r>
      <w:r w:rsidR="00C554E1">
        <w:instrText>ADDIN CSL_CITATION {"citationItems":[{"id":"ITEM-1","itemData":{"DOI":"10.1038/nature08617","ISSN":"0028-0836","PMID":"19935646","abstract":"Mutations in the enzyme cytosolic isocitrate dehydrogenase 1 (IDH1) are a common feature of a major subset of primary human brain cancers. These mutations occur at a single amino acid residue of the IDH1 active site, resulting in loss of the enzyme's ability to catalyse conversion of isocitrate to alpha-ketoglutarate. However, only a single copy of the gene is mutated in tumours, raising the possibility that the mutations do not result in a simple loss of function. Here we show that cancer-associated IDH1 mutations result in a new ability of the enzyme to catalyse the NADPH-dependent reduction of alpha-ketoglutarate to R(-)-2-hydroxyglutarate (2HG). Structural studies demonstrate that when arginine 132 is mutated to histidine, residues in the active site are shifted to produce structural changes consistent with reduced oxidative decarboxylation of isocitrate and acquisition of the ability to convert alpha-ketoglutarate to 2HG. Excess accumulation of 2HG has been shown to lead to an elevated risk of malignant brain tumours in patients with inborn errors of 2HG metabolism. Similarly, in human malignant gliomas harbouring IDH1 mutations, we find markedly elevated levels of 2HG. These data demonstrate that the IDH1 mutations result in production of the onco-metabolite 2HG, and indicate that the excess 2HG which accumulates in vivo contributes to the formation and malignant progression of gliomas.","author":[{"dropping-particle":"","family":"Dang","given":"Lenny","non-dropping-particle":"","parse-names":false,"suffix":""},{"dropping-particle":"","family":"White","given":"David W.","non-dropping-particle":"","parse-names":false,"suffix":""},{"dropping-particle":"","family":"Gross","given":"Stefan","non-dropping-particle":"","parse-names":false,"suffix":""},{"dropping-particle":"","family":"Bennett","given":"Bryson D.","non-dropping-particle":"","parse-names":false,"suffix":""},{"dropping-particle":"","family":"Bittinger","given":"Mark A.","non-dropping-particle":"","parse-names":false,"suffix":""},{"dropping-particle":"","family":"Driggers","given":"Edward M.","non-dropping-particle":"","parse-names":false,"suffix":""},{"dropping-particle":"","family":"Fantin","given":"Valeria R.","non-dropping-particle":"","parse-names":false,"suffix":""},{"dropping-particle":"","family":"Jang","given":"Hyun Gyung","non-dropping-particle":"","parse-names":false,"suffix":""},{"dropping-particle":"","family":"Jin","given":"Shengfang","non-dropping-particle":"","parse-names":false,"suffix":""},{"dropping-particle":"","family":"Keenan","given":"Marie C.","non-dropping-particle":"","parse-names":false,"suffix":""},{"dropping-particle":"","family":"Marks","given":"Kevin M.","non-dropping-particle":"","parse-names":false,"suffix":""},{"dropping-particle":"","family":"Prins","given":"Robert M.","non-dropping-particle":"","parse-names":false,"suffix":""},{"dropping-particle":"","family":"Ward","given":"Patrick S.","non-dropping-particle":"","parse-names":false,"suffix":""},{"dropping-particle":"","family":"Yen","given":"Katharine E.","non-dropping-particle":"","parse-names":false,"suffix":""},{"dropping-particle":"","family":"Liau","given":"Linda M.","non-dropping-particle":"","parse-names":false,"suffix":""},{"dropping-particle":"","family":"Rabinowitz","given":"Joshua D.","non-dropping-particle":"","parse-names":false,"suffix":""},{"dropping-particle":"","family":"Cantley","given":"Lewis C.","non-dropping-particle":"","parse-names":false,"suffix":""},{"dropping-particle":"","family":"Thompson","given":"Craig B.","non-dropping-particle":"","parse-names":false,"suffix":""},{"dropping-particle":"","family":"Heiden","given":"Matthew G.","non-dropping-particle":"Vander","parse-names":false,"suffix":""},{"dropping-particle":"","family":"Su","given":"Shinsan M.","non-dropping-particle":"","parse-names":false,"suffix":""}],"container-title":"Nature","id":"ITEM-1","issue":"7274","issued":{"date-parts":[["2009","12","22"]]},"page":"739-744","title":"Cancer-associated IDH1 mutations produce 2-hydroxyglutarate","type":"article-journal","volume":"462"},"uris":["http://www.mendeley.com/documents/?uuid=cc059b9c-deb4-3726-a772-ff18463de235","http://www.mendeley.com/documents/?uuid=4efa25aa-e59a-4a56-a613-a2a70391f925"]},{"id":"ITEM-2","itemData":{"DOI":"10.1038/embor.2011.43","ISSN":"1469221X","PMID":"21460794","abstract":"Mutations in isocitrate dehydrogenases (IDHs) have a gain-of-function effect leading to R(-)-2-hydroxyglutarate (R-2HG) accumulation. By using biochemical, structural and cellular assays, we show that either or both R- and S-2HG inhibit 2-oxoglutarate (2OG)-dependent oxygenases with varying potencies. Half-maximal inhibitory concentration (IC 50) values for the R-form of 2HG varied from approximately 25 μM for the histone N ε-lysine demethylase JMJD2A to more than 5 mM for the hypoxia-inducible factor (HIF) prolyl hydroxylase. The results indicate that candidate oncogenic pathways in IDH-associated malignancy should include those that are regulated by other 2OG oxygenases than HIF hydroxylases, in particular those involving the regulation of histone methylation. © 2011 European Molecular Biology Organization.","author":[{"dropping-particle":"","family":"Chowdhury","given":"Rasheduzzaman","non-dropping-particle":"","parse-names":false,"suffix":""},{"dropping-particle":"","family":"Yeoh","given":"Kar Kheng","non-dropping-particle":"","parse-names":false,"suffix":""},{"dropping-particle":"","family":"Tian","given":"Ya Min","non-dropping-particle":"","parse-names":false,"suffix":""},{"dropping-particle":"","family":"Hillringhaus","given":"Lars","non-dropping-particle":"","parse-names":false,"suffix":""},{"dropping-particle":"","family":"Bagg","given":"Eleanor A.","non-dropping-particle":"","parse-names":false,"suffix":""},{"dropping-particle":"","family":"Rose","given":"Nathan R.","non-dropping-particle":"","parse-names":false,"suffix":""},{"dropping-particle":"","family":"Leung","given":"Ivanhoe K.H.","non-dropping-particle":"","parse-names":false,"suffix":""},{"dropping-particle":"","family":"Li","given":"Xuan S.","non-dropping-particle":"","parse-names":false,"suffix":""},{"dropping-particle":"","family":"Woon","given":"Esther C.Y.","non-dropping-particle":"","parse-names":false,"suffix":""},{"dropping-particle":"","family":"Yang","given":"Ming","non-dropping-particle":"","parse-names":false,"suffix":""},{"dropping-particle":"","family":"McDonough","given":"Michael A.","non-dropping-particle":"","parse-names":false,"suffix":""},{"dropping-particle":"","family":"King","given":"Oliver N.","non-dropping-particle":"","parse-names":false,"suffix":""},{"dropping-particle":"","family":"Clifton","given":"Ian J.","non-dropping-particle":"","parse-names":false,"suffix":""},{"dropping-particle":"","family":"Klose","given":"Robert J.","non-dropping-particle":"","parse-names":false,"suffix":""},{"dropping-particle":"","family":"Claridge","given":"Timothy D.W.","non-dropping-particle":"","parse-names":false,"suffix":""},{"dropping-particle":"","family":"Ratcliffe","given":"Peter J.","non-dropping-particle":"","parse-names":false,"suffix":""},{"dropping-particle":"","family":"Schofield","given":"Christopher J.","non-dropping-particle":"","parse-names":false,"suffix":""},{"dropping-particle":"","family":"Kawamura","given":"Akane","non-dropping-particle":"","parse-names":false,"suffix":""}],"container-title":"EMBO Reports","id":"ITEM-2","issue":"5","issued":{"date-parts":[["2011","5","1"]]},"page":"463-469","publisher":"EMBO Rep","title":"The oncometabolite 2-hydroxyglutarate inhibits histone lysine demethylases","type":"article-journal","volume":"12"},"uris":["http://www.mendeley.com/documents/?uuid=a27e0964-4dab-3cae-8aa4-23c8712f9af3"]}],"mendeley":{"formattedCitation":"&lt;sup&gt;72,73&lt;/sup&gt;","plainTextFormattedCitation":"72,73","previouslyFormattedCitation":"&lt;sup&gt;72,73&lt;/sup&gt;"},"properties":{"noteIndex":0},"schema":"https://github.com/citation-style-language/schema/raw/master/csl-citation.json"}</w:instrText>
      </w:r>
      <w:r>
        <w:fldChar w:fldCharType="separate"/>
      </w:r>
      <w:r w:rsidR="00C554E1" w:rsidRPr="00C554E1">
        <w:rPr>
          <w:noProof/>
          <w:vertAlign w:val="superscript"/>
        </w:rPr>
        <w:t>72,73</w:t>
      </w:r>
      <w:r>
        <w:fldChar w:fldCharType="end"/>
      </w:r>
      <w:r w:rsidRPr="008C0F3F">
        <w:t>. T</w:t>
      </w:r>
      <w:r>
        <w:t>a</w:t>
      </w:r>
      <w:r w:rsidRPr="008C0F3F">
        <w:t xml:space="preserve"> dál vede k </w:t>
      </w:r>
      <w:r>
        <w:t>zastavení</w:t>
      </w:r>
      <w:r w:rsidRPr="008C0F3F">
        <w:t xml:space="preserve"> buněčné diferenciace</w:t>
      </w:r>
      <w:r w:rsidR="000474FA">
        <w:t xml:space="preserve">. </w:t>
      </w:r>
      <w:r w:rsidRPr="008C0F3F">
        <w:t xml:space="preserve"> </w:t>
      </w:r>
      <w:r w:rsidR="000474FA">
        <w:t>D</w:t>
      </w:r>
      <w:r w:rsidRPr="008C0F3F">
        <w:t>alším</w:t>
      </w:r>
      <w:r>
        <w:rPr>
          <w:rFonts w:cstheme="minorHAnsi"/>
        </w:rPr>
        <w:t xml:space="preserve"> efektem vysoké koncentrace 2-hydroxyglutarátu  je podpora </w:t>
      </w:r>
      <w:r w:rsidRPr="00091D5F">
        <w:rPr>
          <w:rFonts w:cstheme="minorHAnsi"/>
        </w:rPr>
        <w:t>angiogeneze skrz HIF1α (hypoxií indukovaný faktor) a skrz receptor VEGFR (vaskulární endoteliální růstový faktoru</w:t>
      </w:r>
      <w:r>
        <w:rPr>
          <w:rFonts w:cstheme="minorHAnsi"/>
        </w:rPr>
        <w:t xml:space="preserve">) </w:t>
      </w:r>
      <w:r>
        <w:rPr>
          <w:rFonts w:cstheme="minorHAnsi"/>
        </w:rPr>
        <w:fldChar w:fldCharType="begin" w:fldLock="1"/>
      </w:r>
      <w:r w:rsidR="00C554E1">
        <w:rPr>
          <w:rFonts w:cstheme="minorHAnsi"/>
        </w:rPr>
        <w:instrText>ADDIN CSL_CITATION {"citationItems":[{"id":"ITEM-1","itemData":{"DOI":"10.1038/nature10866","ISSN":"00280836","PMID":"22343889","abstract":"Both genome-wide genetic and epigenetic alterations are fundamentally important for the development of cancers, but the interdependence of these aberrations is poorly understood. Glioblastomas and other cancers with the CpG island methylator phenotype (CIMP) constitute a subset of tumours with extensive epigenomic aberrations and a distinct biology. Glioma CIMP (G-CIMP) is a powerful determinant of tumour pathogenicity, but the molecular basis of G-CIMP remains unresolved. Here we show that mutation of a single gene, isocitrate dehydrogenase 1 (IDH1), establishes G-CIMP by remodelling the methylome. This remodelling results in reorganization of the methylome and transcriptome. Examination of the epigenome of a large set of intermediate-grade gliomas demonstrates a distinct G-CIMP phenotype that is highly dependent on the presence of IDH mutation. Introduction of mutant IDH1 into primary human astrocytes alters specific histone marks, induces extensive DNA hypermethylation, and reshapes the methylome in a fashion that mirrors the changes observed in G-CIMP-positive lower-grade gliomas. Furthermore, the epigenomic alterations resulting from mutant IDH1 activate key gene expression programs, characterize G-CIMP-positive proneural glioblastomas but not other glioblastomas, and are predictive of improved survival. Our findings demonstrate that IDH mutation is the molecular basis of CIMP in gliomas, provide a framework for understanding oncogenesis in these gliomas, and highlight the interplay between genomic and epigenomic changes in human cancers. © 2012 Macmillan Publishers Limited. All rights reserved.","author":[{"dropping-particle":"","family":"Turcan","given":"Sevin","non-dropping-particle":"","parse-names":false,"suffix":""},{"dropping-particle":"","family":"Rohle","given":"Daniel","non-dropping-particle":"","parse-names":false,"suffix":""},{"dropping-particle":"","family":"Goenka","given":"Anuj","non-dropping-particle":"","parse-names":false,"suffix":""},{"dropping-particle":"","family":"Walsh","given":"Logan A.","non-dropping-particle":"","parse-names":false,"suffix":""},{"dropping-particle":"","family":"Fang","given":"Fang","non-dropping-particle":"","parse-names":false,"suffix":""},{"dropping-particle":"","family":"Yilmaz","given":"Emrullah","non-dropping-particle":"","parse-names":false,"suffix":""},{"dropping-particle":"","family":"Campos","given":"Carl","non-dropping-particle":"","parse-names":false,"suffix":""},{"dropping-particle":"","family":"Fabius","given":"Armida W.M.","non-dropping-particle":"","parse-names":false,"suffix":""},{"dropping-particle":"","family":"Lu","given":"Chao","non-dropping-particle":"","parse-names":false,"suffix":""},{"dropping-particle":"","family":"Ward","given":"Patrick S.","non-dropping-particle":"","parse-names":false,"suffix":""},{"dropping-particle":"","family":"Thompson","given":"Craig B.","non-dropping-particle":"","parse-names":false,"suffix":""},{"dropping-particle":"","family":"Kaufman","given":"Andrew","non-dropping-particle":"","parse-names":false,"suffix":""},{"dropping-particle":"","family":"Guryanova","given":"Olga","non-dropping-particle":"","parse-names":false,"suffix":""},{"dropping-particle":"","family":"Levine","given":"Ross","non-dropping-particle":"","parse-names":false,"suffix":""},{"dropping-particle":"","family":"Heguy","given":"Adriana","non-dropping-particle":"","parse-names":false,"suffix":""},{"dropping-particle":"","family":"Viale","given":"Agnes","non-dropping-particle":"","parse-names":false,"suffix":""},{"dropping-particle":"","family":"Morris","given":"Luc G.T.","non-dropping-particle":"","parse-names":false,"suffix":""},{"dropping-particle":"","family":"Huse","given":"Jason T.","non-dropping-particle":"","parse-names":false,"suffix":""},{"dropping-particle":"","family":"Mellinghoff","given":"Ingo K.","non-dropping-particle":"","parse-names":false,"suffix":""},{"dropping-particle":"","family":"Chan","given":"Timothy A.","non-dropping-particle":"","parse-names":false,"suffix":""}],"container-title":"Nature","id":"ITEM-1","issue":"7390","issued":{"date-parts":[["2012","3","22"]]},"page":"479-483","publisher":"Nature","title":"IDH1 mutation is sufficient to establish the glioma hypermethylator phenotype","type":"article-journal","volume":"483"},"uris":["http://www.mendeley.com/documents/?uuid=23abba04-c2fd-3962-af7a-2f7af38fae28"]},{"id":"ITEM-2","itemData":{"DOI":"10.1126/science.1170944","ISSN":"00368075","PMID":"19359588","abstract":"Heterozygous mutations in the gene encoding isocitrate dehydrogenase-1 (IDH1) occur in certain human brain tumors, but their mechanistic role in tumor development is unknown. We have shown that tumor-derived IDH1 mutations impair the enzyme's affinity for its substrate and dominantly inhibit wild-type IDH1 activity through the formation of catalytically inactive heterodimers. Forced expression of mutant IDH1 in cultured cells reduces formation of the enzyme product,α-ketoglutarate (α-KG), and increases the levels of hypoxia-inducible factor subunit HIF-1α,a transcription factor that facilitates tumor growth when oxygen is low and whose stability is regulated by α-KG. The rise in HIF-1α levels was reversible by an α-KG derivative. HIF-1α levels were higher in human gliomas harboring an IDH1 mutation than in tumors without a mutation. Thus, IDH1 appears to function as a tumor suppressor that, when mutationally inactivated, contributes to tumorigenesis in part through induction of the HIF-1 pathway.","author":[{"dropping-particle":"","family":"Zhao","given":"Shimin","non-dropping-particle":"","parse-names":false,"suffix":""},{"dropping-particle":"","family":"Lin","given":"Yan","non-dropping-particle":"","parse-names":false,"suffix":""},{"dropping-particle":"","family":"Xu","given":"Wei","non-dropping-particle":"","parse-names":false,"suffix":""},{"dropping-particle":"","family":"Jiang","given":"Wenqing","non-dropping-particle":"","parse-names":false,"suffix":""},{"dropping-particle":"","family":"Zhai","given":"Zhengyu","non-dropping-particle":"","parse-names":false,"suffix":""},{"dropping-particle":"","family":"Wang","given":"Pu","non-dropping-particle":"","parse-names":false,"suffix":""},{"dropping-particle":"","family":"Yu","given":"Wei","non-dropping-particle":"","parse-names":false,"suffix":""},{"dropping-particle":"","family":"Li","given":"Zhiqiang","non-dropping-particle":"","parse-names":false,"suffix":""},{"dropping-particle":"","family":"Gong","given":"Lingling","non-dropping-particle":"","parse-names":false,"suffix":""},{"dropping-particle":"","family":"Peng","given":"Yingjie","non-dropping-particle":"","parse-names":false,"suffix":""},{"dropping-particle":"","family":"Ding","given":"Jianping","non-dropping-particle":"","parse-names":false,"suffix":""},{"dropping-particle":"","family":"Lei","given":"Qunying","non-dropping-particle":"","parse-names":false,"suffix":""},{"dropping-particle":"","family":"Guan","given":"Kun Liang","non-dropping-particle":"","parse-names":false,"suffix":""},{"dropping-particle":"","family":"Xiong","given":"Yue","non-dropping-particle":"","parse-names":false,"suffix":""}],"container-title":"Science","id":"ITEM-2","issue":"5924","issued":{"date-parts":[["2009","4","10"]]},"page":"261-265","publisher":"Science","title":"Glioma-derived mutations in IDH1 dominantly inhibit IDH1 catalytic activity and induce HIF-1α","type":"article-journal","volume":"324"},"uris":["http://www.mendeley.com/documents/?uuid=d10039b0-d690-340d-aabd-bebaac04eefd"]}],"mendeley":{"formattedCitation":"&lt;sup&gt;74,75&lt;/sup&gt;","plainTextFormattedCitation":"74,75","previouslyFormattedCitation":"&lt;sup&gt;74,75&lt;/sup&gt;"},"properties":{"noteIndex":0},"schema":"https://github.com/citation-style-language/schema/raw/master/csl-citation.json"}</w:instrText>
      </w:r>
      <w:r>
        <w:rPr>
          <w:rFonts w:cstheme="minorHAnsi"/>
        </w:rPr>
        <w:fldChar w:fldCharType="separate"/>
      </w:r>
      <w:r w:rsidR="00C554E1" w:rsidRPr="00C554E1">
        <w:rPr>
          <w:rFonts w:cstheme="minorHAnsi"/>
          <w:noProof/>
          <w:vertAlign w:val="superscript"/>
        </w:rPr>
        <w:t>74,75</w:t>
      </w:r>
      <w:r>
        <w:rPr>
          <w:rFonts w:cstheme="minorHAnsi"/>
        </w:rPr>
        <w:fldChar w:fldCharType="end"/>
      </w:r>
      <w:r>
        <w:rPr>
          <w:rFonts w:cstheme="minorHAnsi"/>
        </w:rPr>
        <w:t xml:space="preserve">.  </w:t>
      </w:r>
      <w:r w:rsidR="007469BD">
        <w:rPr>
          <w:rFonts w:cstheme="minorHAnsi"/>
        </w:rPr>
        <w:t>Lokalizace variant IDH a vliv mutované formy je ilustrován v </w:t>
      </w:r>
      <w:r w:rsidR="007469BD" w:rsidRPr="007469BD">
        <w:rPr>
          <w:rFonts w:cstheme="minorHAnsi"/>
        </w:rPr>
        <w:t xml:space="preserve">Obrázku </w:t>
      </w:r>
      <w:r w:rsidR="000474FA">
        <w:rPr>
          <w:rFonts w:cstheme="minorHAnsi"/>
        </w:rPr>
        <w:t>7</w:t>
      </w:r>
      <w:r w:rsidR="007469BD" w:rsidRPr="007469BD">
        <w:rPr>
          <w:rFonts w:cstheme="minorHAnsi"/>
        </w:rPr>
        <w:t>.</w:t>
      </w:r>
    </w:p>
    <w:p w14:paraId="30C1FA7E" w14:textId="77777777" w:rsidR="009022F2" w:rsidRDefault="009022F2" w:rsidP="00EC4DAF">
      <w:pPr>
        <w:pStyle w:val="Odstavecseseznamem"/>
        <w:tabs>
          <w:tab w:val="left" w:pos="975"/>
        </w:tabs>
        <w:ind w:left="0"/>
        <w:jc w:val="both"/>
        <w:rPr>
          <w:rFonts w:cstheme="minorHAnsi"/>
        </w:rPr>
      </w:pPr>
      <w:r>
        <w:rPr>
          <w:rFonts w:cstheme="minorHAnsi"/>
          <w:noProof/>
        </w:rPr>
        <w:drawing>
          <wp:inline distT="0" distB="0" distL="0" distR="0" wp14:anchorId="2B0562FB" wp14:editId="08B30DCE">
            <wp:extent cx="5618480" cy="2524099"/>
            <wp:effectExtent l="0" t="0" r="127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rotWithShape="1">
                    <a:blip r:embed="rId18" cstate="print">
                      <a:extLst>
                        <a:ext uri="{28A0092B-C50C-407E-A947-70E740481C1C}">
                          <a14:useLocalDpi xmlns:a14="http://schemas.microsoft.com/office/drawing/2010/main" val="0"/>
                        </a:ext>
                      </a:extLst>
                    </a:blip>
                    <a:srcRect l="15212" t="14668" r="16335" b="63312"/>
                    <a:stretch/>
                  </pic:blipFill>
                  <pic:spPr bwMode="auto">
                    <a:xfrm>
                      <a:off x="0" y="0"/>
                      <a:ext cx="5631371" cy="2529890"/>
                    </a:xfrm>
                    <a:prstGeom prst="rect">
                      <a:avLst/>
                    </a:prstGeom>
                    <a:ln>
                      <a:noFill/>
                    </a:ln>
                    <a:extLst>
                      <a:ext uri="{53640926-AAD7-44D8-BBD7-CCE9431645EC}">
                        <a14:shadowObscured xmlns:a14="http://schemas.microsoft.com/office/drawing/2010/main"/>
                      </a:ext>
                    </a:extLst>
                  </pic:spPr>
                </pic:pic>
              </a:graphicData>
            </a:graphic>
          </wp:inline>
        </w:drawing>
      </w:r>
    </w:p>
    <w:p w14:paraId="0207D96A" w14:textId="36CBFD4A" w:rsidR="00447CBE" w:rsidRDefault="00306B65" w:rsidP="007E518A">
      <w:pPr>
        <w:pStyle w:val="Odstavecseseznamem"/>
        <w:tabs>
          <w:tab w:val="left" w:pos="975"/>
        </w:tabs>
        <w:ind w:left="0"/>
        <w:jc w:val="both"/>
        <w:rPr>
          <w:sz w:val="20"/>
          <w:szCs w:val="20"/>
        </w:rPr>
      </w:pPr>
      <w:bookmarkStart w:id="42" w:name="_Toc67162694"/>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7</w:t>
      </w:r>
      <w:r w:rsidRPr="00306B65">
        <w:rPr>
          <w:b/>
          <w:bCs/>
          <w:sz w:val="20"/>
          <w:szCs w:val="20"/>
        </w:rPr>
        <w:fldChar w:fldCharType="end"/>
      </w:r>
      <w:r w:rsidRPr="00306B65">
        <w:rPr>
          <w:b/>
          <w:bCs/>
          <w:sz w:val="20"/>
          <w:szCs w:val="20"/>
        </w:rPr>
        <w:t>:</w:t>
      </w:r>
      <w:r>
        <w:rPr>
          <w:b/>
          <w:bCs/>
          <w:sz w:val="20"/>
          <w:szCs w:val="20"/>
        </w:rPr>
        <w:t xml:space="preserve"> </w:t>
      </w:r>
      <w:r w:rsidR="007469BD" w:rsidRPr="00517894">
        <w:rPr>
          <w:sz w:val="20"/>
          <w:szCs w:val="20"/>
        </w:rPr>
        <w:t>Funkce IDH a jejich mutovaných variant v kontextu buněčných pochodů.</w:t>
      </w:r>
      <w:r w:rsidR="00A92FFD" w:rsidRPr="00A92FFD">
        <w:rPr>
          <w:sz w:val="20"/>
          <w:szCs w:val="20"/>
        </w:rPr>
        <w:t xml:space="preserve"> </w:t>
      </w:r>
      <w:r w:rsidR="007E518A" w:rsidRPr="00517894">
        <w:rPr>
          <w:sz w:val="20"/>
          <w:szCs w:val="20"/>
        </w:rPr>
        <w:t>Je znázorněna různá lokalizace jednotlivých IDH</w:t>
      </w:r>
      <w:r w:rsidR="007E518A">
        <w:rPr>
          <w:sz w:val="20"/>
          <w:szCs w:val="20"/>
        </w:rPr>
        <w:t xml:space="preserve"> a k</w:t>
      </w:r>
      <w:r w:rsidR="007E518A" w:rsidRPr="00517894">
        <w:rPr>
          <w:sz w:val="20"/>
          <w:szCs w:val="20"/>
        </w:rPr>
        <w:t xml:space="preserve">omplexní efekt </w:t>
      </w:r>
      <w:r w:rsidR="007E518A">
        <w:rPr>
          <w:sz w:val="20"/>
          <w:szCs w:val="20"/>
        </w:rPr>
        <w:t>u</w:t>
      </w:r>
      <w:r w:rsidR="007E518A" w:rsidRPr="00517894">
        <w:rPr>
          <w:sz w:val="20"/>
          <w:szCs w:val="20"/>
        </w:rPr>
        <w:t xml:space="preserve"> mutované varianty </w:t>
      </w:r>
      <w:r w:rsidR="007E518A" w:rsidRPr="007E518A">
        <w:rPr>
          <w:i/>
          <w:iCs/>
          <w:sz w:val="20"/>
          <w:szCs w:val="20"/>
        </w:rPr>
        <w:t>IDH1</w:t>
      </w:r>
      <w:r w:rsidR="007E518A" w:rsidRPr="00517894">
        <w:rPr>
          <w:sz w:val="20"/>
          <w:szCs w:val="20"/>
        </w:rPr>
        <w:t xml:space="preserve"> vs. wild type, kde skrz metabolické změny dochází k rozvoji tumorigeneze. </w:t>
      </w:r>
      <w:r w:rsidR="00A92FFD" w:rsidRPr="00517894">
        <w:rPr>
          <w:sz w:val="20"/>
          <w:szCs w:val="20"/>
        </w:rPr>
        <w:t>Převzato z</w:t>
      </w:r>
      <w:r w:rsidR="00A92FFD" w:rsidRPr="00517894">
        <w:rPr>
          <w:sz w:val="20"/>
          <w:szCs w:val="20"/>
        </w:rPr>
        <w:fldChar w:fldCharType="begin" w:fldLock="1"/>
      </w:r>
      <w:r w:rsidR="00A92FFD">
        <w:rPr>
          <w:sz w:val="20"/>
          <w:szCs w:val="20"/>
        </w:rPr>
        <w:instrText>ADDIN CSL_CITATION {"citationItems":[{"id":"ITEM-1","itemData":{"DOI":"10.1016/j.cbpa.2020.06.012","ISSN":"18790402","PMID":"32777735","abstract":"Abnormal metabolism is common in cancer cells and often correlates with mutations in genes encoding for enzymes involved in small-molecule metabolism. Isocitrate dehydrogenase 1 (IDH1) is the most frequently mutated metabolic gene in cancer. Cancer-associated substitutions in IDH1 and IDH2 impair wild-type production of 2-oxoglutarate and reduced nicotinamide adenine dinucleotide phosphate (NADPH) from isocitrate and oxidised nicotinamide adenine dinucleotide phosphate (NADP+ ), and substantially promote the IDH variant catalysed conversion of 2-oxoglutarate to D-2-hydroxyglutarate (D-2HG). Elevated D-2HG is a biomarker for some cancers, and inhibition of IDH1 and IDH2 variants is being pursued as a medicinal chemistry target. We provide an overview of the types of cancer-associated IDH variants, discuss some of the proposed consequences of altered metabolism as a result of elevated D-2HG, summarise therapeutic efforts targeting IDH variants and identify areas for future research.","author":[{"dropping-particle":"","family":"Liu","given":"Shuang","non-dropping-particle":"","parse-names":false,"suffix":""},{"dropping-particle":"","family":"Cadoux-Hudson","given":"Tom","non-dropping-particle":"","parse-names":false,"suffix":""},{"dropping-particle":"","family":"Schofield","given":"Christopher J.","non-dropping-particle":"","parse-names":false,"suffix":""}],"container-title":"Current Opinion in Chemical Biology","id":"ITEM-1","issued":{"date-parts":[["2020","8","1"]]},"page":"122-134","publisher":"Elsevier Ltd","title":"Isocitrate dehydrogenase variants in cancer — Cellular consequences and therapeutic opportunities","type":"article","volume":"57"},"uris":["http://www.mendeley.com/documents/?uuid=1f26a19d-2661-35e4-beff-02cdc54833db"]}],"mendeley":{"formattedCitation":"&lt;sup&gt;76&lt;/sup&gt;","plainTextFormattedCitation":"76","previouslyFormattedCitation":"&lt;sup&gt;76&lt;/sup&gt;"},"properties":{"noteIndex":0},"schema":"https://github.com/citation-style-language/schema/raw/master/csl-citation.json"}</w:instrText>
      </w:r>
      <w:r w:rsidR="00A92FFD" w:rsidRPr="00517894">
        <w:rPr>
          <w:sz w:val="20"/>
          <w:szCs w:val="20"/>
        </w:rPr>
        <w:fldChar w:fldCharType="separate"/>
      </w:r>
      <w:r w:rsidR="00A92FFD" w:rsidRPr="00C554E1">
        <w:rPr>
          <w:noProof/>
          <w:sz w:val="20"/>
          <w:szCs w:val="20"/>
          <w:vertAlign w:val="superscript"/>
        </w:rPr>
        <w:t>76</w:t>
      </w:r>
      <w:r w:rsidR="00A92FFD" w:rsidRPr="00517894">
        <w:rPr>
          <w:sz w:val="20"/>
          <w:szCs w:val="20"/>
        </w:rPr>
        <w:fldChar w:fldCharType="end"/>
      </w:r>
      <w:r w:rsidR="00A92FFD" w:rsidRPr="00517894">
        <w:rPr>
          <w:sz w:val="20"/>
          <w:szCs w:val="20"/>
        </w:rPr>
        <w:t>.</w:t>
      </w:r>
      <w:bookmarkEnd w:id="42"/>
    </w:p>
    <w:p w14:paraId="7217736B" w14:textId="4791928D" w:rsidR="007469BD" w:rsidRPr="00517894" w:rsidRDefault="00594847" w:rsidP="007E518A">
      <w:pPr>
        <w:pStyle w:val="Odstavecseseznamem"/>
        <w:tabs>
          <w:tab w:val="left" w:pos="975"/>
        </w:tabs>
        <w:ind w:left="0"/>
        <w:jc w:val="both"/>
        <w:rPr>
          <w:sz w:val="20"/>
          <w:szCs w:val="20"/>
        </w:rPr>
      </w:pPr>
      <w:r w:rsidRPr="00FB69C5">
        <w:rPr>
          <w:sz w:val="20"/>
          <w:szCs w:val="20"/>
        </w:rPr>
        <w:t xml:space="preserve">2OG - 2-oxoglutarát/α-ketoglutarát; d-2HG – d-2-hydroxyglutarát; </w:t>
      </w:r>
      <w:r w:rsidRPr="007E518A">
        <w:rPr>
          <w:sz w:val="20"/>
          <w:szCs w:val="20"/>
        </w:rPr>
        <w:t>IDH</w:t>
      </w:r>
      <w:r w:rsidRPr="00FB69C5">
        <w:rPr>
          <w:sz w:val="20"/>
          <w:szCs w:val="20"/>
        </w:rPr>
        <w:t xml:space="preserve"> – isocitrát dehydrogenáza; HIF - </w:t>
      </w:r>
      <w:r w:rsidRPr="00FB69C5">
        <w:rPr>
          <w:rFonts w:cstheme="minorHAnsi"/>
          <w:sz w:val="20"/>
          <w:szCs w:val="20"/>
        </w:rPr>
        <w:t>hypoxií indukovaný faktor</w:t>
      </w:r>
      <w:r w:rsidRPr="00FB69C5">
        <w:rPr>
          <w:sz w:val="20"/>
          <w:szCs w:val="20"/>
        </w:rPr>
        <w:t xml:space="preserve">; HIF–OH - hydroxylovaný HIF; </w:t>
      </w:r>
      <w:r w:rsidRPr="000474FA">
        <w:rPr>
          <w:sz w:val="20"/>
          <w:szCs w:val="20"/>
        </w:rPr>
        <w:t>PHD</w:t>
      </w:r>
      <w:r w:rsidR="0075012F" w:rsidRPr="000474FA">
        <w:rPr>
          <w:sz w:val="20"/>
          <w:szCs w:val="20"/>
        </w:rPr>
        <w:t xml:space="preserve"> -</w:t>
      </w:r>
      <w:r w:rsidRPr="000474FA">
        <w:rPr>
          <w:sz w:val="20"/>
          <w:szCs w:val="20"/>
        </w:rPr>
        <w:t xml:space="preserve"> prolyl hydroxyl</w:t>
      </w:r>
      <w:r w:rsidR="000474FA" w:rsidRPr="000474FA">
        <w:rPr>
          <w:sz w:val="20"/>
          <w:szCs w:val="20"/>
        </w:rPr>
        <w:t>ázová</w:t>
      </w:r>
      <w:r w:rsidRPr="000474FA">
        <w:rPr>
          <w:sz w:val="20"/>
          <w:szCs w:val="20"/>
        </w:rPr>
        <w:t xml:space="preserve"> dom</w:t>
      </w:r>
      <w:r w:rsidR="000474FA" w:rsidRPr="000474FA">
        <w:rPr>
          <w:sz w:val="20"/>
          <w:szCs w:val="20"/>
        </w:rPr>
        <w:t>éna</w:t>
      </w:r>
      <w:r w:rsidRPr="000474FA">
        <w:rPr>
          <w:sz w:val="20"/>
          <w:szCs w:val="20"/>
        </w:rPr>
        <w:t xml:space="preserve"> enzym</w:t>
      </w:r>
      <w:r w:rsidR="000474FA" w:rsidRPr="000474FA">
        <w:rPr>
          <w:sz w:val="20"/>
          <w:szCs w:val="20"/>
        </w:rPr>
        <w:t>u</w:t>
      </w:r>
      <w:r w:rsidR="000474FA">
        <w:rPr>
          <w:sz w:val="20"/>
          <w:szCs w:val="20"/>
        </w:rPr>
        <w:t xml:space="preserve"> HIF</w:t>
      </w:r>
      <w:r w:rsidRPr="00594847">
        <w:rPr>
          <w:sz w:val="20"/>
          <w:szCs w:val="20"/>
        </w:rPr>
        <w:t>; KDM</w:t>
      </w:r>
      <w:r w:rsidR="007E518A">
        <w:rPr>
          <w:sz w:val="20"/>
          <w:szCs w:val="20"/>
        </w:rPr>
        <w:t xml:space="preserve"> -</w:t>
      </w:r>
      <w:r w:rsidRPr="00594847">
        <w:rPr>
          <w:sz w:val="20"/>
          <w:szCs w:val="20"/>
        </w:rPr>
        <w:t xml:space="preserve"> histon lysin demethyláza; NADP</w:t>
      </w:r>
      <w:r w:rsidRPr="00FB69C5">
        <w:rPr>
          <w:sz w:val="20"/>
          <w:szCs w:val="20"/>
        </w:rPr>
        <w:t xml:space="preserve">+ - </w:t>
      </w:r>
      <w:r w:rsidRPr="00594847">
        <w:rPr>
          <w:sz w:val="20"/>
          <w:szCs w:val="20"/>
        </w:rPr>
        <w:t>nikotinamidadenindinukleotidfosfát; NADPH - redukovaný nikotinamidadenindinukleotidfosfát; TCA - trikarboxylové kyseliny; TET – ten-eleven translocation methylcytosine dioxygen</w:t>
      </w:r>
      <w:r>
        <w:rPr>
          <w:sz w:val="20"/>
          <w:szCs w:val="20"/>
        </w:rPr>
        <w:t>áza</w:t>
      </w:r>
      <w:r w:rsidRPr="00594847">
        <w:rPr>
          <w:sz w:val="20"/>
          <w:szCs w:val="20"/>
        </w:rPr>
        <w:t>; VHL - Von Hippel-Lindau; wt – wild type.</w:t>
      </w:r>
      <w:r>
        <w:rPr>
          <w:sz w:val="20"/>
          <w:szCs w:val="20"/>
        </w:rPr>
        <w:t xml:space="preserve"> </w:t>
      </w:r>
    </w:p>
    <w:p w14:paraId="38395B6D" w14:textId="77777777" w:rsidR="009022F2" w:rsidRDefault="009022F2" w:rsidP="00EC4DAF">
      <w:pPr>
        <w:pStyle w:val="Odstavecseseznamem"/>
        <w:tabs>
          <w:tab w:val="left" w:pos="975"/>
        </w:tabs>
        <w:ind w:left="0"/>
        <w:jc w:val="both"/>
        <w:rPr>
          <w:rFonts w:cstheme="minorHAnsi"/>
        </w:rPr>
      </w:pPr>
    </w:p>
    <w:p w14:paraId="0E04E666" w14:textId="687E6AC1" w:rsidR="009022F2" w:rsidRDefault="009022F2" w:rsidP="00EC4DAF">
      <w:pPr>
        <w:pStyle w:val="Odstavecseseznamem"/>
        <w:tabs>
          <w:tab w:val="left" w:pos="975"/>
        </w:tabs>
        <w:ind w:left="0"/>
        <w:jc w:val="both"/>
      </w:pPr>
    </w:p>
    <w:p w14:paraId="44B3DEC9" w14:textId="31924CDE" w:rsidR="009022F2" w:rsidRDefault="009022F2" w:rsidP="00EC4DAF">
      <w:pPr>
        <w:pStyle w:val="Odstavecseseznamem"/>
        <w:tabs>
          <w:tab w:val="left" w:pos="975"/>
        </w:tabs>
        <w:ind w:left="0"/>
        <w:jc w:val="both"/>
      </w:pPr>
      <w:r>
        <w:t xml:space="preserve">Mutace </w:t>
      </w:r>
      <w:r w:rsidRPr="00091D5F">
        <w:rPr>
          <w:i/>
          <w:iCs/>
        </w:rPr>
        <w:t>IDH</w:t>
      </w:r>
      <w:r>
        <w:t xml:space="preserve"> se řadí mezi takzvané driver mutace</w:t>
      </w:r>
      <w:r w:rsidR="000474FA">
        <w:t>.</w:t>
      </w:r>
      <w:r>
        <w:t xml:space="preserve"> </w:t>
      </w:r>
      <w:r w:rsidR="000474FA">
        <w:t>T</w:t>
      </w:r>
      <w:r>
        <w:t>y se vyskytují na počátku vzniku gliálních nádorů a stabilně přetrvávají i dále v progresi nádoru</w:t>
      </w:r>
      <w:r>
        <w:fldChar w:fldCharType="begin" w:fldLock="1"/>
      </w:r>
      <w:r w:rsidR="00C554E1">
        <w:instrText>ADDIN CSL_CITATION {"citationItems":[{"id":"ITEM-1","itemData":{"DOI":"10.1371/journal.pone.0041298","ISSN":"19326203","PMID":"22844452","abstract":"Background: To investigate the dynamics of inter- and intratumoral molecular alterations during tumor progression in recurrent gliomas. Methodology/Principal Findings: To address intertumoral heterogeneity we investigated non- microdissected tumor tissue of 106 gliomas representing 51 recurrent tumors. To address intratumoral heterogeneity a set of 16 gliomas representing 7 tumor pairs with at least one recurrence, and 4 single mixed gliomas were investigated by microdissection of distinct oligodendroglial and astrocytic tumor components. All tumors and tumor components were analyzed for allelic loss of 1p/19q (LOH 1p/19q), for TP53- mutations and for R132 mutations in the IDH1 gene. The investigation of non- microdissected tumor tissue revealed clonality in 75% (38/51). Aberrant molecular alterations upon recurrence were detected in 25% (13/51). 64% (9/14) of these were novel and associated with tumor progression. Loss of previously detected alterations was observed in 36% (5/14). One tumor pair (1/14; 7%) was significant for both. Intratumoral clonality was detected in 57% (4/7) of the microdissected tumor pairs and in 75% (3/4) of single microdissected tumors. 43% (3/7) of tumor pairs and one single tumor (25%) revealed intratumoral heterogeneity. While intratumoral heterogeneity affected both the TP53- mutational status and the LOH1p/19q status, all tumors with intratumoral heterogeneity shared the R132 IDH1- mutation as a common feature in both their microdissected components. Conclusions/Significance: The majority of recurrent gliomas are of monoclonal origin. However, the detection of divertive tumor cell clones in morphological distinct tumor components sharing IDH1- mutations as early event may provide insight into the tumorigenesis of true mixed gliomas. © 2012 Lass et al.","author":[{"dropping-particle":"","family":"Lass","given":"Ulrike","non-dropping-particle":"","parse-names":false,"suffix":""},{"dropping-particle":"","family":"Nümann","given":"Astrid","non-dropping-particle":"","parse-names":false,"suffix":""},{"dropping-particle":"","family":"Eckardstein","given":"Kajetan","non-dropping-particle":"von","parse-names":false,"suffix":""},{"dropping-particle":"","family":"Kiwit","given":"Jürgen","non-dropping-particle":"","parse-names":false,"suffix":""},{"dropping-particle":"","family":"Stockhammer","given":"Florian","non-dropping-particle":"","parse-names":false,"suffix":""},{"dropping-particle":"","family":"Horaczek","given":"Jörn A.","non-dropping-particle":"","parse-names":false,"suffix":""},{"dropping-particle":"","family":"Veelken","given":"Julian","non-dropping-particle":"","parse-names":false,"suffix":""},{"dropping-particle":"","family":"Herold-Mende","given":"Christel","non-dropping-particle":"","parse-names":false,"suffix":""},{"dropping-particle":"","family":"Jeuken","given":"Judith","non-dropping-particle":"","parse-names":false,"suffix":""},{"dropping-particle":"","family":"Deimling","given":"Andreas","non-dropping-particle":"von","parse-names":false,"suffix":""},{"dropping-particle":"","family":"Mueller","given":"Wolf","non-dropping-particle":"","parse-names":false,"suffix":""}],"container-title":"PLoS ONE","id":"ITEM-1","issue":"7","issued":{"date-parts":[["2012","7","23"]]},"publisher":"PLoS One","title":"Clonal analysis in recurrent astrocytic, oligoastrocytic and oligodendroglial tumors implicates IDH1- mutation as common tumor initiating event","type":"article-journal","volume":"7"},"uris":["http://www.mendeley.com/documents/?uuid=2673c167-34f8-378d-a9fe-89917bb543e8"]}],"mendeley":{"formattedCitation":"&lt;sup&gt;77&lt;/sup&gt;","plainTextFormattedCitation":"77","previouslyFormattedCitation":"&lt;sup&gt;77&lt;/sup&gt;"},"properties":{"noteIndex":0},"schema":"https://github.com/citation-style-language/schema/raw/master/csl-citation.json"}</w:instrText>
      </w:r>
      <w:r>
        <w:fldChar w:fldCharType="separate"/>
      </w:r>
      <w:r w:rsidR="00C554E1" w:rsidRPr="00C554E1">
        <w:rPr>
          <w:noProof/>
          <w:vertAlign w:val="superscript"/>
        </w:rPr>
        <w:t>77</w:t>
      </w:r>
      <w:r>
        <w:fldChar w:fldCharType="end"/>
      </w:r>
      <w:r>
        <w:t xml:space="preserve">. </w:t>
      </w:r>
      <w:r w:rsidRPr="00091D5F">
        <w:rPr>
          <w:i/>
          <w:iCs/>
        </w:rPr>
        <w:t xml:space="preserve">IDH </w:t>
      </w:r>
      <w:r>
        <w:t>mutace pravděpodobně vznikají už u prekurzorových buněk a právě z nich jsou odvozené oligodendrocyty a astrocyty. K této mutaci se postupně přidávají další alterace a dochází ke zvratu vedoucího k rozvoji gliálního nádoru. Mutace v </w:t>
      </w:r>
      <w:r w:rsidRPr="00091D5F">
        <w:rPr>
          <w:i/>
          <w:iCs/>
        </w:rPr>
        <w:t>IDH1</w:t>
      </w:r>
      <w:r>
        <w:t xml:space="preserve"> a </w:t>
      </w:r>
      <w:r w:rsidRPr="00091D5F">
        <w:rPr>
          <w:i/>
          <w:iCs/>
        </w:rPr>
        <w:t>IDH2</w:t>
      </w:r>
      <w:r>
        <w:t xml:space="preserve"> jsou ve většině případů missense varianty vedoucí k substituci v jedné aminokyselině. Mutace </w:t>
      </w:r>
      <w:r w:rsidRPr="00091D5F">
        <w:rPr>
          <w:i/>
          <w:iCs/>
        </w:rPr>
        <w:t>IDH1</w:t>
      </w:r>
      <w:r>
        <w:t xml:space="preserve"> a </w:t>
      </w:r>
      <w:r w:rsidRPr="00091D5F">
        <w:rPr>
          <w:i/>
          <w:iCs/>
        </w:rPr>
        <w:t>2</w:t>
      </w:r>
      <w:r>
        <w:t xml:space="preserve"> se vyskytují pouze v hemizygotním stavu a nevyskytují se společně v jednom nádoru.  Nádory nesoucí mutace v IDH mají z 90% mutovanou izoformu </w:t>
      </w:r>
      <w:r w:rsidRPr="00091D5F">
        <w:rPr>
          <w:i/>
          <w:iCs/>
        </w:rPr>
        <w:t>IDH1</w:t>
      </w:r>
      <w:r>
        <w:t xml:space="preserve"> R132H, kde dochází k záměně argininu za histidin </w:t>
      </w:r>
      <w:r>
        <w:fldChar w:fldCharType="begin" w:fldLock="1"/>
      </w:r>
      <w:r w:rsidR="00C554E1">
        <w:instrText>ADDIN CSL_CITATION {"citationItems":[{"id":"ITEM-1","itemData":{"DOI":"10.1007/s10014-014-0197-x","ISSN":"1433-7398","PMID":"25008158","abstract":"Somatic mutations of isocitrate dehydrogenase 1 and 2 (IDH1/2) are strongly associated with pathological subtypes, genetic profiles, and clinical features in gliomas. The IDH1/2 status is currently regarded as one of the most important molecular markers in gliomas and should be assessed accurately and robustly. However, the methods used for IDH1/2 testing are not fully standardized. The purpose of this paper is to review the clinical significance of IDH1/2 mutations and the methods used for IDH1/2 testing. The optimal method for IDH1/2 testing varies depending on a number of factors, including the purpose, sample types, sample number, or laboratory equipment. It is therefore important to acknowledge the advantages and disadvantages of each method.","author":[{"dropping-particle":"","family":"Arita","given":"Hideyuki","non-dropping-particle":"","parse-names":false,"suffix":""},{"dropping-particle":"","family":"Narita","given":"Yoshitaka","non-dropping-particle":"","parse-names":false,"suffix":""},{"dropping-particle":"","family":"Yoshida","given":"Akihiko","non-dropping-particle":"","parse-names":false,"suffix":""},{"dropping-particle":"","family":"Hashimoto","given":"Naoya","non-dropping-particle":"","parse-names":false,"suffix":""},{"dropping-particle":"","family":"Yoshimine","given":"Toshiki","non-dropping-particle":"","parse-names":false,"suffix":""},{"dropping-particle":"","family":"Ichimura","given":"Koichi","non-dropping-particle":"","parse-names":false,"suffix":""}],"container-title":"Brain Tumor Pathology","id":"ITEM-1","issue":"2","issued":{"date-parts":[["2015","4","10"]]},"page":"79-89","publisher":"Springer-Verlag Tokyo","title":"IDH1/2 mutation detection in gliomas","type":"article-journal","volume":"32"},"uris":["http://www.mendeley.com/documents/?uuid=f60b86e5-d936-42e0-8fc7-afb4c85a5f85"]},{"id":"ITEM-2","itemData":{"DOI":"10.1093/neuonc/nov136","ISSN":"15235866","PMID":"26188014","abstract":"Over the last decade, extraordinary progress has been made in elucidating the underlying genetic causes of gliomas. In 2008, our understanding of glioma genetics was revolutionized when mutations in isocitrate dehydrogenase 1 and 2 (IDH1/2) were identified in the vast majority of progressive gliomas and secondary glioblastomas (GBMs). IDH enzymes normally catalyze the decarboxylation of isocitrate to generate α-ketoglutarate (αKG), but recurrent mutations at Arg132 of IDH1 and Arg172 of IDH2 confer a neomorphic enzyme activity that catalyzes reduction of αKG into the putative oncometabolite D-2-hydroxyglutate (D2HG). D2HG inhibits αKG-dependent dioxygenases and is thought to create a cellular state permissive to malignant transformation by altering cellular epigenetics and blocking normal differentiation processes. Herein, we discuss the relevant literature on mechanistic studies of IDH1/2 mutations in gliomas, and we review the potential impact of IDH1/2 mutations on molecular classification and glioma therapy.","author":[{"dropping-particle":"","family":"Waitkus","given":"Matthew S.","non-dropping-particle":"","parse-names":false,"suffix":""},{"dropping-particle":"","family":"Diplas","given":"Bill H.","non-dropping-particle":"","parse-names":false,"suffix":""},{"dropping-particle":"","family":"Yan","given":"Hai","non-dropping-particle":"","parse-names":false,"suffix":""}],"container-title":"Neuro-Oncology","id":"ITEM-2","issue":"1","issued":{"date-parts":[["2016","1","1"]]},"page":"16-26","publisher":"Oxford University Press","title":"Isocitrate dehydrogenase mutations in gliomas","type":"article","volume":"18"},"uris":["http://www.mendeley.com/documents/?uuid=37c5cf3c-f8f7-3002-9689-d7f2d6fb2873"]}],"mendeley":{"formattedCitation":"&lt;sup&gt;78,79&lt;/sup&gt;","plainTextFormattedCitation":"78,79","previouslyFormattedCitation":"&lt;sup&gt;78,79&lt;/sup&gt;"},"properties":{"noteIndex":0},"schema":"https://github.com/citation-style-language/schema/raw/master/csl-citation.json"}</w:instrText>
      </w:r>
      <w:r>
        <w:fldChar w:fldCharType="separate"/>
      </w:r>
      <w:r w:rsidR="00C554E1" w:rsidRPr="00C554E1">
        <w:rPr>
          <w:noProof/>
          <w:vertAlign w:val="superscript"/>
        </w:rPr>
        <w:t>78,79</w:t>
      </w:r>
      <w:r>
        <w:fldChar w:fldCharType="end"/>
      </w:r>
      <w:r>
        <w:t xml:space="preserve">. Zbylých 10 % připadá na další méně časté varianty </w:t>
      </w:r>
      <w:r w:rsidRPr="00091D5F">
        <w:rPr>
          <w:i/>
          <w:iCs/>
        </w:rPr>
        <w:t>IDH1/2</w:t>
      </w:r>
      <w:r>
        <w:t>, které jsou uvedeny v </w:t>
      </w:r>
      <w:r w:rsidR="00594847">
        <w:t>O</w:t>
      </w:r>
      <w:r>
        <w:t xml:space="preserve">brázku </w:t>
      </w:r>
      <w:r w:rsidR="000474FA">
        <w:t>8</w:t>
      </w:r>
      <w:r>
        <w:t xml:space="preserve">. </w:t>
      </w:r>
    </w:p>
    <w:p w14:paraId="549BA967" w14:textId="77777777" w:rsidR="00447CBE" w:rsidRDefault="00447CBE" w:rsidP="00EC4DAF">
      <w:pPr>
        <w:pStyle w:val="Odstavecseseznamem"/>
        <w:tabs>
          <w:tab w:val="left" w:pos="975"/>
        </w:tabs>
        <w:ind w:left="0"/>
        <w:jc w:val="both"/>
      </w:pPr>
    </w:p>
    <w:p w14:paraId="54D26074" w14:textId="68010C55" w:rsidR="009022F2" w:rsidRDefault="009022F2" w:rsidP="00EC4DAF">
      <w:pPr>
        <w:pStyle w:val="Odstavecseseznamem"/>
        <w:tabs>
          <w:tab w:val="left" w:pos="975"/>
        </w:tabs>
        <w:ind w:left="0"/>
        <w:jc w:val="center"/>
      </w:pPr>
      <w:r>
        <w:rPr>
          <w:noProof/>
        </w:rPr>
        <w:drawing>
          <wp:inline distT="0" distB="0" distL="0" distR="0" wp14:anchorId="0B430EBF" wp14:editId="778762D3">
            <wp:extent cx="4563534" cy="3281680"/>
            <wp:effectExtent l="0" t="0" r="889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rotWithShape="1">
                    <a:blip r:embed="rId19" cstate="print">
                      <a:extLst>
                        <a:ext uri="{28A0092B-C50C-407E-A947-70E740481C1C}">
                          <a14:useLocalDpi xmlns:a14="http://schemas.microsoft.com/office/drawing/2010/main" val="0"/>
                        </a:ext>
                      </a:extLst>
                    </a:blip>
                    <a:srcRect l="29597" t="6720" r="4927" b="54949"/>
                    <a:stretch/>
                  </pic:blipFill>
                  <pic:spPr bwMode="auto">
                    <a:xfrm>
                      <a:off x="0" y="0"/>
                      <a:ext cx="4568045" cy="3284924"/>
                    </a:xfrm>
                    <a:prstGeom prst="rect">
                      <a:avLst/>
                    </a:prstGeom>
                    <a:ln>
                      <a:noFill/>
                    </a:ln>
                    <a:extLst>
                      <a:ext uri="{53640926-AAD7-44D8-BBD7-CCE9431645EC}">
                        <a14:shadowObscured xmlns:a14="http://schemas.microsoft.com/office/drawing/2010/main"/>
                      </a:ext>
                    </a:extLst>
                  </pic:spPr>
                </pic:pic>
              </a:graphicData>
            </a:graphic>
          </wp:inline>
        </w:drawing>
      </w:r>
    </w:p>
    <w:p w14:paraId="2B798031" w14:textId="77777777" w:rsidR="009022F2" w:rsidRDefault="009022F2" w:rsidP="00A92FFD">
      <w:pPr>
        <w:pStyle w:val="Odstavecseseznamem"/>
        <w:tabs>
          <w:tab w:val="left" w:pos="975"/>
        </w:tabs>
        <w:ind w:left="0"/>
        <w:jc w:val="both"/>
      </w:pPr>
    </w:p>
    <w:p w14:paraId="6F37A127" w14:textId="524EB964" w:rsidR="009022F2" w:rsidRPr="00594847" w:rsidRDefault="00306B65" w:rsidP="00A92FFD">
      <w:pPr>
        <w:pStyle w:val="Odstavecseseznamem"/>
        <w:tabs>
          <w:tab w:val="left" w:pos="975"/>
        </w:tabs>
        <w:ind w:left="0"/>
        <w:jc w:val="both"/>
        <w:rPr>
          <w:sz w:val="20"/>
          <w:szCs w:val="20"/>
        </w:rPr>
      </w:pPr>
      <w:bookmarkStart w:id="43" w:name="_Toc67162695"/>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8</w:t>
      </w:r>
      <w:r w:rsidRPr="00306B65">
        <w:rPr>
          <w:b/>
          <w:bCs/>
          <w:sz w:val="20"/>
          <w:szCs w:val="20"/>
        </w:rPr>
        <w:fldChar w:fldCharType="end"/>
      </w:r>
      <w:r w:rsidRPr="00306B65">
        <w:rPr>
          <w:b/>
          <w:bCs/>
          <w:sz w:val="20"/>
          <w:szCs w:val="20"/>
        </w:rPr>
        <w:t>:</w:t>
      </w:r>
      <w:r>
        <w:rPr>
          <w:b/>
          <w:bCs/>
          <w:sz w:val="20"/>
          <w:szCs w:val="20"/>
        </w:rPr>
        <w:t xml:space="preserve"> </w:t>
      </w:r>
      <w:r w:rsidR="00B43CAA" w:rsidRPr="00B43CAA">
        <w:rPr>
          <w:sz w:val="20"/>
          <w:szCs w:val="20"/>
        </w:rPr>
        <w:t>Jednotlivé varianty mutací IDH1</w:t>
      </w:r>
      <w:r w:rsidR="00B43CAA">
        <w:rPr>
          <w:sz w:val="20"/>
          <w:szCs w:val="20"/>
        </w:rPr>
        <w:t xml:space="preserve"> </w:t>
      </w:r>
      <w:r w:rsidR="00B43CAA" w:rsidRPr="00B43CAA">
        <w:rPr>
          <w:sz w:val="20"/>
          <w:szCs w:val="20"/>
        </w:rPr>
        <w:t>a IDH2 spolu s</w:t>
      </w:r>
      <w:r w:rsidR="00B43CAA">
        <w:rPr>
          <w:sz w:val="20"/>
          <w:szCs w:val="20"/>
        </w:rPr>
        <w:t> </w:t>
      </w:r>
      <w:r w:rsidR="00B43CAA" w:rsidRPr="00B43CAA">
        <w:rPr>
          <w:sz w:val="20"/>
          <w:szCs w:val="20"/>
        </w:rPr>
        <w:t>jejich</w:t>
      </w:r>
      <w:r w:rsidR="00B43CAA">
        <w:rPr>
          <w:sz w:val="20"/>
          <w:szCs w:val="20"/>
        </w:rPr>
        <w:t xml:space="preserve"> A)</w:t>
      </w:r>
      <w:r w:rsidR="00B43CAA" w:rsidRPr="00B43CAA">
        <w:rPr>
          <w:sz w:val="20"/>
          <w:szCs w:val="20"/>
        </w:rPr>
        <w:t xml:space="preserve"> </w:t>
      </w:r>
      <w:r w:rsidR="00B43CAA">
        <w:rPr>
          <w:sz w:val="20"/>
          <w:szCs w:val="20"/>
        </w:rPr>
        <w:t xml:space="preserve">frekvencemi a B) mutace kodonu 132 u </w:t>
      </w:r>
      <w:r w:rsidR="00B43CAA" w:rsidRPr="007E518A">
        <w:rPr>
          <w:i/>
          <w:iCs/>
          <w:sz w:val="20"/>
          <w:szCs w:val="20"/>
        </w:rPr>
        <w:t>IDH1</w:t>
      </w:r>
      <w:r w:rsidR="00B43CAA">
        <w:rPr>
          <w:sz w:val="20"/>
          <w:szCs w:val="20"/>
        </w:rPr>
        <w:t xml:space="preserve"> a kodonu 172 u </w:t>
      </w:r>
      <w:r w:rsidR="00B43CAA" w:rsidRPr="007E518A">
        <w:rPr>
          <w:i/>
          <w:iCs/>
          <w:sz w:val="20"/>
          <w:szCs w:val="20"/>
        </w:rPr>
        <w:t>IDH2</w:t>
      </w:r>
      <w:r w:rsidR="00B43CAA">
        <w:rPr>
          <w:sz w:val="20"/>
          <w:szCs w:val="20"/>
        </w:rPr>
        <w:t>. P</w:t>
      </w:r>
      <w:r w:rsidR="009022F2" w:rsidRPr="00B43CAA">
        <w:rPr>
          <w:sz w:val="20"/>
          <w:szCs w:val="20"/>
        </w:rPr>
        <w:t>řevzato z</w:t>
      </w:r>
      <w:r w:rsidR="009022F2" w:rsidRPr="00594847">
        <w:rPr>
          <w:sz w:val="20"/>
          <w:szCs w:val="20"/>
        </w:rPr>
        <w:fldChar w:fldCharType="begin" w:fldLock="1"/>
      </w:r>
      <w:r w:rsidR="00C554E1">
        <w:rPr>
          <w:sz w:val="20"/>
          <w:szCs w:val="20"/>
        </w:rPr>
        <w:instrText>ADDIN CSL_CITATION {"citationItems":[{"id":"ITEM-1","itemData":{"DOI":"10.1007/s10014-014-0197-x","ISSN":"1433-7398","PMID":"25008158","abstract":"Somatic mutations of isocitrate dehydrogenase 1 and 2 (IDH1/2) are strongly associated with pathological subtypes, genetic profiles, and clinical features in gliomas. The IDH1/2 status is currently regarded as one of the most important molecular markers in gliomas and should be assessed accurately and robustly. However, the methods used for IDH1/2 testing are not fully standardized. The purpose of this paper is to review the clinical significance of IDH1/2 mutations and the methods used for IDH1/2 testing. The optimal method for IDH1/2 testing varies depending on a number of factors, including the purpose, sample types, sample number, or laboratory equipment. It is therefore important to acknowledge the advantages and disadvantages of each method.","author":[{"dropping-particle":"","family":"Arita","given":"Hideyuki","non-dropping-particle":"","parse-names":false,"suffix":""},{"dropping-particle":"","family":"Narita","given":"Yoshitaka","non-dropping-particle":"","parse-names":false,"suffix":""},{"dropping-particle":"","family":"Yoshida","given":"Akihiko","non-dropping-particle":"","parse-names":false,"suffix":""},{"dropping-particle":"","family":"Hashimoto","given":"Naoya","non-dropping-particle":"","parse-names":false,"suffix":""},{"dropping-particle":"","family":"Yoshimine","given":"Toshiki","non-dropping-particle":"","parse-names":false,"suffix":""},{"dropping-particle":"","family":"Ichimura","given":"Koichi","non-dropping-particle":"","parse-names":false,"suffix":""}],"container-title":"Brain Tumor Pathology","id":"ITEM-1","issue":"2","issued":{"date-parts":[["2015","4","10"]]},"page":"79-89","publisher":"Springer-Verlag Tokyo","title":"IDH1/2 mutation detection in gliomas","type":"article-journal","volume":"32"},"uris":["http://www.mendeley.com/documents/?uuid=f60b86e5-d936-42e0-8fc7-afb4c85a5f85"]}],"mendeley":{"formattedCitation":"&lt;sup&gt;78&lt;/sup&gt;","plainTextFormattedCitation":"78","previouslyFormattedCitation":"&lt;sup&gt;78&lt;/sup&gt;"},"properties":{"noteIndex":0},"schema":"https://github.com/citation-style-language/schema/raw/master/csl-citation.json"}</w:instrText>
      </w:r>
      <w:r w:rsidR="009022F2" w:rsidRPr="00594847">
        <w:rPr>
          <w:sz w:val="20"/>
          <w:szCs w:val="20"/>
        </w:rPr>
        <w:fldChar w:fldCharType="separate"/>
      </w:r>
      <w:r w:rsidR="00C554E1" w:rsidRPr="00C554E1">
        <w:rPr>
          <w:noProof/>
          <w:sz w:val="20"/>
          <w:szCs w:val="20"/>
          <w:vertAlign w:val="superscript"/>
        </w:rPr>
        <w:t>78</w:t>
      </w:r>
      <w:r w:rsidR="009022F2" w:rsidRPr="00594847">
        <w:rPr>
          <w:sz w:val="20"/>
          <w:szCs w:val="20"/>
        </w:rPr>
        <w:fldChar w:fldCharType="end"/>
      </w:r>
      <w:r w:rsidR="00B43CAA">
        <w:rPr>
          <w:sz w:val="20"/>
          <w:szCs w:val="20"/>
        </w:rPr>
        <w:t>.</w:t>
      </w:r>
      <w:bookmarkEnd w:id="43"/>
    </w:p>
    <w:p w14:paraId="5B40E507" w14:textId="77777777" w:rsidR="009022F2" w:rsidRDefault="009022F2" w:rsidP="00EC4DAF">
      <w:pPr>
        <w:pStyle w:val="Odstavecseseznamem"/>
        <w:tabs>
          <w:tab w:val="left" w:pos="975"/>
        </w:tabs>
        <w:ind w:left="0"/>
        <w:jc w:val="both"/>
      </w:pPr>
    </w:p>
    <w:p w14:paraId="6B0B885B" w14:textId="77777777" w:rsidR="009022F2" w:rsidRDefault="009022F2" w:rsidP="00EC4DAF">
      <w:pPr>
        <w:pStyle w:val="Odstavecseseznamem"/>
        <w:tabs>
          <w:tab w:val="left" w:pos="975"/>
        </w:tabs>
        <w:ind w:left="0"/>
        <w:jc w:val="both"/>
      </w:pPr>
    </w:p>
    <w:p w14:paraId="6A88F10A" w14:textId="4D0B60E2" w:rsidR="009022F2" w:rsidRDefault="009022F2" w:rsidP="00EC4DAF">
      <w:pPr>
        <w:pStyle w:val="Odstavecseseznamem"/>
        <w:tabs>
          <w:tab w:val="left" w:pos="975"/>
        </w:tabs>
        <w:ind w:left="0"/>
        <w:jc w:val="both"/>
      </w:pPr>
      <w:r>
        <w:t xml:space="preserve">IDH mutace jsou často spojovány s dalšími genetickými změnami. Mutace </w:t>
      </w:r>
      <w:r w:rsidRPr="00EB4994">
        <w:t>TP53</w:t>
      </w:r>
      <w:r>
        <w:t xml:space="preserve"> a ATRX (</w:t>
      </w:r>
      <w:r w:rsidR="001E77FF">
        <w:t>A</w:t>
      </w:r>
      <w:r w:rsidR="00594847" w:rsidRPr="00594847">
        <w:t>lpha-</w:t>
      </w:r>
      <w:r w:rsidR="001E77FF">
        <w:t>Thalassemia/M</w:t>
      </w:r>
      <w:r w:rsidR="00594847" w:rsidRPr="00594847">
        <w:t xml:space="preserve">ental </w:t>
      </w:r>
      <w:r w:rsidR="001E77FF">
        <w:t>Retardation S</w:t>
      </w:r>
      <w:r w:rsidR="00594847" w:rsidRPr="00594847">
        <w:t>yndrome X-linked</w:t>
      </w:r>
      <w:r>
        <w:t>) se vyskytují spolu s mutacemi v IDH1/2 u 60-70% astrocytomů</w:t>
      </w:r>
      <w:r>
        <w:fldChar w:fldCharType="begin" w:fldLock="1"/>
      </w:r>
      <w:r w:rsidR="00C554E1">
        <w:instrText>ADDIN CSL_CITATION {"citationItems":[{"id":"ITEM-1","itemData":{"DOI":"10.18632/oncotarget.588","ISSN":"19492553","PMID":"22869205","abstract":"Mutations in the critical chromatin modifier ATRX and mutations in CIC and FUBP1, which are potent regulators of cell growth, have been discovered in specific subtypes of gliomas, the most common type of primary malignant brain tumors. However, the frequency of these mutations in many subtypes of gliomas, and their association with clinical features of the patients, is poorly understood. Here we analyzed these loci in 363 brain tumors. ATRX is frequently mutated in grade II-III astrocytomas (71%), oligoastrocytomas (68%), and secondary glioblastomas (57%), and ATRX mutations are associated with IDH1 mutations and with an alternative lengthening of telomeres phenotype. CIC and FUBP1 mutations occurred frequently in oligodendrogliomas (46% and 24%, respectively) but rarely in astrocytomas or oligoastrocytomas (&lt;10%). This analysis allowed us to define two highly recurrent genetic signatures in gliomas: IDH1/ATRX (I-A) and IDH1/CIC/FUBP1 (I-CF). Patients with I-CF gliomas had a significantly longer median overall survival (96 months) than patients with I-A gliomas (51 months) and patients with gliomas that did not harbor either signature (13 months). The genetic signatures distinguished clinically distinct groups of oligoastrocytoma patients, which usually present a diagnostic challenge, and were associated with differences in clinical outcome even among individual tumor types. In addition to providing new clues about the genetic alterations underlying gliomas, the results have immediate clinical implications, providing a tripartite genetic signature that can serve as a useful adjunct to conventional glioma classification that may aid in prognosis, treatment selection, and therapeutic trial design. © Jiao et al.","author":[{"dropping-particle":"","family":"Jiao","given":"Yuchen","non-dropping-particle":"","parse-names":false,"suffix":""},{"dropping-particle":"","family":"Killela","given":"Patrick J.","non-dropping-particle":"","parse-names":false,"suffix":""},{"dropping-particle":"","family":"Reitman","given":"Zachary J.","non-dropping-particle":"","parse-names":false,"suffix":""},{"dropping-particle":"","family":"Rasheed","given":"B. Ahmed","non-dropping-particle":"","parse-names":false,"suffix":""},{"dropping-particle":"","family":"Heaphy","given":"Christopher M.","non-dropping-particle":"","parse-names":false,"suffix":""},{"dropping-particle":"","family":"Wilde","given":"Roeland F.","non-dropping-particle":"de","parse-names":false,"suffix":""},{"dropping-particle":"","family":"Rodriguez","given":"Fausto J.","non-dropping-particle":"","parse-names":false,"suffix":""},{"dropping-particle":"","family":"Rosemberg","given":"Sergio","non-dropping-particle":"","parse-names":false,"suffix":""},{"dropping-particle":"","family":"Oba-Shinjo","given":"Sueli Mieko","non-dropping-particle":"","parse-names":false,"suffix":""},{"dropping-particle":"","family":"Marie","given":"Suely Kazue Nagahashi","non-dropping-particle":"","parse-names":false,"suffix":""},{"dropping-particle":"","family":"Bettegowda","given":"Chetan","non-dropping-particle":"","parse-names":false,"suffix":""},{"dropping-particle":"","family":"Agrawal","given":"Nishant","non-dropping-particle":"","parse-names":false,"suffix":""},{"dropping-particle":"","family":"Lipp","given":"Eric","non-dropping-particle":"","parse-names":false,"suffix":""},{"dropping-particle":"","family":"Pirozzi","given":"Christopher J.","non-dropping-particle":"","parse-names":false,"suffix":""},{"dropping-particle":"","family":"Lopez","given":"Giselle Y.","non-dropping-particle":"","parse-names":false,"suffix":""},{"dropping-particle":"","family":"He","given":"Yiping","non-dropping-particle":"","parse-names":false,"suffix":""},{"dropping-particle":"","family":"Friedman","given":"Henry S.","non-dropping-particle":"","parse-names":false,"suffix":""},{"dropping-particle":"","family":"Friedman","given":"Allan H.","non-dropping-particle":"","parse-names":false,"suffix":""},{"dropping-particle":"","family":"Riggins","given":"Gregory J.","non-dropping-particle":"","parse-names":false,"suffix":""},{"dropping-particle":"","family":"Holdhoff","given":"Matthias","non-dropping-particle":"","parse-names":false,"suffix":""},{"dropping-particle":"","family":"Burger","given":"Peter","non-dropping-particle":"","parse-names":false,"suffix":""},{"dropping-particle":"","family":"McLendon","given":"Roger E.","non-dropping-particle":"","parse-names":false,"suffix":""},{"dropping-particle":"","family":"Bigner","given":"Darell D.","non-dropping-particle":"","parse-names":false,"suffix":""},{"dropping-particle":"","family":"Vogelstein","given":"Bert","non-dropping-particle":"","parse-names":false,"suffix":""},{"dropping-particle":"","family":"Meeker","given":"Alan K.","non-dropping-particle":"","parse-names":false,"suffix":""},{"dropping-particle":"","family":"Kinzler","given":"Kenneth W.","non-dropping-particle":"","parse-names":false,"suffix":""},{"dropping-particle":"","family":"Papadopoulos","given":"Nickolas","non-dropping-particle":"","parse-names":false,"suffix":""},{"dropping-particle":"","family":"Diaz","given":"Luis A.","non-dropping-particle":"","parse-names":false,"suffix":""},{"dropping-particle":"","family":"Yan","given":"Hai","non-dropping-particle":"","parse-names":false,"suffix":""}],"container-title":"Oncotarget","id":"ITEM-1","issue":"7","issued":{"date-parts":[["2012"]]},"page":"709-722","publisher":"Impact Journals LLC","title":"Frequent ATRX, CIC, FUBP1 and IDH1 mutations refine the classification of malignant gliomas","type":"article-journal","volume":"3"},"uris":["http://www.mendeley.com/documents/?uuid=5d569d7c-dfc2-312a-8474-3842e98da068"]}],"mendeley":{"formattedCitation":"&lt;sup&gt;80&lt;/sup&gt;","plainTextFormattedCitation":"80","previouslyFormattedCitation":"&lt;sup&gt;80&lt;/sup&gt;"},"properties":{"noteIndex":0},"schema":"https://github.com/citation-style-language/schema/raw/master/csl-citation.json"}</w:instrText>
      </w:r>
      <w:r>
        <w:fldChar w:fldCharType="separate"/>
      </w:r>
      <w:r w:rsidR="00C554E1" w:rsidRPr="00C554E1">
        <w:rPr>
          <w:noProof/>
          <w:vertAlign w:val="superscript"/>
        </w:rPr>
        <w:t>80</w:t>
      </w:r>
      <w:r>
        <w:fldChar w:fldCharType="end"/>
      </w:r>
      <w:r>
        <w:t>, zatímco 1p/19q kodelece je spojována s více než 90% oligodendrogliomů</w:t>
      </w:r>
      <w:r>
        <w:fldChar w:fldCharType="begin" w:fldLock="1"/>
      </w:r>
      <w:r w:rsidR="00C554E1">
        <w:instrText>ADDIN CSL_CITATION {"citationItems":[{"id":"ITEM-1","itemData":{"DOI":"10.1093/jnen/61.1.58","ISSN":"00223069","PMID":"11829344","abstract":"Allelic loss of chromosome 1p predicts increased chemosensitivity and better survival in oligodendroglial tumors. Clinical testing for 1p loss in oligodendroglial tumors at our hospital has allowed us to postulate that certain histological appearances are associated with 1p allelic status. Forty-four cases received for genetic testing were diagnosed by referring pathologists as pure low-grade oligodendroglioma. Central neuropathological review divided the series equally into 22 cases with classical oligodendroglioma histology and 22 with more astrocytic features. Molecular genetic analyses demonstrated 1p loss in 19 of 22 classic oligodendrogliomas (86%) and maintenance of both 1p alleles in 16 of 22 gliomas with astrocytic features (73%). No glial fibrillary acidic protein-positive cell type (gliofibrillary oligodendrocyte, minigemistocyte, cellular processes) was associated with 1p allelic status. Fourteen of the 44 cases were treated with chemotherapy at tumor progression: 3 \"astrocytic\" gliomas with 1p loss responded to PCV chemotherapy and 2 classic oligodendrogliomas that maintained both 1p alleles included a responder and a non-responder. These results suggest that histological appearance correctly predicts genotype in approximately 80% of low-grade gliomas, but that tumor genotype more closely predicts chemosensitivity. As a result, such objective molecular genetic analyses should be incorporated into patient management and into clinical trials of low-grade diffuse gliomas.","author":[{"dropping-particle":"","family":"Sasaki","given":"H.","non-dropping-particle":"","parse-names":false,"suffix":""},{"dropping-particle":"","family":"Zlatescu","given":"M. C.","non-dropping-particle":"","parse-names":false,"suffix":""},{"dropping-particle":"","family":"Betensky","given":"R. A.","non-dropping-particle":"","parse-names":false,"suffix":""},{"dropping-particle":"","family":"Johnk","given":"L. B.","non-dropping-particle":"","parse-names":false,"suffix":""},{"dropping-particle":"","family":"Cutone","given":"A. N.","non-dropping-particle":"","parse-names":false,"suffix":""},{"dropping-particle":"","family":"Cairncross","given":"J. G.","non-dropping-particle":"","parse-names":false,"suffix":""},{"dropping-particle":"","family":"Louis","given":"D. N.","non-dropping-particle":"","parse-names":false,"suffix":""}],"container-title":"Journal of Neuropathology and Experimental Neurology","id":"ITEM-1","issue":"1","issued":{"date-parts":[["2002"]]},"page":"58-63","publisher":"American Association of Neuropathologists Inc.","title":"Histopathological-molecular genetic correlations in referral pathologist-diagnosed low-grade \"oligodendroglioma\"","type":"article-journal","volume":"61"},"uris":["http://www.mendeley.com/documents/?uuid=dc691d4f-7356-3a93-a142-8030219d34e4"]}],"mendeley":{"formattedCitation":"&lt;sup&gt;81&lt;/sup&gt;","plainTextFormattedCitation":"81","previouslyFormattedCitation":"&lt;sup&gt;81&lt;/sup&gt;"},"properties":{"noteIndex":0},"schema":"https://github.com/citation-style-language/schema/raw/master/csl-citation.json"}</w:instrText>
      </w:r>
      <w:r>
        <w:fldChar w:fldCharType="separate"/>
      </w:r>
      <w:r w:rsidR="00C554E1" w:rsidRPr="00C554E1">
        <w:rPr>
          <w:noProof/>
          <w:vertAlign w:val="superscript"/>
        </w:rPr>
        <w:t>81</w:t>
      </w:r>
      <w:r>
        <w:fldChar w:fldCharType="end"/>
      </w:r>
      <w:r>
        <w:t>. U IDH mutovan</w:t>
      </w:r>
      <w:r w:rsidR="003A5EE9">
        <w:t>ých</w:t>
      </w:r>
      <w:r>
        <w:t xml:space="preserve"> nádor</w:t>
      </w:r>
      <w:r w:rsidR="003A5EE9">
        <w:t>ů</w:t>
      </w:r>
      <w:r>
        <w:t xml:space="preserve"> </w:t>
      </w:r>
      <w:r w:rsidR="003A5EE9">
        <w:t>jsou nalézány</w:t>
      </w:r>
      <w:r>
        <w:t xml:space="preserve"> hypermetylace promotoru MGMT, naopak přítomnost amplifikace EGFR je velmi vzácná</w:t>
      </w:r>
      <w:r>
        <w:fldChar w:fldCharType="begin" w:fldLock="1"/>
      </w:r>
      <w:r w:rsidR="00C554E1">
        <w:instrText>ADDIN CSL_CITATION {"citationItems":[{"id":"ITEM-1","itemData":{"DOI":"10.1215/15228517-2009-025","ISSN":"15228517","PMID":"19435942","abstract":"We screened exon 4 of the gene isocitrate dehydrogenase 1 (NADP+), soluble (IDH1) for mutations in 596 primary intracranial tumors of all major types. Codon 132 mutation was seen in 54% of astrocytomas and 65% of oligodendroglial tumors but in only 6% of glioblastomas (3% of primary and 50% of secondary glioblastomas). There were no mutations in any other type of tumor studied. While mutations in the tumor protein p53 gene (TP53) and total 1p/19q deletions were mutually exclusive, IDH1 mutations were strongly correlated with these genetic abnormalities. All four types of mutant IDH1 proteins showed decreased enzymatic activity. The data indicate that IDH1 mutation combined with either TP53 mutation or total 1p/19q loss is a frequent and early change in the majority of oligodendroglial tumors, diffuse astrocytomas, anaplastic astrocytomas, and secondary glioblastomas but not in primary glioblastomas. Copyright 2009 by the Society for Neuro-Oncology.","author":[{"dropping-particle":"","family":"Ichimura","given":"Koichi","non-dropping-particle":"","parse-names":false,"suffix":""},{"dropping-particle":"","family":"Pearson","given":"Danita M.","non-dropping-particle":"","parse-names":false,"suffix":""},{"dropping-particle":"","family":"Kocialkowski","given":"Sylvia","non-dropping-particle":"","parse-names":false,"suffix":""},{"dropping-particle":"","family":"Bäcklund","given":"L. Magnus","non-dropping-particle":"","parse-names":false,"suffix":""},{"dropping-particle":"","family":"Chan","given":"Raymond","non-dropping-particle":"","parse-names":false,"suffix":""},{"dropping-particle":"","family":"Jones","given":"David T.W.","non-dropping-particle":"","parse-names":false,"suffix":""},{"dropping-particle":"","family":"Collins","given":"V. Peter","non-dropping-particle":"","parse-names":false,"suffix":""}],"container-title":"Neuro-Oncology","id":"ITEM-1","issue":"4","issued":{"date-parts":[["2009","8"]]},"page":"341-347","publisher":"Oxford University Press","title":"IDH1 mutations are present in the majority of common adult gliomas but rare in primary glioblastomas","type":"article-journal","volume":"11"},"uris":["http://www.mendeley.com/documents/?uuid=d28c8234-2b64-3482-b36d-1ca321065b98"]}],"mendeley":{"formattedCitation":"&lt;sup&gt;82&lt;/sup&gt;","plainTextFormattedCitation":"82","previouslyFormattedCitation":"&lt;sup&gt;82&lt;/sup&gt;"},"properties":{"noteIndex":0},"schema":"https://github.com/citation-style-language/schema/raw/master/csl-citation.json"}</w:instrText>
      </w:r>
      <w:r>
        <w:fldChar w:fldCharType="separate"/>
      </w:r>
      <w:r w:rsidR="00C554E1" w:rsidRPr="00C554E1">
        <w:rPr>
          <w:noProof/>
          <w:vertAlign w:val="superscript"/>
        </w:rPr>
        <w:t>82</w:t>
      </w:r>
      <w:r>
        <w:fldChar w:fldCharType="end"/>
      </w:r>
      <w:r>
        <w:t xml:space="preserve">. </w:t>
      </w:r>
    </w:p>
    <w:p w14:paraId="0E3A94B0" w14:textId="77777777" w:rsidR="009022F2" w:rsidRDefault="009022F2" w:rsidP="00EC4DAF">
      <w:pPr>
        <w:pStyle w:val="Odstavecseseznamem"/>
        <w:tabs>
          <w:tab w:val="left" w:pos="975"/>
        </w:tabs>
        <w:ind w:left="0"/>
        <w:jc w:val="both"/>
      </w:pPr>
    </w:p>
    <w:p w14:paraId="5564EABE" w14:textId="68E2D769" w:rsidR="00D030A3" w:rsidRDefault="00294813" w:rsidP="00EC4DAF">
      <w:pPr>
        <w:pStyle w:val="Odstavecseseznamem"/>
        <w:tabs>
          <w:tab w:val="left" w:pos="975"/>
        </w:tabs>
        <w:ind w:left="0"/>
        <w:jc w:val="both"/>
      </w:pPr>
      <w:r>
        <w:t xml:space="preserve">IDH mutace jsou diagnostické, prognostické a prediktivní </w:t>
      </w:r>
      <w:r w:rsidRPr="00B43CAA">
        <w:t>biomarkery</w:t>
      </w:r>
      <w:r w:rsidR="00033C38">
        <w:t xml:space="preserve"> využívané k odlišení jednotliv</w:t>
      </w:r>
      <w:r w:rsidRPr="00B43CAA">
        <w:t>ý</w:t>
      </w:r>
      <w:r w:rsidR="00033C38">
        <w:t>ch</w:t>
      </w:r>
      <w:r w:rsidRPr="00B43CAA">
        <w:t xml:space="preserve"> typů gliomů a jejich následné léčebné péče. </w:t>
      </w:r>
      <w:r w:rsidR="000506C3" w:rsidRPr="00B43CAA">
        <w:t>Mutace IDH byly nalezeny u zhruba 70 – 80% astrocytomů grade II a III, oligodendrogliomů a většině sekundárních glioblastomů</w:t>
      </w:r>
      <w:r w:rsidR="000506C3" w:rsidRPr="00B43CAA">
        <w:fldChar w:fldCharType="begin" w:fldLock="1"/>
      </w:r>
      <w:r w:rsidR="00C554E1" w:rsidRPr="00B43CAA">
        <w:instrText>ADDIN CSL_CITATION {"citationItems":[{"id":"ITEM-1","itemData":{"DOI":"10.1007/s00432-012-1323-y","ISSN":"01715216","PMID":"23052697","abstract":"Background Significant progress has been made in the molecular diagnostic subtyping of brain tumors especially gliomas. Designing effective tailored therapy remains the cornerstone for delving into the molecular heterogeneity and classification of gliomas. More homogenous tumor populations may lead to more uniform tumor responses in particular molecular constellation. Recent decade has seen a surge of molecular markers of glioma which hold a promise and potential of being strong prognostic, predictive, and diagnostic markers. They are also extremely critical for the stratification of current clinical trails. Method Review of the pertinent literature regarding the molecular markers of glioma was performed. Methods of detection of these markers and their clinical relevance are also discussed. Results and conclusions This review provides an update on progress and perspectives of these newest set of biomarkers which can also supplement and refine histological classification and serves as important prognostic and predictive markers; particularly relevant in this aspect are O6-methylguanine-DNA methyltransferase promoter methylation, IDH1 mutations, and codeletion of 1p/19q. BRAF fusion/mutations and EGFR amplification provide important clues diagnostically. © Springer-Verlag Berlin Heidelberg 2012.","author":[{"dropping-particle":"","family":"Gupta","given":"Kirti","non-dropping-particle":"","parse-names":false,"suffix":""},{"dropping-particle":"","family":"Salunke","given":"Pravin","non-dropping-particle":"","parse-names":false,"suffix":""}],"container-title":"Journal of Cancer Research and Clinical Oncology","id":"ITEM-1","issue":"12","issued":{"date-parts":[["2012","12"]]},"page":"1971-1981","publisher":"J Cancer Res Clin Oncol","title":"Molecular markers of glioma: An update on recent progress and perspectives","type":"article","volume":"138"},"uris":["http://www.mendeley.com/documents/?uuid=02a2c381-550e-31e0-8e32-3146f3ad86b4"]}],"mendeley":{"formattedCitation":"&lt;sup&gt;83&lt;/sup&gt;","plainTextFormattedCitation":"83","previouslyFormattedCitation":"&lt;sup&gt;83&lt;/sup&gt;"},"properties":{"noteIndex":0},"schema":"https://github.com/citation-style-language/schema/raw/master/csl-citation.json"}</w:instrText>
      </w:r>
      <w:r w:rsidR="000506C3" w:rsidRPr="00B43CAA">
        <w:fldChar w:fldCharType="separate"/>
      </w:r>
      <w:r w:rsidR="00C554E1" w:rsidRPr="00B43CAA">
        <w:rPr>
          <w:noProof/>
          <w:vertAlign w:val="superscript"/>
        </w:rPr>
        <w:t>83</w:t>
      </w:r>
      <w:r w:rsidR="000506C3" w:rsidRPr="00B43CAA">
        <w:fldChar w:fldCharType="end"/>
      </w:r>
      <w:r w:rsidR="000506C3" w:rsidRPr="00B43CAA">
        <w:t xml:space="preserve">. </w:t>
      </w:r>
      <w:r w:rsidRPr="00B43CAA">
        <w:t xml:space="preserve"> </w:t>
      </w:r>
      <w:r w:rsidR="00B43CAA" w:rsidRPr="00B43CAA">
        <w:t>N</w:t>
      </w:r>
      <w:r w:rsidR="00E53BAC" w:rsidRPr="00B43CAA">
        <w:t>ádory</w:t>
      </w:r>
      <w:r w:rsidR="00E53BAC">
        <w:t xml:space="preserve"> nesoucí mutací IDH 1/2 vykazují lepší prognózu onemocnění</w:t>
      </w:r>
      <w:r w:rsidR="00701604">
        <w:t>, značně delší přežití bez progrese a celkové přežití oproti pacientům s IDH wildtype</w:t>
      </w:r>
      <w:r w:rsidR="00E53BAC">
        <w:fldChar w:fldCharType="begin" w:fldLock="1"/>
      </w:r>
      <w:r w:rsidR="00C554E1">
        <w:instrText>ADDIN CSL_CITATION {"citationItems":[{"id":"ITEM-1","itemData":{"DOI":"10.1371/journal.pone.0068782","ISSN":"1932-6203","abstract":"Background:Isocitrate dehydrogenase isoforms 1 and 2 (IDH1 and IDH2) mutations have received considerable attention since the discovery of their relation with human gliomas. The predictive value of IDH1 and IDH2 mutations in gliomas remains controversial. Here, we present the results of a meta-analysis of the associations between IDH mutations and both progression-free survival (PFS) and overall survival (OS) in gliomas. The interrelationship between the IDH mutations and MGMT promoter hypermethylation, EGFR amplification, codeletion of chromosomes 1p/19q and TP53 gene mutation were also revealed.Methodology and Principal Findings:An electronic literature search of public databases (PubMed, Embase databases) was performed. In total, 10 articles, including 12 studies in English, with 2,190 total cases were included in the meta-analysis. The IDH mutations were frequent in WHO grade II and III glioma (59.5%) and secondary glioblastomas (63.4%) and were less frequent in primary glioblastomas (7.13%). Our study provides evidence that IDH mutations are tightly associated with MGMT promoter hypermethylation (P&lt;0.001), 1p/19q codeletion (P&lt;0.001) and TP53 gene mutation (P&lt;0.001) but are mutually exclusive with EGFR amplification (P&lt;0.001). This meta-analysis showed that the combined hazard ratio (HR) estimate for overall survival and progression-free survival in patients with IDH mutations was 0.33 (95% CI: 0.25-0.42) and 0.38 (95% CI: 0.21-0.68), compared with glioma patients whose tumours harboured the wild-type IDH. Subgroup analyses based on tumour grade also revealed that the presence of IDH mutations was associated with a better outcome.Conclusion:Our study suggests that IDH mutations, which are closely linked to the genomic profile of gliomas, are potential prognostic biomarkers for gliomas. © 2013 Zou et al.","author":[{"dropping-particle":"","family":"Zou","given":"Peng","non-dropping-particle":"","parse-names":false,"suffix":""},{"dropping-particle":"","family":"Xu","given":"Haitao","non-dropping-particle":"","parse-names":false,"suffix":""},{"dropping-particle":"","family":"Chen","given":"Pin","non-dropping-particle":"","parse-names":false,"suffix":""},{"dropping-particle":"","family":"Yan","given":"Qing","non-dropping-particle":"","parse-names":false,"suffix":""},{"dropping-particle":"","family":"Zhao","given":"Lin","non-dropping-particle":"","parse-names":false,"suffix":""},{"dropping-particle":"","family":"Zhao","given":"Peng","non-dropping-particle":"","parse-names":false,"suffix":""},{"dropping-particle":"","family":"Gu","given":"Aihua","non-dropping-particle":"","parse-names":false,"suffix":""}],"container-title":"PLoS ONE","editor":[{"dropping-particle":"","family":"Yang","given":"Isaac","non-dropping-particle":"","parse-names":false,"suffix":""}],"id":"ITEM-1","issue":"7","issued":{"date-parts":[["2013","7","22"]]},"page":"e68782","publisher":"Public Library of Science","title":"IDH1/IDH2 Mutations Define the Prognosis and Molecular Profiles of Patients with Gliomas: A Meta-Analysis","type":"article-journal","volume":"8"},"uris":["http://www.mendeley.com/documents/?uuid=98d3d4bb-7cc4-38e1-8559-63e7d6830bfc"]},{"id":"ITEM-2","itemData":{"DOI":"10.1056/NEJMOA0808710","ISSN":"1533-4406","PMID":"19228619","author":[{"dropping-particle":"","family":"H","given":"Yan","non-dropping-particle":"","parse-names":false,"suffix":""},{"dropping-particle":"","family":"DW","given":"Parsons","non-dropping-particle":"","parse-names":false,"suffix":""},{"dropping-particle":"","family":"G","given":"Jin","non-dropping-particle":"","parse-names":false,"suffix":""},{"dropping-particle":"","family":"R","given":"McLendon","non-dropping-particle":"","parse-names":false,"suffix":""},{"dropping-particle":"","family":"BA","given":"Rasheed","non-dropping-particle":"","parse-names":false,"suffix":""},{"dropping-particle":"","family":"W","given":"Yuan","non-dropping-particle":"","parse-names":false,"suffix":""},{"dropping-particle":"","family":"I","given":"Kos","non-dropping-particle":"","parse-names":false,"suffix":""},{"dropping-particle":"","family":"I","given":"Batinic-Haberle","non-dropping-particle":"","parse-names":false,"suffix":""},{"dropping-particle":"","family":"S","given":"Jones","non-dropping-particle":"","parse-names":false,"suffix":""},{"dropping-particle":"","family":"GJ","given":"Riggins","non-dropping-particle":"","parse-names":false,"suffix":""},{"dropping-particle":"","family":"H","given":"Friedman","non-dropping-particle":"","parse-names":false,"suffix":""},{"dropping-particle":"","family":"A","given":"Friedman","non-dropping-particle":"","parse-names":false,"suffix":""},{"dropping-particle":"","family":"D","given":"Reardon","non-dropping-particle":"","parse-names":false,"suffix":""},{"dropping-particle":"","family":"J","given":"Herndon","non-dropping-particle":"","parse-names":false,"suffix":""},{"dropping-particle":"","family":"KW","given":"Kinzler","non-dropping-particle":"","parse-names":false,"suffix":""},{"dropping-particle":"","family":"VE","given":"Velculescu","non-dropping-particle":"","parse-names":false,"suffix":""},{"dropping-particle":"","family":"B","given":"Vogelstein","non-dropping-particle":"","parse-names":false,"suffix":""},{"dropping-particle":"","family":"DD","given":"Bigner","non-dropping-particle":"","parse-names":false,"suffix":""}],"container-title":"The New England journal of medicine","id":"ITEM-2","issue":"8","issued":{"date-parts":[["2009"]]},"publisher":"N Engl J Med","title":"IDH1 and IDH2 mutations in gliomas","type":"article-journal","volume":"360"},"uris":["http://www.mendeley.com/documents/?uuid=cbc2bae9-0df6-304b-85eb-d3d364330b83"]},{"id":"ITEM-3","itemData":{"DOI":"10.1007/s00401-010-0781-z","ISSN":"00016322","PMID":"21088844","abstract":"WHO grading of human brain tumors extends beyond a strictly histological grading system by providing a basis predictive for the clinical behavior of the respective neoplasm. For example, patients with glioblastoma WHO grade IV usually show a less favorable clinical course and receive more aggressive first-line treatment than patients with anaplastic astrocytoma WHO grade III. Here we provide evidence that the IDH1 status is more prognostic for overall survival than standard histological criteria that differentiate high-grade astrocytomas. We sequenced the isocitrate dehydrogenase 1 gene (IDH1) at codon 132 in 382 patients with anaplastic astrocytoma and glioblastoma from the NOA-04 trial and from a prospective translational cohort study of the German Glioma Network. Patients with anaplastic astrocytomas carried IDH1 mutations in 60%, and patients with glioblastomas in 7.2%. IDH1 was the most prominent single prognostic factor (RR 2.7; 95% CI 1.6-4.5) followed by age, diagnosis and MGMT. The sequence from more favorable to poorer outcome was (1) anaplastic astrocytoma with IDH1 mutation, (2) glioblastoma with IDH1 mutation, (3) anaplastic astrocytoma without IDH1 mutation and (4) glioblastoma without IDH1 mutation (p&lt;0.0001). In this combined set of anaplastic astrocytomas and glioblastomas both, IDH1 mutation and IDH1 expression status were of greater prognostic relevance than histological diagnosis according to the current WHO classification system. Our data indicate that much of the prognostic significance of patient age is due to the predominant occurrence of IDH1 mutations in younger patients. Immunohistochemistry using a mutation-specific antibody recognizing the R132H mutation yielded similar results. We propose to complement the current WHO classification and grading of high-grade astrocytic gliomas by the IDH1 mutation status and to use this combined histological and molecular classification in future clinical trials. © Springer-Verlag 2010.","author":[{"dropping-particle":"","family":"Hartmann","given":"Christian","non-dropping-particle":"","parse-names":false,"suffix":""},{"dropping-particle":"","family":"Hentschel","given":"Bettina","non-dropping-particle":"","parse-names":false,"suffix":""},{"dropping-particle":"","family":"Wick","given":"Wolfgang","non-dropping-particle":"","parse-names":false,"suffix":""},{"dropping-particle":"","family":"Capper","given":"David","non-dropping-particle":"","parse-names":false,"suffix":""},{"dropping-particle":"","family":"Felsberg","given":"Jörg","non-dropping-particle":"","parse-names":false,"suffix":""},{"dropping-particle":"","family":"Simon","given":"Matthias","non-dropping-particle":"","parse-names":false,"suffix":""},{"dropping-particle":"","family":"Westphal","given":"Manfred","non-dropping-particle":"","parse-names":false,"suffix":""},{"dropping-particle":"","family":"Schackert","given":"Gabriele","non-dropping-particle":"","parse-names":false,"suffix":""},{"dropping-particle":"","family":"Meyermann","given":"Richard","non-dropping-particle":"","parse-names":false,"suffix":""},{"dropping-particle":"","family":"Pietsch","given":"Torsten","non-dropping-particle":"","parse-names":false,"suffix":""},{"dropping-particle":"","family":"Reifenberger","given":"Guido","non-dropping-particle":"","parse-names":false,"suffix":""},{"dropping-particle":"","family":"Weller","given":"Michael","non-dropping-particle":"","parse-names":false,"suffix":""},{"dropping-particle":"","family":"Loeffler","given":"Markus","non-dropping-particle":"","parse-names":false,"suffix":""},{"dropping-particle":"","family":"Deimling","given":"Andreas","non-dropping-particle":"Von","parse-names":false,"suffix":""}],"container-title":"Acta Neuropathologica","id":"ITEM-3","issue":"6","issued":{"date-parts":[["2010","12"]]},"page":"707-718","publisher":"Acta Neuropathol","title":"Patients with IDH1 wild type anaplastic astrocytomas exhibit worse prognosis than IDH1-mutated glioblastomas, and IDH1 mutation status accounts for the unfavorable prognostic effect of higher age: Implications for classification of gliomas","type":"article-journal","volume":"120"},"uris":["http://www.mendeley.com/documents/?uuid=8b496b33-0d00-34b6-a9d0-67d165346522"]}],"mendeley":{"formattedCitation":"&lt;sup&gt;84–86&lt;/sup&gt;","plainTextFormattedCitation":"84–86","previouslyFormattedCitation":"&lt;sup&gt;84–86&lt;/sup&gt;"},"properties":{"noteIndex":0},"schema":"https://github.com/citation-style-language/schema/raw/master/csl-citation.json"}</w:instrText>
      </w:r>
      <w:r w:rsidR="00E53BAC">
        <w:fldChar w:fldCharType="separate"/>
      </w:r>
      <w:r w:rsidR="00C554E1" w:rsidRPr="00C554E1">
        <w:rPr>
          <w:noProof/>
          <w:vertAlign w:val="superscript"/>
        </w:rPr>
        <w:t>84–86</w:t>
      </w:r>
      <w:r w:rsidR="00E53BAC">
        <w:fldChar w:fldCharType="end"/>
      </w:r>
      <w:r w:rsidR="00E53BAC">
        <w:t xml:space="preserve">. </w:t>
      </w:r>
    </w:p>
    <w:p w14:paraId="163818E1" w14:textId="77777777" w:rsidR="00773BB9" w:rsidRDefault="00773BB9" w:rsidP="00EC4DAF">
      <w:pPr>
        <w:pStyle w:val="Odstavecseseznamem"/>
        <w:tabs>
          <w:tab w:val="left" w:pos="975"/>
        </w:tabs>
        <w:ind w:left="0"/>
        <w:jc w:val="both"/>
      </w:pPr>
    </w:p>
    <w:p w14:paraId="41B9832A" w14:textId="77777777" w:rsidR="00773BB9" w:rsidRDefault="00773BB9" w:rsidP="00EC4DAF">
      <w:pPr>
        <w:pStyle w:val="Odstavecseseznamem"/>
        <w:tabs>
          <w:tab w:val="left" w:pos="975"/>
        </w:tabs>
        <w:ind w:left="0"/>
        <w:jc w:val="both"/>
      </w:pPr>
    </w:p>
    <w:p w14:paraId="5ADA8A50" w14:textId="13F4B78A" w:rsidR="00CD3399" w:rsidRDefault="00DC2B1F" w:rsidP="00EC4DAF">
      <w:pPr>
        <w:pStyle w:val="Odstavecseseznamem"/>
        <w:tabs>
          <w:tab w:val="left" w:pos="975"/>
        </w:tabs>
        <w:ind w:left="0"/>
        <w:jc w:val="both"/>
      </w:pPr>
      <w:r>
        <w:t xml:space="preserve">Současná praxe týkající se testování na </w:t>
      </w:r>
      <w:r w:rsidRPr="00091D5F">
        <w:rPr>
          <w:i/>
          <w:iCs/>
        </w:rPr>
        <w:t>IDH</w:t>
      </w:r>
      <w:r>
        <w:t xml:space="preserve"> mutace u gliálních nádorů využívá v prvním kroku nejčastější </w:t>
      </w:r>
      <w:r w:rsidR="00FC54A4">
        <w:t>variantu</w:t>
      </w:r>
      <w:r>
        <w:t xml:space="preserve"> </w:t>
      </w:r>
      <w:r w:rsidRPr="00091D5F">
        <w:rPr>
          <w:i/>
          <w:iCs/>
        </w:rPr>
        <w:t>IDH</w:t>
      </w:r>
      <w:r>
        <w:t xml:space="preserve"> R132H</w:t>
      </w:r>
      <w:r w:rsidR="00F72CE2">
        <w:t xml:space="preserve">, která </w:t>
      </w:r>
      <w:r>
        <w:t>je vyšetřována imunohistochemicky</w:t>
      </w:r>
      <w:r w:rsidR="00B55442">
        <w:t xml:space="preserve"> pomocí monoklonální protilátky</w:t>
      </w:r>
      <w:r>
        <w:t xml:space="preserve">. Pokud není prokázána tato varianta, přistupuje se </w:t>
      </w:r>
      <w:r w:rsidR="00CC3C2C">
        <w:t xml:space="preserve">nejčastěji </w:t>
      </w:r>
      <w:r>
        <w:t>k</w:t>
      </w:r>
      <w:r w:rsidR="00D6240D">
        <w:t xml:space="preserve"> Sangerovu </w:t>
      </w:r>
      <w:r>
        <w:t xml:space="preserve">sekvenování </w:t>
      </w:r>
      <w:r w:rsidR="00D6240D">
        <w:t xml:space="preserve">nebo next generation sekvenování </w:t>
      </w:r>
      <w:r w:rsidR="00F72CE2">
        <w:t xml:space="preserve">na </w:t>
      </w:r>
      <w:r>
        <w:t>méně čast</w:t>
      </w:r>
      <w:r w:rsidR="00F72CE2">
        <w:t xml:space="preserve">é </w:t>
      </w:r>
      <w:r>
        <w:t>variant</w:t>
      </w:r>
      <w:r w:rsidR="00F72CE2">
        <w:t>y</w:t>
      </w:r>
      <w:r w:rsidR="00C06FA7">
        <w:t xml:space="preserve">. </w:t>
      </w:r>
      <w:r w:rsidR="00CD3399">
        <w:t xml:space="preserve">K sekvenování se přistupuje pouze u pacientů mladších 55 let dle doporučení WHO z roku 2016. Důvodem je velmi nízká prevalence </w:t>
      </w:r>
      <w:r w:rsidR="00085171">
        <w:t xml:space="preserve">čítající pouze 1% </w:t>
      </w:r>
      <w:r w:rsidR="00CD3399">
        <w:t xml:space="preserve">jiných mutací než </w:t>
      </w:r>
      <w:r w:rsidR="00CD3399" w:rsidRPr="00091D5F">
        <w:rPr>
          <w:i/>
          <w:iCs/>
        </w:rPr>
        <w:t>IDH1</w:t>
      </w:r>
      <w:r w:rsidR="00CD3399">
        <w:t xml:space="preserve"> R132H u pacientů starších 55 let</w:t>
      </w:r>
      <w:r w:rsidR="00085171">
        <w:fldChar w:fldCharType="begin" w:fldLock="1"/>
      </w:r>
      <w:r w:rsidR="00C554E1">
        <w:instrText>ADDIN CSL_CITATION {"citationItems":[{"id":"ITEM-1","itemData":{"DOI":"10.1093/neuonc/nox120","PMID":"29016871","author":[{"dropping-particle":"","family":"Dewitt","given":"John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K.","non-dropping-particle":"","parse-names":false,"suffix":""}],"container-title":"Neuro-Oncology","id":"ITEM-1","issue":"12","issued":{"date-parts":[["2017"]]},"page":"1640-1650","publisher":"Oxford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recommendations","type":"article-journal","volume":"19"},"uris":["http://www.mendeley.com/documents/?uuid=39135120-ce6e-462e-9837-0e92d842edf2"]},{"id":"ITEM-2","itemData":{"DOI":"10.1093/jnen/nlw112","ISSN":"15546578","PMID":"28110298","abstract":"Diffuse astrocytoma (DA), anaplastic astrocytoma (AA), and glioblastoma (GBM) are defined by the World Health Organization (WHO) based on IDH-mutational status. The vast majority of IDHmutated gliomas (90% of which involve a mutation in IDH1 R132H, which can be assessed by IDH1 immunohistochemistry [IHC]) occur in persons younger than 55 years of age. This raises the question as to the prevalence of IDH-mutant tumors in older persons and whether the gliomas in older patients should be routinely tested. Since January 1, 2014, we have employed a standard screening panel for all gliomas regardless of patient age. From 578 total gliomas tested, 88 were IDH-mutant DA/AA/GBMs and 11 IDH-mutant tumors were in persons age 55 and older. Of the 11 IDH-mutant examples in the older group, 9 were first clinical presentations of the tumor, 4 of which were in persons age 70 or older (oldest, 76 years). We assessed whether the typical profile of nuclear ATRX loss with or without strong nuclear p53 IHC occurred in these and younger patients and found that ATRX/p53 IHC patterns paralleled those in younger patients. We conclude that, although infrequent, IDH IHC is strongly recommended for all ages of adult patients with diffuse gliomas.","author":[{"dropping-particle":"","family":"Robinson","given":"Chase","non-dropping-particle":"","parse-names":false,"suffix":""},{"dropping-particle":"","family":"Kleinschmidt-DeMasters","given":"B. K.","non-dropping-particle":"","parse-names":false,"suffix":""}],"container-title":"Journal of Neuropathology and Experimental Neurology","id":"ITEM-2","issue":"2","issued":{"date-parts":[["2017"]]},"page":"151-154","publisher":"Oxford University Press","title":"IDH1-mutation in diffuse gliomas in persons age 55 years and over","type":"article-journal","volume":"76"},"uris":["http://www.mendeley.com/documents/?uuid=1cc8d376-e05b-386d-8080-6ed7c0dd7ebb"]}],"mendeley":{"formattedCitation":"&lt;sup&gt;87,88&lt;/sup&gt;","plainTextFormattedCitation":"87,88","previouslyFormattedCitation":"&lt;sup&gt;87,88&lt;/sup&gt;"},"properties":{"noteIndex":0},"schema":"https://github.com/citation-style-language/schema/raw/master/csl-citation.json"}</w:instrText>
      </w:r>
      <w:r w:rsidR="00085171">
        <w:fldChar w:fldCharType="separate"/>
      </w:r>
      <w:r w:rsidR="00C554E1" w:rsidRPr="00C554E1">
        <w:rPr>
          <w:noProof/>
          <w:vertAlign w:val="superscript"/>
        </w:rPr>
        <w:t>87,88</w:t>
      </w:r>
      <w:r w:rsidR="00085171">
        <w:fldChar w:fldCharType="end"/>
      </w:r>
      <w:r w:rsidR="00085171">
        <w:t xml:space="preserve">. </w:t>
      </w:r>
    </w:p>
    <w:p w14:paraId="47398272" w14:textId="0A9E90C8" w:rsidR="009D5590" w:rsidRDefault="009D5590" w:rsidP="00EC4DAF">
      <w:pPr>
        <w:pStyle w:val="Odstavecseseznamem"/>
        <w:tabs>
          <w:tab w:val="left" w:pos="975"/>
        </w:tabs>
        <w:ind w:left="0"/>
        <w:jc w:val="both"/>
        <w:rPr>
          <w:b/>
          <w:bCs/>
        </w:rPr>
      </w:pPr>
    </w:p>
    <w:p w14:paraId="24A7058E" w14:textId="1EA056D9" w:rsidR="00564F14" w:rsidRDefault="00564F14" w:rsidP="00A92FFD">
      <w:pPr>
        <w:pStyle w:val="Nadpis4"/>
      </w:pPr>
      <w:bookmarkStart w:id="44" w:name="_Toc88741469"/>
      <w:r w:rsidRPr="00AA1702">
        <w:t xml:space="preserve">Metylace </w:t>
      </w:r>
      <w:r w:rsidRPr="00091D5F">
        <w:rPr>
          <w:i/>
        </w:rPr>
        <w:t>MGMT</w:t>
      </w:r>
      <w:bookmarkEnd w:id="44"/>
    </w:p>
    <w:p w14:paraId="0CA4AD9A" w14:textId="48A7D4ED" w:rsidR="005A3CE2" w:rsidRDefault="00AE7F31" w:rsidP="00EC4DAF">
      <w:pPr>
        <w:pStyle w:val="Odstavecseseznamem"/>
        <w:tabs>
          <w:tab w:val="left" w:pos="975"/>
        </w:tabs>
        <w:ind w:left="0"/>
        <w:jc w:val="both"/>
      </w:pPr>
      <w:r>
        <w:t>Gen pro MGMT je lokalizován na chromozomální oblasti 10q26 a kóduje takzvaný DNA damage protein, který je klíčový pro zachování genomové stability</w:t>
      </w:r>
      <w:r>
        <w:fldChar w:fldCharType="begin" w:fldLock="1"/>
      </w:r>
      <w:r w:rsidR="00C554E1">
        <w:instrText>ADDIN CSL_CITATION {"citationItems":[{"id":"ITEM-1","itemData":{"DOI":"10.1056/NEJMoa043331","ISSN":"00284793","PMID":"15758010","abstract":"BACKGROUND: Epigenetic silencing of the MGMT (O6-methylguanine- DNA methyltransferase) DNA-repair gene by promoter methylation compromises DNA repair and has been associated with longer survival in patients with glioblastoma who receive alkylating agents. METHODS: We tested the relationship between MGMT silencing in the tumor and the survival of patients who were enrolled in a randomized trial comparing radiotherapy alone with radiotherapy combined with concomitant and adjuvant treatment with temozolomide. The methylation status of the MGMT promoter was determined by methylation-specific polymerase-chain-reaction analysis. RESULTS: The MGMT promoter was methylated in 45 percent of 206 assessable cases. Irrespective of treatment, MGMT promoter methylation was an independent favorable prognostic factor (P&lt;0.001 by the log-rank test; hazard ratio, 0.45; 95 percent confidence interval, 0.32 to 0.61). Among patients whose tumor contained a methylated MGMT promoter, a survival benefit was observed in patients treated with temozolomide and radiotherapy; their median survival was 21.7 months (95 percent confidence interval, 17.4 to 30.4), as compared with 15.3 months (95 percent confidence interval, 13.0 to 20.9) among those who were assigned to only radiotherapy (P=0.007 by the log-rank test). In the absence of methylation of the MGMT promoter, there was a smaller and statistically insignificant difference in survival between the treatment groups. CONCLUSIONS: Patients with glioblastoma containing a methylated MGMT promoter benefited from temozolomide, whereas those who did not have a methylated MGMT promoter did not have such a benefit. Copyright © 2005 Massachusetts Medical Society.","author":[{"dropping-particle":"","family":"Hegi","given":"Monika E.","non-dropping-particle":"","parse-names":false,"suffix":""},{"dropping-particle":"","family":"Diserens","given":"Annie Claire","non-dropping-particle":"","parse-names":false,"suffix":""},{"dropping-particle":"","family":"Gorlia","given":"Thierry","non-dropping-particle":"","parse-names":false,"suffix":""},{"dropping-particle":"","family":"Hamou","given":"Marie France","non-dropping-particle":"","parse-names":false,"suffix":""},{"dropping-particle":"","family":"Tribolet","given":"Nicolas","non-dropping-particle":"De","parse-names":false,"suffix":""},{"dropping-particle":"","family":"Weller","given":"Michael","non-dropping-particle":"","parse-names":false,"suffix":""},{"dropping-particle":"","family":"Kros","given":"Johan M.","non-dropping-particle":"","parse-names":false,"suffix":""},{"dropping-particle":"","family":"Hainfellner","given":"Johannes A.","non-dropping-particle":"","parse-names":false,"suffix":""},{"dropping-particle":"","family":"Mason","given":"Warren","non-dropping-particle":"","parse-names":false,"suffix":""},{"dropping-particle":"","family":"Mariani","given":"Luigi","non-dropping-particle":"","parse-names":false,"suffix":""},{"dropping-particle":"","family":"Bromberg","given":"Jacoline E.C.","non-dropping-particle":"","parse-names":false,"suffix":""},{"dropping-particle":"","family":"Hau","given":"Peter","non-dropping-particle":"","parse-names":false,"suffix":""},{"dropping-particle":"","family":"Mirimanoff","given":"René O.","non-dropping-particle":"","parse-names":false,"suffix":""},{"dropping-particle":"","family":"Cairncross","given":"J. Gregory","non-dropping-particle":"","parse-names":false,"suffix":""},{"dropping-particle":"","family":"Janzer","given":"Robert C.","non-dropping-particle":"","parse-names":false,"suffix":""},{"dropping-particle":"","family":"Stupp","given":"Roger","non-dropping-particle":"","parse-names":false,"suffix":""}],"container-title":"New England Journal of Medicine","id":"ITEM-1","issue":"10","issued":{"date-parts":[["2005","3","10"]]},"page":"997-1003","publisher":"N Engl J Med","title":"MGMT gene silencing and benefit from temozolomide in glioblastoma","type":"article-journal","volume":"352"},"uris":["http://www.mendeley.com/documents/?uuid=67bc18cf-ac85-3f61-b6d9-76ebecb2bef0"]},{"id":"ITEM-2","itemData":{"DOI":"10.1200/JCO.1998.16.10.3310","ISSN":"0732183X","PMID":"9779706","abstract":"Purpose: Prior studies show that increased levels of the DNA repair protein O6 methylguanine-DNA methyltransferase (MGMT), also referred to as O6-alkylguanine-DNA alkyltransferase (AGT) correlate with the resistance of glioma cell lines to nitrosoureas. The observed nitrosourea sensitivity of MGMT-deficient lines (methyl excision repair negative [MER-]) and those repair-proficient lines pretreated with MGMT-specific inhibitors (eg, 06 benzylguanine) has raised the possibility that tumor MGMT levels may be an important predictor of survival in patients with gliomas. Patients and Methods: We correlated the MGMT level in malignant astrocytoma tissues, obtained from patients treated with radiotherapy and bis- chloroethylnitrosourea (BCNU) on a prior prospective trial (Southwest Oncology Group [SWAG] 8737), with overall and failure-free survival. Results: Of 64 assessable patients with malignant astrocytoma (63% glioblastoma, 37% anaplastic astrocytoma), 64% had high (&gt; 60,000 molecules/nucleus) MGMT levels. The overall median survival for patients with high versus low MGMT levels was 8 and 29 months, respectively (P = .0002), and median failure- free survival 3 and 6 months, respectively (P = .008). Subset analysis by histology (high v low MGMT levels) for anaplastic astrocytoma was 14 versus 62 months (n = 24) and for glioblastoma was 7 versus 12 months (n = 40). The overall hazards ratio (risk for death) for high versus low MGMT levels was 3.41; in young patients, the hazards ratio was higher (age 18 to 40 years, 4.19; age 41 to 60 years, 3.08) but became equal by MGMT level at age older than 60 years (1.11). Multivariate analysis showed that MGMT was independent of other known prognostic factors (age, performance status, histology). Conclusion: The MGMT level in tumor tissue specimens may be a predictive marker of survival in patients with malignant astrocytoma that is independent of other previously described prognostic variables.","author":[{"dropping-particle":"","family":"Jaeckle","given":"Kurt A.","non-dropping-particle":"","parse-names":false,"suffix":""},{"dropping-particle":"","family":"Eyre","given":"Harmon J.","non-dropping-particle":"","parse-names":false,"suffix":""},{"dropping-particle":"","family":"Townsend","given":"Jeannette J.","non-dropping-particle":"","parse-names":false,"suffix":""},{"dropping-particle":"","family":"Schulman","given":"Susan","non-dropping-particle":"","parse-names":false,"suffix":""},{"dropping-particle":"","family":"Knudson","given":"Heidi M.","non-dropping-particle":"","parse-names":false,"suffix":""},{"dropping-particle":"","family":"Belanich","given":"Michael","non-dropping-particle":"","parse-names":false,"suffix":""},{"dropping-particle":"","family":"Yarosh","given":"Daniel B.","non-dropping-particle":"","parse-names":false,"suffix":""},{"dropping-particle":"","family":"Bearman","given":"Scott I.","non-dropping-particle":"","parse-names":false,"suffix":""},{"dropping-particle":"","family":"Giroux","given":"Dori J.","non-dropping-particle":"","parse-names":false,"suffix":""},{"dropping-particle":"","family":"Schold","given":"S. Clifford","non-dropping-particle":"","parse-names":false,"suffix":""}],"container-title":"Journal of Clinical Oncology","id":"ITEM-2","issue":"10","issued":{"date-parts":[["1998"]]},"page":"3310-3315","publisher":"American Society of Clinical Oncology","title":"Correlation of tumor O6 methylguanine-DNA methyltransferase levels with survival of malignant astrocytoma patients treated with bis- chloroethylnitrosourea: A Southwest Oncology Group study","type":"article-journal","volume":"16"},"uris":["http://www.mendeley.com/documents/?uuid=7bc09392-aa57-4bdb-a630-d63ab92b380d"]}],"mendeley":{"formattedCitation":"&lt;sup&gt;8,89&lt;/sup&gt;","plainTextFormattedCitation":"8,89","previouslyFormattedCitation":"&lt;sup&gt;8,89&lt;/sup&gt;"},"properties":{"noteIndex":0},"schema":"https://github.com/citation-style-language/schema/raw/master/csl-citation.json"}</w:instrText>
      </w:r>
      <w:r>
        <w:fldChar w:fldCharType="separate"/>
      </w:r>
      <w:r w:rsidR="00C554E1" w:rsidRPr="00C554E1">
        <w:rPr>
          <w:noProof/>
          <w:vertAlign w:val="superscript"/>
        </w:rPr>
        <w:t>8,89</w:t>
      </w:r>
      <w:r>
        <w:fldChar w:fldCharType="end"/>
      </w:r>
      <w:r>
        <w:t xml:space="preserve">. Tento protein je schopen </w:t>
      </w:r>
      <w:r w:rsidR="00AE3A5E">
        <w:t xml:space="preserve">odstranit </w:t>
      </w:r>
      <w:r>
        <w:t xml:space="preserve">mutagenní </w:t>
      </w:r>
      <w:r w:rsidR="00AE3A5E">
        <w:t>alkylační skupinu na O-6 pozici guaninu a zabránit tak mismatch chybám během replikace DNA</w:t>
      </w:r>
      <w:r w:rsidR="00AE3A5E">
        <w:fldChar w:fldCharType="begin" w:fldLock="1"/>
      </w:r>
      <w:r w:rsidR="00C554E1">
        <w:instrText>ADDIN CSL_CITATION {"citationItems":[{"id":"ITEM-1","itemData":{"DOI":"10.1038/nrc1319","ISSN":"1474175X","PMID":"15057289","abstract":"The DNA-repair protein O6-alkylguanine DNA alkyltransferase (AGT) has a wide range of activity in normal tissues and its evolutionary conservation indicates a fundamental role in cell physiology and maintenance of the genome. Through removal of alkylating lesions at O6 of guanine, AGT protects against mutagenesis and malignant transformation. In tumours, AGT provides resistance to treatment with alkylating agents, unless expression is lost by methylation of the promoter of the gene encoding AGT - O 6-methylguanine-DNA-methyltransferase (MGMT) - or there is direct inhibition of AGT activity. When overexpressed in stem cells, MGMT serves as a drug-selection gene for gene therapy and protects normal tissues from the toxic effects of chemotherapy.","author":[{"dropping-particle":"","family":"Gerson","given":"Stanton L.","non-dropping-particle":"","parse-names":false,"suffix":""}],"container-title":"Nature Reviews Cancer","id":"ITEM-1","issue":"4","issued":{"date-parts":[["2004"]]},"page":"296-307","publisher":"Nature Publishing Group","title":"MGMT: Its role in cancer aetiology and cancer therapeutics","type":"article","volume":"4"},"uris":["http://www.mendeley.com/documents/?uuid=c76dc4b0-a633-3591-9c6b-0b08b87d3365"]}],"mendeley":{"formattedCitation":"&lt;sup&gt;90&lt;/sup&gt;","plainTextFormattedCitation":"90","previouslyFormattedCitation":"&lt;sup&gt;90&lt;/sup&gt;"},"properties":{"noteIndex":0},"schema":"https://github.com/citation-style-language/schema/raw/master/csl-citation.json"}</w:instrText>
      </w:r>
      <w:r w:rsidR="00AE3A5E">
        <w:fldChar w:fldCharType="separate"/>
      </w:r>
      <w:r w:rsidR="00C554E1" w:rsidRPr="00C554E1">
        <w:rPr>
          <w:noProof/>
          <w:vertAlign w:val="superscript"/>
        </w:rPr>
        <w:t>90</w:t>
      </w:r>
      <w:r w:rsidR="00AE3A5E">
        <w:fldChar w:fldCharType="end"/>
      </w:r>
      <w:r w:rsidR="00AE3A5E">
        <w:t xml:space="preserve">. Této vlastnosti se využívá při chemoterapii, kdy </w:t>
      </w:r>
      <w:r w:rsidR="00350DA3">
        <w:t xml:space="preserve">dochází k </w:t>
      </w:r>
      <w:r w:rsidR="00DB2C26">
        <w:t>indukován</w:t>
      </w:r>
      <w:r w:rsidR="00033C38">
        <w:t>í</w:t>
      </w:r>
      <w:r w:rsidR="00DB2C26">
        <w:t xml:space="preserve"> </w:t>
      </w:r>
      <w:r w:rsidR="00AE3A5E">
        <w:t>alkyla</w:t>
      </w:r>
      <w:r w:rsidR="00DB2C26">
        <w:t xml:space="preserve">ce a ta dále spouští cytotoxicitu </w:t>
      </w:r>
      <w:r w:rsidR="00350DA3">
        <w:t>vedoucí k</w:t>
      </w:r>
      <w:r w:rsidR="00DB2C26">
        <w:t xml:space="preserve"> apoptóz</w:t>
      </w:r>
      <w:r w:rsidR="00350DA3">
        <w:t>e</w:t>
      </w:r>
      <w:r w:rsidR="00DB2C26">
        <w:t>. Nádorové buňky s vysokou hladinou reparačního proteinu MGMT působí proti alkylačním činidlům</w:t>
      </w:r>
      <w:r w:rsidR="00DB2C26" w:rsidRPr="00DB2C26">
        <w:t xml:space="preserve"> </w:t>
      </w:r>
      <w:r w:rsidR="00DB2C26">
        <w:t xml:space="preserve">jako jsou nitrosurea a temozolomid a které se využívají při léčbě gliálních nádorů. </w:t>
      </w:r>
      <w:r w:rsidR="00564F14">
        <w:t>Temozolomid přidáním alkylační skupi</w:t>
      </w:r>
      <w:r w:rsidR="00796FCC">
        <w:t>n</w:t>
      </w:r>
      <w:r w:rsidR="00564F14">
        <w:t xml:space="preserve">y </w:t>
      </w:r>
      <w:r w:rsidR="00796FCC">
        <w:t>na tymin a guanin způsobí poškození DNA do takové míry, že vyvolá apoptózu</w:t>
      </w:r>
      <w:r w:rsidR="00796FCC">
        <w:fldChar w:fldCharType="begin" w:fldLock="1"/>
      </w:r>
      <w:r w:rsidR="00C554E1">
        <w:instrText>ADDIN CSL_CITATION {"citationItems":[{"id":"ITEM-1","itemData":{"DOI":"10.1517/13543784.2012.703177","ISSN":"13543784","PMID":"22731981","abstract":"Introduction: The survival of patients with glioblastoma (GBM), which is the most common primary brain malignancy, remains poor with current treatment modalities. However, an enhanced understanding of gliomagenesis is supporting the development of targeted molecular therapies with the potential for improving clinical outcomes. Areas covered: Epidermal growth factor receptor (EGFR) and vascular endothelial growth factor receptor (VEGFR) initiate key signaling pathways in GBM; however, trials with anti-EGFR agents have failed to show improved outcomes. Bevacizumab, a monoclonal antibody targeting VEGF, remains the only FDA-approved molecular drug in GBM; yet its use has only improved progression-free survival without any improvement in overall survival. We review the evidence supporting the continued evaluation of targeted molecular therapies in recurrent GBM. In addition, newer potential therapies targeting other signaling pathways, heat shock proteins and proteosomes, as well as the concept of targeting glioma stem cells are discussed. Expert opinion: The complex genetic origin of GBM makes it challenging to identify molecular subsets that may benefit from specific targeted therapies. Pathway inhibition, via multisite kinase inhibitors or a carefully selected combination of molecular drugs with or without cytotoxic agents, is currently undergoing evaluation in clinical trials and may improve outcomes in these patients. © 2012 Informa UK, Ltd.","author":[{"dropping-particle":"","family":"Patel","given":"Mital","non-dropping-particle":"","parse-names":false,"suffix":""},{"dropping-particle":"","family":"Vogelbaum","given":"Michael A.","non-dropping-particle":"","parse-names":false,"suffix":""},{"dropping-particle":"","family":"Barnett","given":"Gene H.","non-dropping-particle":"","parse-names":false,"suffix":""},{"dropping-particle":"","family":"Jalali","given":"Rakesh","non-dropping-particle":"","parse-names":false,"suffix":""},{"dropping-particle":"","family":"Ahluwalia","given":"Manmeet S.","non-dropping-particle":"","parse-names":false,"suffix":""}],"container-title":"Expert Opinion on Investigational Drugs","id":"ITEM-1","issue":"9","issued":{"date-parts":[["2012","9"]]},"page":"1247-1266","publisher":"Expert Opin Investig Drugs","title":"Molecular targeted therapy in recurrent glioblastoma: Current challenges and future directions","type":"article","volume":"21"},"uris":["http://www.mendeley.com/documents/?uuid=e2fe2693-f71a-3f27-9a35-2d6a47faa36a"]}],"mendeley":{"formattedCitation":"&lt;sup&gt;91&lt;/sup&gt;","plainTextFormattedCitation":"91","previouslyFormattedCitation":"&lt;sup&gt;91&lt;/sup&gt;"},"properties":{"noteIndex":0},"schema":"https://github.com/citation-style-language/schema/raw/master/csl-citation.json"}</w:instrText>
      </w:r>
      <w:r w:rsidR="00796FCC">
        <w:fldChar w:fldCharType="separate"/>
      </w:r>
      <w:r w:rsidR="00C554E1" w:rsidRPr="00C554E1">
        <w:rPr>
          <w:noProof/>
          <w:vertAlign w:val="superscript"/>
        </w:rPr>
        <w:t>91</w:t>
      </w:r>
      <w:r w:rsidR="00796FCC">
        <w:fldChar w:fldCharType="end"/>
      </w:r>
      <w:r w:rsidR="00796FCC">
        <w:t xml:space="preserve">. </w:t>
      </w:r>
      <w:r w:rsidR="005A3CE2">
        <w:t>Na základě tohoto mechanizmu způsobuje MGMT rezistenci na alkylační činidla a nádor tedy ztrácí senzitivitu na léčbu temozolomidem</w:t>
      </w:r>
      <w:r w:rsidR="005A3CE2">
        <w:fldChar w:fldCharType="begin" w:fldLock="1"/>
      </w:r>
      <w:r w:rsidR="00C554E1">
        <w:instrText>ADDIN CSL_CITATION {"citationItems":[{"id":"ITEM-1","itemData":{"DOI":"10.1007/s00432-012-1323-y","ISSN":"01715216","PMID":"23052697","abstract":"Background Significant progress has been made in the molecular diagnostic subtyping of brain tumors especially gliomas. Designing effective tailored therapy remains the cornerstone for delving into the molecular heterogeneity and classification of gliomas. More homogenous tumor populations may lead to more uniform tumor responses in particular molecular constellation. Recent decade has seen a surge of molecular markers of glioma which hold a promise and potential of being strong prognostic, predictive, and diagnostic markers. They are also extremely critical for the stratification of current clinical trails. Method Review of the pertinent literature regarding the molecular markers of glioma was performed. Methods of detection of these markers and their clinical relevance are also discussed. Results and conclusions This review provides an update on progress and perspectives of these newest set of biomarkers which can also supplement and refine histological classification and serves as important prognostic and predictive markers; particularly relevant in this aspect are O6-methylguanine-DNA methyltransferase promoter methylation, IDH1 mutations, and codeletion of 1p/19q. BRAF fusion/mutations and EGFR amplification provide important clues diagnostically. © Springer-Verlag Berlin Heidelberg 2012.","author":[{"dropping-particle":"","family":"Gupta","given":"Kirti","non-dropping-particle":"","parse-names":false,"suffix":""},{"dropping-particle":"","family":"Salunke","given":"Pravin","non-dropping-particle":"","parse-names":false,"suffix":""}],"container-title":"Journal of Cancer Research and Clinical Oncology","id":"ITEM-1","issue":"12","issued":{"date-parts":[["2012","12"]]},"page":"1971-1981","publisher":"J Cancer Res Clin Oncol","title":"Molecular markers of glioma: An update on recent progress and perspectives","type":"article","volume":"138"},"uris":["http://www.mendeley.com/documents/?uuid=02a2c381-550e-31e0-8e32-3146f3ad86b4"]}],"mendeley":{"formattedCitation":"&lt;sup&gt;83&lt;/sup&gt;","plainTextFormattedCitation":"83","previouslyFormattedCitation":"&lt;sup&gt;83&lt;/sup&gt;"},"properties":{"noteIndex":0},"schema":"https://github.com/citation-style-language/schema/raw/master/csl-citation.json"}</w:instrText>
      </w:r>
      <w:r w:rsidR="005A3CE2">
        <w:fldChar w:fldCharType="separate"/>
      </w:r>
      <w:r w:rsidR="00C554E1" w:rsidRPr="00C554E1">
        <w:rPr>
          <w:noProof/>
          <w:vertAlign w:val="superscript"/>
        </w:rPr>
        <w:t>83</w:t>
      </w:r>
      <w:r w:rsidR="005A3CE2">
        <w:fldChar w:fldCharType="end"/>
      </w:r>
      <w:r w:rsidR="005A3CE2">
        <w:t xml:space="preserve">. </w:t>
      </w:r>
    </w:p>
    <w:p w14:paraId="6FA4CA34" w14:textId="77777777" w:rsidR="00451F34" w:rsidRDefault="00451F34" w:rsidP="00EC4DAF">
      <w:pPr>
        <w:pStyle w:val="Odstavecseseznamem"/>
        <w:tabs>
          <w:tab w:val="left" w:pos="975"/>
        </w:tabs>
        <w:ind w:left="0"/>
        <w:jc w:val="both"/>
      </w:pPr>
    </w:p>
    <w:p w14:paraId="5C23A4C1" w14:textId="69D5FCCD" w:rsidR="00AC24C1" w:rsidRDefault="00375255" w:rsidP="00EC4DAF">
      <w:pPr>
        <w:pStyle w:val="Odstavecseseznamem"/>
        <w:tabs>
          <w:tab w:val="left" w:pos="975"/>
        </w:tabs>
        <w:ind w:left="0"/>
        <w:jc w:val="both"/>
      </w:pPr>
      <w:r w:rsidRPr="00091D5F">
        <w:rPr>
          <w:i/>
          <w:iCs/>
        </w:rPr>
        <w:t>MGMT</w:t>
      </w:r>
      <w:r>
        <w:t xml:space="preserve"> je epigeneticky regulován</w:t>
      </w:r>
      <w:r w:rsidR="003A5EE9">
        <w:t>a</w:t>
      </w:r>
      <w:r>
        <w:t xml:space="preserve"> skrze </w:t>
      </w:r>
      <w:r w:rsidR="00350DA3">
        <w:t>promotorovou metylaci</w:t>
      </w:r>
      <w:r>
        <w:t xml:space="preserve">, </w:t>
      </w:r>
      <w:r w:rsidR="00350DA3">
        <w:t xml:space="preserve">která byla </w:t>
      </w:r>
      <w:r>
        <w:t>nalezena u 40</w:t>
      </w:r>
      <w:r w:rsidR="00350DA3">
        <w:t xml:space="preserve"> </w:t>
      </w:r>
      <w:r>
        <w:t xml:space="preserve">% </w:t>
      </w:r>
      <w:r w:rsidR="00350DA3">
        <w:t xml:space="preserve">primárních </w:t>
      </w:r>
      <w:r>
        <w:t xml:space="preserve">GBM a </w:t>
      </w:r>
      <w:r w:rsidR="00350DA3">
        <w:t>70 % sekundárních GBM. Tato metylace byla popsána</w:t>
      </w:r>
      <w:r w:rsidR="00984082">
        <w:t xml:space="preserve"> u</w:t>
      </w:r>
      <w:r w:rsidR="00350DA3">
        <w:t xml:space="preserve"> poloviny astrocytomů a dvou třetin oligodendrogliomů a oligoastrocytomů</w:t>
      </w:r>
      <w:r w:rsidR="00350DA3">
        <w:fldChar w:fldCharType="begin" w:fldLock="1"/>
      </w:r>
      <w:r w:rsidR="00C554E1">
        <w:instrText>ADDIN CSL_CITATION {"citationItems":[{"id":"ITEM-1","itemData":{"DOI":"10.1038/nrneurol.2009.197","ISSN":"17594758","PMID":"19997073","abstract":"The DNA repair enzyme O6-methylguanine-DNA methyltransferase (MGMT) antagonizes the genotoxic effects of alkylating agents. MGMT promoter methylation is the key mechanism of MGMT gene silencing and predicts a favorable outcome in patients with glioblastoma who are exposed to alkylating agent chemotherapy. This biomarker is on the verge of entering clinical decision-making and is currently used to stratify or even select glioblastoma patients for clinical trials. In other subtypes of glioma, such as anaplastic gliomas, the relevance of MGMT promoter methylation might extend beyond the prediction of chemosensitivity, and could reflect a distinct molecular profile. Here, we review the most commonly used assays for evaluation of MGMT status, outline the prerequisites for standardized tests, and evaluate reasons for difficulties in reproducibility. We critically discuss the prognostic and predictive value of MGMT silencing, reviewing trials in which patients with different types of glioma were treated with various chemotherapy schedules, either upfront or at recurrence. Standardization of MGMT testing requires comparison of different technologies across laboratories and prospectively validated cut-off values for prognostic or predictive effects. Moreover, future clinical trials will need to determine, for each subtype of glioma, the degree to which MGMT promoter methylation is predictive or prognostic, and whether testing should become routine clinical practice. © 2010 Macmillan Publishers Limited. All rights reserved.","author":[{"dropping-particle":"","family":"Weller","given":"Michael","non-dropping-particle":"","parse-names":false,"suffix":""},{"dropping-particle":"","family":"Stupp","given":"Roger","non-dropping-particle":"","parse-names":false,"suffix":""},{"dropping-particle":"","family":"Reifenberger","given":"Guido","non-dropping-particle":"","parse-names":false,"suffix":""},{"dropping-particle":"","family":"Brandes","given":"Alba A.","non-dropping-particle":"","parse-names":false,"suffix":""},{"dropping-particle":"","family":"Bent","given":"Martin J.","non-dropping-particle":"Van Den","parse-names":false,"suffix":""},{"dropping-particle":"","family":"Wick","given":"Wolfgang","non-dropping-particle":"","parse-names":false,"suffix":""},{"dropping-particle":"","family":"Hegi","given":"Monika E.","non-dropping-particle":"","parse-names":false,"suffix":""}],"container-title":"Nature Reviews Neurology","id":"ITEM-1","issue":"1","issued":{"date-parts":[["2010","1"]]},"page":"39-51","publisher":"Nat Rev Neurol","title":"MGMT promoter methylation in malignant gliomas: Ready for personalized medicine?","type":"article","volume":"6"},"uris":["http://www.mendeley.com/documents/?uuid=2982c990-0570-3a05-a6fc-e0a5d174f7e2"]}],"mendeley":{"formattedCitation":"&lt;sup&gt;92&lt;/sup&gt;","plainTextFormattedCitation":"92","previouslyFormattedCitation":"&lt;sup&gt;92&lt;/sup&gt;"},"properties":{"noteIndex":0},"schema":"https://github.com/citation-style-language/schema/raw/master/csl-citation.json"}</w:instrText>
      </w:r>
      <w:r w:rsidR="00350DA3">
        <w:fldChar w:fldCharType="separate"/>
      </w:r>
      <w:r w:rsidR="00C554E1" w:rsidRPr="00C554E1">
        <w:rPr>
          <w:noProof/>
          <w:vertAlign w:val="superscript"/>
        </w:rPr>
        <w:t>92</w:t>
      </w:r>
      <w:r w:rsidR="00350DA3">
        <w:fldChar w:fldCharType="end"/>
      </w:r>
      <w:r w:rsidR="00350DA3">
        <w:t xml:space="preserve">. </w:t>
      </w:r>
      <w:r w:rsidR="003A5EE9">
        <w:t xml:space="preserve">Metylace </w:t>
      </w:r>
      <w:r w:rsidR="00AC24C1">
        <w:t>MGMT je využíván</w:t>
      </w:r>
      <w:r w:rsidR="00044845">
        <w:t>a</w:t>
      </w:r>
      <w:r w:rsidR="00AC24C1">
        <w:t xml:space="preserve"> jako </w:t>
      </w:r>
      <w:r w:rsidR="003E345B">
        <w:t xml:space="preserve">prediktivní </w:t>
      </w:r>
      <w:r w:rsidR="00AC24C1">
        <w:t>molekulární marker</w:t>
      </w:r>
      <w:r w:rsidR="003E345B">
        <w:t xml:space="preserve"> odpovědi na alkylační chemoterapii temozolomidem u glioblastomů</w:t>
      </w:r>
      <w:r w:rsidR="00451F34">
        <w:fldChar w:fldCharType="begin" w:fldLock="1"/>
      </w:r>
      <w:r w:rsidR="00917DAF">
        <w:instrText>ADDIN CSL_CITATION {"citationItems":[{"id":"ITEM-1","itemData":{"DOI":"10.1056/nejmoa043330","ISSN":"0028-4793","PMID":"15758009","abstract":"BACKGROUND Glioblastoma, the most common primary brain tumor in adults, is usually rapidly fatal. The current standard of care for newly diagnosed glioblastoma is surgical resection to the extent feasible, followed by adjuvant radiotherapy. In this trial we compared radiotherapy alone with radiotherapy plus temozolomide, given concomitantly with and after radiotherapy, in terms of efficacy and safety. METHODS Patients with newly diagnosed, histologically confirmed glioblastoma were randomly assigned to receive radiotherapy alone (fractionated focal irradiation in daily fractions of 2 Gy given 5 days per week for 6 weeks, for a total of 60 Gy) or radiotherapy plus continuous daily temozolomide (75 mg per square meter of body-surface area per day, 7 days per week from the first to the last day of radiotherapy), followed by six cycles of adjuvant temozolomide (150 to 200 mg per square meter for 5 days during each 28-day cycle). The primary end point was overall survival. RESULTS A total of 573 patients from 85 centers underwent randomization. The median age was 56 years, and 84 percent of patients had undergone debulking surgery. At a median follow-up of 28 months, the median survival was 14.6 months with radiotherapy plus temozolomide and 12.1 months with radiotherapy alone. The unadjusted hazard ratio for death in the radiotherapy-plus-temozolomide group was 0.63 (95 percent confidence interval, 0.52 to 0.75; P&lt;0.001 by the log-rank test). The two-year survival rate was 26.5 percent with radiotherapy plus temozolomide and 10.4 percent with radiotherapy alone. Concomitant treatment with radiotherapy plus temozolomide resulted in grade 3 or 4 hematologic toxic effects in 7 percent of patients. CONCLUSIONS The addition of temozolomide to radiotherapy for newly diagnosed glioblastoma resulted in a clinically meaningful and statistically significant survival benefit with minimal additional toxicity.","author":[{"dropping-particle":"","family":"Stupp","given":"Roger","non-dropping-particle":"","parse-names":false,"suffix":""},{"dropping-particle":"","family":"Mason","given":"Warren P.","non-dropping-particle":"","parse-names":false,"suffix":""},{"dropping-particle":"","family":"Bent","given":"Martin J.","non-dropping-particle":"van den","parse-names":false,"suffix":""},{"dropping-particle":"","family":"Weller","given":"Michael","non-dropping-particle":"","parse-names":false,"suffix":""},{"dropping-particle":"","family":"Fisher","given":"Barbara","non-dropping-particle":"","parse-names":false,"suffix":""},{"dropping-particle":"","family":"Taphoorn","given":"Martin J.B.","non-dropping-particle":"","parse-names":false,"suffix":""},{"dropping-particle":"","family":"Belanger","given":"Karl","non-dropping-particle":"","parse-names":false,"suffix":""},{"dropping-particle":"","family":"Brandes","given":"Alba A.","non-dropping-particle":"","parse-names":false,"suffix":""},{"dropping-particle":"","family":"Marosi","given":"Christine","non-dropping-particle":"","parse-names":false,"suffix":""},{"dropping-particle":"","family":"Bogdahn","given":"Ulrich","non-dropping-particle":"","parse-names":false,"suffix":""},{"dropping-particle":"","family":"Curschmann","given":"Jürgen","non-dropping-particle":"","parse-names":false,"suffix":""},{"dropping-particle":"","family":"Janzer","given":"Robert C.","non-dropping-particle":"","parse-names":false,"suffix":""},{"dropping-particle":"","family":"Ludwin","given":"Samuel K.","non-dropping-particle":"","parse-names":false,"suffix":""},{"dropping-particle":"","family":"Gorlia","given":"Thierry","non-dropping-particle":"","parse-names":false,"suffix":""},{"dropping-particle":"","family":"Allgeier","given":"Anouk","non-dropping-particle":"","parse-names":false,"suffix":""},{"dropping-particle":"","family":"Lacombe","given":"Denis","non-dropping-particle":"","parse-names":false,"suffix":""},{"dropping-particle":"","family":"Cairncross","given":"J. Gregory","non-dropping-particle":"","parse-names":false,"suffix":""},{"dropping-particle":"","family":"Eisenhauer","given":"Elizabeth","non-dropping-particle":"","parse-names":false,"suffix":""},{"dropping-particle":"","family":"Mirimanoff","given":"René O.","non-dropping-particle":"","parse-names":false,"suffix":""}],"container-title":"New England Journal of Medicine","id":"ITEM-1","issue":"10","issued":{"date-parts":[["2005","3","10"]]},"page":"987-996","publisher":"New England Journal of Medicine (NEJM/MMS)","title":"Radiotherapy plus Concomitant and Adjuvant Temozolomide for Glioblastoma","type":"article-journal","volume":"352"},"uris":["http://www.mendeley.com/documents/?uuid=ef49b4ae-02af-3f91-8906-1ecc6a9accc8"]}],"mendeley":{"formattedCitation":"&lt;sup&gt;33&lt;/sup&gt;","plainTextFormattedCitation":"33","previouslyFormattedCitation":"&lt;sup&gt;33&lt;/sup&gt;"},"properties":{"noteIndex":0},"schema":"https://github.com/citation-style-language/schema/raw/master/csl-citation.json"}</w:instrText>
      </w:r>
      <w:r w:rsidR="00451F34">
        <w:fldChar w:fldCharType="separate"/>
      </w:r>
      <w:r w:rsidR="00917DAF" w:rsidRPr="00917DAF">
        <w:rPr>
          <w:noProof/>
          <w:vertAlign w:val="superscript"/>
        </w:rPr>
        <w:t>33</w:t>
      </w:r>
      <w:r w:rsidR="00451F34">
        <w:fldChar w:fldCharType="end"/>
      </w:r>
      <w:r w:rsidR="003E345B">
        <w:t xml:space="preserve">. </w:t>
      </w:r>
      <w:r w:rsidR="00451F34">
        <w:t xml:space="preserve">Metylace </w:t>
      </w:r>
      <w:r w:rsidR="00451F34" w:rsidRPr="005A1331">
        <w:rPr>
          <w:i/>
          <w:iCs/>
        </w:rPr>
        <w:t>MGMT</w:t>
      </w:r>
      <w:r w:rsidR="00451F34">
        <w:t xml:space="preserve"> promoto</w:t>
      </w:r>
      <w:r w:rsidR="00044845">
        <w:t>r</w:t>
      </w:r>
      <w:r w:rsidR="00451F34">
        <w:t xml:space="preserve">u u </w:t>
      </w:r>
      <w:r w:rsidR="00451F34" w:rsidRPr="005A1331">
        <w:rPr>
          <w:i/>
          <w:iCs/>
        </w:rPr>
        <w:t>IDH</w:t>
      </w:r>
      <w:r w:rsidR="00451F34">
        <w:t xml:space="preserve"> wildtype gliomů se jeví jako významný prediktivní marker</w:t>
      </w:r>
      <w:r w:rsidR="00044845">
        <w:t>, ačkoli se nijak nepro</w:t>
      </w:r>
      <w:r w:rsidR="00A92AE3">
        <w:t>s</w:t>
      </w:r>
      <w:r w:rsidR="00044845">
        <w:t>adil do</w:t>
      </w:r>
      <w:r w:rsidR="00A92AE3">
        <w:t xml:space="preserve"> nové</w:t>
      </w:r>
      <w:r w:rsidR="00044845">
        <w:t xml:space="preserve"> klasifikace gliálních nádorů</w:t>
      </w:r>
      <w:r w:rsidR="00451F34">
        <w:fldChar w:fldCharType="begin" w:fldLock="1"/>
      </w:r>
      <w:r w:rsidR="00C554E1">
        <w:instrText>ADDIN CSL_CITATION {"citationItems":[{"id":"ITEM-1","itemData":{"DOI":"10.1212/WNL.0b013e3182a95680","ISSN":"1526632X","PMID":"24068788","abstract":"Objective: To explore whether the isocitrate dehydrogenase 1 (IDH1) or 1p/19q status determines the prognostic vs predictive role of O6-methylguanine-DNA methyltransferase (MGMT) promoter methylation in the Neuro-Oncology Working Group of the German Cancer Society (NOA)-04 trial anaplastic glioma biomarker cohort. Methods: Patients (n = 183) of the NOA-04 trial with known MGMT and IDH1 status were analyzed for interdependency of the prognostic vs predictive role of MGMT promoter methylation from IDH1 or 1p/19q status and treatment, using progression-free survival (PFS) as an endpoint. An independent validation cohort of the German Glioma Network (n = 75) and the NOA-08 trial (n = 34) served as a confirmation cohort. Results: In tumors with IDH1 mutation, MGMT promoter methylation was associated with prolonged PFS with chemotherapy ± radiotherapy (RT) or RT-only groups, and is thus prognostic. In tumors without IDH1 mutation, MGMT promoter methylation was associated with increased PFS in patients treated with chemotherapy, but not in those who received RT alone as the first-line treatment, and is thus chemotherapy-predictive. In contrast, 1p/19q codeletions showed no such association with the prognostic vs predictive value of MGMT. Conclusions: MGMT promoter methylation is a predictive biomarker for benefit from alkylating agent chemotherapy in patients with IDH1-wild-type, but not IDH1-mutant, malignant gliomas of World Health Organization grades III/IV. Combined IDH1/MGMT assessment may help to individualize clinical decision-making in neuro-oncology. © 2013 American Academy of Neurology.","author":[{"dropping-particle":"","family":"Wick","given":"Wolfgang","non-dropping-particle":"","parse-names":false,"suffix":""},{"dropping-particle":"","family":"Meisner","given":"Christoph","non-dropping-particle":"","parse-names":false,"suffix":""},{"dropping-particle":"","family":"Hentschel","given":"Bettina","non-dropping-particle":"","parse-names":false,"suffix":""},{"dropping-particle":"","family":"Platten","given":"Michael","non-dropping-particle":"","parse-names":false,"suffix":""},{"dropping-particle":"","family":"Schilling","given":"Alissa","non-dropping-particle":"","parse-names":false,"suffix":""},{"dropping-particle":"","family":"Wiestler","given":"Benedikt","non-dropping-particle":"","parse-names":false,"suffix":""},{"dropping-particle":"","family":"Sabel","given":"Michael C.","non-dropping-particle":"","parse-names":false,"suffix":""},{"dropping-particle":"","family":"Koeppen","given":"Susanne","non-dropping-particle":"","parse-names":false,"suffix":""},{"dropping-particle":"","family":"Ketter","given":"Ralf","non-dropping-particle":"","parse-names":false,"suffix":""},{"dropping-particle":"","family":"Weiler","given":"Markus","non-dropping-particle":"","parse-names":false,"suffix":""},{"dropping-particle":"","family":"Tabatabai","given":"Ghazaleh","non-dropping-particle":"","parse-names":false,"suffix":""},{"dropping-particle":"","family":"Deimling","given":"Andreas","non-dropping-particle":"Von","parse-names":false,"suffix":""},{"dropping-particle":"","family":"Gramatzki","given":"Dorothee","non-dropping-particle":"","parse-names":false,"suffix":""},{"dropping-particle":"","family":"Westphal","given":"Manfred","non-dropping-particle":"","parse-names":false,"suffix":""},{"dropping-particle":"","family":"Schackert","given":"Gabriele","non-dropping-particle":"","parse-names":false,"suffix":""},{"dropping-particle":"","family":"Loeffler","given":"Markus","non-dropping-particle":"","parse-names":false,"suffix":""},{"dropping-particle":"","family":"Simon","given":"Matthias","non-dropping-particle":"","parse-names":false,"suffix":""},{"dropping-particle":"","family":"Reifenberger","given":"Guido","non-dropping-particle":"","parse-names":false,"suffix":""},{"dropping-particle":"","family":"Weller","given":"Michael","non-dropping-particle":"","parse-names":false,"suffix":""}],"container-title":"Neurology","id":"ITEM-1","issue":"17","issued":{"date-parts":[["2013","10","22"]]},"page":"1515-1522","publisher":"Lippincott Williams and Wilkins","title":"Prognostic or predictive value of MGMT promoter methylation in gliomas depends on IDH1 mutation","type":"article-journal","volume":"81"},"uris":["http://www.mendeley.com/documents/?uuid=fdb79541-e5b0-3e41-84ec-ff0b9765684f"]}],"mendeley":{"formattedCitation":"&lt;sup&gt;93&lt;/sup&gt;","plainTextFormattedCitation":"93","previouslyFormattedCitation":"&lt;sup&gt;93&lt;/sup&gt;"},"properties":{"noteIndex":0},"schema":"https://github.com/citation-style-language/schema/raw/master/csl-citation.json"}</w:instrText>
      </w:r>
      <w:r w:rsidR="00451F34">
        <w:fldChar w:fldCharType="separate"/>
      </w:r>
      <w:r w:rsidR="00C554E1" w:rsidRPr="00C554E1">
        <w:rPr>
          <w:noProof/>
          <w:vertAlign w:val="superscript"/>
        </w:rPr>
        <w:t>93</w:t>
      </w:r>
      <w:r w:rsidR="00451F34">
        <w:fldChar w:fldCharType="end"/>
      </w:r>
      <w:r w:rsidR="00451F34">
        <w:t xml:space="preserve">. </w:t>
      </w:r>
    </w:p>
    <w:p w14:paraId="16C83515" w14:textId="70043B2C" w:rsidR="00451F34" w:rsidRDefault="00451F34" w:rsidP="00EC4DAF">
      <w:pPr>
        <w:pStyle w:val="Odstavecseseznamem"/>
        <w:tabs>
          <w:tab w:val="left" w:pos="975"/>
        </w:tabs>
        <w:ind w:left="0"/>
        <w:jc w:val="both"/>
      </w:pPr>
    </w:p>
    <w:p w14:paraId="6D5F023D" w14:textId="76C9076E" w:rsidR="00451F34" w:rsidRPr="00AC24C1" w:rsidRDefault="00D42ABA" w:rsidP="00EC4DAF">
      <w:pPr>
        <w:pStyle w:val="Odstavecseseznamem"/>
        <w:tabs>
          <w:tab w:val="left" w:pos="975"/>
        </w:tabs>
        <w:ind w:left="0"/>
        <w:jc w:val="both"/>
      </w:pPr>
      <w:r>
        <w:t>I přesto, že je tento marker znám už přes dvacet let, doposud nebyl</w:t>
      </w:r>
      <w:r w:rsidR="00CA5B50">
        <w:t>a</w:t>
      </w:r>
      <w:r>
        <w:t xml:space="preserve"> stanoven</w:t>
      </w:r>
      <w:r w:rsidR="00033C38">
        <w:t>a</w:t>
      </w:r>
      <w:r>
        <w:t xml:space="preserve"> </w:t>
      </w:r>
      <w:r w:rsidR="00CA5B50">
        <w:t>hlavní</w:t>
      </w:r>
      <w:r>
        <w:t xml:space="preserve"> </w:t>
      </w:r>
      <w:r w:rsidR="00CA5B50">
        <w:t>m</w:t>
      </w:r>
      <w:r>
        <w:t xml:space="preserve">etoda </w:t>
      </w:r>
      <w:r w:rsidR="00CA5B50">
        <w:t>p</w:t>
      </w:r>
      <w:r>
        <w:t xml:space="preserve">ro zhodnocení metylace </w:t>
      </w:r>
      <w:r w:rsidRPr="005A1331">
        <w:rPr>
          <w:i/>
          <w:iCs/>
        </w:rPr>
        <w:t>MGMT</w:t>
      </w:r>
      <w:r>
        <w:t xml:space="preserve">. </w:t>
      </w:r>
      <w:r w:rsidR="00392E4B">
        <w:t>Nejvyužívanější metoda detekce je metylačně specifická PCR</w:t>
      </w:r>
      <w:r w:rsidR="00CA5B50">
        <w:t xml:space="preserve"> spolu s pyrosekvenováním, kdy mají obě metody stejnou citlivost</w:t>
      </w:r>
      <w:r w:rsidR="00CA5B50">
        <w:fldChar w:fldCharType="begin" w:fldLock="1"/>
      </w:r>
      <w:r w:rsidR="00C554E1">
        <w:instrText>ADDIN CSL_CITATION {"citationItems":[{"id":"ITEM-1","itemData":{"DOI":"10.1038/s41598-019-47642-2","ISSN":"20452322","PMID":"31366977","abstract":"Circulating biomarkers in blood may provide an interesting alternative to risky tissue biopsies in the diagnosis and follow-up of glioblastoma patients. We have assessed MGMT methylation status in blood and tissue samples from unresected glioblastoma patients who had been included in the randomized GENOM-009 trial. Paired blood and tissue samples were assessed by methylation-specific PCR (MSP) and pyrosequencing (PYR). After establishing the minimum PYR cut-off that could yield a significant difference in overall survival, we assessed the sensitivity, specificity, positive predictive value and negative predictive value (NPV) of the analyses. Methylation could be detected in cfDNA by both MSP and PYR but with low concordance with results in tissue. Sensitivity was low for both methods (31% and 38%, respectively), while specificity was higher for MSP in blood than for PYR in plasma (96% vs 76%) and NPV was similar (56 vs 57%). Concordance of results in tissue by MSP and PYR was 84.3% (P &lt; 0.001) and correlated with outcome. We conclude that detection of cfDNA in the blood of glioblastoma patients can be an alternative when tumor tissue is not available but methods for the detection of cfDNA in blood must improve before it can replace analysis in tumor tissue.","author":[{"dropping-particle":"","family":"Estival","given":"Anna","non-dropping-particle":"","parse-names":false,"suffix":""},{"dropping-particle":"","family":"Sanz","given":"Carolina","non-dropping-particle":"","parse-names":false,"suffix":""},{"dropping-particle":"","family":"Ramirez","given":"Jose Luis","non-dropping-particle":"","parse-names":false,"suffix":""},{"dropping-particle":"","family":"Velarde","given":"Jose Maria","non-dropping-particle":"","parse-names":false,"suffix":""},{"dropping-particle":"","family":"Domenech","given":"Marta","non-dropping-particle":"","parse-names":false,"suffix":""},{"dropping-particle":"","family":"Carrato","given":"Cristina","non-dropping-particle":"","parse-names":false,"suffix":""},{"dropping-particle":"","family":"Las Peñas","given":"Ramón","non-dropping-particle":"de","parse-names":false,"suffix":""},{"dropping-particle":"","family":"Gil-Gil","given":"Miguel","non-dropping-particle":"","parse-names":false,"suffix":""},{"dropping-particle":"","family":"Sepúlveda","given":"Juan","non-dropping-particle":"","parse-names":false,"suffix":""},{"dropping-particle":"","family":"Armengol","given":"Roser","non-dropping-particle":"","parse-names":false,"suffix":""},{"dropping-particle":"","family":"Cardiel","given":"Isaac","non-dropping-particle":"","parse-names":false,"suffix":""},{"dropping-particle":"","family":"Berrocal","given":"Alfonso","non-dropping-particle":"","parse-names":false,"suffix":""},{"dropping-particle":"","family":"Luque","given":"Raquel","non-dropping-particle":"","parse-names":false,"suffix":""},{"dropping-particle":"","family":"Herrero","given":"Ana","non-dropping-particle":"","parse-names":false,"suffix":""},{"dropping-particle":"","family":"Balana","given":"Carmen","non-dropping-particle":"","parse-names":false,"suffix":""}],"container-title":"Scientific reports","id":"ITEM-1","issue":"1","issued":{"date-parts":[["2019","7","31"]]},"page":"11125","publisher":"NLM (Medline)","title":"Pyrosequencing versus methylation-specific PCR for assessment of MGMT methylation in tumor and blood samples of glioblastoma patients","type":"article-journal","volume":"9"},"uris":["http://www.mendeley.com/documents/?uuid=ceca133c-97b0-304c-8a07-e386003cd185"]}],"mendeley":{"formattedCitation":"&lt;sup&gt;94&lt;/sup&gt;","plainTextFormattedCitation":"94","previouslyFormattedCitation":"&lt;sup&gt;94&lt;/sup&gt;"},"properties":{"noteIndex":0},"schema":"https://github.com/citation-style-language/schema/raw/master/csl-citation.json"}</w:instrText>
      </w:r>
      <w:r w:rsidR="00CA5B50">
        <w:fldChar w:fldCharType="separate"/>
      </w:r>
      <w:r w:rsidR="00C554E1" w:rsidRPr="00C554E1">
        <w:rPr>
          <w:noProof/>
          <w:vertAlign w:val="superscript"/>
        </w:rPr>
        <w:t>94</w:t>
      </w:r>
      <w:r w:rsidR="00CA5B50">
        <w:fldChar w:fldCharType="end"/>
      </w:r>
      <w:r w:rsidR="00CA5B50">
        <w:t>. O</w:t>
      </w:r>
      <w:r w:rsidR="00044845">
        <w:t xml:space="preserve">statní metody PCR </w:t>
      </w:r>
      <w:r w:rsidR="00CA5B50">
        <w:t>nebo</w:t>
      </w:r>
      <w:r w:rsidR="00044845">
        <w:t xml:space="preserve"> stanovení proteinu pomocí imunohistochemie či Western Blottingu se využívají pouze sporadicky</w:t>
      </w:r>
      <w:r>
        <w:fldChar w:fldCharType="begin" w:fldLock="1"/>
      </w:r>
      <w:r w:rsidR="00C554E1">
        <w:instrText>ADDIN CSL_CITATION {"citationItems":[{"id":"ITEM-1","itemData":{"DOI":"10.1073/pnas.93.18.9821","ISSN":"00278424","PMID":"8790415","abstract":"Precise mapping of DNA methylation patterns in CpG islands has become essential for understanding diverse biological processes such as the regulation of imprinted genes, X chromosome inactivation, and tumor suppressor gene silencing in human cancer. We describe a new method, MSP (methylation-specific PCR), which can rapidly assess the methylation status of virtually any group of CpG sites within a CpG island, independent of the use of methylation-sensitive restriction enzymes. This assay entails initial modification of DNA by sodium bisulfite, converting all unmethylated, but not methylated, cytosines to uracil, and subsequent amplification with primers specific for methylated versus unmethylated DNA. MSP requires only small quantities of DNA, is sensitive to 0.1% methylated alleles of a given CpG island locus, and can be performed on DNA extracted from paraffin-embedded samples. MSP eliminates the false positive results inherent to previous PCR- based approaches which relied on differential restriction enzyme cleavage to distinguish methylated from unmethylated DNA. In this study, we demonstrate the use of MSP to identify promoter region hypermethylation changes associated with transcriptional inactivation in four important tumor suppressor genes (p16, p15, E-cadherin, and von Hippel-Lindau) in human cancer.","author":[{"dropping-particle":"","family":"Herman","given":"James G.","non-dropping-particle":"","parse-names":false,"suffix":""},{"dropping-particle":"","family":"Graff","given":"Jeremy R.","non-dropping-particle":"","parse-names":false,"suffix":""},{"dropping-particle":"","family":"Myöhänen","given":"Sanna","non-dropping-particle":"","parse-names":false,"suffix":""},{"dropping-particle":"","family":"Nelkin","given":"Barry D.","non-dropping-particle":"","parse-names":false,"suffix":""},{"dropping-particle":"","family":"Baylin","given":"Stephen B.","non-dropping-particle":"","parse-names":false,"suffix":""}],"container-title":"Proceedings of the National Academy of Sciences of the United States of America","id":"ITEM-1","issue":"18","issued":{"date-parts":[["1996","9","3"]]},"page":"9821-9826","publisher":"National Academy of Sciences","title":"Methylation-specific PCR: A novel PCR assay for methylation status of CpG islands","type":"article-journal","volume":"93"},"uris":["http://www.mendeley.com/documents/?uuid=fb05ebd2-7d23-3edd-8e27-d4c6fd0b24a4"]}],"mendeley":{"formattedCitation":"&lt;sup&gt;95&lt;/sup&gt;","plainTextFormattedCitation":"95","previouslyFormattedCitation":"&lt;sup&gt;95&lt;/sup&gt;"},"properties":{"noteIndex":0},"schema":"https://github.com/citation-style-language/schema/raw/master/csl-citation.json"}</w:instrText>
      </w:r>
      <w:r>
        <w:fldChar w:fldCharType="separate"/>
      </w:r>
      <w:r w:rsidR="00C554E1" w:rsidRPr="00C554E1">
        <w:rPr>
          <w:noProof/>
          <w:vertAlign w:val="superscript"/>
        </w:rPr>
        <w:t>95</w:t>
      </w:r>
      <w:r>
        <w:fldChar w:fldCharType="end"/>
      </w:r>
      <w:r w:rsidR="00044845">
        <w:t xml:space="preserve">. </w:t>
      </w:r>
    </w:p>
    <w:p w14:paraId="3DBE0639" w14:textId="77777777" w:rsidR="00AC24C1" w:rsidRPr="00AC24C1" w:rsidRDefault="00AC24C1" w:rsidP="00EC4DAF"/>
    <w:p w14:paraId="3403E4C8" w14:textId="4201F371" w:rsidR="00564F14" w:rsidRDefault="00A344B6" w:rsidP="00A92FFD">
      <w:pPr>
        <w:pStyle w:val="Nadpis4"/>
      </w:pPr>
      <w:bookmarkStart w:id="45" w:name="_Toc88741470"/>
      <w:r>
        <w:t>Mutace genu</w:t>
      </w:r>
      <w:r w:rsidR="00B80044">
        <w:t xml:space="preserve"> </w:t>
      </w:r>
      <w:r w:rsidR="00DC70B8" w:rsidRPr="005A1331">
        <w:rPr>
          <w:i/>
        </w:rPr>
        <w:t>EGFR</w:t>
      </w:r>
      <w:bookmarkEnd w:id="45"/>
    </w:p>
    <w:p w14:paraId="738A3708" w14:textId="68E4459E" w:rsidR="000E5A6C" w:rsidRPr="00F8313D" w:rsidRDefault="00033559" w:rsidP="00EC4DAF">
      <w:pPr>
        <w:pStyle w:val="Odstavecseseznamem"/>
        <w:ind w:left="0"/>
        <w:jc w:val="both"/>
      </w:pPr>
      <w:r w:rsidRPr="00F8313D">
        <w:t>EGFR1 je transmembránová tyrosin kináza umístěná v chromozomální oblasti 7p12. Do rodiny těchto receptorů patří EGFR2, EGFR3 a EGFR4, avšak v kontextu gliálních nádorů se sleduje zejména EGFR1</w:t>
      </w:r>
      <w:r w:rsidR="00352CCE" w:rsidRPr="00F8313D">
        <w:fldChar w:fldCharType="begin" w:fldLock="1"/>
      </w:r>
      <w:r w:rsidR="00C554E1">
        <w:instrText>ADDIN CSL_CITATION {"citationItems":[{"id":"ITEM-1","itemData":{"DOI":"10.1172/JCI32278","ISSN":"00219738","PMID":"17671639","abstract":"Understanding the genetic origin of cancer at the molecular level has facilitated the development of novel targeted therapies. Aberrant activation of the ErbB family of receptors is implicated in many human cancers and is already the target of several anticancer therapeutics. The use of mAbs specific for the extracellular domain of ErbB receptors was the first implementation of rational targeted therapy. The cytoplasmic tyrosine kinase domain is also a preferred target for small compounds that inhibit the kinase activity of these receptors. However, current therapy has not yet been optimized, allowing for opportunities for optimization of the next generation of targeted therapy, particularly with regards to inhibiting heteromeric ErbB family receptor complexes.","author":[{"dropping-particle":"","family":"Zhang","given":"Hongtao","non-dropping-particle":"","parse-names":false,"suffix":""},{"dropping-particle":"","family":"Berezov","given":"Alan","non-dropping-particle":"","parse-names":false,"suffix":""},{"dropping-particle":"","family":"Wang","given":"Qiang","non-dropping-particle":"","parse-names":false,"suffix":""},{"dropping-particle":"","family":"Zhang","given":"Geng","non-dropping-particle":"","parse-names":false,"suffix":""},{"dropping-particle":"","family":"Drebin","given":"Jeffrey","non-dropping-particle":"","parse-names":false,"suffix":""},{"dropping-particle":"","family":"Murali","given":"Ramachandran","non-dropping-particle":"","parse-names":false,"suffix":""},{"dropping-particle":"","family":"Greene","given":"Mark I.","non-dropping-particle":"","parse-names":false,"suffix":""}],"container-title":"Journal of Clinical Investigation","id":"ITEM-1","issue":"8","issued":{"date-parts":[["2007","8","1"]]},"page":"2051-2058","publisher":"American Society for Clinical Investigation","title":"ErbB receptors: From oncogenes to targeted cancer therapies","type":"article","volume":"117"},"uris":["http://www.mendeley.com/documents/?uuid=0c9e7a7b-7a4c-3d49-b8ac-0dc52ac1d976"]}],"mendeley":{"formattedCitation":"&lt;sup&gt;96&lt;/sup&gt;","plainTextFormattedCitation":"96","previouslyFormattedCitation":"&lt;sup&gt;96&lt;/sup&gt;"},"properties":{"noteIndex":0},"schema":"https://github.com/citation-style-language/schema/raw/master/csl-citation.json"}</w:instrText>
      </w:r>
      <w:r w:rsidR="00352CCE" w:rsidRPr="00F8313D">
        <w:fldChar w:fldCharType="separate"/>
      </w:r>
      <w:r w:rsidR="00C554E1" w:rsidRPr="00C554E1">
        <w:rPr>
          <w:noProof/>
          <w:vertAlign w:val="superscript"/>
        </w:rPr>
        <w:t>96</w:t>
      </w:r>
      <w:r w:rsidR="00352CCE" w:rsidRPr="00F8313D">
        <w:fldChar w:fldCharType="end"/>
      </w:r>
      <w:r w:rsidRPr="00F8313D">
        <w:t>. EGFR1 kináza je aktivována vazbou ligandu epidermálního růstov</w:t>
      </w:r>
      <w:r w:rsidR="003A5EE9">
        <w:t>ého</w:t>
      </w:r>
      <w:r w:rsidRPr="00F8313D">
        <w:t xml:space="preserve"> faktoru, </w:t>
      </w:r>
      <w:r w:rsidRPr="009165EA">
        <w:t>popřípadě TGFα (</w:t>
      </w:r>
      <w:r w:rsidR="001E77FF">
        <w:t>T</w:t>
      </w:r>
      <w:r w:rsidRPr="00F8313D">
        <w:t xml:space="preserve">ransforming </w:t>
      </w:r>
      <w:r w:rsidR="001E77FF">
        <w:t>Growth F</w:t>
      </w:r>
      <w:r w:rsidRPr="00F8313D">
        <w:t xml:space="preserve">actor) nebo jiných raritnějších ligandů. </w:t>
      </w:r>
      <w:r w:rsidR="00352CCE" w:rsidRPr="00F8313D">
        <w:t>Po následné aktivaci dochází k dimerizaci receptoru, autofosforylaci tyrosinových zbytků a aktivaci proteinů v kaskádě</w:t>
      </w:r>
      <w:r w:rsidR="00352CCE" w:rsidRPr="00F8313D">
        <w:fldChar w:fldCharType="begin" w:fldLock="1"/>
      </w:r>
      <w:r w:rsidR="00C554E1">
        <w:instrText>ADDIN CSL_CITATION {"citationItems":[{"id":"ITEM-1","itemData":{"DOI":"10.1038/311483a0","ISSN":"00280836","PMID":"6090945","abstract":"The epidermal growth factor (EGF) receptor is a tyrosine-specific protein kinase with autophosphorylating activity1-4. A 300 amino acid-long region of the receptor's cytoplasmic domain matches (35-90 % homology) sequences of transforming proteins from the src family5 and includes a putative nucleotide binding site6. Several of the src transforming proteins have tyrosine kinase activity7, but v-erb-B, which appears to be a truncated EGF receptor, is virtually identical to the receptor over this region and yet lacks detectable kinase activity8,9. To locate possible acceptor sites in the v-erb-B protein, we have mapped these sites in the human EGF receptor. We report here that three tyrosine sites near the C-terminus are phosphorylated in vitro. In intact cells, we find that EGF stimulates phosphorylation of several sites, the tyrosine 14 residues from the C-terminus being modified the most extensively. The equivalent site is absent in the v-erb-B protein of avian erythroblastosis virus (AEV) and may influence tyrosine kinase activity10,11. © 1984 Nature Publishing Group.","author":[{"dropping-particle":"","family":"Downward","given":"J.","non-dropping-particle":"","parse-names":false,"suffix":""},{"dropping-particle":"","family":"Parker","given":"P.","non-dropping-particle":"","parse-names":false,"suffix":""},{"dropping-particle":"","family":"Waterfield","given":"M. D.","non-dropping-particle":"","parse-names":false,"suffix":""}],"container-title":"Nature","id":"ITEM-1","issue":"5985","issued":{"date-parts":[["1984"]]},"page":"483-485","publisher":"Nature","title":"Autophosphorylation sites on the epidermal growth factor receptor","type":"article-journal","volume":"311"},"uris":["http://www.mendeley.com/documents/?uuid=fc590223-bfbe-317d-be0c-13c37b65f30b"]}],"mendeley":{"formattedCitation":"&lt;sup&gt;97&lt;/sup&gt;","plainTextFormattedCitation":"97","previouslyFormattedCitation":"&lt;sup&gt;97&lt;/sup&gt;"},"properties":{"noteIndex":0},"schema":"https://github.com/citation-style-language/schema/raw/master/csl-citation.json"}</w:instrText>
      </w:r>
      <w:r w:rsidR="00352CCE" w:rsidRPr="00F8313D">
        <w:fldChar w:fldCharType="separate"/>
      </w:r>
      <w:r w:rsidR="00C554E1" w:rsidRPr="00C554E1">
        <w:rPr>
          <w:noProof/>
          <w:vertAlign w:val="superscript"/>
        </w:rPr>
        <w:t>97</w:t>
      </w:r>
      <w:r w:rsidR="00352CCE" w:rsidRPr="00F8313D">
        <w:fldChar w:fldCharType="end"/>
      </w:r>
      <w:r w:rsidR="00352CCE" w:rsidRPr="00F8313D">
        <w:t xml:space="preserve">. Signalizace EGFR je realizována skrz dráhy </w:t>
      </w:r>
      <w:r w:rsidR="00352CCE" w:rsidRPr="009165EA">
        <w:t>MAPK (</w:t>
      </w:r>
      <w:r w:rsidR="009165EA" w:rsidRPr="009165EA">
        <w:t>mitogenem aktivované proteinkinázy</w:t>
      </w:r>
      <w:r w:rsidR="00352CCE" w:rsidRPr="009165EA">
        <w:t>), PI3K</w:t>
      </w:r>
      <w:r w:rsidR="00352CCE" w:rsidRPr="00F8313D">
        <w:t xml:space="preserve"> a </w:t>
      </w:r>
      <w:r w:rsidR="00352CCE" w:rsidRPr="009165EA">
        <w:t>JAK/STAT</w:t>
      </w:r>
      <w:r w:rsidR="00352CCE" w:rsidRPr="00F8313D">
        <w:t xml:space="preserve"> </w:t>
      </w:r>
      <w:r w:rsidR="009165EA">
        <w:t>(</w:t>
      </w:r>
      <w:r w:rsidR="001E77FF">
        <w:t>J</w:t>
      </w:r>
      <w:r w:rsidR="009165EA" w:rsidRPr="009165EA">
        <w:t xml:space="preserve">anus </w:t>
      </w:r>
      <w:r w:rsidR="001E77FF">
        <w:t>K</w:t>
      </w:r>
      <w:r w:rsidR="009165EA" w:rsidRPr="009165EA">
        <w:t>inase/</w:t>
      </w:r>
      <w:r w:rsidR="001E77FF">
        <w:t>S</w:t>
      </w:r>
      <w:r w:rsidR="009165EA" w:rsidRPr="009165EA">
        <w:t xml:space="preserve">ignal </w:t>
      </w:r>
      <w:r w:rsidR="001E77FF">
        <w:t>T</w:t>
      </w:r>
      <w:r w:rsidR="009165EA" w:rsidRPr="009165EA">
        <w:t xml:space="preserve">ransducers and </w:t>
      </w:r>
      <w:r w:rsidR="001E77FF">
        <w:t>A</w:t>
      </w:r>
      <w:r w:rsidR="009165EA" w:rsidRPr="009165EA">
        <w:t xml:space="preserve">ctivators of </w:t>
      </w:r>
      <w:r w:rsidR="001E77FF">
        <w:t>T</w:t>
      </w:r>
      <w:r w:rsidR="009165EA" w:rsidRPr="009165EA">
        <w:t>ranscription</w:t>
      </w:r>
      <w:r w:rsidR="009165EA">
        <w:t xml:space="preserve">) </w:t>
      </w:r>
      <w:r w:rsidR="00352CCE" w:rsidRPr="00F8313D">
        <w:t>což m</w:t>
      </w:r>
      <w:r w:rsidR="00B80044" w:rsidRPr="00F8313D">
        <w:t>á za následek zvýšenou proliferaci, inhibici apoptózy, angiogenezi spolu s ovlivněním buněčné migrace, adheze a invaze</w:t>
      </w:r>
      <w:r w:rsidR="00B80044" w:rsidRPr="00F8313D">
        <w:fldChar w:fldCharType="begin" w:fldLock="1"/>
      </w:r>
      <w:r w:rsidR="00C554E1">
        <w:instrText>ADDIN CSL_CITATION {"citationItems":[{"id":"ITEM-1","itemData":{"DOI":"10.1038/msb4100014","ISSN":"17444292","PMID":"16729045","abstract":"The epidermal growth factor receptor (EGFR) signaling pathway is one of the most important pathways that regulate growth, survival, proliferation, and differentiation in mammalian cells. Reflecting this importance, it is one of the best-investigated signaling systems, both experimentally and computationally, and several computational models have been developed for dynamic analysis. A map of molecular interactions of the EGFR signaling system is a valuable resource for research in this area. In this paper, we present a comprehensive pathway map of EGFR signaling and other related pathways. The map reveals that the overall architecture of the pathway is a bow-tie (or hourglass) structure with several feedback loops. The map is created using CellDesigner software that enables us to graphically represent interactions using a well-defined and consistent graphical notation, and to store it in Systems Biology Markup Language (SBML).","author":[{"dropping-particle":"","family":"Oda","given":"Kanae","non-dropping-particle":"","parse-names":false,"suffix":""},{"dropping-particle":"","family":"Matsuoka","given":"Yukiko","non-dropping-particle":"","parse-names":false,"suffix":""},{"dropping-particle":"","family":"Funahashi","given":"Akira","non-dropping-particle":"","parse-names":false,"suffix":""},{"dropping-particle":"","family":"Kitano","given":"Hiroaki","non-dropping-particle":"","parse-names":false,"suffix":""}],"container-title":"Molecular systems biology","id":"ITEM-1","issued":{"date-parts":[["2005"]]},"page":"2005.0010","publisher":"European Molecular Biology Organization","title":"A comprehensive pathway map of epidermal growth factor receptor signaling.","type":"article-journal","volume":"1"},"uris":["http://www.mendeley.com/documents/?uuid=e43345c9-93fa-3045-be4b-6ea3c64a4e95"]}],"mendeley":{"formattedCitation":"&lt;sup&gt;98&lt;/sup&gt;","plainTextFormattedCitation":"98","previouslyFormattedCitation":"&lt;sup&gt;98&lt;/sup&gt;"},"properties":{"noteIndex":0},"schema":"https://github.com/citation-style-language/schema/raw/master/csl-citation.json"}</w:instrText>
      </w:r>
      <w:r w:rsidR="00B80044" w:rsidRPr="00F8313D">
        <w:fldChar w:fldCharType="separate"/>
      </w:r>
      <w:r w:rsidR="00C554E1" w:rsidRPr="00C554E1">
        <w:rPr>
          <w:noProof/>
          <w:vertAlign w:val="superscript"/>
        </w:rPr>
        <w:t>98</w:t>
      </w:r>
      <w:r w:rsidR="00B80044" w:rsidRPr="00F8313D">
        <w:fldChar w:fldCharType="end"/>
      </w:r>
      <w:r w:rsidR="00B80044" w:rsidRPr="00F8313D">
        <w:t xml:space="preserve">. </w:t>
      </w:r>
    </w:p>
    <w:p w14:paraId="563C364C" w14:textId="77777777" w:rsidR="000E5A6C" w:rsidRPr="00F8313D" w:rsidRDefault="000E5A6C" w:rsidP="00EC4DAF">
      <w:pPr>
        <w:pStyle w:val="Odstavecseseznamem"/>
        <w:ind w:left="0"/>
        <w:jc w:val="both"/>
      </w:pPr>
    </w:p>
    <w:p w14:paraId="5060BAAD" w14:textId="7DAFF35F" w:rsidR="00107F82" w:rsidRPr="00F8313D" w:rsidRDefault="00B80044" w:rsidP="00EC4DAF">
      <w:pPr>
        <w:pStyle w:val="Odstavecseseznamem"/>
        <w:ind w:left="0"/>
        <w:jc w:val="both"/>
      </w:pPr>
      <w:r w:rsidRPr="00F8313D">
        <w:t xml:space="preserve">Alterace EGFR jsou sledovány napříč různými grady astrocytomů a obzvláště u glioblastomů jsou pozorovány změny jako </w:t>
      </w:r>
      <w:r w:rsidR="003A5EE9">
        <w:t xml:space="preserve">je </w:t>
      </w:r>
      <w:r w:rsidRPr="00F8313D">
        <w:t xml:space="preserve">overexprese proteinu, amplifikace a delece, které sebou nesou rezistenci na radioterapii a </w:t>
      </w:r>
      <w:r w:rsidR="006C5770" w:rsidRPr="00F8313D">
        <w:t>chemoterapii</w:t>
      </w:r>
      <w:r w:rsidR="006C5770" w:rsidRPr="00F8313D">
        <w:fldChar w:fldCharType="begin" w:fldLock="1"/>
      </w:r>
      <w:r w:rsidR="00C554E1">
        <w:instrText>ADDIN CSL_CITATION {"citationItems":[{"id":"ITEM-1","itemData":{"abstract":"Resistance to conventional adjuvant therapies (i.e., chemotherapy and radiation) has been well documented in malignant gliomas. Unlike many other tumor types, combined modality therapy involving radiation and chemotherapy has failed to appreciably enhance outcome for glioblastoma patients compared with radiation alone. In vitro, we have observed an actual antagonistic effect between sequential administration of radiation and 1,3-bis(2-chloroethyl)-1-nitrosourea (BCNU) chemotherapy in three primary human glioblastoma cell lines (referred as the GBME3-5 cell lines), which also happen to demonstrate strong expression of the epider-mal growth factor receptor (EGFR). Upon inhibition of EGFR with the EGFR tyrosine kinase inhibitor, AG1478, it was found that this cross-resistance between sequential administration of radiation and BCNU was abrogated. To dissect which of these pathways may be responsible for the observed antagonism, known EGFR-regulated downstream signaling pathways including RAS, phosphatidylinositol 3-kinase (PI3-K), mitogen-activated protein kinase (p44/p42), and protein kinase C were inactivated with both pharmacological inhibitors and transient transfection experiments with dominant-negative and constitutively active constructs in the presence of exogenous EGF stimulation. It was found that BCNU inhibited radiation-induced apoptosis through EGFR-mediated activation of PI3-K/AKT via RAS. On the other hand, radiation was found to inhibit BCNU-induced apoptosis through EGFR-mediated activation of both PI3-K and mitogen-activated protein kinase (p44/p42) pathways, also via RAS. Inhibition of either EGFR or RAS activity appears to not only abrogate the observed antagonism between sequentially administered radiation and chemotherapy but actually results in a greater enhancement of apoptosis in the setting of combined modality therapy than when administered with either radiation or chemotherapy as single agents. Therefore, these findings suggest that strategies to inactivate EGFR or RAS signaling may be critical to improving not only the efficacy of single-agent therapy but also of combined modality therapy in gliomas.","author":[{"dropping-particle":"","family":"Chakravarti","given":"Arnab","non-dropping-particle":"","parse-names":false,"suffix":""},{"dropping-particle":"","family":"Chakladar","given":"Abhijit","non-dropping-particle":"","parse-names":false,"suffix":""},{"dropping-particle":"","family":"Delaney","given":"Meaghan A","non-dropping-particle":"","parse-names":false,"suffix":""},{"dropping-particle":"","family":"Latham","given":"Douglas E","non-dropping-particle":"","parse-names":false,"suffix":""},{"dropping-particle":"","family":"Loeffler","given":"Jay S","non-dropping-particle":"","parse-names":false,"suffix":""}],"container-title":"CANCER RESEARCH","id":"ITEM-1","issued":{"date-parts":[["2002"]]},"number-of-pages":"4307-4315","title":"The Epidermal Growth Factor Receptor Pathway Mediates Resistance to Sequential Administration of Radiation and Chemotherapy in Primary Human Glioblastoma Cells in a RAS-dependent Manner 1","type":"report","volume":"62"},"uris":["http://www.mendeley.com/documents/?uuid=5d0cb0db-e559-3723-a202-1127bdc964c8"]}],"mendeley":{"formattedCitation":"&lt;sup&gt;99&lt;/sup&gt;","plainTextFormattedCitation":"99","previouslyFormattedCitation":"&lt;sup&gt;99&lt;/sup&gt;"},"properties":{"noteIndex":0},"schema":"https://github.com/citation-style-language/schema/raw/master/csl-citation.json"}</w:instrText>
      </w:r>
      <w:r w:rsidR="006C5770" w:rsidRPr="00F8313D">
        <w:fldChar w:fldCharType="separate"/>
      </w:r>
      <w:r w:rsidR="00C554E1" w:rsidRPr="00C554E1">
        <w:rPr>
          <w:noProof/>
          <w:vertAlign w:val="superscript"/>
        </w:rPr>
        <w:t>99</w:t>
      </w:r>
      <w:r w:rsidR="006C5770" w:rsidRPr="00F8313D">
        <w:fldChar w:fldCharType="end"/>
      </w:r>
      <w:r w:rsidR="006C5770" w:rsidRPr="00F8313D">
        <w:t xml:space="preserve">. </w:t>
      </w:r>
      <w:r w:rsidR="000E5A6C" w:rsidRPr="00F8313D">
        <w:t>Aberace EGFR v kontextu prognózy jsou stále předmětem mnohých studií obzvláště u glioblastom</w:t>
      </w:r>
      <w:r w:rsidR="003A5EE9">
        <w:t>u</w:t>
      </w:r>
      <w:r w:rsidR="000E5A6C" w:rsidRPr="00F8313D">
        <w:t>, u kter</w:t>
      </w:r>
      <w:r w:rsidR="003A5EE9">
        <w:t>ého</w:t>
      </w:r>
      <w:r w:rsidR="000E5A6C" w:rsidRPr="00F8313D">
        <w:t xml:space="preserve"> jsou popsány amplifikace ve 40 % případů, overexprese u 60</w:t>
      </w:r>
      <w:r w:rsidR="003A5EE9">
        <w:t xml:space="preserve"> </w:t>
      </w:r>
      <w:r w:rsidR="000E5A6C" w:rsidRPr="00F8313D">
        <w:t xml:space="preserve">% případů a mutace v rozmezí od 24 % </w:t>
      </w:r>
      <w:r w:rsidR="003A5EE9">
        <w:t>d</w:t>
      </w:r>
      <w:r w:rsidR="000E5A6C" w:rsidRPr="00F8313D">
        <w:t>o 67 %</w:t>
      </w:r>
      <w:r w:rsidR="000E5A6C" w:rsidRPr="00F8313D">
        <w:fldChar w:fldCharType="begin" w:fldLock="1"/>
      </w:r>
      <w:r w:rsidR="00C554E1">
        <w:instrText>ADDIN CSL_CITATION {"citationItems":[{"id":"ITEM-1","itemData":{"DOI":"10.4103/2152-7806.132138","ISSN":"21527806","abstract":"Background: Glioblastoma multiforme (GBM) is the most common and lethal primary malignancy of the central nervous system (CNS). Despite the proven benefit of surgical resection and aggressive treatment with chemo- and radiotherapy, the prognosis remains very poor. Recent advances of our understanding of the biology and pathophysiology of GBM have allowed the development of a wide array of novel therapeutic approaches, which have been developed. These novel approaches include molecularly targeted therapies, immunotherapies, and gene therapy. Copyright:\nMethods: We offer a brief review of the current standard of care, and a survey of novel therapeutic approaches for treatment of GBM.\nResults: Despite promising results in preclinical trials, many of these therapies have demonstrated limited therapeutic efficacy in human clinical trials. Thus, although survival of patients with GBM continues to slowly improve, treatment of GBM remains extremely challenging.\nConclusion: Continued research and development of targeted therapies, based on a detailed understanding of molecular pathogenesis can reasonably be expected to yield improved outcomes for patients with GBM.","author":[{"dropping-particle":"","family":"Wilson","given":"Taylor A.","non-dropping-particle":"","parse-names":false,"suffix":""},{"dropping-particle":"","family":"Karajannis","given":"Matthias A.","non-dropping-particle":"","parse-names":false,"suffix":""},{"dropping-particle":"","family":"Harter","given":"David H.","non-dropping-particle":"","parse-names":false,"suffix":""}],"container-title":"Surgical Neurology International","id":"ITEM-1","issue":"Supplement","issued":{"date-parts":[["2014"]]},"publisher":"Medknow Publications","title":"Glioblastoma multiforme: State of the art and future therapeutics","type":"article-journal","volume":"5"},"uris":["http://www.mendeley.com/documents/?uuid=02f15f2f-5d53-3494-97e9-512961d9f395"]},{"id":"ITEM-2","itemData":{"DOI":"10.1056/nejmra0708126","ISSN":"0028-4793","PMID":"18669428","abstract":"Malignant gliomas, the most common type of primary brain tumor in adults, are associated with disproportionate cancer-related morbidity and mortality. Recently, there have been important advances in our understanding of the molecular pathogenesis of malignant gliomas and progress in treating them. This review summarizes the diagnosis and management of these tumors in adults, highlighting new advances. Copyright © 2008 Massachusetts Medical Society. All rights reserved.","author":[{"dropping-particle":"","family":"Wen","given":"Patrick Y.","non-dropping-particle":"","parse-names":false,"suffix":""},{"dropping-particle":"","family":"Kesari","given":"Santosh","non-dropping-particle":"","parse-names":false,"suffix":""}],"container-title":"New England Journal of Medicine","id":"ITEM-2","issue":"5","issued":{"date-parts":[["2008","7","31"]]},"page":"492-507","publisher":"Massachusetts Medical Society","title":"Malignant Gliomas in Adults","type":"article-journal","volume":"359"},"uris":["http://www.mendeley.com/documents/?uuid=f0ae7141-5eea-3c41-8ab8-d0c19e9e933d"]}],"mendeley":{"formattedCitation":"&lt;sup&gt;100,101&lt;/sup&gt;","plainTextFormattedCitation":"100,101","previouslyFormattedCitation":"&lt;sup&gt;100,101&lt;/sup&gt;"},"properties":{"noteIndex":0},"schema":"https://github.com/citation-style-language/schema/raw/master/csl-citation.json"}</w:instrText>
      </w:r>
      <w:r w:rsidR="000E5A6C" w:rsidRPr="00F8313D">
        <w:fldChar w:fldCharType="separate"/>
      </w:r>
      <w:r w:rsidR="00C554E1" w:rsidRPr="00C554E1">
        <w:rPr>
          <w:noProof/>
          <w:vertAlign w:val="superscript"/>
        </w:rPr>
        <w:t>100,101</w:t>
      </w:r>
      <w:r w:rsidR="000E5A6C" w:rsidRPr="00F8313D">
        <w:fldChar w:fldCharType="end"/>
      </w:r>
      <w:r w:rsidR="000E5A6C" w:rsidRPr="00F8313D">
        <w:t xml:space="preserve">. </w:t>
      </w:r>
      <w:r w:rsidR="00B64E95" w:rsidRPr="00F8313D">
        <w:t>Experimentáln</w:t>
      </w:r>
      <w:r w:rsidR="00033C38">
        <w:t xml:space="preserve">ě byla vyzkoušena </w:t>
      </w:r>
      <w:r w:rsidR="00B64E95" w:rsidRPr="00F8313D">
        <w:t xml:space="preserve">léčba glioblastomů s aberacemi v EGFR založená na TKI (inhibitory tyrosin kináz) jako jsou erlotinib a gefitinib, na monoklonální protilátce  cetuximabu nebo </w:t>
      </w:r>
      <w:r w:rsidR="00B64E95" w:rsidRPr="008F1A44">
        <w:t>vakcíně proti EGFRvIII</w:t>
      </w:r>
      <w:r w:rsidR="008F1A44">
        <w:t xml:space="preserve"> (</w:t>
      </w:r>
      <w:r w:rsidR="008F1A44" w:rsidRPr="008F1A44">
        <w:t xml:space="preserve">delece exonů 2–7 </w:t>
      </w:r>
      <w:r w:rsidR="008F1A44">
        <w:t xml:space="preserve">u </w:t>
      </w:r>
      <w:r w:rsidR="008F1A44" w:rsidRPr="008F1A44">
        <w:t>EGFR</w:t>
      </w:r>
      <w:r w:rsidR="008F1A44">
        <w:t>)</w:t>
      </w:r>
      <w:r w:rsidR="005A59EC">
        <w:t>, avšak</w:t>
      </w:r>
      <w:r w:rsidR="00B64E95" w:rsidRPr="008F1A44">
        <w:t xml:space="preserve"> </w:t>
      </w:r>
      <w:r w:rsidR="00B64E95" w:rsidRPr="00F8313D">
        <w:t xml:space="preserve">doposud </w:t>
      </w:r>
      <w:r w:rsidR="005A59EC">
        <w:t xml:space="preserve">žádná z těchto variant </w:t>
      </w:r>
      <w:r w:rsidR="00B64E95" w:rsidRPr="00F8313D">
        <w:t>nepřinesla významné výsledky</w:t>
      </w:r>
      <w:r w:rsidR="00B64E95" w:rsidRPr="007D2030">
        <w:rPr>
          <w:noProof/>
          <w:vertAlign w:val="superscript"/>
        </w:rPr>
        <w:fldChar w:fldCharType="begin" w:fldLock="1"/>
      </w:r>
      <w:r w:rsidR="00C554E1">
        <w:rPr>
          <w:noProof/>
          <w:vertAlign w:val="superscript"/>
        </w:rPr>
        <w:instrText>ADDIN CSL_CITATION {"citationItems":[{"id":"ITEM-1","itemData":{"DOI":"10.1158/1535-7163.MCT-11-0048","ISSN":"15357163","PMID":"21471286","abstract":"Amplification of the epidermal growth factor receptor (EGFR) gene is one of the most common oncogenic alterations in glioblastoma (45%) making it a prime target for therapy. However, small molecule inhibitors of the EGFR tyrosine kinase showed disappointing efficacy in clinical trials for glioblastoma. Here we aimed at investigating the molecular effects of the tyrosine kinase inhibitor gefitinib on the EGFR signaling pathway in human glioblastoma. Twenty-two patients selected for reoperation of recurrent glioblastoma were treated within a phase II trial for 5 days with 500 mg gefitinib before surgery followed by postoperative gefitinib until recurrence. Resected glioblastoma tissues exhibited high concentrations of gefitinib (median, 4.1 μg/g), 20 times higher than respective plasma. EGFR-pathway activity was evaluated with phosphorylation-specific assays. The EGFR was efficiently dephosphorylated in treated patients as compared to a control cohort of 12 patients. However, no significant effect on 12 pathway constituents was detected. In contrast, in vitro treatment of a glioblastoma cell line, BS-153, with endogenous EGFRwt amplification and EGFRvIII expression resulted not only in dephosphorylation of the EGFR, but also of key regulators in the pathway such as AKT. Treating established xenografts of the same cell line as an in vivo model showed dephosphorylation of the EGFR without affecting downstream signal transductors, similar to the human glioblastoma. Taken together, gefitinib reaches high concentrations in the tumor tissue and efficiently dephosphorylates its target. However, regulation of downstream signal transducers in the EGFR pathway seems to be dominated by regulatory circuits independent of EGFR phosphorylation. ©2011 AACR.","author":[{"dropping-particle":"","family":"Hegi","given":"Monika E.","non-dropping-particle":"","parse-names":false,"suffix":""},{"dropping-particle":"","family":"Diserens","given":"Annie Claire","non-dropping-particle":"","parse-names":false,"suffix":""},{"dropping-particle":"","family":"Bady","given":"Pierre","non-dropping-particle":"","parse-names":false,"suffix":""},{"dropping-particle":"","family":"Kamoshima","given":"Yuta","non-dropping-particle":"","parse-names":false,"suffix":""},{"dropping-particle":"","family":"Kouwenhoven","given":"Mathilde C.M.","non-dropping-particle":"","parse-names":false,"suffix":""},{"dropping-particle":"","family":"Delorenzi","given":"Mauro","non-dropping-particle":"","parse-names":false,"suffix":""},{"dropping-particle":"","family":"Lambiv","given":"Wanyu L.","non-dropping-particle":"","parse-names":false,"suffix":""},{"dropping-particle":"","family":"Hamou","given":"Marie France","non-dropping-particle":"","parse-names":false,"suffix":""},{"dropping-particle":"","family":"Matter","given":"Matthias S.","non-dropping-particle":"","parse-names":false,"suffix":""},{"dropping-particle":"","family":"Koch","given":"Arend","non-dropping-particle":"","parse-names":false,"suffix":""},{"dropping-particle":"","family":"Heppner","given":"Frank L.","non-dropping-particle":"","parse-names":false,"suffix":""},{"dropping-particle":"","family":"Yonekawa","given":"Yasuhiro","non-dropping-particle":"","parse-names":false,"suffix":""},{"dropping-particle":"","family":"Merlo","given":"Adrian","non-dropping-particle":"","parse-names":false,"suffix":""},{"dropping-particle":"","family":"Frei","given":"Karl","non-dropping-particle":"","parse-names":false,"suffix":""},{"dropping-particle":"","family":"Mariani","given":"Luigi","non-dropping-particle":"","parse-names":false,"suffix":""},{"dropping-particle":"","family":"Hofer","given":"Silvia","non-dropping-particle":"","parse-names":false,"suffix":""}],"container-title":"Molecular Cancer Therapeutics","id":"ITEM-1","issue":"6","issued":{"date-parts":[["2011","6"]]},"page":"1102-1112","publisher":"Mol Cancer Ther","title":"Pathway analysis of glioblastoma tissue after preoperative treatment with the EGFR tyrosine kinase inhibitor gefitinib - A phase II trial","type":"article-journal","volume":"10"},"uris":["http://www.mendeley.com/documents/?uuid=58d1d10d-07f2-31f0-b17c-16864e04e22b"]},{"id":"ITEM-2","itemData":{"DOI":"10.1093/neuonc/nou160","ISSN":"15235866","PMID":"25140039","abstract":"Background. This phase I/II trial evaluated the maximum tolerated dose (MTD) and pharmacokinetics of afatinib plus temozolomide as well as the efficacy and safety of afatinib as monotherapy (A) or with temozolomide (AT) vs temozolomide monotherapy (T) in patients with recurrent glioblastoma (GBM). Methods. Phase I followed a traditional 3 + 3 dose-escalation design to determine MTD. Treatment cohorts were: afatinib 20, 40, and 50 mg/day (plus temozolomide 75 mg/m2/day for 21 days per 28-day cycle). In phase II, participants were randomized (stratified by age and KPS) to receive A, T or AT; A was dosed at 40 mg/day and T at 75 mg/m2for 21 of 28 days. Primary endpoint was progression-free survival rate at 6 months (PFS-6). Participants were treated until intolerable adverse events (AEs) or disease progression. Results. Recommended phase II dose was 40 mg/day (A) + T based on safety data from phase I (n = 32). Most frequent AEs in phase II (n = 119) were diarrhea (71% [A], 82% [AT]) and rash (71% [A] and 69% [AT]). Afatinib and temozolomide pharmacokinetics were unaffected by coadministration. Independently assessed PFS-6 rate was 3% (A), 10% (AT), and 23% (T). Median PFS was longer in afatinib-treated participants with epidermal growth factor receptor (EFGR) vIII-positive tumors versus EGFRvIII-negative tumors. Best overall response included partial response in 1 (A), 2 (AT), and 4 (T) participants and stable disease in 14 (A), 14 (AT), and 21 (T) participants. Conclusions. Afatinib has a manageable safety profile but limited single-agent activity in unselected recurrent GBM patients.","author":[{"dropping-particle":"","family":"Reardon","given":"David A.","non-dropping-particle":"","parse-names":false,"suffix":""},{"dropping-particle":"","family":"Nabors","given":"Louis B.","non-dropping-particle":"","parse-names":false,"suffix":""},{"dropping-particle":"","family":"Mason","given":"Warren P.","non-dropping-particle":"","parse-names":false,"suffix":""},{"dropping-particle":"","family":"Perry","given":"James R.","non-dropping-particle":"","parse-names":false,"suffix":""},{"dropping-particle":"","family":"Shapiro","given":"William","non-dropping-particle":"","parse-names":false,"suffix":""},{"dropping-particle":"","family":"Kavan","given":"Petr","non-dropping-particle":"","parse-names":false,"suffix":""},{"dropping-particle":"","family":"Mathieu","given":"David","non-dropping-particle":"","parse-names":false,"suffix":""},{"dropping-particle":"","family":"Phuphanich","given":"Surasak","non-dropping-particle":"","parse-names":false,"suffix":""},{"dropping-particle":"","family":"Cseh","given":"Agnieszka","non-dropping-particle":"","parse-names":false,"suffix":""},{"dropping-particle":"","family":"Fu","given":"Yali","non-dropping-particle":"","parse-names":false,"suffix":""},{"dropping-particle":"","family":"Cong","given":"Julie","non-dropping-particle":"","parse-names":false,"suffix":""},{"dropping-particle":"","family":"Wind","given":"Sven","non-dropping-particle":"","parse-names":false,"suffix":""},{"dropping-particle":"","family":"Eisenstat","given":"David D.","non-dropping-particle":"","parse-names":false,"suffix":""},{"dropping-particle":"","family":"Wen","given":"Patrick","non-dropping-particle":"","parse-names":false,"suffix":""},{"dropping-particle":"","family":"Mikkelson","given":"Tom","non-dropping-particle":"","parse-names":false,"suffix":""},{"dropping-particle":"","family":"Portnow","given":"Jana","non-dropping-particle":"","parse-names":false,"suffix":""},{"dropping-particle":"","family":"Giglio","given":"Pierre","non-dropping-particle":"","parse-names":false,"suffix":""},{"dropping-particle":"","family":"Lai","given":"Rose","non-dropping-particle":"","parse-names":false,"suffix":""},{"dropping-particle":"","family":"New","given":"Pamela","non-dropping-particle":"","parse-names":false,"suffix":""},{"dropping-particle":"","family":"Fink","given":"Karen","non-dropping-particle":"","parse-names":false,"suffix":""},{"dropping-particle":"","family":"Chowdhary","given":"Sajeel","non-dropping-particle":"","parse-names":false,"suffix":""},{"dropping-particle":"","family":"Madison","given":"Michael","non-dropping-particle":"","parse-names":false,"suffix":""},{"dropping-particle":"","family":"Taylor","given":"Lynn","non-dropping-particle":"","parse-names":false,"suffix":""},{"dropping-particle":"","family":"Hadjipanayis","given":"Constantinos","non-dropping-particle":"","parse-names":false,"suffix":""},{"dropping-particle":"","family":"Madarnas","given":"Yolanda","non-dropping-particle":"","parse-names":false,"suffix":""},{"dropping-particle":"","family":"Easaw","given":"Jacob","non-dropping-particle":"","parse-names":false,"suffix":""},{"dropping-particle":"","family":"Vallières","given":"Isabelle","non-dropping-particle":"","parse-names":false,"suffix":""},{"dropping-particle":"","family":"Hirte","given":"Hal","non-dropping-particle":"","parse-names":false,"suffix":""},{"dropping-particle":"","family":"Whitlock","given":"Pierre","non-dropping-particle":"","parse-names":false,"suffix":""},{"dropping-particle":"V.","family":"MacNeil","given":"Mary","non-dropping-particle":"","parse-names":false,"suffix":""}],"container-title":"Neuro-Oncology","id":"ITEM-2","issue":"3","issued":{"date-parts":[["2015"]]},"page":"430-439","publisher":"Oxford University Press","title":"Phase I/randomized phase II study of afatinib, an irreversible ErbB family blocker, with or without protracted temozolomide in adults with recurrent glioblastoma","type":"article-journal","volume":"17"},"uris":["http://www.mendeley.com/documents/?uuid=fdf9aa24-66e5-39a6-979f-05ac81d3021d"]},{"id":"ITEM-3","itemData":{"DOI":"10.1093/annonc/mdp032","ISSN":"09237534","PMID":"19491283","abstract":"Background: To evaluate the antitumor activity and toxicity of single-agent cetuximab in patients with recurrent high-grade glioma (HGG) after failure of surgery, radiation therapy, and chemotherapy. Patients and methods: In this two-arm, open-label, phase II study patients were stratified according to their epidermal growth factor receptor (EGFR) gene amplification status. Cetuximab was administered intravenously at a dose of 400 mg/m2 on week 1 followed by weekly dose of 250 mg/m2. The primary end point for this study was the response rate in both study arms separately. Results: Fifty-five eligible patients (28 with and 27 without EGFR amplification) tolerated cetuximab well. Three patients (5.5%) had a partial response and 16 patients (29.6%) had stable disease. The median time to progression was 1.9 months [95% confidence interval (CI) 1.6-2.2 months]. Whereas the progression-free survival (PFS) was &lt;6 months in the majority (n = 50/55) of patients, five patients (9.2%) had a PFS on cetuximab of &gt;9 months. Median overall survival was 5.0 months (95% CI 4.2-5.9 months). No significant correlation was found between response, survival and EGFR amplification. Conclusions: Cetuximab was well tolerated but had limited activity in this patient population with progressive HGG. A minority of patients may derive a more durable benefit but were not prospectively identified by EGFR gene copy number. © The Author 2009. Published by Oxford University Press on behalf of the European Society for Medical Oncology. All rights reserved.","author":[{"dropping-particle":"","family":"Neyns","given":"Bart","non-dropping-particle":"","parse-names":false,"suffix":""},{"dropping-particle":"","family":"Sadones","given":"J.","non-dropping-particle":"","parse-names":false,"suffix":""},{"dropping-particle":"","family":"Joosens","given":"E.","non-dropping-particle":"","parse-names":false,"suffix":""},{"dropping-particle":"","family":"Bouttens","given":"F.","non-dropping-particle":"","parse-names":false,"suffix":""},{"dropping-particle":"","family":"Verbeke","given":"L.","non-dropping-particle":"","parse-names":false,"suffix":""},{"dropping-particle":"","family":"Baurain","given":"J. F.","non-dropping-particle":"","parse-names":false,"suffix":""},{"dropping-particle":"","family":"D'Hondt","given":"L.","non-dropping-particle":"","parse-names":false,"suffix":""},{"dropping-particle":"","family":"Strauven","given":"T.","non-dropping-particle":"","parse-names":false,"suffix":""},{"dropping-particle":"","family":"Chaskis","given":"C.","non-dropping-particle":"","parse-names":false,"suffix":""},{"dropping-particle":"","family":"In't Veld","given":"P.","non-dropping-particle":"","parse-names":false,"suffix":""},{"dropping-particle":"","family":"Michotte","given":"A.","non-dropping-particle":"","parse-names":false,"suffix":""},{"dropping-particle":"","family":"Greve","given":"J.","non-dropping-particle":"De","parse-names":false,"suffix":""}],"container-title":"Annals of Oncology","id":"ITEM-3","issue":"9","issued":{"date-parts":[["2009"]]},"page":"1596-1603","publisher":"Ann Oncol","title":"Stratified phase II trial of cetuximab in patients with recurrent high-grade glioma","type":"article-journal","volume":"20"},"uris":["http://www.mendeley.com/documents/?uuid=9201afae-3310-3d46-a570-a6461043b5b2"]},{"id":"ITEM-4","itemData":{"DOI":"10.1038/nrneurol.2016.38","ISSN":"17594766","PMID":"27020557","author":[{"dropping-particle":"","family":"Malkki","given":"Hemi","non-dropping-particle":"","parse-names":false,"suffix":""}],"container-title":"Nature reviews. Neurology","id":"ITEM-4","issue":"4","issued":{"date-parts":[["2016","4","1"]]},"page":"190","publisher":"Nat Rev Neurol","title":"Trial Watch: Glioblastoma vaccine therapy disappointment in Phase III trial","type":"article","volume":"12"},"uris":["http://www.mendeley.com/documents/?uuid=80fcd9af-356d-3606-8e3e-40ff8630f604"]}],"mendeley":{"formattedCitation":"&lt;sup&gt;102–105&lt;/sup&gt;","plainTextFormattedCitation":"102–105","previouslyFormattedCitation":"&lt;sup&gt;102–105&lt;/sup&gt;"},"properties":{"noteIndex":0},"schema":"https://github.com/citation-style-language/schema/raw/master/csl-citation.json"}</w:instrText>
      </w:r>
      <w:r w:rsidR="00B64E95" w:rsidRPr="007D2030">
        <w:rPr>
          <w:noProof/>
          <w:vertAlign w:val="superscript"/>
        </w:rPr>
        <w:fldChar w:fldCharType="separate"/>
      </w:r>
      <w:r w:rsidR="00C554E1" w:rsidRPr="00C554E1">
        <w:rPr>
          <w:noProof/>
          <w:vertAlign w:val="superscript"/>
        </w:rPr>
        <w:t>102–105</w:t>
      </w:r>
      <w:r w:rsidR="00B64E95" w:rsidRPr="007D2030">
        <w:rPr>
          <w:noProof/>
          <w:vertAlign w:val="superscript"/>
        </w:rPr>
        <w:fldChar w:fldCharType="end"/>
      </w:r>
      <w:r w:rsidR="00F8313D" w:rsidRPr="00F8313D">
        <w:t>.</w:t>
      </w:r>
    </w:p>
    <w:p w14:paraId="6D0B9696" w14:textId="709CE031" w:rsidR="00F8313D" w:rsidRDefault="00F8313D" w:rsidP="00EC4DAF">
      <w:pPr>
        <w:pStyle w:val="Odstavecseseznamem"/>
        <w:ind w:left="0"/>
        <w:jc w:val="both"/>
      </w:pPr>
    </w:p>
    <w:p w14:paraId="4D51A0A0" w14:textId="2341CD35" w:rsidR="00F8313D" w:rsidRDefault="00F8313D" w:rsidP="00EC4DAF">
      <w:pPr>
        <w:pStyle w:val="Odstavecseseznamem"/>
        <w:ind w:left="0"/>
        <w:jc w:val="both"/>
      </w:pPr>
      <w:r>
        <w:t xml:space="preserve">Nejčastější metodou vyšetřování amplifikace EGFR je metoda fluorescenční </w:t>
      </w:r>
      <w:r w:rsidRPr="00F8313D">
        <w:rPr>
          <w:i/>
          <w:iCs/>
        </w:rPr>
        <w:t>in situ</w:t>
      </w:r>
      <w:r>
        <w:t xml:space="preserve"> hybridizace, popřípadě imunohistochemické stanovení exprese proteinu. Pro sledování mutací tohoto genu je vhodné využít sekvenování nové generace, kterými lze odhalit </w:t>
      </w:r>
      <w:r w:rsidR="005A59EC">
        <w:t xml:space="preserve">mutaci </w:t>
      </w:r>
      <w:r>
        <w:t xml:space="preserve">EGFRvIII </w:t>
      </w:r>
      <w:r>
        <w:fldChar w:fldCharType="begin" w:fldLock="1"/>
      </w:r>
      <w:r w:rsidR="00C554E1">
        <w:instrText>ADDIN CSL_CITATION {"citationItems":[{"id":"ITEM-1","itemData":{"DOI":"10.1593/neo.10688","ISSN":"14765586","PMID":"20824044","abstract":"Aberrant epidermal growth factor receptor (EGFR) signaling is common in cancer. Increased expression of wild type and mutant EGFR is a widespread feature of diverse types of cancer. EGFR signaling in cancer has been the focus of intense investigation for decades primarily for two reasons. First, aberrant EGFR signaling is likely to play an important role in the pathogenesis of cancer, and therefore, the mechanisms of EGFR-mediated oncogenic signaling are of interest. Second, the EGFR signaling system is an attractive target for therapeutic intervention. EGFR gene amplification and overexpression are a particularly striking feature of glioblastoma (GBM), observed in approximately 40% of tumors. GBM is the most common primarymalignant tumor of the central nervous system in adults. In approximately 50%of tumors with EGFR amplification, a specific EGFR mutant (EGFRvIII, also known as EGFR type III, de2-7, ΔEGFR) can be detected. This mutant is highly oncogenic and is generated from a deletion of exons 2 to 7 of the EGFR gene, which results in an in-frame deletion of 267 amino acids from the extracellular domain of the receptor. EGFRvIII is unable to bind ligand, and it signals constitutively. Although EGFRvIII has the same signaling domain as the wild type receptor, it seems to generate a distinct set of downstream signals that may contribute to an increased tumorigenicity. In this review, wediscuss recent progress in key aspects of EGFR signaling in GBM, focusing on neuropathology, signal transduction, imaging of the EGFR, and the role of the EGFR in mediating resistance to radiation therapy in GBM. © 2010 Neoplasia Press, Inc.","author":[{"dropping-particle":"","family":"Hatanpaa","given":"Kimmo J.","non-dropping-particle":"","parse-names":false,"suffix":""},{"dropping-particle":"","family":"Burma","given":"Sandeep","non-dropping-particle":"","parse-names":false,"suffix":""},{"dropping-particle":"","family":"Zhao","given":"Dawen","non-dropping-particle":"","parse-names":false,"suffix":""},{"dropping-particle":"","family":"Habib","given":"Amyn A.","non-dropping-particle":"","parse-names":false,"suffix":""}],"container-title":"Neoplasia","id":"ITEM-1","issue":"9","issued":{"date-parts":[["2010"]]},"page":"675-684","publisher":"Elsevier B.V.","title":"Epidermal growth factor receptor in glioma: Signal transduction, neuropathology, imaging, and radioresistance1","type":"article","volume":"12"},"uris":["http://www.mendeley.com/documents/?uuid=db696cad-3dd3-39d6-a3cc-fb36483eb4c6"]}],"mendeley":{"formattedCitation":"&lt;sup&gt;106&lt;/sup&gt;","plainTextFormattedCitation":"106","previouslyFormattedCitation":"&lt;sup&gt;106&lt;/sup&gt;"},"properties":{"noteIndex":0},"schema":"https://github.com/citation-style-language/schema/raw/master/csl-citation.json"}</w:instrText>
      </w:r>
      <w:r>
        <w:fldChar w:fldCharType="separate"/>
      </w:r>
      <w:r w:rsidR="00C554E1" w:rsidRPr="00C554E1">
        <w:rPr>
          <w:noProof/>
          <w:vertAlign w:val="superscript"/>
        </w:rPr>
        <w:t>106</w:t>
      </w:r>
      <w:r>
        <w:fldChar w:fldCharType="end"/>
      </w:r>
      <w:r>
        <w:t xml:space="preserve">. </w:t>
      </w:r>
    </w:p>
    <w:p w14:paraId="62605146" w14:textId="77777777" w:rsidR="00EB4994" w:rsidRDefault="00EB4994" w:rsidP="00EC4DAF">
      <w:pPr>
        <w:pStyle w:val="Odstavecseseznamem"/>
        <w:ind w:left="0"/>
        <w:jc w:val="both"/>
      </w:pPr>
    </w:p>
    <w:p w14:paraId="31BD2159" w14:textId="55424060" w:rsidR="0031198A" w:rsidRDefault="00B8417B" w:rsidP="00A92FFD">
      <w:pPr>
        <w:pStyle w:val="Nadpis4"/>
      </w:pPr>
      <w:bookmarkStart w:id="46" w:name="_Toc88741471"/>
      <w:r>
        <w:t xml:space="preserve">Kodelece chromozomálních ramen </w:t>
      </w:r>
      <w:r w:rsidR="0031198A">
        <w:t>1p/19q</w:t>
      </w:r>
      <w:bookmarkEnd w:id="46"/>
    </w:p>
    <w:p w14:paraId="18F74CA1" w14:textId="20CDB9D3" w:rsidR="00DF6069" w:rsidRDefault="0031198A" w:rsidP="00EC4DAF">
      <w:pPr>
        <w:pStyle w:val="Odstavecseseznamem"/>
        <w:tabs>
          <w:tab w:val="left" w:pos="975"/>
        </w:tabs>
        <w:ind w:left="0"/>
        <w:jc w:val="both"/>
      </w:pPr>
      <w:r>
        <w:t xml:space="preserve">Pomocí polymorfizmu délky restrikčních fragmentů byla v roce 1994 poprvé popsána </w:t>
      </w:r>
      <w:r w:rsidR="0093692C">
        <w:t xml:space="preserve">ztráta </w:t>
      </w:r>
      <w:r w:rsidR="00F7710D">
        <w:t>chromozomálních ramen 1p a 19q</w:t>
      </w:r>
      <w:r w:rsidR="00DF6069">
        <w:fldChar w:fldCharType="begin" w:fldLock="1"/>
      </w:r>
      <w:r w:rsidR="00C554E1">
        <w:instrText>ADDIN CSL_CITATION {"citationItems":[{"id":"ITEM-1","itemData":{"ISSN":"00029440","PMID":"7977648","abstract":"The molecular genetic alterations of oligodendroglial tumors and mixed gliomas of the central nervous system were studied in a series of 37 cases (8 oligodendrogliomas, 13 anaplastic oligodendrogliomas, 8 oligoastrocytomas, and 8 anaplastic oligoastrocytomas). A total of 180 polymorphic loci and 5 nonpolymorphic gene loci, distributed over all chromosomes, were examined by restriction fragment length polymorphism analysis. Loss of heterozygosity was most frequently observed for loci on 19q with a commonly deleted region at 19q13.2-q13.4 distal to the CYP2a gene and proximal to the D19S22 locus. The incidence of allelic loss on 19q was particularly high (81%) in oligodendroglial tumors and equal to 31% in mixed gliomas. More than 75% of the tumors with allelic deletions on 19q also showed loss of heterozygosity for loci on 1p with one tumor showing only loss of alleles distal to the NGFB gene (1p13-pter). Seven (19%) tumors had lost alleles from 17p with the deleted region including the TP53 tumor suppressor gene in all cases. Sequencing of the TP53 transcripts from exons 2 to 10, however, did not reveal mutations of the remaining allele in any of these tumors. Anaplastic oligodendrogliomas and anaplastic oligoastrocytomas demonstrated an increased incidence of additional allelic losses involving most frequently chromosomes 9p and 10. Gene amplification was detected in two anaplastic tumors, affecting the epidermal growth factor receptor gene in both cases, with additional amplification of the renin gene at 1q32 in one of these cases. In total our results indicate both differences and similarities between the molecular genetic alterations in tumors with oligodendroglial and astrocytic differentiation. The loss of genetic information from 19q and 1p as well as the rarity of TP53 mutations in oligodendroglial tumors suggests that the early events in their oncogenesis are distinct from those associated with astrocytic tumors. However, similarities are indicated by the allelic losses on 9p and 10 in the anaplastic tumors, suggesting the utilization of common pathways of progression.","author":[{"dropping-particle":"","family":"Reifenberger","given":"Julia","non-dropping-particle":"","parse-names":false,"suffix":""},{"dropping-particle":"","family":"Reifenberger","given":"Guido","non-dropping-particle":"","parse-names":false,"suffix":""},{"dropping-particle":"","family":"Liu","given":"Lu","non-dropping-particle":"","parse-names":false,"suffix":""},{"dropping-particle":"","family":"James","given":"C. David","non-dropping-particle":"","parse-names":false,"suffix":""},{"dropping-particle":"","family":"Wechsler","given":"Wolfgang","non-dropping-particle":"","parse-names":false,"suffix":""},{"dropping-particle":"","family":"Collins","given":"V. Peter","non-dropping-particle":"","parse-names":false,"suffix":""}],"container-title":"American Journal of Pathology","id":"ITEM-1","issue":"5","issued":{"date-parts":[["1994","11"]]},"page":"1175-1190","publisher":"American Society for Investigative Pathology","title":"Molecular genetic analysis of oligodendroglial tumors shows preferential allelic deletions on 19q and 1p","type":"article-journal","volume":"145"},"uris":["http://www.mendeley.com/documents/?uuid=93012493-1376-3d99-9191-4fb34c169489"]}],"mendeley":{"formattedCitation":"&lt;sup&gt;107&lt;/sup&gt;","plainTextFormattedCitation":"107","previouslyFormattedCitation":"&lt;sup&gt;107&lt;/sup&gt;"},"properties":{"noteIndex":0},"schema":"https://github.com/citation-style-language/schema/raw/master/csl-citation.json"}</w:instrText>
      </w:r>
      <w:r w:rsidR="00DF6069">
        <w:fldChar w:fldCharType="separate"/>
      </w:r>
      <w:r w:rsidR="00C554E1" w:rsidRPr="00C554E1">
        <w:rPr>
          <w:noProof/>
          <w:vertAlign w:val="superscript"/>
        </w:rPr>
        <w:t>107</w:t>
      </w:r>
      <w:r w:rsidR="00DF6069">
        <w:fldChar w:fldCharType="end"/>
      </w:r>
      <w:r w:rsidR="00FD5E43">
        <w:t xml:space="preserve">.  </w:t>
      </w:r>
      <w:r w:rsidR="00B8417B">
        <w:t>Kodelece 1p/19q je způsobena nebalancovanou translokací celého ramén</w:t>
      </w:r>
      <w:r w:rsidR="00033C38">
        <w:t>ek</w:t>
      </w:r>
      <w:r w:rsidR="00B8417B">
        <w:t xml:space="preserve"> chromozomů 1p a 19q, a následnou ztrátou derivovaného chromozomu der(1:19)(p10:q10)</w:t>
      </w:r>
      <w:r w:rsidR="00B8417B">
        <w:fldChar w:fldCharType="begin" w:fldLock="1"/>
      </w:r>
      <w:r w:rsidR="00C554E1">
        <w:instrText>ADDIN CSL_CITATION {"citationItems":[{"id":"ITEM-1","itemData":{"DOI":"10.1158/1078-0432.CCR-07-0573","ISSN":"10780432","PMID":"18056167","abstract":"Purpose: The combined loss of genetic material on chromosomes 1p and 19q is strongly associated with favorable outcome in patients with WHO grade 3 anaplastic oligodendroglial tumors. The prognostic value of 1p/19q loss in WHO grade 2 oligodendroglial tumors is less well defined. Importantly, the possible effect of combined 1p/19q loss has not been studied in patients who were not treated with radiotherapy or chemotherapy. Experimental Design: Seventy-six patients with oligodendroglioma (n = 33), oligoastrocytoma (n = 30), anaplastic oligodendroglioma (n = 6), or anaplastic oligoastrocytoma (n = 7) were identified who had not received radiotherapy or chemotherapy after their first operation until the end of follow-up or until the first progression and had tissue for 1p/19q status available. 1p/19q status was assessed by multiplex ligation-dependent probe amplification. Results: After a median follow-up of 3.8 years, progressive disease was documented in 34 patients. The estimated median progression-free survival was 4.6 years. Fifty-eight of the 76 patients had a combined loss of 1p and 19q. The absence or presence of combined 1p/19q loss was not prognostic for progression-free survival using multivariate adjustment for histology, extent of resection, and gender. Conclusions: Combined 1p/19q loss is not a sensitive prognostic biomarker in patients with oligodendroglial tumors who do not receive radiotherapy or chemotherapy. The gene products lost as a consequence of this codeletion may include mediators of resistance to genotoxic therapies. Alternatively, 1p/19q loss might be an early oncogenic lesion promoting the formation of glial neoplasms, which retain high sensitivity to genotoxic stress. © 2007 American Association for Cancer Research.","author":[{"dropping-particle":"","family":"Weller","given":"Michael","non-dropping-particle":"","parse-names":false,"suffix":""},{"dropping-particle":"","family":"Berger","given":"Hilmar","non-dropping-particle":"","parse-names":false,"suffix":""},{"dropping-particle":"","family":"Hartmann","given":"Christian","non-dropping-particle":"","parse-names":false,"suffix":""},{"dropping-particle":"","family":"Schramm","given":"Johannes","non-dropping-particle":"","parse-names":false,"suffix":""},{"dropping-particle":"","family":"Westphal","given":"Manfred","non-dropping-particle":"","parse-names":false,"suffix":""},{"dropping-particle":"","family":"Simon","given":"Matthias","non-dropping-particle":"","parse-names":false,"suffix":""},{"dropping-particle":"","family":"Goldbrunner","given":"Roland","non-dropping-particle":"","parse-names":false,"suffix":""},{"dropping-particle":"","family":"Krex","given":"Dietmar","non-dropping-particle":"","parse-names":false,"suffix":""},{"dropping-particle":"","family":"Steinbach","given":"Joachim P.","non-dropping-particle":"","parse-names":false,"suffix":""},{"dropping-particle":"","family":"Ostertag","given":"Christoph B.","non-dropping-particle":"","parse-names":false,"suffix":""},{"dropping-particle":"","family":"Loeffler","given":"Markus","non-dropping-particle":"","parse-names":false,"suffix":""},{"dropping-particle":"","family":"Pietsch","given":"Torsten","non-dropping-particle":"","parse-names":false,"suffix":""},{"dropping-particle":"","family":"Deimling","given":"Andreas","non-dropping-particle":"Von","parse-names":false,"suffix":""}],"container-title":"Clinical Cancer Research","id":"ITEM-1","issue":"23","issued":{"date-parts":[["2007","12","1"]]},"page":"6933-6937","publisher":"American Association for Cancer Research Inc.","title":"Combined 1p/19q loss in oligodendroglial tumors: Predictive or prognostic biomarker?","type":"article-journal","volume":"13"},"uris":["http://www.mendeley.com/documents/?uuid=4e7a3d39-db5a-33f6-9bc0-165aa2296db8"]}],"mendeley":{"formattedCitation":"&lt;sup&gt;108&lt;/sup&gt;","plainTextFormattedCitation":"108","previouslyFormattedCitation":"&lt;sup&gt;108&lt;/sup&gt;"},"properties":{"noteIndex":0},"schema":"https://github.com/citation-style-language/schema/raw/master/csl-citation.json"}</w:instrText>
      </w:r>
      <w:r w:rsidR="00B8417B">
        <w:fldChar w:fldCharType="separate"/>
      </w:r>
      <w:r w:rsidR="00C554E1" w:rsidRPr="00C554E1">
        <w:rPr>
          <w:noProof/>
          <w:vertAlign w:val="superscript"/>
        </w:rPr>
        <w:t>108</w:t>
      </w:r>
      <w:r w:rsidR="00B8417B">
        <w:fldChar w:fldCharType="end"/>
      </w:r>
      <w:r w:rsidR="00B8417B">
        <w:t>. Tato změna je popsána u cca 70% oligodendrogliomů gradu II a III</w:t>
      </w:r>
      <w:r w:rsidR="00B8417B">
        <w:fldChar w:fldCharType="begin" w:fldLock="1"/>
      </w:r>
      <w:r w:rsidR="00C554E1">
        <w:instrText>ADDIN CSL_CITATION {"citationItems":[{"id":"ITEM-1","itemData":{"DOI":"10.1016/j.inat.2016.06.008","ISSN":"22147519","abstract":"Background The impact of chromosomal 1p/19q co-deletion on the prognosis of oligodendrogliomas has been measured in many studies previously. However most studies used 1p/19q co-deletion as a covariate to be adjusted for in a multivariable model that aimed to assess treatment effects, thus not directly measuring the effect of the 1p/19q co-deletion on prognosis. We conducted a systematic review and meta-analysis to synthesize the results and provide insight on how 1p/19q co-deletion affects prognoses of WHO grade II/III oligodendrogliomas. Methods Weighted mean difference (WMD), standardized mean difference (SMD), and hazard ratios (HRs) were used to report pooled effect of 1p/19q co-deletion on prognosis of oligodendrogliomas. The Meta-ANOVA model was used to obtain the pooled HRs. Results The difference in median overall survival (OS) time is 0.24 (95% CI: 0.15 to 0.33) and the WMD for 5-year OS rate is 6.87% (95% CI: 6.66% to 7.07%), favoring patients with co-deletion. The pooled hazard ratio (HR) for mortality is 0.28 (95% CI: 0.13 to 0.62), favoring 1p/19q co-deletion. For progression free survival (PFS), the SMD of median PFS time is 0.13 (95% CI: 0.04 to 0.21), in favor of 1p/19q co-deletion. When comparing therapies among patients with 1p/19q co-deletion, we found that those receiving radiation therapy (RT) and chemotherapy (CT) had a significantly better prognosis than those who received RT only, with pooled HR of 0.64 (95% CI: 0.51 to 0.80). Conclusions Our pooled results show that chromosomal 1p/19q co-deletion has a significant protective effect on prognosis of grade II/III oligodendrogliomas.","author":[{"dropping-particle":"","family":"Hu","given":"Nan","non-dropping-particle":"","parse-names":false,"suffix":""},{"dropping-particle":"","family":"Richards","given":"Rachel","non-dropping-particle":"","parse-names":false,"suffix":""},{"dropping-particle":"","family":"Jensen","given":"Randy","non-dropping-particle":"","parse-names":false,"suffix":""}],"container-title":"Interdisciplinary Neurosurgery: Advanced Techniques and Case Management","id":"ITEM-1","issued":{"date-parts":[["2016","9","1"]]},"page":"58-63","publisher":"Elsevier B.V.","title":"Role of chromosomal 1p/19q co-deletion on the prognosis of oligodendrogliomas: A systematic review and meta-analysis","type":"article-journal","volume":"5"},"uris":["http://www.mendeley.com/documents/?uuid=ed4cde25-6837-3c54-bb12-96cc7d4bbd67"]}],"mendeley":{"formattedCitation":"&lt;sup&gt;109&lt;/sup&gt;","plainTextFormattedCitation":"109","previouslyFormattedCitation":"&lt;sup&gt;109&lt;/sup&gt;"},"properties":{"noteIndex":0},"schema":"https://github.com/citation-style-language/schema/raw/master/csl-citation.json"}</w:instrText>
      </w:r>
      <w:r w:rsidR="00B8417B">
        <w:fldChar w:fldCharType="separate"/>
      </w:r>
      <w:r w:rsidR="00C554E1" w:rsidRPr="00C554E1">
        <w:rPr>
          <w:noProof/>
          <w:vertAlign w:val="superscript"/>
        </w:rPr>
        <w:t>109</w:t>
      </w:r>
      <w:r w:rsidR="00B8417B">
        <w:fldChar w:fldCharType="end"/>
      </w:r>
      <w:r w:rsidR="00FD5E43">
        <w:t xml:space="preserve"> a je spojována s dobrou odpovědí na chemoterapiii a radioterapii a má vliv na</w:t>
      </w:r>
      <w:r w:rsidR="00605810">
        <w:t xml:space="preserve"> delší celkové přežití a přežití bez progrese</w:t>
      </w:r>
      <w:r w:rsidR="00FD5E43">
        <w:fldChar w:fldCharType="begin" w:fldLock="1"/>
      </w:r>
      <w:r w:rsidR="00C554E1">
        <w:instrText>ADDIN CSL_CITATION {"citationItems":[{"id":"ITEM-1","itemData":{"DOI":"10.1146/annurev-pathol-121808-102109","ISSN":"15534006","PMID":"19737106","abstract":"The ongoing characterization of the genetic and epigenetic alterations in the gliomas has already improved the classification of these heterogeneous tumors and enabled the development of rodent models for analysis of the molecular pathways underlying their proliferative and invasive behavior. Effective application of the targeted therapies that are now in development will depend on pathologists' ability to provide accurate information regarding the genetic alterations and the expression of key receptors and ligands in the tumors. Here we review the mechanisms that have been implicated in the pathogenesis of the gliomas and provide examples of the cooperative nature of the pathways involved, which may influence the initial therapeutic response and the potential for development of resistance. Copyright © 2010 by Annual Reviews.","author":[{"dropping-particle":"","family":"Gladson","given":"Candece L.","non-dropping-particle":"","parse-names":false,"suffix":""},{"dropping-particle":"","family":"Prayson","given":"Richard A.","non-dropping-particle":"","parse-names":false,"suffix":""},{"dropping-particle":"","family":"Liu","given":"Wei Michael","non-dropping-particle":"","parse-names":false,"suffix":""}],"container-title":"Annual Review of Pathology: Mechanisms of Disease","id":"ITEM-1","issued":{"date-parts":[["2010","2","2"]]},"page":"33-50","publisher":"Annu Rev Pathol","title":"The pathobiology of glioma tumors","type":"article","volume":"5"},"uris":["http://www.mendeley.com/documents/?uuid=26a9d803-ad0e-3d4d-bb08-45d08e75e9fa"]}],"mendeley":{"formattedCitation":"&lt;sup&gt;110&lt;/sup&gt;","plainTextFormattedCitation":"110","previouslyFormattedCitation":"&lt;sup&gt;110&lt;/sup&gt;"},"properties":{"noteIndex":0},"schema":"https://github.com/citation-style-language/schema/raw/master/csl-citation.json"}</w:instrText>
      </w:r>
      <w:r w:rsidR="00FD5E43">
        <w:fldChar w:fldCharType="separate"/>
      </w:r>
      <w:r w:rsidR="00C554E1" w:rsidRPr="00C554E1">
        <w:rPr>
          <w:noProof/>
          <w:vertAlign w:val="superscript"/>
        </w:rPr>
        <w:t>110</w:t>
      </w:r>
      <w:r w:rsidR="00FD5E43">
        <w:fldChar w:fldCharType="end"/>
      </w:r>
      <w:r w:rsidR="00FD5E43">
        <w:t>.</w:t>
      </w:r>
      <w:r w:rsidR="00843419">
        <w:t xml:space="preserve"> </w:t>
      </w:r>
      <w:r w:rsidR="00225468">
        <w:t>Oligodendrogliomy s 1p/19q kodelecí a IDH mutací mají nejpřívětivější prognózu napříč všemi gliálními nádory</w:t>
      </w:r>
      <w:r w:rsidR="005A59EC">
        <w:t>.</w:t>
      </w:r>
      <w:r w:rsidR="00225468">
        <w:t xml:space="preserve"> </w:t>
      </w:r>
      <w:r w:rsidR="005A59EC">
        <w:t>M</w:t>
      </w:r>
      <w:r w:rsidR="00225468">
        <w:t xml:space="preserve">ediánem přežití </w:t>
      </w:r>
      <w:r w:rsidR="005A59EC">
        <w:t xml:space="preserve">je </w:t>
      </w:r>
      <w:r w:rsidR="00225468">
        <w:t>okolo 8 let oproti oligodendrogliomům bez kodelece a bez mutace, kde je med</w:t>
      </w:r>
      <w:r w:rsidR="005A59EC">
        <w:t>i</w:t>
      </w:r>
      <w:r w:rsidR="00225468">
        <w:t xml:space="preserve">án přežití </w:t>
      </w:r>
      <w:r w:rsidR="005A59EC">
        <w:t>pouze</w:t>
      </w:r>
      <w:r w:rsidR="00225468">
        <w:t xml:space="preserve"> 1,7 roku</w:t>
      </w:r>
      <w:r w:rsidR="00225468">
        <w:fldChar w:fldCharType="begin" w:fldLock="1"/>
      </w:r>
      <w:r w:rsidR="00C554E1">
        <w:instrText>ADDIN CSL_CITATION {"citationItems":[{"id":"ITEM-1","itemData":{"DOI":"10.1056/nejmoa1402121","ISSN":"0028-4793","PMID":"26061751","abstract":"BACKGROUND Diffuse low-grade and intermediate-grade gliomas (which together make up the lower-grade gliomas, World Health Organization grades II and III) have highly variable clinical behavior that is not adequately predicted on the basis of histologic class. Some are indolent; others quickly progress to glioblastoma. The uncertainty is compounded by interobserver variability in histologic diagnosis. Mutations in IDH, TP53, and ATRX and codeletion of chromosome arms 1p and 19q (1p/19q codeletion) have been implicated as clinically relevant markers of lower-grade gliomas. METHODS We performed genomewide analyses of 293 lower-grade gliomas from adults, incorporating exome sequence, DNA copy number, DNA methylation, messenger RNA expression, microRNA expression, and targeted protein expression. These data were integrated and tested for correlation with clinical outcomes. RESULTS Unsupervised clustering of mutations and data from RNA, DNA-copy-number, and DNA-methylation platforms uncovered concordant classification of three robust, nonoverlapping, prognostically significant subtypes of lower-grade glioma that were captured more accurately by IDH, 1p/19q, and TP53 status than by histologic class. Patients who had lower-grade gliomas with an IDH mutation and 1p/19q codeletion had the most favorable clinical outcomes. Their gliomas harbored mutations in CIC, FUBP1, NOTCH1, and the TERT promoter. Nearly all lower-grade gliomas with IDH mutations and no 1p/19q codeletion had mutations in TP53 (94%) and ATRX inactivation (86%). The large majority of lower-grade gliomas without an IDH mutation had genomic aberrations and clinical behavior strikingly similar to those found in primary glioblastoma. CONCLUSIONS The integration of genomewide data from multiple platforms delineated three molecular classes of lower-grade gliomas that were more concordant with IDH, 1p/19q, and TP53 status than with histologic class. Lower-grade gliomas with an IDH mutation either had 1p/19q codeletion or carried a TP53 mutation. Most lower-grade gliomas without an IDH mutation were molecularly and clinically similar to glioblastoma. (Funded by the National Institutes of Health.).","container-title":"New England Journal of Medicine","id":"ITEM-1","issue":"26","issued":{"date-parts":[["2015","6","25"]]},"page":"2481-2498","publisher":"New England Journal of Medicine (NEJM/MMS)","title":"Comprehensive, Integrative Genomic Analysis of Diffuse Lower-Grade Gliomas","type":"article-journal","volume":"372"},"uris":["http://www.mendeley.com/documents/?uuid=3701cc77-d91c-35d6-b814-d0d85622a1dd"]}],"mendeley":{"formattedCitation":"&lt;sup&gt;111&lt;/sup&gt;","plainTextFormattedCitation":"111","previouslyFormattedCitation":"&lt;sup&gt;111&lt;/sup&gt;"},"properties":{"noteIndex":0},"schema":"https://github.com/citation-style-language/schema/raw/master/csl-citation.json"}</w:instrText>
      </w:r>
      <w:r w:rsidR="00225468">
        <w:fldChar w:fldCharType="separate"/>
      </w:r>
      <w:r w:rsidR="00C554E1" w:rsidRPr="00C554E1">
        <w:rPr>
          <w:noProof/>
          <w:vertAlign w:val="superscript"/>
        </w:rPr>
        <w:t>111</w:t>
      </w:r>
      <w:r w:rsidR="00225468">
        <w:fldChar w:fldCharType="end"/>
      </w:r>
      <w:r w:rsidR="00225468">
        <w:t>.</w:t>
      </w:r>
    </w:p>
    <w:p w14:paraId="520B07C1" w14:textId="77777777" w:rsidR="00605810" w:rsidRDefault="00605810" w:rsidP="00EC4DAF">
      <w:pPr>
        <w:pStyle w:val="Odstavecseseznamem"/>
        <w:tabs>
          <w:tab w:val="left" w:pos="975"/>
        </w:tabs>
        <w:ind w:left="0"/>
        <w:jc w:val="both"/>
      </w:pPr>
    </w:p>
    <w:p w14:paraId="6A87813C" w14:textId="26DB3439" w:rsidR="00605810" w:rsidRDefault="00605810" w:rsidP="00EC4DAF">
      <w:pPr>
        <w:pStyle w:val="Odstavecseseznamem"/>
        <w:tabs>
          <w:tab w:val="left" w:pos="975"/>
        </w:tabs>
        <w:ind w:left="0"/>
        <w:jc w:val="both"/>
      </w:pPr>
      <w:r>
        <w:t xml:space="preserve">Kodelece 1p/19q se často vyskytuje spolu s nejčastější variantou mutace IDH1 R132H </w:t>
      </w:r>
      <w:r>
        <w:fldChar w:fldCharType="begin" w:fldLock="1"/>
      </w:r>
      <w:r w:rsidR="00C554E1">
        <w:instrText>ADDIN CSL_CITATION {"citationItems":[{"id":"ITEM-1","itemData":{"DOI":"10.1056/nejmoa1402121","ISSN":"0028-4793","PMID":"26061751","abstract":"BACKGROUND Diffuse low-grade and intermediate-grade gliomas (which together make up the lower-grade gliomas, World Health Organization grades II and III) have highly variable clinical behavior that is not adequately predicted on the basis of histologic class. Some are indolent; others quickly progress to glioblastoma. The uncertainty is compounded by interobserver variability in histologic diagnosis. Mutations in IDH, TP53, and ATRX and codeletion of chromosome arms 1p and 19q (1p/19q codeletion) have been implicated as clinically relevant markers of lower-grade gliomas. METHODS We performed genomewide analyses of 293 lower-grade gliomas from adults, incorporating exome sequence, DNA copy number, DNA methylation, messenger RNA expression, microRNA expression, and targeted protein expression. These data were integrated and tested for correlation with clinical outcomes. RESULTS Unsupervised clustering of mutations and data from RNA, DNA-copy-number, and DNA-methylation platforms uncovered concordant classification of three robust, nonoverlapping, prognostically significant subtypes of lower-grade glioma that were captured more accurately by IDH, 1p/19q, and TP53 status than by histologic class. Patients who had lower-grade gliomas with an IDH mutation and 1p/19q codeletion had the most favorable clinical outcomes. Their gliomas harbored mutations in CIC, FUBP1, NOTCH1, and the TERT promoter. Nearly all lower-grade gliomas with IDH mutations and no 1p/19q codeletion had mutations in TP53 (94%) and ATRX inactivation (86%). The large majority of lower-grade gliomas without an IDH mutation had genomic aberrations and clinical behavior strikingly similar to those found in primary glioblastoma. CONCLUSIONS The integration of genomewide data from multiple platforms delineated three molecular classes of lower-grade gliomas that were more concordant with IDH, 1p/19q, and TP53 status than with histologic class. Lower-grade gliomas with an IDH mutation either had 1p/19q codeletion or carried a TP53 mutation. Most lower-grade gliomas without an IDH mutation were molecularly and clinically similar to glioblastoma. (Funded by the National Institutes of Health.).","container-title":"New England Journal of Medicine","id":"ITEM-1","issue":"26","issued":{"date-parts":[["2015","6","25"]]},"page":"2481-2498","publisher":"New England Journal of Medicine (NEJM/MMS)","title":"Comprehensive, Integrative Genomic Analysis of Diffuse Lower-Grade Gliomas","type":"article-journal","volume":"372"},"uris":["http://www.mendeley.com/documents/?uuid=3701cc77-d91c-35d6-b814-d0d85622a1dd"]}],"mendeley":{"formattedCitation":"&lt;sup&gt;111&lt;/sup&gt;","plainTextFormattedCitation":"111","previouslyFormattedCitation":"&lt;sup&gt;111&lt;/sup&gt;"},"properties":{"noteIndex":0},"schema":"https://github.com/citation-style-language/schema/raw/master/csl-citation.json"}</w:instrText>
      </w:r>
      <w:r>
        <w:fldChar w:fldCharType="separate"/>
      </w:r>
      <w:r w:rsidR="00C554E1" w:rsidRPr="00C554E1">
        <w:rPr>
          <w:noProof/>
          <w:vertAlign w:val="superscript"/>
        </w:rPr>
        <w:t>111</w:t>
      </w:r>
      <w:r>
        <w:fldChar w:fldCharType="end"/>
      </w:r>
      <w:r>
        <w:t xml:space="preserve">. </w:t>
      </w:r>
      <w:r w:rsidR="00843419">
        <w:t xml:space="preserve">Dále je doprovázena </w:t>
      </w:r>
      <w:r w:rsidR="00843419" w:rsidRPr="008F1A44">
        <w:t>mutacemi v TERT (</w:t>
      </w:r>
      <w:r w:rsidR="001E77FF">
        <w:t>Telomerase Reverse T</w:t>
      </w:r>
      <w:r w:rsidR="00DE2DE9" w:rsidRPr="008F1A44">
        <w:t>ranscriptase</w:t>
      </w:r>
      <w:r w:rsidR="00843419" w:rsidRPr="008F1A44">
        <w:t>), CIC (</w:t>
      </w:r>
      <w:r w:rsidR="00DE2DE9" w:rsidRPr="008F1A44">
        <w:t>homologue of Drosophila capicua</w:t>
      </w:r>
      <w:r w:rsidR="00843419" w:rsidRPr="008F1A44">
        <w:t>) a FUBP1</w:t>
      </w:r>
      <w:r w:rsidR="001E77FF">
        <w:t xml:space="preserve"> (F</w:t>
      </w:r>
      <w:r w:rsidR="00DE2DE9" w:rsidRPr="008F1A44">
        <w:t>ar</w:t>
      </w:r>
      <w:r w:rsidR="001E77FF">
        <w:t>-U</w:t>
      </w:r>
      <w:r w:rsidR="00DE2DE9" w:rsidRPr="00DE2DE9">
        <w:t xml:space="preserve">pstream </w:t>
      </w:r>
      <w:r w:rsidR="001E77FF">
        <w:t>B</w:t>
      </w:r>
      <w:r w:rsidR="00DE2DE9" w:rsidRPr="00DE2DE9">
        <w:t xml:space="preserve">inding </w:t>
      </w:r>
      <w:r w:rsidR="001E77FF">
        <w:t>P</w:t>
      </w:r>
      <w:r w:rsidR="00DE2DE9" w:rsidRPr="00DE2DE9">
        <w:t>rotein 1)</w:t>
      </w:r>
      <w:r w:rsidR="00843419">
        <w:t xml:space="preserve"> spolu s metylací MGMT</w:t>
      </w:r>
      <w:r w:rsidR="00843419">
        <w:fldChar w:fldCharType="begin" w:fldLock="1"/>
      </w:r>
      <w:r w:rsidR="00C554E1">
        <w:instrText>ADDIN CSL_CITATION {"citationItems":[{"id":"ITEM-1","itemData":{"DOI":"10.18632/oncotarget.588","ISSN":"19492553","PMID":"22869205","abstract":"Mutations in the critical chromatin modifier ATRX and mutations in CIC and FUBP1, which are potent regulators of cell growth, have been discovered in specific subtypes of gliomas, the most common type of primary malignant brain tumors. However, the frequency of these mutations in many subtypes of gliomas, and their association with clinical features of the patients, is poorly understood. Here we analyzed these loci in 363 brain tumors. ATRX is frequently mutated in grade II-III astrocytomas (71%), oligoastrocytomas (68%), and secondary glioblastomas (57%), and ATRX mutations are associated with IDH1 mutations and with an alternative lengthening of telomeres phenotype. CIC and FUBP1 mutations occurred frequently in oligodendrogliomas (46% and 24%, respectively) but rarely in astrocytomas or oligoastrocytomas (&lt;10%). This analysis allowed us to define two highly recurrent genetic signatures in gliomas: IDH1/ATRX (I-A) and IDH1/CIC/FUBP1 (I-CF). Patients with I-CF gliomas had a significantly longer median overall survival (96 months) than patients with I-A gliomas (51 months) and patients with gliomas that did not harbor either signature (13 months). The genetic signatures distinguished clinically distinct groups of oligoastrocytoma patients, which usually present a diagnostic challenge, and were associated with differences in clinical outcome even among individual tumor types. In addition to providing new clues about the genetic alterations underlying gliomas, the results have immediate clinical implications, providing a tripartite genetic signature that can serve as a useful adjunct to conventional glioma classification that may aid in prognosis, treatment selection, and therapeutic trial design. © Jiao et al.","author":[{"dropping-particle":"","family":"Jiao","given":"Yuchen","non-dropping-particle":"","parse-names":false,"suffix":""},{"dropping-particle":"","family":"Killela","given":"Patrick J.","non-dropping-particle":"","parse-names":false,"suffix":""},{"dropping-particle":"","family":"Reitman","given":"Zachary J.","non-dropping-particle":"","parse-names":false,"suffix":""},{"dropping-particle":"","family":"Rasheed","given":"B. Ahmed","non-dropping-particle":"","parse-names":false,"suffix":""},{"dropping-particle":"","family":"Heaphy","given":"Christopher M.","non-dropping-particle":"","parse-names":false,"suffix":""},{"dropping-particle":"","family":"Wilde","given":"Roeland F.","non-dropping-particle":"de","parse-names":false,"suffix":""},{"dropping-particle":"","family":"Rodriguez","given":"Fausto J.","non-dropping-particle":"","parse-names":false,"suffix":""},{"dropping-particle":"","family":"Rosemberg","given":"Sergio","non-dropping-particle":"","parse-names":false,"suffix":""},{"dropping-particle":"","family":"Oba-Shinjo","given":"Sueli Mieko","non-dropping-particle":"","parse-names":false,"suffix":""},{"dropping-particle":"","family":"Marie","given":"Suely Kazue Nagahashi","non-dropping-particle":"","parse-names":false,"suffix":""},{"dropping-particle":"","family":"Bettegowda","given":"Chetan","non-dropping-particle":"","parse-names":false,"suffix":""},{"dropping-particle":"","family":"Agrawal","given":"Nishant","non-dropping-particle":"","parse-names":false,"suffix":""},{"dropping-particle":"","family":"Lipp","given":"Eric","non-dropping-particle":"","parse-names":false,"suffix":""},{"dropping-particle":"","family":"Pirozzi","given":"Christopher J.","non-dropping-particle":"","parse-names":false,"suffix":""},{"dropping-particle":"","family":"Lopez","given":"Giselle Y.","non-dropping-particle":"","parse-names":false,"suffix":""},{"dropping-particle":"","family":"He","given":"Yiping","non-dropping-particle":"","parse-names":false,"suffix":""},{"dropping-particle":"","family":"Friedman","given":"Henry S.","non-dropping-particle":"","parse-names":false,"suffix":""},{"dropping-particle":"","family":"Friedman","given":"Allan H.","non-dropping-particle":"","parse-names":false,"suffix":""},{"dropping-particle":"","family":"Riggins","given":"Gregory J.","non-dropping-particle":"","parse-names":false,"suffix":""},{"dropping-particle":"","family":"Holdhoff","given":"Matthias","non-dropping-particle":"","parse-names":false,"suffix":""},{"dropping-particle":"","family":"Burger","given":"Peter","non-dropping-particle":"","parse-names":false,"suffix":""},{"dropping-particle":"","family":"McLendon","given":"Roger E.","non-dropping-particle":"","parse-names":false,"suffix":""},{"dropping-particle":"","family":"Bigner","given":"Darell D.","non-dropping-particle":"","parse-names":false,"suffix":""},{"dropping-particle":"","family":"Vogelstein","given":"Bert","non-dropping-particle":"","parse-names":false,"suffix":""},{"dropping-particle":"","family":"Meeker","given":"Alan K.","non-dropping-particle":"","parse-names":false,"suffix":""},{"dropping-particle":"","family":"Kinzler","given":"Kenneth W.","non-dropping-particle":"","parse-names":false,"suffix":""},{"dropping-particle":"","family":"Papadopoulos","given":"Nickolas","non-dropping-particle":"","parse-names":false,"suffix":""},{"dropping-particle":"","family":"Diaz","given":"Luis A.","non-dropping-particle":"","parse-names":false,"suffix":""},{"dropping-particle":"","family":"Yan","given":"Hai","non-dropping-particle":"","parse-names":false,"suffix":""}],"container-title":"Oncotarget","id":"ITEM-1","issue":"7","issued":{"date-parts":[["2012"]]},"page":"709-722","publisher":"Impact Journals LLC","title":"Frequent ATRX, CIC, FUBP1 and IDH1 mutations refine the classification of malignant gliomas","type":"article-journal","volume":"3"},"uris":["http://www.mendeley.com/documents/?uuid=5d569d7c-dfc2-312a-8474-3842e98da068"]},{"id":"ITEM-2","itemData":{"DOI":"10.1126/science.1210557","ISSN":"00368075","PMID":"21817013","abstract":"Oligodendrogliomas are the second most common malignant brain tumor in adults and exhibit characteristic losses of chromosomes 1p and 19q. To identify the molecular genetic basis for this alteration, we performed exomic sequencing of seven tumors. Among other changes, we found that the CIC gene (homolog of the Drosophila gene capicua) on chromosome 19q was somatically mutated in six cases and that the FUBP1 gene [encoding far-upstream element (FUSE) binding protein] on chromosome 1p was somatically mutated in two tumors. Examination of 27 additional oligodendrogliomas revealed 12 and 3 more tumors with mutations of CIC and FUBP1, respectively, 58% of which were predicted to result in truncations of the encoded proteins. These results suggest a critical role for these genes in the biology and pathology of oligodendrocytes.","author":[{"dropping-particle":"","family":"Bettegowda","given":"Chetan","non-dropping-particle":"","parse-names":false,"suffix":""},{"dropping-particle":"","family":"Agrawal","given":"Nishant","non-dropping-particle":"","parse-names":false,"suffix":""},{"dropping-particle":"","family":"Jiao","given":"Yuchen","non-dropping-particle":"","parse-names":false,"suffix":""},{"dropping-particle":"","family":"Sausen","given":"Mark","non-dropping-particle":"","parse-names":false,"suffix":""},{"dropping-particle":"","family":"Wood","given":"Laura D.","non-dropping-particle":"","parse-names":false,"suffix":""},{"dropping-particle":"","family":"Hruban","given":"Ralph H.","non-dropping-particle":"","parse-names":false,"suffix":""},{"dropping-particle":"","family":"Rodriguez","given":"Fausto J.","non-dropping-particle":"","parse-names":false,"suffix":""},{"dropping-particle":"","family":"Cahill","given":"Daniel P.","non-dropping-particle":"","parse-names":false,"suffix":""},{"dropping-particle":"","family":"McLendon","given":"Roger","non-dropping-particle":"","parse-names":false,"suffix":""},{"dropping-particle":"","family":"Riggins","given":"Gregory","non-dropping-particle":"","parse-names":false,"suffix":""},{"dropping-particle":"","family":"Velculescu","given":"Victor E.","non-dropping-particle":"","parse-names":false,"suffix":""},{"dropping-particle":"","family":"Oba-Shinjo","given":"Sueli Mieko","non-dropping-particle":"","parse-names":false,"suffix":""},{"dropping-particle":"","family":"Marie","given":"Suely Kazue Nagahashi","non-dropping-particle":"","parse-names":false,"suffix":""},{"dropping-particle":"","family":"Vogelstein","given":"Bert","non-dropping-particle":"","parse-names":false,"suffix":""},{"dropping-particle":"","family":"Bigner","given":"Darell","non-dropping-particle":"","parse-names":false,"suffix":""},{"dropping-particle":"","family":"Yan","given":"Hai","non-dropping-particle":"","parse-names":false,"suffix":""},{"dropping-particle":"","family":"Papadopoulos","given":"Nickolas","non-dropping-particle":"","parse-names":false,"suffix":""},{"dropping-particle":"","family":"Kinzler","given":"Kenneth W.","non-dropping-particle":"","parse-names":false,"suffix":""}],"container-title":"Science","id":"ITEM-2","issue":"6048","issued":{"date-parts":[["2011","9","9"]]},"page":"1453-1455","publisher":"Science","title":"Mutations in CIC and FUBP1 contribute to human oligodendroglioma","type":"article-journal","volume":"333"},"uris":["http://www.mendeley.com/documents/?uuid=3299bebd-0e56-3e2c-8cb0-ccb549e42d1d"]},{"id":"ITEM-3","itemData":{"DOI":"10.1056/nejmoa1402121","ISSN":"0028-4793","PMID":"26061751","abstract":"BACKGROUND Diffuse low-grade and intermediate-grade gliomas (which together make up the lower-grade gliomas, World Health Organization grades II and III) have highly variable clinical behavior that is not adequately predicted on the basis of histologic class. Some are indolent; others quickly progress to glioblastoma. The uncertainty is compounded by interobserver variability in histologic diagnosis. Mutations in IDH, TP53, and ATRX and codeletion of chromosome arms 1p and 19q (1p/19q codeletion) have been implicated as clinically relevant markers of lower-grade gliomas. METHODS We performed genomewide analyses of 293 lower-grade gliomas from adults, incorporating exome sequence, DNA copy number, DNA methylation, messenger RNA expression, microRNA expression, and targeted protein expression. These data were integrated and tested for correlation with clinical outcomes. RESULTS Unsupervised clustering of mutations and data from RNA, DNA-copy-number, and DNA-methylation platforms uncovered concordant classification of three robust, nonoverlapping, prognostically significant subtypes of lower-grade glioma that were captured more accurately by IDH, 1p/19q, and TP53 status than by histologic class. Patients who had lower-grade gliomas with an IDH mutation and 1p/19q codeletion had the most favorable clinical outcomes. Their gliomas harbored mutations in CIC, FUBP1, NOTCH1, and the TERT promoter. Nearly all lower-grade gliomas with IDH mutations and no 1p/19q codeletion had mutations in TP53 (94%) and ATRX inactivation (86%). The large majority of lower-grade gliomas without an IDH mutation had genomic aberrations and clinical behavior strikingly similar to those found in primary glioblastoma. CONCLUSIONS The integration of genomewide data from multiple platforms delineated three molecular classes of lower-grade gliomas that were more concordant with IDH, 1p/19q, and TP53 status than with histologic class. Lower-grade gliomas with an IDH mutation either had 1p/19q codeletion or carried a TP53 mutation. Most lower-grade gliomas without an IDH mutation were molecularly and clinically similar to glioblastoma. (Funded by the National Institutes of Health.).","container-title":"New England Journal of Medicine","id":"ITEM-3","issue":"26","issued":{"date-parts":[["2015","6","25"]]},"page":"2481-2498","publisher":"New England Journal of Medicine (NEJM/MMS)","title":"Comprehensive, Integrative Genomic Analysis of Diffuse Lower-Grade Gliomas","type":"article-journal","volume":"372"},"uris":["http://www.mendeley.com/documents/?uuid=3701cc77-d91c-35d6-b814-d0d85622a1dd"]}],"mendeley":{"formattedCitation":"&lt;sup&gt;80,111,112&lt;/sup&gt;","plainTextFormattedCitation":"80,111,112","previouslyFormattedCitation":"&lt;sup&gt;80,111,112&lt;/sup&gt;"},"properties":{"noteIndex":0},"schema":"https://github.com/citation-style-language/schema/raw/master/csl-citation.json"}</w:instrText>
      </w:r>
      <w:r w:rsidR="00843419">
        <w:fldChar w:fldCharType="separate"/>
      </w:r>
      <w:r w:rsidR="00C554E1" w:rsidRPr="00C554E1">
        <w:rPr>
          <w:noProof/>
          <w:vertAlign w:val="superscript"/>
        </w:rPr>
        <w:t>80,111,112</w:t>
      </w:r>
      <w:r w:rsidR="00843419">
        <w:fldChar w:fldCharType="end"/>
      </w:r>
      <w:r w:rsidR="00843419">
        <w:t xml:space="preserve">. Naopak pouze raritně se kodelece 1p/19q objevuje spolu s mutacemi v TP53 a ATRX, které charakterizují astrocytární nádory. </w:t>
      </w:r>
    </w:p>
    <w:p w14:paraId="444CD65B" w14:textId="77777777" w:rsidR="00107F82" w:rsidRDefault="00107F82" w:rsidP="00EC4DAF">
      <w:pPr>
        <w:pStyle w:val="Odstavecseseznamem"/>
        <w:tabs>
          <w:tab w:val="left" w:pos="975"/>
        </w:tabs>
        <w:ind w:left="0"/>
        <w:jc w:val="both"/>
      </w:pPr>
    </w:p>
    <w:p w14:paraId="23B87CAA" w14:textId="4FBC4E51" w:rsidR="00605810" w:rsidRDefault="00605810" w:rsidP="00EC4DAF">
      <w:pPr>
        <w:pStyle w:val="Odstavecseseznamem"/>
        <w:tabs>
          <w:tab w:val="left" w:pos="975"/>
        </w:tabs>
        <w:ind w:left="0"/>
        <w:jc w:val="both"/>
      </w:pPr>
      <w:r>
        <w:t xml:space="preserve">Kodelece 1p/19q se využívá přímo v klasifikaci oligodendrogliomů a klinicky využívanou metodou detekce je fluorescenční </w:t>
      </w:r>
      <w:r w:rsidRPr="00605810">
        <w:rPr>
          <w:i/>
          <w:iCs/>
        </w:rPr>
        <w:t xml:space="preserve">in situ </w:t>
      </w:r>
      <w:r>
        <w:t>hybridizace</w:t>
      </w:r>
      <w:r w:rsidR="00612480">
        <w:t xml:space="preserve"> z FFPE tkáně, kde se pomocí sond vypočítává poměr signálů 1p/1q a 19q/19p</w:t>
      </w:r>
      <w:r w:rsidR="00DE2DE9">
        <w:t>. Dalšími metodami jsou</w:t>
      </w:r>
      <w:r>
        <w:t xml:space="preserve"> vyšetření ztráty </w:t>
      </w:r>
      <w:r w:rsidRPr="008F1A44">
        <w:t>heterozygotnosti (LOH) pomocí</w:t>
      </w:r>
      <w:r>
        <w:t xml:space="preserve"> PCR</w:t>
      </w:r>
      <w:r w:rsidR="00DE2DE9">
        <w:t xml:space="preserve">, komparativní genomová hybridizace nebo arraye založené na </w:t>
      </w:r>
      <w:r w:rsidR="00DE2DE9" w:rsidRPr="008F1A44">
        <w:t>detekci SNP polymorfizmů</w:t>
      </w:r>
      <w:r w:rsidR="00DE2DE9">
        <w:t xml:space="preserve"> (single nucleotide polymor</w:t>
      </w:r>
      <w:r w:rsidR="005A59EC">
        <w:t>p</w:t>
      </w:r>
      <w:r w:rsidR="00DE2DE9">
        <w:t>hism)</w:t>
      </w:r>
      <w:r w:rsidR="00DE2DE9">
        <w:fldChar w:fldCharType="begin" w:fldLock="1"/>
      </w:r>
      <w:r w:rsidR="00C554E1">
        <w:instrText>ADDIN CSL_CITATION {"citationItems":[{"id":"ITEM-1","itemData":{"DOI":"10.5414/NPP30047","ISSN":"07225091","PMID":"21329613","abstract":"The codeletion of chromosomal arms 1p 19q is a characteristic and early genetic event in oligodendroglial tumors, that is associated with a better prognosis and enhanced response to therapy. Over the last years, the increasing clinical demand to determine the 1p 19q status has led to the implementation of its testing in many neuropathology laboratories. Several different methods for 1p 19q testing are available: PCR-based loss of heterozygosity analysis, multiplex ligation-dependent probe amplification, array comparative genomic hybridization, and fluorescence in situ hybridization (FISH). Herein, we focus and critically discuss the lattermethod because a detailed description of procedures and protocols for FISH-based 1p 19q testing in practice is lacking. We present a practical approach to the FISH-based assessment of the 1p 19q status in oligodendroglial tumors, from commonly used locus-specific probes and technical protocols to the neuropathological interpretation of results. Thereby, we aim to facilitate the implementation of FISH-based 1p 19q testing for clinical purposes in standard neuropathology laboratories without special focus on brain tumor research. ©2011 Dustri-Verlag Dr. K. Feistle.","author":[{"dropping-particle":"","family":"Woehrer","given":"A.","non-dropping-particle":"","parse-names":false,"suffix":""},{"dropping-particle":"","family":"Sander","given":"P.","non-dropping-particle":"","parse-names":false,"suffix":""},{"dropping-particle":"","family":"Haberler","given":"C.","non-dropping-particle":"","parse-names":false,"suffix":""},{"dropping-particle":"","family":"Kern","given":"S.","non-dropping-particle":"","parse-names":false,"suffix":""},{"dropping-particle":"","family":"Maier","given":"H.","non-dropping-particle":"","parse-names":false,"suffix":""},{"dropping-particle":"","family":"Preusser","given":"M.","non-dropping-particle":"","parse-names":false,"suffix":""},{"dropping-particle":"","family":"Hartmann","given":"C.","non-dropping-particle":"","parse-names":false,"suffix":""},{"dropping-particle":"","family":"Kros","given":"J. M.","non-dropping-particle":"","parse-names":false,"suffix":""},{"dropping-particle":"","family":"Hainfellner","given":"J. A.","non-dropping-particle":"","parse-names":false,"suffix":""}],"container-title":"Clinical Neuropathology","id":"ITEM-1","issue":"2","issued":{"date-parts":[["2011","3"]]},"page":"47-55","publisher":"Clin Neuropathol","title":"FISH-based detection of 1p 19q codeletion in oligodendroglial tumors: Procedures and protocols for neuropathological practice - A publication under the auspices of the Research Committee of the European Confederation of Neuropathological Societies (Euro-CNS)","type":"article-journal","volume":"30"},"uris":["http://www.mendeley.com/documents/?uuid=622d4fa8-37a1-3a6f-b914-783636eb33b1"]}],"mendeley":{"formattedCitation":"&lt;sup&gt;113&lt;/sup&gt;","plainTextFormattedCitation":"113","previouslyFormattedCitation":"&lt;sup&gt;113&lt;/sup&gt;"},"properties":{"noteIndex":0},"schema":"https://github.com/citation-style-language/schema/raw/master/csl-citation.json"}</w:instrText>
      </w:r>
      <w:r w:rsidR="00DE2DE9">
        <w:fldChar w:fldCharType="separate"/>
      </w:r>
      <w:r w:rsidR="00C554E1" w:rsidRPr="00C554E1">
        <w:rPr>
          <w:noProof/>
          <w:vertAlign w:val="superscript"/>
        </w:rPr>
        <w:t>113</w:t>
      </w:r>
      <w:r w:rsidR="00DE2DE9">
        <w:fldChar w:fldCharType="end"/>
      </w:r>
      <w:r w:rsidR="00DE2DE9">
        <w:t xml:space="preserve">. </w:t>
      </w:r>
    </w:p>
    <w:p w14:paraId="3C8BE8B3" w14:textId="45E51951" w:rsidR="0014429C" w:rsidRDefault="0014429C" w:rsidP="00EC4DAF">
      <w:pPr>
        <w:pStyle w:val="Odstavecseseznamem"/>
        <w:tabs>
          <w:tab w:val="left" w:pos="975"/>
        </w:tabs>
        <w:ind w:left="0"/>
        <w:jc w:val="both"/>
      </w:pPr>
    </w:p>
    <w:p w14:paraId="4A0CA5A1" w14:textId="29A9B60A" w:rsidR="0014429C" w:rsidRDefault="007C62DC" w:rsidP="00A92FFD">
      <w:pPr>
        <w:pStyle w:val="Nadpis4"/>
        <w:rPr>
          <w:i/>
        </w:rPr>
      </w:pPr>
      <w:bookmarkStart w:id="47" w:name="_Toc88741472"/>
      <w:r>
        <w:t xml:space="preserve">Mutace genu </w:t>
      </w:r>
      <w:r w:rsidR="0014429C" w:rsidRPr="007C62DC">
        <w:rPr>
          <w:i/>
        </w:rPr>
        <w:t>TERT</w:t>
      </w:r>
      <w:bookmarkEnd w:id="47"/>
    </w:p>
    <w:p w14:paraId="5E1F36A6" w14:textId="70C11CEE" w:rsidR="000011FB" w:rsidRDefault="00EF7EBA" w:rsidP="00EC4DAF">
      <w:pPr>
        <w:pStyle w:val="Odstavecseseznamem"/>
        <w:ind w:left="0"/>
        <w:jc w:val="both"/>
      </w:pPr>
      <w:r w:rsidRPr="00EF7EBA">
        <w:t>Ge</w:t>
      </w:r>
      <w:r>
        <w:t xml:space="preserve">n </w:t>
      </w:r>
      <w:r w:rsidR="00033C38">
        <w:t>pro TERT (T</w:t>
      </w:r>
      <w:r w:rsidRPr="008F1A44">
        <w:t>elomerase</w:t>
      </w:r>
      <w:r>
        <w:t xml:space="preserve"> </w:t>
      </w:r>
      <w:r w:rsidR="00033C38">
        <w:t>R</w:t>
      </w:r>
      <w:r>
        <w:t xml:space="preserve">everse </w:t>
      </w:r>
      <w:r w:rsidR="00033C38">
        <w:t>T</w:t>
      </w:r>
      <w:r>
        <w:t>ranscriptase) je lokalizován na 5p15.33 a kóduje katalytickou podjednotku telomerázy, která s počtem dělení zkracuje délku telomer</w:t>
      </w:r>
      <w:r>
        <w:fldChar w:fldCharType="begin" w:fldLock="1"/>
      </w:r>
      <w:r w:rsidR="00C554E1">
        <w:instrText>ADDIN CSL_CITATION {"citationItems":[{"id":"ITEM-1","itemData":{"DOI":"10.3390/genes7070038","ISSN":"20734425","abstract":"The accumulated evidence has pointed to a key role of telomerase in carcinogenesis. As a RNA-dependent DNA polymerase, telomerase synthesizes telomeric DNA at the end of linear chromosomes, and attenuates or prevents telomere erosion associated with cell divisions. By lengthening telomeres, telomerase extends cellular life-span or even induces immortalization. Consistent with its functional activity, telomerase is silent in most human normal somatic cells while active only in germ-line, stem and other highly proliferative cells. In contrast, telomerase activation widely occurs in human cancer and the enzymatic activity is detectable in up to 90% of malignancies. Recently, hotspot point mutations in the regulatory region of the telomerase reverse transcriptase (TERT) gene, encoding the core catalytic component of telomerase, was identified as a novel mechanism to activate telomerase in cancer. This review discusses the cancer-specific TERT promoter mutations and potential biological and clinical significances.","author":[{"dropping-particle":"","family":"Liu","given":"Tiantian","non-dropping-particle":"","parse-names":false,"suffix":""},{"dropping-particle":"","family":"Yuan","given":"Xiaotian","non-dropping-particle":"","parse-names":false,"suffix":""},{"dropping-particle":"","family":"Xu","given":"Dawei","non-dropping-particle":"","parse-names":false,"suffix":""}],"container-title":"Genes","id":"ITEM-1","issue":"7","issued":{"date-parts":[["2016","7","18"]]},"publisher":"MDPI AG","title":"Cancer-specific telomerase reverse transcriptase (Tert) promoter mutations: Biological and clinical implications","type":"article","volume":"7"},"uris":["http://www.mendeley.com/documents/?uuid=5b5c015a-71e5-3ec9-8066-a6562d3423c6"]}],"mendeley":{"formattedCitation":"&lt;sup&gt;114&lt;/sup&gt;","plainTextFormattedCitation":"114","previouslyFormattedCitation":"&lt;sup&gt;114&lt;/sup&gt;"},"properties":{"noteIndex":0},"schema":"https://github.com/citation-style-language/schema/raw/master/csl-citation.json"}</w:instrText>
      </w:r>
      <w:r>
        <w:fldChar w:fldCharType="separate"/>
      </w:r>
      <w:r w:rsidR="00C554E1" w:rsidRPr="00C554E1">
        <w:rPr>
          <w:noProof/>
          <w:vertAlign w:val="superscript"/>
        </w:rPr>
        <w:t>114</w:t>
      </w:r>
      <w:r>
        <w:fldChar w:fldCharType="end"/>
      </w:r>
      <w:r>
        <w:t>.  Změny ve funkci telomerázy jsou pozorovány napříč všemi nádory a považuje se za hlavní změny vedoucí ke kancerogenezi a progresi</w:t>
      </w:r>
      <w:r>
        <w:fldChar w:fldCharType="begin" w:fldLock="1"/>
      </w:r>
      <w:r w:rsidR="00C554E1">
        <w:instrText>ADDIN CSL_CITATION {"citationItems":[{"id":"ITEM-1","itemData":{"DOI":"10.1007/s00401-017-1690-1","ISSN":"14320533","PMID":"28255664","abstract":"The “integrated diagnosis” for infiltrating gliomas in the 2016 revised World Health Organization (WHO) classification of tumors of the central nervous system requires assessment of the tumor for IDH mutations and 1p/19q codeletion. Since TERT promoter mutations and ATRX alterations have been shown to be associated with prognosis, we analyzed whether these tumor markers provide additional prognostic information within each of the five WHO 2016 categories. We used data for 1206 patients from the UCSF Adult Glioma Study, the Mayo Clinic and The Cancer Genome Atlas (TCGA) with infiltrative glioma, grades II-IV for whom tumor status for IDH, 1p/19q codeletion, ATRX, and TERT had been determined. All cases were assigned to one of 5 groups following the WHO 2016 diagnostic criteria based on their morphologic features, and IDH and 1p/19q codeletion status. These groups are: (1) Oligodendroglioma, IDH-mutant and 1p/19q-codeleted; (2) Astrocytoma, IDH-mutant; (3) Glioblastoma, IDH-mutant; (4) Glioblastoma, IDH-wildtype; and (5) Astrocytoma, IDH-wildtype. Within each group, we used univariate and multivariate Cox proportional hazards models to assess associations of overall survival with patient age at diagnosis, grade, and ATRX alteration status and/or TERT promoter mutation status. Among Group 1 IDH-mutant 1p/19q-codeleted oligodendrogliomas, the TERT-WT group had significantly worse overall survival than the TERT-MUT group (HR: 2.72, 95% CI 1.05–7.04, p = 0.04). In both Group 2, IDH-mutant astrocytomas and Group 3, IDH-mutant glioblastomas, neither TERT mutations nor ATRX alterations were significantly associated with survival. Among Group 4, IDH-wildtype glioblastomas, ATRX alterations were associated with favorable outcomes (HR: 0.36, 95% CI 0.17–0.81, p = 0.01). Among Group 5, IDH-wildtype astrocytomas, the TERT-WT group had significantly better overall survival than the TERT-MUT group (HR: 0.48, 95% CI 0.27–0.87), p = 0.02). Thus, we present evidence that in certain WHO 2016 diagnostic groups, testing for TERT promoter mutations or ATRX alterations may provide additional useful prognostic information.","author":[{"dropping-particle":"","family":"Pekmezci","given":"Melike","non-dropping-particle":"","parse-names":false,"suffix":""},{"dropping-particle":"","family":"Rice","given":"Terri","non-dropping-particle":"","parse-names":false,"suffix":""},{"dropping-particle":"","family":"Molinaro","given":"Annette M.","non-dropping-particle":"","parse-names":false,"suffix":""},{"dropping-particle":"","family":"Walsh","given":"Kyle M.","non-dropping-particle":"","parse-names":false,"suffix":""},{"dropping-particle":"","family":"Decker","given":"Paul A.","non-dropping-particle":"","parse-names":false,"suffix":""},{"dropping-particle":"","family":"Hansen","given":"Helen","non-dropping-particle":"","parse-names":false,"suffix":""},{"dropping-particle":"","family":"Sicotte","given":"Hugues","non-dropping-particle":"","parse-names":false,"suffix":""},{"dropping-particle":"","family":"Kollmeyer","given":"Thomas M.","non-dropping-particle":"","parse-names":false,"suffix":""},{"dropping-particle":"","family":"McCoy","given":"Lucie S.","non-dropping-particle":"","parse-names":false,"suffix":""},{"dropping-particle":"","family":"Sarkar","given":"Gobinda","non-dropping-particle":"","parse-names":false,"suffix":""},{"dropping-particle":"","family":"Perry","given":"Arie","non-dropping-particle":"","parse-names":false,"suffix":""},{"dropping-particle":"","family":"Giannini","given":"Caterina","non-dropping-particle":"","parse-names":false,"suffix":""},{"dropping-particle":"","family":"Tihan","given":"Tarik","non-dropping-particle":"","parse-names":false,"suffix":""},{"dropping-particle":"","family":"Berger","given":"Mitchel S.","non-dropping-particle":"","parse-names":false,"suffix":""},{"dropping-particle":"","family":"Wiemels","given":"Joseph L.","non-dropping-particle":"","parse-names":false,"suffix":""},{"dropping-particle":"","family":"Bracci","given":"Paige M.","non-dropping-particle":"","parse-names":false,"suffix":""},{"dropping-particle":"","family":"Eckel-Passow","given":"Jeanette E.","non-dropping-particle":"","parse-names":false,"suffix":""},{"dropping-particle":"","family":"Lachance","given":"Daniel H.","non-dropping-particle":"","parse-names":false,"suffix":""},{"dropping-particle":"","family":"Clarke","given":"Jennifer","non-dropping-particle":"","parse-names":false,"suffix":""},{"dropping-particle":"","family":"Taylor","given":"Jennie W.","non-dropping-particle":"","parse-names":false,"suffix":""},{"dropping-particle":"","family":"Luks","given":"Tracy","non-dropping-particle":"","parse-names":false,"suffix":""},{"dropping-particle":"","family":"Wiencke","given":"John K.","non-dropping-particle":"","parse-names":false,"suffix":""},{"dropping-particle":"","family":"Jenkins","given":"Robert B.","non-dropping-particle":"","parse-names":false,"suffix":""},{"dropping-particle":"","family":"Wrensch","given":"Margaret R.","non-dropping-particle":"","parse-names":false,"suffix":""}],"container-title":"Acta Neuropathologica","id":"ITEM-1","issue":"6","issued":{"date-parts":[["2017","6","1"]]},"page":"1001-1016","publisher":"Springer Verlag","title":"Adult infiltrating gliomas with WHO 2016 integrated diagnosis: additional prognostic roles of ATRX and TERT","type":"article-journal","volume":"133"},"uris":["http://www.mendeley.com/documents/?uuid=fcf2f8d7-5b90-32db-acce-418f5add51c9"]}],"mendeley":{"formattedCitation":"&lt;sup&gt;115&lt;/sup&gt;","plainTextFormattedCitation":"115","previouslyFormattedCitation":"&lt;sup&gt;115&lt;/sup&gt;"},"properties":{"noteIndex":0},"schema":"https://github.com/citation-style-language/schema/raw/master/csl-citation.json"}</w:instrText>
      </w:r>
      <w:r>
        <w:fldChar w:fldCharType="separate"/>
      </w:r>
      <w:r w:rsidR="00C554E1" w:rsidRPr="00C554E1">
        <w:rPr>
          <w:noProof/>
          <w:vertAlign w:val="superscript"/>
        </w:rPr>
        <w:t>115</w:t>
      </w:r>
      <w:r>
        <w:fldChar w:fldCharType="end"/>
      </w:r>
      <w:r>
        <w:t xml:space="preserve">. </w:t>
      </w:r>
      <w:r w:rsidR="000F6DEC">
        <w:t>Zvýšená exprese TERT je ve většině případů způsobena aktivačními bodovými mutacemi</w:t>
      </w:r>
      <w:r w:rsidR="00CC3307">
        <w:t xml:space="preserve"> záměnou</w:t>
      </w:r>
      <w:r w:rsidR="000F6DEC">
        <w:t xml:space="preserve"> </w:t>
      </w:r>
      <w:r w:rsidR="00CC3307">
        <w:t xml:space="preserve">cytosinu za tymidin C228T a C250T v oblasti </w:t>
      </w:r>
      <w:r w:rsidR="000F6DEC">
        <w:t xml:space="preserve">promotoru s označením pTERT. </w:t>
      </w:r>
      <w:r w:rsidR="000011FB">
        <w:t>Tato mutace je nalézána u 78</w:t>
      </w:r>
      <w:r w:rsidR="005A59EC">
        <w:t xml:space="preserve"> </w:t>
      </w:r>
      <w:r w:rsidR="000011FB">
        <w:t>% oligodendrogliomů a 83</w:t>
      </w:r>
      <w:r w:rsidR="005A59EC">
        <w:t xml:space="preserve"> </w:t>
      </w:r>
      <w:r w:rsidR="000011FB">
        <w:t>% IDH wild</w:t>
      </w:r>
      <w:r w:rsidR="00E00636">
        <w:t xml:space="preserve"> </w:t>
      </w:r>
      <w:r w:rsidR="000011FB">
        <w:t>type glioblastomů</w:t>
      </w:r>
      <w:r w:rsidR="000011FB">
        <w:fldChar w:fldCharType="begin" w:fldLock="1"/>
      </w:r>
      <w:r w:rsidR="00C554E1">
        <w:instrText>ADDIN CSL_CITATION {"citationItems":[{"id":"ITEM-1","itemData":{"DOI":"10.1073/pnas.1303607110","ISSN":"00278424","PMID":"23530248","abstract":"Malignant cells, like all actively growing cells, must maintain their telomeres, but genetic mechanisms responsible for telomere maintenance in tumors have only recently been discovered. In particular, mutations of the telomere binding proteins alpha thalassemia/mental retardation syndrome X-linked (ATRX) or death-domain associated protein (DAXX) have been shown to underlie a telomere maintenance mechanism not involving telomerase (alternative lengthening of telomeres), and point mutations in the promoter of the telomerase reverse transcriptase (TERT) gene increase telomerase expression and have been shown to occur in melanomas and a small number of other tumors. To further define the tumor types in which this latter mechanism plays a role, we surveyed 1,230 tumors of 60 different types. We found that tumors could be divided into types with low (&lt;15%) and high (≥15%) frequencies of TERT promoter mutations. The nine TERT-high tumor types almost always originated in tissues with relatively low rates of self renewal, including melanomas, liposarcomas, hepatocellular carcinomas, urothelial carcinomas, squamous cell carcinomas of the tongue, medulloblastomas, and subtypes of gliomas (including 83% of primary glioblastoma, the most common brain tumor type). TERT and ATRX mutations were mutually exclusive, suggesting that these two genetic mechanisms confer equivalent selective growth advantages. In addition to their implications for understanding the relationship between telomeres and tumorigenesis, TERT mutations provide a biomarker that may be useful for the early detection of urinary tract and liver tumors and aid in the classification and prognostication of brain tumors.","author":[{"dropping-particle":"","family":"Killela","given":"Patrick J.","non-dropping-particle":"","parse-names":false,"suffix":""},{"dropping-particle":"","family":"Reitman","given":"Zachary J.","non-dropping-particle":"","parse-names":false,"suffix":""},{"dropping-particle":"","family":"Jiao","given":"Yuchen","non-dropping-particle":"","parse-names":false,"suffix":""},{"dropping-particle":"","family":"Bettegowda","given":"Chetan","non-dropping-particle":"","parse-names":false,"suffix":""},{"dropping-particle":"","family":"Agrawal","given":"Nishant","non-dropping-particle":"","parse-names":false,"suffix":""},{"dropping-particle":"","family":"Diaz","given":"Luis A.","non-dropping-particle":"","parse-names":false,"suffix":""},{"dropping-particle":"","family":"Friedman","given":"Allan H.","non-dropping-particle":"","parse-names":false,"suffix":""},{"dropping-particle":"","family":"Friedman","given":"Henry","non-dropping-particle":"","parse-names":false,"suffix":""},{"dropping-particle":"","family":"Gallia","given":"Gary L.","non-dropping-particle":"","parse-names":false,"suffix":""},{"dropping-particle":"","family":"Giovanella","given":"Beppino C.","non-dropping-particle":"","parse-names":false,"suffix":""},{"dropping-particle":"","family":"Grollman","given":"Arthur P.","non-dropping-particle":"","parse-names":false,"suffix":""},{"dropping-particle":"","family":"He","given":"Tong Chuan","non-dropping-particle":"","parse-names":false,"suffix":""},{"dropping-particle":"","family":"He","given":"Yiping","non-dropping-particle":"","parse-names":false,"suffix":""},{"dropping-particle":"","family":"Hruban","given":"Ralph H.","non-dropping-particle":"","parse-names":false,"suffix":""},{"dropping-particle":"","family":"Jallo","given":"George I.","non-dropping-particle":"","parse-names":false,"suffix":""},{"dropping-particle":"","family":"Mandahl","given":"Nils","non-dropping-particle":"","parse-names":false,"suffix":""},{"dropping-particle":"","family":"Meeker","given":"Alan K.","non-dropping-particle":"","parse-names":false,"suffix":""},{"dropping-particle":"","family":"Mertens","given":"Fredrik","non-dropping-particle":"","parse-names":false,"suffix":""},{"dropping-particle":"","family":"Netto","given":"George J.","non-dropping-particle":"","parse-names":false,"suffix":""},{"dropping-particle":"","family":"Ahmed Rasheed","given":"B.","non-dropping-particle":"","parse-names":false,"suffix":""},{"dropping-particle":"","family":"Riggins","given":"Gregory J.","non-dropping-particle":"","parse-names":false,"suffix":""},{"dropping-particle":"","family":"Rosenquist","given":"Thomas A.","non-dropping-particle":"","parse-names":false,"suffix":""},{"dropping-particle":"","family":"Schiffman","given":"Mark","non-dropping-particle":"","parse-names":false,"suffix":""},{"dropping-particle":"","family":"Shih","given":"Ie Ming","non-dropping-particle":"","parse-names":false,"suffix":""},{"dropping-particle":"","family":"Theodorescu","given":"Dan","non-dropping-particle":"","parse-names":false,"suffix":""},{"dropping-particle":"","family":"Torbenson","given":"Michael S.","non-dropping-particle":"","parse-names":false,"suffix":""},{"dropping-particle":"","family":"Velculescu","given":"Victor E.","non-dropping-particle":"","parse-names":false,"suffix":""},{"dropping-particle":"","family":"Wang","given":"Tian Li","non-dropping-particle":"","parse-names":false,"suffix":""},{"dropping-particle":"","family":"Wentzensen","given":"Nicolas","non-dropping-particle":"","parse-names":false,"suffix":""},{"dropping-particle":"","family":"Wood","given":"Laura D.","non-dropping-particle":"","parse-names":false,"suffix":""},{"dropping-particle":"","family":"Zhang","given":"Ming","non-dropping-particle":"","parse-names":false,"suffix":""},{"dropping-particle":"","family":"McLendon","given":"Roger E.","non-dropping-particle":"","parse-names":false,"suffix":""},{"dropping-particle":"","family":"Bigner","given":"Darell D.","non-dropping-particle":"","parse-names":false,"suffix":""},{"dropping-particle":"","family":"Kinzler","given":"Kenneth W.","non-dropping-particle":"","parse-names":false,"suffix":""},{"dropping-particle":"","family":"Vogelstein","given":"Bert","non-dropping-particle":"","parse-names":false,"suffix":""},{"dropping-particle":"","family":"Papadopoulos","given":"Nickolas","non-dropping-particle":"","parse-names":false,"suffix":""},{"dropping-particle":"","family":"Yan","given":"Hai","non-dropping-particle":"","parse-names":false,"suffix":""}],"container-title":"Proceedings of the National Academy of Sciences of the United States of America","id":"ITEM-1","issue":"15","issued":{"date-parts":[["2013","4","9"]]},"page":"6021-6026","publisher":"Proc Natl Acad Sci U S A","title":"TERT promoter mutations occur frequently in gliomas and a subset of tumors derived from cells with low rates of self-renewal","type":"article-journal","volume":"110"},"uris":["http://www.mendeley.com/documents/?uuid=31a9b370-eb5a-3bc7-83d8-597441b7b1c4"]}],"mendeley":{"formattedCitation":"&lt;sup&gt;116&lt;/sup&gt;","plainTextFormattedCitation":"116","previouslyFormattedCitation":"&lt;sup&gt;116&lt;/sup&gt;"},"properties":{"noteIndex":0},"schema":"https://github.com/citation-style-language/schema/raw/master/csl-citation.json"}</w:instrText>
      </w:r>
      <w:r w:rsidR="000011FB">
        <w:fldChar w:fldCharType="separate"/>
      </w:r>
      <w:r w:rsidR="00C554E1" w:rsidRPr="00C554E1">
        <w:rPr>
          <w:noProof/>
          <w:vertAlign w:val="superscript"/>
        </w:rPr>
        <w:t>116</w:t>
      </w:r>
      <w:r w:rsidR="000011FB">
        <w:fldChar w:fldCharType="end"/>
      </w:r>
      <w:r w:rsidR="000011FB">
        <w:t xml:space="preserve">. </w:t>
      </w:r>
    </w:p>
    <w:p w14:paraId="36862B79" w14:textId="6E806A33" w:rsidR="005135AD" w:rsidRDefault="005135AD" w:rsidP="00EC4DAF">
      <w:pPr>
        <w:pStyle w:val="Odstavecseseznamem"/>
        <w:ind w:left="0"/>
        <w:jc w:val="both"/>
      </w:pPr>
    </w:p>
    <w:p w14:paraId="4CA7326F" w14:textId="28D5EB7D" w:rsidR="000011FB" w:rsidRDefault="000011FB" w:rsidP="00EC4DAF">
      <w:pPr>
        <w:pStyle w:val="Odstavecseseznamem"/>
        <w:ind w:left="0"/>
        <w:jc w:val="both"/>
      </w:pPr>
      <w:r>
        <w:t>Low grade gliomy s TERT mutací</w:t>
      </w:r>
      <w:r w:rsidR="005A59EC">
        <w:t xml:space="preserve">, </w:t>
      </w:r>
      <w:r>
        <w:t>1p/19q kodelecí a IDH mutací byly označeny jako „triple pozitivní“ a mají napříč všemi nádory nejlepší prognózu. Naopak glioblastomy s mutací v pTERT bez ohledu na IDH mutace, m</w:t>
      </w:r>
      <w:r w:rsidR="005A59EC">
        <w:t>ají</w:t>
      </w:r>
      <w:r>
        <w:t xml:space="preserve"> horší prognózu než glioblastomy pouze s IDH mutací</w:t>
      </w:r>
      <w:r>
        <w:fldChar w:fldCharType="begin" w:fldLock="1"/>
      </w:r>
      <w:r w:rsidR="00C554E1">
        <w:instrText>ADDIN CSL_CITATION {"citationItems":[{"id":"ITEM-1","itemData":{"DOI":"10.1056/nejmoa1407279","ISSN":"0028-4793","abstract":"Copyright © 2015 Massachusetts Medical Society. BACKGROUND The prediction of clinical behavior, response to therapy, and outcome of infiltrative glioma is challenging. On the basis of previous studies of tumor biology, we defined five glioma molecular groups with the use of three alterations: mutations in the TERT promoter, mutations in IDH, and codeletion of chromosome arms 1p and 19q (1p/19q codeletion). We tested the hypothesis that within groups based on these features, tumors would have similar clinical variables, acquired somatic alterations, and germline variants. METHODS We scored tumors as negative or positive for each of these markers in 1087 gliomas and compared acquired alterations and patient characteristics among the five primary molecular groups. Using 11,590 controls, we assessed associations between these groups and known glioma germline variants. RESULTS Among 615 grade II or III gliomas, 29% had all three alterations (i.e., were triple-positive), 5% had TERT and IDH mutations, 45% had only IDH mutations, 7% were triple-negative, and 10% had only TERT mutations; 5% had other combinations. Among 472 grade IV gliomas, less than 1% were triple-positive, 2% had TERT and IDH mutations, 7% had only IDH mutations, 17% were triple-negative, and 74% had only TERT mutations. The mean age at diagnosis was lowest (37 years) among patients who had gliomas with only IDH mutations and was highest (59 years) among patients who had gliomas with only TERT mutations. The molecular groups were independently associated with overall survival among patients with grade II or III gliomas but not among patients with grade IV gliomas. The molecular groups were associated with specific germline variants. CONCLUSIONS Gliomas were classified into five principal groups on the basis of three tumor markers. The groups had different ages at onset, overall survival, and associations with germline variants, which implies that they are characterized by distinct mechanisms of pathogenesis. (Funded by the National Institutes of Health and others.)","author":[{"dropping-particle":"","family":"Eckel-Passow","given":"Jeanette E.","non-dropping-particle":"","parse-names":false,"suffix":""},{"dropping-particle":"","family":"Lachance","given":"Daniel H.","non-dropping-particle":"","parse-names":false,"suffix":""},{"dropping-particle":"","family":"Molinaro","given":"Annette M.","non-dropping-particle":"","parse-names":false,"suffix":""},{"dropping-particle":"","family":"Walsh","given":"Kyle M.","non-dropping-particle":"","parse-names":false,"suffix":""},{"dropping-particle":"","family":"Decker","given":"Paul A.","non-dropping-particle":"","parse-names":false,"suffix":""},{"dropping-particle":"","family":"Sicotte","given":"Hugues","non-dropping-particle":"","parse-names":false,"suffix":""},{"dropping-particle":"","family":"Pekmezci","given":"Melike","non-dropping-particle":"","parse-names":false,"suffix":""},{"dropping-particle":"","family":"Rice","given":"Terri","non-dropping-particle":"","parse-names":false,"suffix":""},{"dropping-particle":"","family":"Kosel","given":"Matt L.","non-dropping-particle":"","parse-names":false,"suffix":""},{"dropping-particle":"V.","family":"Smirnov","given":"Ivan","non-dropping-particle":"","parse-names":false,"suffix":""},{"dropping-particle":"","family":"Sarkar","given":"Gobinda","non-dropping-particle":"","parse-names":false,"suffix":""},{"dropping-particle":"","family":"Caron","given":"Alissa A.","non-dropping-particle":"","parse-names":false,"suffix":""},{"dropping-particle":"","family":"Kollmeyer","given":"Thomas M.","non-dropping-particle":"","parse-names":false,"suffix":""},{"dropping-particle":"","family":"Praska","given":"Corinne E.","non-dropping-particle":"","parse-names":false,"suffix":""},{"dropping-particle":"","family":"Chada","given":"Anisha R.","non-dropping-particle":"","parse-names":false,"suffix":""},{"dropping-particle":"","family":"Halder","given":"Chandralekha","non-dropping-particle":"","parse-names":false,"suffix":""},{"dropping-particle":"","family":"Hansen","given":"Helen M.","non-dropping-particle":"","parse-names":false,"suffix":""},{"dropping-particle":"","family":"McCoy","given":"Lucie S.","non-dropping-particle":"","parse-names":false,"suffix":""},{"dropping-particle":"","family":"Bracci","given":"Paige M.","non-dropping-particle":"","parse-names":false,"suffix":""},{"dropping-particle":"","family":"Marshall","given":"Roxanne","non-dropping-particle":"","parse-names":false,"suffix":""},{"dropping-particle":"","family":"Zheng","given":"Shichun","non-dropping-particle":"","parse-names":false,"suffix":""},{"dropping-particle":"","family":"Reis","given":"Gerald F.","non-dropping-particle":"","parse-names":false,"suffix":""},{"dropping-particle":"","family":"Pico","given":"Alexander R.","non-dropping-particle":"","parse-names":false,"suffix":""},{"dropping-particle":"","family":"O’Neill","given":"Brian P.","non-dropping-particle":"","parse-names":false,"suffix":""},{"dropping-particle":"","family":"Buckner","given":"Jan C.","non-dropping-particle":"","parse-names":false,"suffix":""},{"dropping-particle":"","family":"Giannini","given":"Caterina","non-dropping-particle":"","parse-names":false,"suffix":""},{"dropping-particle":"","family":"Huse","given":"Jason T.","non-dropping-particle":"","parse-names":false,"suffix":""},{"dropping-particle":"","family":"Perry","given":"Arie","non-dropping-particle":"","parse-names":false,"suffix":""},{"dropping-particle":"","family":"Tihan","given":"Tarik","non-dropping-particle":"","parse-names":false,"suffix":""},{"dropping-particle":"","family":"Berger","given":"Mitchell S.","non-dropping-particle":"","parse-names":false,"suffix":""},{"dropping-particle":"","family":"Chang","given":"Susan M.","non-dropping-particle":"","parse-names":false,"suffix":""},{"dropping-particle":"","family":"Prados","given":"Michael D.","non-dropping-particle":"","parse-names":false,"suffix":""},{"dropping-particle":"","family":"Wiemels","given":"Joseph","non-dropping-particle":"","parse-names":false,"suffix":""},{"dropping-particle":"","family":"Wiencke","given":"John K.","non-dropping-particle":"","parse-names":false,"suffix":""},{"dropping-particle":"","family":"Wrensch","given":"Margaret R.","non-dropping-particle":"","parse-names":false,"suffix":""},{"dropping-particle":"","family":"Jenkins","given":"Robert B.","non-dropping-particle":"","parse-names":false,"suffix":""}],"container-title":"New England Journal of Medicine","id":"ITEM-1","issue":"26","issued":{"date-parts":[["2015","6","25"]]},"page":"2499-2508","publisher":"Massachusetts Medical Society","title":" Glioma Groups Based on 1p/19q, IDH , and TERT Promoter Mutations in Tumors ","type":"article-journal","volume":"372"},"uris":["http://www.mendeley.com/documents/?uuid=fe85fff5-e0a3-3865-a41d-df82572b2d55"]}],"mendeley":{"formattedCitation":"&lt;sup&gt;117&lt;/sup&gt;","plainTextFormattedCitation":"117","previouslyFormattedCitation":"&lt;sup&gt;117&lt;/sup&gt;"},"properties":{"noteIndex":0},"schema":"https://github.com/citation-style-language/schema/raw/master/csl-citation.json"}</w:instrText>
      </w:r>
      <w:r>
        <w:fldChar w:fldCharType="separate"/>
      </w:r>
      <w:r w:rsidR="00C554E1" w:rsidRPr="00C554E1">
        <w:rPr>
          <w:noProof/>
          <w:vertAlign w:val="superscript"/>
        </w:rPr>
        <w:t>117</w:t>
      </w:r>
      <w:r>
        <w:fldChar w:fldCharType="end"/>
      </w:r>
      <w:r>
        <w:t xml:space="preserve">. </w:t>
      </w:r>
      <w:r w:rsidR="00ED4173">
        <w:t xml:space="preserve">Co se týče predikce odpovědi na terapii, je TERT ve fázi testování. Zatím se zdá, že pacienti </w:t>
      </w:r>
      <w:r w:rsidR="005A59EC">
        <w:t xml:space="preserve">léčení chemoradioterapií </w:t>
      </w:r>
      <w:r w:rsidR="00ED4173">
        <w:t>s</w:t>
      </w:r>
      <w:r w:rsidR="00B17147">
        <w:t xml:space="preserve"> IDH wild type </w:t>
      </w:r>
      <w:r w:rsidR="00ED4173">
        <w:t xml:space="preserve">glioblastomem vykazujícím </w:t>
      </w:r>
      <w:r w:rsidR="005A59EC">
        <w:t xml:space="preserve">metylaci </w:t>
      </w:r>
      <w:r w:rsidR="00ED4173">
        <w:t xml:space="preserve">MGMT a mutaci </w:t>
      </w:r>
      <w:r w:rsidR="00B17147">
        <w:t>p</w:t>
      </w:r>
      <w:r w:rsidR="00ED4173">
        <w:t>TERT</w:t>
      </w:r>
      <w:r w:rsidR="00B17147">
        <w:t xml:space="preserve"> mají delší dobu přežití</w:t>
      </w:r>
      <w:r w:rsidR="00B17147">
        <w:fldChar w:fldCharType="begin" w:fldLock="1"/>
      </w:r>
      <w:r w:rsidR="00C554E1">
        <w:instrText xml:space="preserve">ADDIN CSL_CITATION {"citationItems":[{"id":"ITEM-1","itemData":{"DOI":"10.1186/s40478-016-0351-2","ISSN":"2051-5960","abstract":"The prognostic impact of TERT mutations has been controversial in IDH-wild tumors, particularly in glioblastomas (GBM). The controversy may be attributable to presence of potential confounding factors such as MGMT methylation status or patients' treatment. This study aimed to evaluate the impact of TERT status on patient outcome in association with various factors in a large series of adult diffuse gliomas. We analyzed a total of 951 adult diffuse gliomas from two cohorts (Cohort 1, n = 758; Cohort 2, n = 193) for IDH1/2, 1p/19q, and TERT promoter status. The combined IDH/TERT classification divided Cohort 1 into four molecular groups with distinct outcomes. The overall survival (OS) was the shortest in IDH wild-type/TERT mutated groups, which mostly consisted of GBMs (P &lt; 0.0001). To investigate the association between TERT mutations and MGMT methylation on survival of patients with GBM, samples from a combined cohort of 453 IDH-wild-type GBM cases treated with radiation and temozolomide were analyzed. A multivariate Cox regression model revealed that the interaction between TERT and MGMT was significant for OS (P = 0.0064). Compared with TERT mutant-MGMT unmethylated GBMs, the hazard ratio (HR) for OS incorporating the interaction was the lowest in the TERT mutant-MGMT methylated GBM (HR, 0.266), followed by the TERT wild-type-MGMT methylated (HR, 0.317) and the TERT wild-type-MGMT unmethylated GBMs (HR, 0.542). Thus, patients with TERT mutant-MGMT unmethylated GBM have the poorest prognosis. Our findings suggest that a combination of IDH, TERT, and MGMT refines the classification of grade II-IV diffuse gliomas.","author":[{"dropping-particle":"","family":"Arita","given":"Hideyuki","non-dropping-particle":"","parse-names":false,"suffix":""},{"dropping-particle":"","family":"Yamasaki","given":"Kai","non-dropping-particle":"","parse-names":false,"suffix":""},{"dropping-particle":"","family":"Matsushita","given":"Yuko","non-dropping-particle":"","parse-names":false,"suffix":""},{"dropping-particle":"","family":"Nakamura","given":"Taishi","non-dropping-particle":"","parse-names":false,"suffix":""},{"dropping-particle":"","family":"Shimokawa","given":"Asanao","non-dropping-particle":"","parse-names":false,"suffix":""},{"dropping-particle":"","family":"Takami","given":"Hirokazu","non-dropping-particle":"","parse-names":false,"suffix":""},{"dropping-particle":"","family":"Tanaka","given":"Shota","non-dropping-particle":"","parse-names":false,"suffix":""},{"dropping-particle":"","family":"Mukasa","given":"Akitake","non-dropping-particle":"","parse-names":false,"suffix":""},{"dropping-particle":"","family":"Shirahata","given":"Mitsuaki","non-dropping-particle":"","parse-names":false,"suffix":""},{"dropping-particle":"","family":"Shimizu","given":"Saki","non-dropping-particle":"","parse-names":false,"suffix":""},{"dropping-particle":"","family":"Suzuki","given":"Kaori","non-dropping-particle":"","parse-names":false,"suffix":""},{"dropping-particle":"","family":"Saito","given":"Kuniaki","non-dropping-particle":"","parse-names":false,"suffix":""},{"dropping-particle":"","family":"Kobayashi","given":"Keiichi","non-dropping-particle":"","parse-names":false,"suffix":""},{"dropping-particle":"","family":"Higuchi","given":"Fumi","non-dropping-particle":"","parse-names":false,"suffix":""},{"dropping-particle":"","family":"Uzuka","given":"Takeo","non-dropping-particle":"","parse-names":false,"suffix":""},{"dropping-particle":"","family":"Otani","given":"Ryohei","non-dropping-particle":"","parse-names":false,"suffix":""},{"dropping-particle":"","family":"Tamura","given":"Kaoru","non-dropping-particle":"","parse-names":false,"suffix":""},{"dropping-particle":"","family":"Sumita","given":"Kazutaka","non-dropping-particle":"","parse-names":false,"suffix":""},{"dropping-particle":"","family":"Ohno","given":"Makoto","non-dropping-particle":"","parse-names":false,"suffix":""},{"dropping-particle":"","family":"Miyakita","given":"Yasuji","non-dropping-particle":"","parse-names":false,"suffix":""},{"dropping-particle":"","family":"Kagawa","given":"Naoki","non-dropping-particle":"","parse-names":false,"suffix":""},{"dropping-particle":"","family":"Hashimoto","given":"Naoya","non-dropping-particle":"","parse-names":false,"suffix":""},{"dropping-particle":"","family":"Hatae","given":"Ryusuke","non-dropping-particle":"","parse-names":false,"suffix":""},{"dropping-particle":"","family":"Yoshimoto","given":"Koji","non-dropping-particle":"","parse-names":false,"suffix":""},{"dropping-particle":"","family":"Shinojima","given":"Naoki","non-dropping-particle":"","parse-names":false,"suffix":""},{"dropping-particle":"","family":"Nakamura","given":"Hideo","non-dropping-particle":"","parse-names":false,"suffix":""},{"dropping-particle":"","family":"Kanemura","given":"Yonehiro","non-dropping-particle":"","parse-names":false,"suffix":""},{"dropping-particle":"","family":"Okita","given":"Yoshiko","non-dropping-particle":"","parse-names":false,"suffix":""},{"dropping-particle":"","family":"Kinoshita","given":"Manabu","non-dropping-particle":"","parse-names":false,"suffix":""},{"dropping-particle":"","family":"Ishibashi","given":"Kenichi","non-dropping-particle":"","parse-names":false,"suffix":""},{"dropping-particle":"","family":"Shofuda","given":"Tomoko","non-dropping-particle":"","parse-names":false,"suffix":""},{"dropping-particle":"","family":"Kodama","given":"Yoshinori","non-dropping-particle":"","parse-names":false,"suffix":""},{"dropping-particle":"","family":"Mori","given":"Kanji","non-dropping-particle":"","parse-names":false,"suffix":""},{"dropping-particle":"","family":"Tomogane","given":"Yusuke","non-dropping-particle":"","parse-names":false,"suffix":""},{"dropping-particle":"","family":"Fukai","given":"Junya","non-dropping-particle":"","parse-names":false,"suffix":""},{"dropping-particle":"","family":"Fujita","given":"Koji","non-dropping-particle":"","parse-names":false,"suffix":""},{"dropping-particle":"","family":"Terakawa","given":"Yuzo","non-dropping-particle":"","parse-names":false,"suffix":""},{"dropping-particle":"","family":"Tsuyuguchi","given":"Naohiro","non-dropping-particle":"","parse-names":false,"suffix":""},{"dropping-particle":"","family":"Moriuchi","given":"Shusuke","non-dropping-particle":"","parse-names":false,"suffix":""},{"dropping-particle":"","family":"Nonaka","given":"Masahiro","non-dropping-particle":"","parse-names":false,"suffix":""},{"dropping-particle":"","family":"Suzuki","given":"Hiroyoshi","non-dropping-particle":"","parse-names":false,"suffix":""},{"dropping-particle":"","family":"Shibuya","given":"Makoto","non-dropping-particle":"","parse-names":false,"suffix":""},{"dropping-particle":"","family":"Maehara","given":"Taketoshi","non-dropping-particle":"","parse-names":false,"suffix":""},{"dropping-particle":"","family":"Saito","given":"Nobuhito","non-dropping-particle":"","parse-names":false,"suffix":""},{"dropping-particle":"","family":"Nagane","given":"Motoo","non-dropping-particle":"","parse-names":false,"suffix":""},{"dropping-particle":"","family":"Kawahara","given":"Nobutaka","non-dropping-particle":"","parse-names":false,"suffix":""},{"dropping-particle":"","family":"Ueki","given":"Keisuke","non-dropping-particle":"","parse-names":false,"suffix":""},{"dropping-particle":"","family":"Yoshimine","given":"Toshiki","non-dropping-particle":"","parse-names":false,"suffix":""},{"dropping-particle":"","family":"Miyaoka","given":"Etsuo","non-dropping-particle":"","parse-names":false,"suffix":""},{"dropping-particle":"","family":"Nishikawa","given":"Ryo","non-dropping-particle":"","parse-names":false,"suffix":""},{"dropping-particle":"","family":"Komori","given":"Takashi","non-dropping-particle":"","parse-names":false,"suffix":""},{"dropping-particle":"","family":"Narita","given":"Yoshitaka","non-dropping-particle":"","parse-names":false,"suffix":""},{"dropping-particle":"","family":"Ichimura","given":"Koichi","non-dropping-particle":"","parse-names":false,"suffix":""}],"container-title":"Acta Neuropathologica Communications","id":"ITEM-1","issue":"1","issued":{"date-parts":[["2016","12","8"]]},"page":"79","publisher":"BioMed Central","title":"A combination of TERT promoter mutation and MGMT methylation status predicts clinically relevant subgroups of newly diagnosed glioblastomas","type":"article-journal","volume":"4"},"uris":["http://www.mendeley.com/documents/?uuid=2dcbc62c-4de5-33fb-9d36-29cb8fb964e3"]},{"id":"ITEM-2","itemData":{"DOI":"10.1093/neuonc/now189","ISSN":"15235866","PMID":"27571882","abstract":"Background: Promoter mutation in the human telomerase reverse transcriptase gene (hTERT) occurs in </w:instrText>
      </w:r>
      <w:r w:rsidR="00C554E1">
        <w:rPr>
          <w:rFonts w:ascii="Cambria Math" w:hAnsi="Cambria Math" w:cs="Cambria Math"/>
        </w:rPr>
        <w:instrText>∼</w:instrText>
      </w:r>
      <w:r w:rsidR="00C554E1">
        <w:instrText>75% of primary glioblastoma (GBM). Although the mutation appears to upregulate telomerase expression and contributes to the maintenance of telomere length, its clinical significance remains unclear. Methods: We performed hTERT promoter genotyping on 303 isocitrate dehydrogenase 1 wild-type GBM tumors treated with standard chemoradiotherapy. We also stratified 190 GBM patients from the database of The Cancer Genome Atlas (TCGA) by hTERT gene expression. We analyzed overall and progression-free survival by Kaplan-Meier and Cox regression. Results: We detected hTERT promoter mutation in 75% of the patients. When included as the only biomarker, hTERT mutation was not prognostic in our patient cohort by Cox regression analysis. However, when hTERT and O6-DNA methylguanine-methyltransferase (MGMT) were included together, we observed an interaction between these 2 factors. To further investigate this interaction, we performed pairwise comparison of the 4 patient subcohorts grouped by hTERT-MGMT status (MUT-M, WT-M, MUT-U, and WT-U). MGMT methylated patients showed improved survival only in the presence of hTERT promoter mutation: MUT-M versus MUT-U (overall survival of 28.3 vs 15.9 mos, log-rank P &lt;.0001 and progression-free survival of 15.4 vs 7.86 mo, log-rank P &lt;.0001). These results were confirmed by Cox analyses. Analogously, the cohort from TCGA demonstrated survival benefit of MGMT promoter methylation only in patients with high hTERT expression. In addition, hTERT mutation was negatively prognostic in our MGMT unmethylated patients, while the analogous association with high expression was not observed in the cohort from TCGA. Conclusion: The prognostic influence of MGMT promoter methylation depends on hTERT promoter mutation. This interaction warrants further mechanistic investigation.","author":[{"dropping-particle":"","family":"Nguyen","given":"Huytram N.","non-dropping-particle":"","parse-names":false,"suffix":""},{"dropping-particle":"","family":"Lie","given":"Amy","non-dropping-particle":"","parse-names":false,"suffix":""},{"dropping-particle":"","family":"Li","given":"Tie","non-dropping-particle":"","parse-names":false,"suffix":""},{"dropping-particle":"","family":"Chowdhury","given":"Reshmi","non-dropping-particle":"","parse-names":false,"suffix":""},{"dropping-particle":"","family":"Liu","given":"Fei","non-dropping-particle":"","parse-names":false,"suffix":""},{"dropping-particle":"","family":"Ozer","given":"Byram","non-dropping-particle":"","parse-names":false,"suffix":""},{"dropping-particle":"","family":"Wei","given":"Bowen","non-dropping-particle":"","parse-names":false,"suffix":""},{"dropping-particle":"","family":"Green","given":"Richard M.","non-dropping-particle":"","parse-names":false,"suffix":""},{"dropping-particle":"","family":"Ellingson","given":"Benjamin M.","non-dropping-particle":"","parse-names":false,"suffix":""},{"dropping-particle":"","family":"Wang","given":"He Jing","non-dropping-particle":"","parse-names":false,"suffix":""},{"dropping-particle":"","family":"Elashoff","given":"Robert","non-dropping-particle":"","parse-names":false,"suffix":""},{"dropping-particle":"","family":"Liau","given":"Linda M.","non-dropping-particle":"","parse-names":false,"suffix":""},{"dropping-particle":"","family":"Yong","given":"William H.","non-dropping-particle":"","parse-names":false,"suffix":""},{"dropping-particle":"","family":"Nghiemphu","given":"Phioanh L.","non-dropping-particle":"","parse-names":false,"suffix":""},{"dropping-particle":"","family":"Cloughesy","given":"Timothy","non-dropping-particle":"","parse-names":false,"suffix":""},{"dropping-particle":"","family":"Lai","given":"Albert","non-dropping-particle":"","parse-names":false,"suffix":""}],"container-title":"Neuro-Oncology","id":"ITEM-2","issue":"3","issued":{"date-parts":[["2017","3","1"]]},"page":"394-404","publisher":"Oxford University Press","title":"Human TERT promoter mutation enables survival advantage from MGMT promoter methylation in IDH1 wild-type primary glioblastoma treated by standard chemoradiotherapy","type":"article-journal","volume":"19"},"uris":["http://www.mendeley.com/documents/?uuid=3407d6ea-831e-3ab7-8924-b673fa67ed33"]}],"mendeley":{"formattedCitation":"&lt;sup&gt;118,119&lt;/sup&gt;","plainTextFormattedCitation":"118,119","previouslyFormattedCitation":"&lt;sup&gt;118,119&lt;/sup&gt;"},"properties":{"noteIndex":0},"schema":"https://github.com/citation-style-language/schema/raw/master/csl-citation.json"}</w:instrText>
      </w:r>
      <w:r w:rsidR="00B17147">
        <w:fldChar w:fldCharType="separate"/>
      </w:r>
      <w:r w:rsidR="00C554E1" w:rsidRPr="00C554E1">
        <w:rPr>
          <w:noProof/>
          <w:vertAlign w:val="superscript"/>
        </w:rPr>
        <w:t>118,119</w:t>
      </w:r>
      <w:r w:rsidR="00B17147">
        <w:fldChar w:fldCharType="end"/>
      </w:r>
      <w:r w:rsidR="00B17147">
        <w:t xml:space="preserve">.  </w:t>
      </w:r>
      <w:r w:rsidR="00ED4173">
        <w:t xml:space="preserve"> </w:t>
      </w:r>
    </w:p>
    <w:p w14:paraId="63EBA177" w14:textId="619E38F5" w:rsidR="00CC3307" w:rsidRDefault="00CC3307" w:rsidP="00EC4DAF">
      <w:pPr>
        <w:pStyle w:val="Odstavecseseznamem"/>
        <w:ind w:left="0"/>
        <w:jc w:val="both"/>
      </w:pPr>
    </w:p>
    <w:p w14:paraId="0DFBE9F8" w14:textId="31B7E50A" w:rsidR="00CC3307" w:rsidRDefault="00E00636" w:rsidP="00EC4DAF">
      <w:pPr>
        <w:pStyle w:val="Odstavecseseznamem"/>
        <w:ind w:left="0"/>
        <w:jc w:val="both"/>
      </w:pPr>
      <w:r>
        <w:t>V současné době se p</w:t>
      </w:r>
      <w:r w:rsidR="00CC3307">
        <w:t xml:space="preserve">řítomnost bodových mutací pTERT </w:t>
      </w:r>
      <w:r>
        <w:t>nejčastěji</w:t>
      </w:r>
      <w:r w:rsidR="00CC3307">
        <w:t xml:space="preserve"> vyšetřuje metodami next generation se</w:t>
      </w:r>
      <w:r>
        <w:t>kvenování</w:t>
      </w:r>
      <w:r w:rsidR="005A59EC">
        <w:t>m</w:t>
      </w:r>
      <w:r w:rsidR="00357A65">
        <w:t xml:space="preserve"> nebo Sangerovým sekvenováním</w:t>
      </w:r>
      <w:r w:rsidR="00357A65">
        <w:fldChar w:fldCharType="begin" w:fldLock="1"/>
      </w:r>
      <w:r w:rsidR="00C554E1">
        <w:instrText>ADDIN CSL_CITATION {"citationItems":[{"id":"ITEM-1","itemData":{"DOI":"10.1158/1541-7786.MCR-16-0322","ISSN":"15573125","PMID":"28148826","abstract":"Promoter methylation status of O-6-methylguanine-DNA methyltransferase (MGMT), a DNA repair enzyme, is a critical biomarker in glioblastoma (GBM), as treatment decisions and clinical trial inclusion rely on its accurate assessment. However, interpretation of results is complicated by poor interassay reproducibility as well as a weak correlation between methylation status and expression levels of MGMT. This study systematically investigates the influence of tumor purity on tissue subjected to MGMT analysis. A quantitative, allele-specific realtime PCR (qAS-PCR) assay was developed to determine genotype and mutant allele frequency of telomerase promoter (pTERT) mutations as a direct measure of tumor purity. We studied tumor purity, pTERT mutation by Sanger sequencing, MGMT methylation by pyrosequencing, IDH1 mutation status, and clinical parameters in a cohort of high-grade gliomas (« = 97). The qAS-PCR reliably predicted pTERT genotype and tumor purity compared with independent methods. Tumor purity positively and significantly correlated with the extent of methylation in MGMT methylated GBMs. Extent of MGMT methylation differed significantly with respect to pTERT mutation hotspot (C228T vs. C250T). Interestingly, frontal lobe tumors showed greater tumor purity than those in other locations. Above all, tumor purity was identified as an independent prognostic factor in GBM. In conclusion, we determined mutual associations of tumor purity with MGMT methylation and pTERT mutations and found that the extent of MGMT methylation reflects tumor purity. In turn, tumor purity is prognostic in IDH1 wild-type GBM.","author":[{"dropping-particle":"","family":"Heuling","given":"Eva Schulze","non-dropping-particle":"","parse-names":false,"suffix":""},{"dropping-particle":"","family":"Knab","given":"Felix","non-dropping-particle":"","parse-names":false,"suffix":""},{"dropping-particle":"","family":"Radke","given":"Josefine","non-dropping-particle":"","parse-names":false,"suffix":""},{"dropping-particle":"","family":"Eskilsson","given":"Eskil","non-dropping-particle":"","parse-names":false,"suffix":""},{"dropping-particle":"","family":"Martinez-Ledesma","given":"Emmanuel","non-dropping-particle":"","parse-names":false,"suffix":""},{"dropping-particle":"","family":"Koch","given":"Arend","non-dropping-particle":"","parse-names":false,"suffix":""},{"dropping-particle":"","family":"Czabanka","given":"Marcus","non-dropping-particle":"","parse-names":false,"suffix":""},{"dropping-particle":"","family":"Dieterich","given":"Christoph","non-dropping-particle":"","parse-names":false,"suffix":""},{"dropping-particle":"","family":"Verhaak","given":"Roel G.","non-dropping-particle":"","parse-names":false,"suffix":""},{"dropping-particle":"","family":"Harms","given":"Christoph","non-dropping-particle":"","parse-names":false,"suffix":""},{"dropping-particle":"","family":"Euskirchen","given":"Philipp","non-dropping-particle":"","parse-names":false,"suffix":""}],"container-title":"Molecular Cancer Research","id":"ITEM-1","issue":"5","issued":{"date-parts":[["2017","5","1"]]},"page":"532-540","publisher":"American Association for Cancer Research Inc.","title":"Prognostic relevance of tumor purity and interaction with MGMT methylation in glioblastoma","type":"article-journal","volume":"15"},"uris":["http://www.mendeley.com/documents/?uuid=c561c241-4e40-3aab-920a-051a7a198a94"]},{"id":"ITEM-2","itemData":{"DOI":"10.1186/s40478-018-0633-y","PMID":"30470264","abstract":"Since 2013 next-generation sequencing (NGS) targeting genes mutated in diffuse gliomas is part of routine diagnostics in our institute. In the present report, we evaluate the use of this custom tailored NGS platform on 434 samples. The NGS panel assesses mutations in ATRX, CIC, EGFR, FUBP1, NOTCH1, PTEN; H3F3A, IDH1/2, PIK3CA, and BRAF, amplifications in EGFR or MDM2 and copy number alterations (CNA) of chromosome 1p, 7, 10 and 19q. TERT promoter mutations were assessed separately when indicated. Of the 433 samples of individual tumors with NGS data available, 176 cases were diagnosed as grade 2 or 3 glioma (40.6) and in 201 patients a glioblastoma (46.4%). Of the remaining 56 patients, 22 had inconclusive histology. In 378 cases (87.1%) a diagnosis solely based on glioma-targeted NGS could be established and resulted in a different diagnosis in ~ 1/4 of the cases. In 17 out of 22 cases without a conclusive histological diagnosis NGS resulted in a molecular diagnosis.The current study on a large cohort of patients confirms the diagnostic strength of the platform we developed, with a clear separation of glioma subgroups with different outcomes. It demonstrates the diagnostic value and the efficiency of glioma-targeted NGS for routine glioma diagnostics allowing with a single assay a glioma diagnosis in the large majority of cases. It allows in one run the molecular assessments required for the WHO classification of diffuse gliomas, including the recent recommendations to assess copy number alterations of chromosome 7 and 10, and of the TERT promoter region in IDHwt lower grade glioma.","author":[{"dropping-particle":"","family":"Synhaeve","given":"Nathalie E.","non-dropping-particle":"","parse-names":false,"suffix":""},{"dropping-particle":"","family":"Bent","given":"Martin J.","non-dropping-particle":"van den","parse-names":false,"suffix":""},{"dropping-particle":"","family":"French","given":"Pim J.","non-dropping-particle":"","parse-names":false,"suffix":""},{"dropping-particle":"","family":"Dinjens","given":"Winand N.M. M.","non-dropping-particle":"","parse-names":false,"suffix":""},{"dropping-particle":"","family":"Atmodimedjo","given":"Peggy N.","non-dropping-particle":"","parse-names":false,"suffix":""},{"dropping-particle":"","family":"Kros","given":"Johan M.","non-dropping-particle":"","parse-names":false,"suffix":""},{"dropping-particle":"","family":"Verdijk","given":"R.","non-dropping-particle":"","parse-names":false,"suffix":""},{"dropping-particle":"","family":"Dirven","given":"Clemens M.F. F.","non-dropping-particle":"","parse-names":false,"suffix":""},{"dropping-particle":"","family":"Dubbink","given":"Hendrikus J.","non-dropping-particle":"","parse-names":false,"suffix":""}],"id":"ITEM-2","issue":"1","issued":{"date-parts":[["2018"]]},"page":"126","publisher":"NLM (Medline)","title":"Clinical evaluation of a dedicated next generation sequencing panel for routine glioma diagnostics","type":"article-journal","volume":"6"},"uris":["http://www.mendeley.com/documents/?uuid=8537f7c0-8c05-4107-84d7-89e920224473"]}],"mendeley":{"formattedCitation":"&lt;sup&gt;120,121&lt;/sup&gt;","plainTextFormattedCitation":"120,121","previouslyFormattedCitation":"&lt;sup&gt;120,121&lt;/sup&gt;"},"properties":{"noteIndex":0},"schema":"https://github.com/citation-style-language/schema/raw/master/csl-citation.json"}</w:instrText>
      </w:r>
      <w:r w:rsidR="00357A65">
        <w:fldChar w:fldCharType="separate"/>
      </w:r>
      <w:r w:rsidR="00C554E1" w:rsidRPr="00C554E1">
        <w:rPr>
          <w:noProof/>
          <w:vertAlign w:val="superscript"/>
        </w:rPr>
        <w:t>120,121</w:t>
      </w:r>
      <w:r w:rsidR="00357A65">
        <w:fldChar w:fldCharType="end"/>
      </w:r>
      <w:r>
        <w:t xml:space="preserve">. </w:t>
      </w:r>
    </w:p>
    <w:p w14:paraId="734284F3" w14:textId="59F34A79" w:rsidR="00925C26" w:rsidRDefault="00925C26" w:rsidP="00EC4DAF"/>
    <w:p w14:paraId="657CE8E2" w14:textId="50ED20CF" w:rsidR="00925C26" w:rsidRPr="00925C26" w:rsidRDefault="007C62DC" w:rsidP="00A92FFD">
      <w:pPr>
        <w:pStyle w:val="Nadpis4"/>
      </w:pPr>
      <w:bookmarkStart w:id="48" w:name="_Toc88741473"/>
      <w:r>
        <w:t xml:space="preserve">Mutace genu </w:t>
      </w:r>
      <w:r w:rsidR="00925C26" w:rsidRPr="007C62DC">
        <w:rPr>
          <w:i/>
        </w:rPr>
        <w:t>ATRX</w:t>
      </w:r>
      <w:bookmarkEnd w:id="48"/>
    </w:p>
    <w:p w14:paraId="294F92A0" w14:textId="38809B52" w:rsidR="007C62DC" w:rsidRPr="00EF7EBA" w:rsidRDefault="00925C26" w:rsidP="00EC4DAF">
      <w:pPr>
        <w:pStyle w:val="Odstavecseseznamem"/>
        <w:ind w:left="0"/>
        <w:jc w:val="both"/>
      </w:pPr>
      <w:r w:rsidRPr="00EF7EBA">
        <w:t xml:space="preserve">Gen ATRX (alpha-thalassemia/mental retardation syndrome X-linked) leží v chromozomální oblasti Xq21.1 a </w:t>
      </w:r>
      <w:r w:rsidR="00747B9E" w:rsidRPr="00EF7EBA">
        <w:t>jeho mutace je jedním z charakteristických znaků difuzního astrocytomu</w:t>
      </w:r>
      <w:r w:rsidR="00747B9E" w:rsidRPr="00EF7EBA">
        <w:fldChar w:fldCharType="begin" w:fldLock="1"/>
      </w:r>
      <w:r w:rsidR="00CC7CB0">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747B9E" w:rsidRPr="00EF7EBA">
        <w:fldChar w:fldCharType="separate"/>
      </w:r>
      <w:r w:rsidR="006431C6" w:rsidRPr="006431C6">
        <w:rPr>
          <w:noProof/>
          <w:vertAlign w:val="superscript"/>
        </w:rPr>
        <w:t>12</w:t>
      </w:r>
      <w:r w:rsidR="00747B9E" w:rsidRPr="00EF7EBA">
        <w:fldChar w:fldCharType="end"/>
      </w:r>
      <w:r w:rsidR="00747B9E" w:rsidRPr="00EF7EBA">
        <w:t>.</w:t>
      </w:r>
      <w:r w:rsidR="007C62DC" w:rsidRPr="00EF7EBA">
        <w:t xml:space="preserve"> </w:t>
      </w:r>
      <w:r w:rsidR="00784F5B" w:rsidRPr="00EF7EBA">
        <w:t>ATRX patří mezi chromatin remodelující proteiny</w:t>
      </w:r>
      <w:r w:rsidR="00714B30" w:rsidRPr="00EF7EBA">
        <w:t xml:space="preserve">, </w:t>
      </w:r>
      <w:r w:rsidR="00784F5B" w:rsidRPr="00EF7EBA">
        <w:t>je zapojen do regulace transkripce</w:t>
      </w:r>
      <w:r w:rsidR="00714B30" w:rsidRPr="00EF7EBA">
        <w:t xml:space="preserve"> a udržení integrity genomu</w:t>
      </w:r>
      <w:r w:rsidR="00784F5B" w:rsidRPr="00EF7EBA">
        <w:fldChar w:fldCharType="begin" w:fldLock="1"/>
      </w:r>
      <w:r w:rsidR="00C554E1">
        <w:instrText>ADDIN CSL_CITATION {"citationItems":[{"id":"ITEM-1","itemData":{"DOI":"10.1093/hmg/5.12.1899","ISSN":"09646906","PMID":"8968741","abstract":"It was shown recently that mutations of the ATRX gene give rise to a severe, X-linked form of syndromal mental retardation associated with α thalassaemia (ATR-X syndrome). In this study, we have characterised the full-length cDNA and predicted structure of the ATRX protein. Comparative analysis shows that it is an entirely new member of the SNF2 subgroup of a superfamily of proteins with similar ATPase and helicase domains. ATRX probably acts as a regulator of gene expression. Definition of its genomic structure enabled us to identify four novel splicing defects by screening 52 affected individuals. Correlation between these and previously identified mutations with variations in the ATR-X phenotype provides insights into the pathophysiology of this disease and the normal role of the ATRX protein in vivo.","author":[{"dropping-particle":"","family":"Picketts","given":"David J.","non-dropping-particle":"","parse-names":false,"suffix":""},{"dropping-particle":"","family":"Higgs","given":"Douglas R.","non-dropping-particle":"","parse-names":false,"suffix":""},{"dropping-particle":"","family":"Bachoo","given":"Satvinder","non-dropping-particle":"","parse-names":false,"suffix":""},{"dropping-particle":"","family":"Blake","given":"Derek J.","non-dropping-particle":"","parse-names":false,"suffix":""},{"dropping-particle":"","family":"Quarrell","given":"Oliver W.J.","non-dropping-particle":"","parse-names":false,"suffix":""},{"dropping-particle":"","family":"Gibbons","given":"Richard J.","non-dropping-particle":"","parse-names":false,"suffix":""}],"container-title":"Human Molecular Genetics","id":"ITEM-1","issue":"12","issued":{"date-parts":[["1996"]]},"page":"1899-1907","publisher":"Oxford University Press","title":"ATRX encodes a novel member of the SNF2 family of proteins: Mutations point to a common mechanism underlying the ATR-X syndrome","type":"article-journal","volume":"5"},"uris":["http://www.mendeley.com/documents/?uuid=8aa6e2ec-097f-3392-8e0f-23afe012daa8"]},{"id":"ITEM-2","itemData":{"DOI":"10.1016/j.ccell.2015.08.003","ISSN":"18783686","PMID":"26373281","abstract":"The chromatin-remodeler ATRX is frequently lost in cancer cells that use ALT (alternative lengthening of telomeres) for telomere maintenance, but its function in telomere recombination is unknown. Here we show that loss of ATRX suppresses the timely resolution of sister telomere cohesion that normally occurs prior to mitosis. In the absence of ATRX, the histone variant macroH2A1.1 binds to the poly(ADP-ribose) polymerase tankyrase 1, preventing it from localizing to telomeres and resolving cohesion. The resulting persistent telomere cohesion promotes recombination between sister telomeres, while it suppresses inappropriate recombination between non-sisters. Forced resolution of sister telomere cohesion induces excessive recombination between non-homologs, genomic instability, and impaired cell growth, indicating the ATRX-macroH2A1.1-tankyrase axis as a potential therapeutic target in ALT tumors.","author":[{"dropping-particle":"","family":"Ramamoorthy","given":"Mahesh","non-dropping-particle":"","parse-names":false,"suffix":""},{"dropping-particle":"","family":"Smith","given":"Susan","non-dropping-particle":"","parse-names":false,"suffix":""}],"container-title":"Cancer Cell","id":"ITEM-2","issue":"3","issued":{"date-parts":[["2015","9","14"]]},"page":"357-369","publisher":"Cell Press","title":"Loss of ATRX Suppresses Resolution of Telomere Cohesion to Control Recombination in ALT Cancer Cells","type":"article-journal","volume":"28"},"uris":["http://www.mendeley.com/documents/?uuid=53150e2e-d238-373c-a0d9-2c2906ddaf84"]}],"mendeley":{"formattedCitation":"&lt;sup&gt;122,123&lt;/sup&gt;","plainTextFormattedCitation":"122,123","previouslyFormattedCitation":"&lt;sup&gt;122,123&lt;/sup&gt;"},"properties":{"noteIndex":0},"schema":"https://github.com/citation-style-language/schema/raw/master/csl-citation.json"}</w:instrText>
      </w:r>
      <w:r w:rsidR="00784F5B" w:rsidRPr="00EF7EBA">
        <w:fldChar w:fldCharType="separate"/>
      </w:r>
      <w:r w:rsidR="00C554E1" w:rsidRPr="00C554E1">
        <w:rPr>
          <w:noProof/>
          <w:vertAlign w:val="superscript"/>
        </w:rPr>
        <w:t>122,123</w:t>
      </w:r>
      <w:r w:rsidR="00784F5B" w:rsidRPr="00EF7EBA">
        <w:fldChar w:fldCharType="end"/>
      </w:r>
      <w:r w:rsidR="00784F5B" w:rsidRPr="00EF7EBA">
        <w:t xml:space="preserve">. </w:t>
      </w:r>
      <w:r w:rsidR="00714B30" w:rsidRPr="00EF7EBA">
        <w:t xml:space="preserve">Spolu se svým </w:t>
      </w:r>
      <w:r w:rsidR="00714B30" w:rsidRPr="008F1A44">
        <w:t>kofaktorem DAXX (death-a</w:t>
      </w:r>
      <w:r w:rsidR="00714B30" w:rsidRPr="00EF7EBA">
        <w:t>ssociated protein 6) hraje klíčovou roli v udržení genomové stability skrz inkorporaci histonů do chromozomálních telomer</w:t>
      </w:r>
      <w:r w:rsidR="00F370D9" w:rsidRPr="00EF7EBA">
        <w:t xml:space="preserve"> a pericentromerického heterochromatinu</w:t>
      </w:r>
      <w:r w:rsidR="00714B30" w:rsidRPr="00EF7EBA">
        <w:fldChar w:fldCharType="begin" w:fldLock="1"/>
      </w:r>
      <w:r w:rsidR="00C554E1">
        <w:instrText>ADDIN CSL_CITATION {"citationItems":[{"id":"ITEM-1","itemData":{"DOI":"10.15252/embr.201439937","ISSN":"1469-221X","PMID":"26012739","abstract":"More than 50% of mammalian genomes consist of retrotransposon sequences. Silencing of retrotransposons by heterochromatin is essential to ensure genomic stability and transcriptional integrity. Here, we identified a short sequence element in intracisternal A particle (IAP) retrotransposons that is sufficient to trigger heterochromatin formation. We used this sequence in a genome-wide shRNA screen and identified the chromatin remodeler Atrx as a novel regulator of IAP silencing. Atrx binds to IAP elements and is necessary for efficient heterochromatin formation. In addition, Atrx facilitates a robust and largely inaccessible heterochromatin structure as Atrx knockout cells display increased chromatin accessibility at retrotransposons and non-repetitive heterochromatic loci. In summary, we demonstrate a direct role of Atrx in the establishment and robust maintenance of heterochromatin.","author":[{"dropping-particle":"","family":"Sadic","given":"Dennis","non-dropping-particle":"","parse-names":false,"suffix":""},{"dropping-particle":"","family":"Schmidt","given":"Katharina","non-dropping-particle":"","parse-names":false,"suffix":""},{"dropping-particle":"","family":"Groh","given":"Sophia","non-dropping-particle":"","parse-names":false,"suffix":""},{"dropping-particle":"","family":"Kondofersky","given":"Ivan","non-dropping-particle":"","parse-names":false,"suffix":""},{"dropping-particle":"","family":"Ellwart","given":"Joachim","non-dropping-particle":"","parse-names":false,"suffix":""},{"dropping-particle":"","family":"Fuchs","given":"Christiane","non-dropping-particle":"","parse-names":false,"suffix":""},{"dropping-particle":"","family":"Theis","given":"Fabian J","non-dropping-particle":"","parse-names":false,"suffix":""},{"dropping-particle":"","family":"Schotta","given":"Gunnar","non-dropping-particle":"","parse-names":false,"suffix":""}],"container-title":"EMBO reports","id":"ITEM-1","issue":"7","issued":{"date-parts":[["2015","7"]]},"page":"836-850","publisher":"EMBO","title":"Atrx promotes heterochromatin formation at retrotransposons","type":"article-journal","volume":"16"},"uris":["http://www.mendeley.com/documents/?uuid=26ca3f1f-b1ce-3da0-baf8-f5e438eb24ae"]},{"id":"ITEM-2","itemData":{"DOI":"10.1073/pnas.1411258112","ISSN":"10916490","PMID":"25538301","abstract":"ATRX (the alpha thalassemia/mental retardation syndrome X-linked protein) is a member of the switch2/sucrose nonfermentable2 (SWI2/SNF2) family of chromatin-remodeling proteins and primarily functions at heterochromatic loci via its recognition of \"repressive\"histone modifications [e.g., histone H3 lysine 9 tri-methylation (H3K9me3)]. Despite significant roles for ATRX during normal neural development, as well as its relationship to human disease, ATRX function in the central nervous system is not well understood. Here, we describe ATRX's ability to recognize an activity-dependent combinatorial histone modification, histone H3 lysine 9 tri-methylation/serine 10 phosphorylation (H3K9me3S10ph), in postmitotic neurons. In neurons, this \"methyl/phos\" switch occurs exclusively after periods of stimulation and is highly enriched at heterochromatic repeats associated with centromeres. Using a multifaceted approach, we reveal that H3K9me3S10ph-bound Atrx represses noncoding transcription of centromeric minor satellite sequences during instances of heightened activity. Our results indicate an essential interaction between ATRX and a previously uncharacterized histone modification in the central nervous system and suggest a potential role for abnormal repetitive element transcription in pathological states manifested by ATRX dysfunction.","author":[{"dropping-particle":"","family":"Noh","given":"Kyung Min","non-dropping-particle":"","parse-names":false,"suffix":""},{"dropping-particle":"","family":"Maze","given":"Ian","non-dropping-particle":"","parse-names":false,"suffix":""},{"dropping-particle":"","family":"Zhao","given":"Dan","non-dropping-particle":"","parse-names":false,"suffix":""},{"dropping-particle":"","family":"Xiang","given":"Bin","non-dropping-particle":"","parse-names":false,"suffix":""},{"dropping-particle":"","family":"Wenderski","given":"Wendy","non-dropping-particle":"","parse-names":false,"suffix":""},{"dropping-particle":"","family":"Lewis","given":"Peter W.","non-dropping-particle":"","parse-names":false,"suffix":""},{"dropping-particle":"","family":"Shen","given":"Li","non-dropping-particle":"","parse-names":false,"suffix":""},{"dropping-particle":"","family":"Li","given":"Haitao","non-dropping-particle":"","parse-names":false,"suffix":""},{"dropping-particle":"","family":"Allis","given":"C. David","non-dropping-particle":"","parse-names":false,"suffix":""}],"container-title":"Proceedings of the National Academy of Sciences of the United States of America","id":"ITEM-2","issue":"22","issued":{"date-parts":[["2015","6","2"]]},"page":"6820-6827","publisher":"National Academy of Sciences","title":"ATRX tolerates activity-dependent histone H3 methyl/phos switching to maintain repetitive element silencing in neurons","type":"article-journal","volume":"112"},"uris":["http://www.mendeley.com/documents/?uuid=46dc06d7-b9e6-3e4a-8e24-cd9968568b2f"]}],"mendeley":{"formattedCitation":"&lt;sup&gt;124,125&lt;/sup&gt;","plainTextFormattedCitation":"124,125","previouslyFormattedCitation":"&lt;sup&gt;124,125&lt;/sup&gt;"},"properties":{"noteIndex":0},"schema":"https://github.com/citation-style-language/schema/raw/master/csl-citation.json"}</w:instrText>
      </w:r>
      <w:r w:rsidR="00714B30" w:rsidRPr="00EF7EBA">
        <w:fldChar w:fldCharType="separate"/>
      </w:r>
      <w:r w:rsidR="00C554E1" w:rsidRPr="00C554E1">
        <w:rPr>
          <w:noProof/>
          <w:vertAlign w:val="superscript"/>
        </w:rPr>
        <w:t>124,125</w:t>
      </w:r>
      <w:r w:rsidR="00714B30" w:rsidRPr="00EF7EBA">
        <w:fldChar w:fldCharType="end"/>
      </w:r>
      <w:r w:rsidR="00714B30" w:rsidRPr="00EF7EBA">
        <w:t xml:space="preserve">. </w:t>
      </w:r>
      <w:r w:rsidR="007C62DC" w:rsidRPr="00EF7EBA">
        <w:t>Jeho ztráta vede k poškození DNA</w:t>
      </w:r>
      <w:r w:rsidR="005A59EC">
        <w:t>,</w:t>
      </w:r>
      <w:r w:rsidR="007C62DC" w:rsidRPr="00EF7EBA">
        <w:t xml:space="preserve"> replikačnímu stresu a dále zřejmě skrz p53 inhibuje apoptózu</w:t>
      </w:r>
      <w:r w:rsidR="007C62DC" w:rsidRPr="00EF7EBA">
        <w:fldChar w:fldCharType="begin" w:fldLock="1"/>
      </w:r>
      <w:r w:rsidR="00C554E1">
        <w:instrText>ADDIN CSL_CITATION {"citationItems":[{"id":"ITEM-1","itemData":{"DOI":"10.1371/journal.pone.0052167","ISSN":"19326203","PMID":"23284920","abstract":"Prevalent cell death in forebrain- and Sertoli cell-specific Atrx knockout mice suggest that Atrx is important for cell survival. However, conditional ablation in other tissues is not associated with increased death indicating that diverse cell types respond differently to the loss of this chromatin remodeling protein. Here, primary macrophages isolated from Atrxf/f mice were infected with adenovirus expressing Cre recombinase or β-galactosidase, and assayed for cell survival under different experimental conditions. Macrophages survive without Atrx but undergo rapid apoptosis upon lipopolysaccharide (LPS) activation suggesting that chromatin reorganization in response to external stimuli is compromised. Using this system we next tested the effect of different apoptotic stimuli on cell survival. We observed that survival of Atrx-null cells were similar to wild type cells in response to serum withdrawal, anti-Fas antibody, C2 ceramide or dexamethasone treatment but were more sensitive to 5-fluorouracil (5-FU). Cell survival could be rescued by re-introducing Atrx or by removal of p53 demonstrating the cell autonomous nature of the effect and its p53-dependence. Finally, we demonstrate that multiple primary cell types (myoblasts, embryonic fibroblasts and neurospheres) were sensitive to 5-FU, cisplatin, and UV light treatment. Together, our results suggest that cells lacking Atrx are more sensitive to DNA damaging agents and that this may result in enhanced death during development when cells are at their proliferative peak. Moreover, it identifies potential treatment options for cancers associated with ATRX mutations, including glioblastoma and pancreatic neuroendocrine tumors. © 2012 Conte et al.","author":[{"dropping-particle":"","family":"Conte","given":"Damiano","non-dropping-particle":"","parse-names":false,"suffix":""},{"dropping-particle":"","family":"Huh","given":"Michael","non-dropping-particle":"","parse-names":false,"suffix":""},{"dropping-particle":"","family":"Goodall","given":"Emma","non-dropping-particle":"","parse-names":false,"suffix":""},{"dropping-particle":"","family":"Delorme","given":"Marilyne","non-dropping-particle":"","parse-names":false,"suffix":""},{"dropping-particle":"","family":"Parks","given":"Robin J.","non-dropping-particle":"","parse-names":false,"suffix":""},{"dropping-particle":"","family":"Picketts","given":"David J.","non-dropping-particle":"","parse-names":false,"suffix":""}],"container-title":"PLoS ONE","id":"ITEM-1","issue":"12","issued":{"date-parts":[["2012","12","17"]]},"publisher":"PLoS One","title":"Loss of Atrx Sensitizes Cells to DNA Damaging Agents through p53-Mediated Death Pathways","type":"article-journal","volume":"7"},"uris":["http://www.mendeley.com/documents/?uuid=6e308afc-3ed8-35d8-9406-3d45df08d997"]},{"id":"ITEM-2","itemData":{"DOI":"10.1074/jbc.M112.411603","ISSN":"00219258","PMID":"23329831","abstract":"Alpha thalassemia/mental retardation syndrome X-linked (ATRX) is a member of the SWI/SNF protein family of DNA-dependent ATPases. It functions as a chromatin remodeler and is classified as an SNF2-like helicase. Here, we showed somatic knock-out of ATRX displayed perturbed S-phase progression as well as hypersensitivity to replication stress. ATRX is recruited to sites of DNA damage, required for efficient checkpoint activation and faithful replication restart. In addition, we identified ATRX as a binding partner of MRE11-RAD50-NBS1 (MRN) complex. Together, these results suggest a non-canonical function of ATRX in guarding genomic stability. © 2013 by The American Society for Biochemistry and Molecular Biology, Inc.","author":[{"dropping-particle":"","family":"Leung","given":"Justin Wai Chung","non-dropping-particle":"","parse-names":false,"suffix":""},{"dropping-particle":"","family":"Ghosal","given":"Gargi","non-dropping-particle":"","parse-names":false,"suffix":""},{"dropping-particle":"","family":"Wang","given":"Wenqi","non-dropping-particle":"","parse-names":false,"suffix":""},{"dropping-particle":"","family":"Shen","given":"Xi","non-dropping-particle":"","parse-names":false,"suffix":""},{"dropping-particle":"","family":"Wang","given":"Jiadong","non-dropping-particle":"","parse-names":false,"suffix":""},{"dropping-particle":"","family":"Li","given":"Lei","non-dropping-particle":"","parse-names":false,"suffix":""},{"dropping-particle":"","family":"Chen","given":"Junjie","non-dropping-particle":"","parse-names":false,"suffix":""}],"container-title":"Journal of Biological Chemistry","id":"ITEM-2","issue":"9","issued":{"date-parts":[["2013","3","1"]]},"page":"6342-6350","publisher":"American Society for Biochemistry and Molecular Biology","title":"Alpha thalassemia/mental retardation syndrome X-linked gene product ATRX is required for proper replication restart and cellular resistance to replication stress","type":"article-journal","volume":"288"},"uris":["http://www.mendeley.com/documents/?uuid=34dd1916-ef5d-30ce-985f-fa2888e8990b"]},{"id":"ITEM-3","itemData":{"DOI":"10.1126/scitranslmed.aac8228","ISSN":"19466242","PMID":"26936505","abstract":"Recent work in human glioblastoma (GBM) has documented recurrent mutations in the histone chaperone protein ATRX. We developed an animal model of ATRX-deficient GBM and showed that loss of ATRX reduces median survival and increases genetic instability. Further, analysis of genome-wide data for human gliomas showed that ATRX mutation is associated with increased mutation rate at the single-nucleotide variant (SNV) level. In mouse tumors, ATRX deficiency impairs nonhomologous end joining and increases sensitivity to DNA-damaging agents that induce double-stranded DNA breaks. We propose that ATRX loss results in a genetically unstable tumor, which is more aggressive when left untreated but is more responsive to double-stranded DNA-damaging agents, resulting in improved overall survival.","author":[{"dropping-particle":"","family":"Koschmann","given":"Carl","non-dropping-particle":"","parse-names":false,"suffix":""},{"dropping-particle":"","family":"Calinescu","given":"Anda Alexandra","non-dropping-particle":"","parse-names":false,"suffix":""},{"dropping-particle":"","family":"Nunez","given":"Felipe J.","non-dropping-particle":"","parse-names":false,"suffix":""},{"dropping-particle":"","family":"Mackay","given":"Alan","non-dropping-particle":"","parse-names":false,"suffix":""},{"dropping-particle":"","family":"Fazal-Salom","given":"Janet","non-dropping-particle":"","parse-names":false,"suffix":""},{"dropping-particle":"","family":"Thomas","given":"Daniel","non-dropping-particle":"","parse-names":false,"suffix":""},{"dropping-particle":"","family":"Mendez","given":"Flor","non-dropping-particle":"","parse-names":false,"suffix":""},{"dropping-particle":"","family":"Kamran","given":"Neha","non-dropping-particle":"","parse-names":false,"suffix":""},{"dropping-particle":"","family":"Dzaman","given":"Marta","non-dropping-particle":"","parse-names":false,"suffix":""},{"dropping-particle":"","family":"Mulpuri","given":"Lakshman","non-dropping-particle":"","parse-names":false,"suffix":""},{"dropping-particle":"","family":"Krasinkiewicz","given":"Johnathon","non-dropping-particle":"","parse-names":false,"suffix":""},{"dropping-particle":"","family":"Doherty","given":"Robert","non-dropping-particle":"","parse-names":false,"suffix":""},{"dropping-particle":"","family":"Lemons","given":"Rosemary","non-dropping-particle":"","parse-names":false,"suffix":""},{"dropping-particle":"","family":"Brosnan-Cashman","given":"Jaqueline A.","non-dropping-particle":"","parse-names":false,"suffix":""},{"dropping-particle":"","family":"Li","given":"Youping","non-dropping-particle":"","parse-names":false,"suffix":""},{"dropping-particle":"","family":"Roh","given":"Soyeon","non-dropping-particle":"","parse-names":false,"suffix":""},{"dropping-particle":"","family":"Zhao","given":"Lili","non-dropping-particle":"","parse-names":false,"suffix":""},{"dropping-particle":"","family":"Appelman","given":"Henry","non-dropping-particle":"","parse-names":false,"suffix":""},{"dropping-particle":"","family":"Ferguson","given":"David","non-dropping-particle":"","parse-names":false,"suffix":""},{"dropping-particle":"","family":"Gorbunova","given":"Vera","non-dropping-particle":"","parse-names":false,"suffix":""},{"dropping-particle":"","family":"Meeker","given":"Alan","non-dropping-particle":"","parse-names":false,"suffix":""},{"dropping-particle":"","family":"Jones","given":"Chris","non-dropping-particle":"","parse-names":false,"suffix":""},{"dropping-particle":"","family":"Lowenstein","given":"Pedro R.","non-dropping-particle":"","parse-names":false,"suffix":""},{"dropping-particle":"","family":"Castro","given":"Maria G.","non-dropping-particle":"","parse-names":false,"suffix":""}],"container-title":"Science Translational Medicine","id":"ITEM-3","issue":"328","issued":{"date-parts":[["2016","3","2"]]},"page":"328ra28","publisher":"American Association for the Advancement of Science","title":"ATRX loss promotes tumor growth and impairs nonhomologous end joining DNA repair in glioma","type":"article-journal","volume":"8"},"uris":["http://www.mendeley.com/documents/?uuid=9e73e05d-fd65-3cd5-b392-c25cf5cf1663"]}],"mendeley":{"formattedCitation":"&lt;sup&gt;126–128&lt;/sup&gt;","plainTextFormattedCitation":"126–128","previouslyFormattedCitation":"&lt;sup&gt;126–128&lt;/sup&gt;"},"properties":{"noteIndex":0},"schema":"https://github.com/citation-style-language/schema/raw/master/csl-citation.json"}</w:instrText>
      </w:r>
      <w:r w:rsidR="007C62DC" w:rsidRPr="00EF7EBA">
        <w:fldChar w:fldCharType="separate"/>
      </w:r>
      <w:r w:rsidR="00C554E1" w:rsidRPr="00C554E1">
        <w:rPr>
          <w:noProof/>
          <w:vertAlign w:val="superscript"/>
        </w:rPr>
        <w:t>126–128</w:t>
      </w:r>
      <w:r w:rsidR="007C62DC" w:rsidRPr="00EF7EBA">
        <w:fldChar w:fldCharType="end"/>
      </w:r>
      <w:r w:rsidR="007C62DC" w:rsidRPr="00EF7EBA">
        <w:t xml:space="preserve">. </w:t>
      </w:r>
    </w:p>
    <w:p w14:paraId="60EB17A8" w14:textId="35F7688B" w:rsidR="007C62DC" w:rsidRPr="00EF7EBA" w:rsidRDefault="007C62DC" w:rsidP="00EC4DAF">
      <w:pPr>
        <w:pStyle w:val="Odstavecseseznamem"/>
        <w:ind w:left="0"/>
        <w:jc w:val="both"/>
      </w:pPr>
    </w:p>
    <w:p w14:paraId="6F72652D" w14:textId="07DE2E34" w:rsidR="007C62DC" w:rsidRPr="00EF7EBA" w:rsidRDefault="007C62DC" w:rsidP="00EC4DAF">
      <w:pPr>
        <w:pStyle w:val="Odstavecseseznamem"/>
        <w:ind w:left="0"/>
        <w:jc w:val="both"/>
      </w:pPr>
      <w:r w:rsidRPr="00EF7EBA">
        <w:t xml:space="preserve">Současná literatura dokazuje přítomnost mutací </w:t>
      </w:r>
      <w:r w:rsidRPr="005A59EC">
        <w:rPr>
          <w:i/>
          <w:iCs/>
        </w:rPr>
        <w:t>ATRX</w:t>
      </w:r>
      <w:r w:rsidRPr="00EF7EBA">
        <w:t xml:space="preserve"> u IDH mutovaných gliomů, zatímco kodelece 1p/19q </w:t>
      </w:r>
      <w:r w:rsidR="00F370D9" w:rsidRPr="00EF7EBA">
        <w:t>je velmi raritní</w:t>
      </w:r>
      <w:r w:rsidRPr="000011FB">
        <w:rPr>
          <w:vertAlign w:val="superscript"/>
        </w:rPr>
        <w:fldChar w:fldCharType="begin" w:fldLock="1"/>
      </w:r>
      <w:r w:rsidR="00CC7CB0">
        <w:rPr>
          <w:vertAlign w:val="superscript"/>
        </w:rPr>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Pr="000011FB">
        <w:rPr>
          <w:vertAlign w:val="superscript"/>
        </w:rPr>
        <w:fldChar w:fldCharType="separate"/>
      </w:r>
      <w:r w:rsidR="006431C6" w:rsidRPr="006431C6">
        <w:rPr>
          <w:noProof/>
          <w:vertAlign w:val="superscript"/>
        </w:rPr>
        <w:t>12</w:t>
      </w:r>
      <w:r w:rsidRPr="000011FB">
        <w:rPr>
          <w:vertAlign w:val="superscript"/>
        </w:rPr>
        <w:fldChar w:fldCharType="end"/>
      </w:r>
      <w:r w:rsidRPr="00EF7EBA">
        <w:t xml:space="preserve">.  </w:t>
      </w:r>
      <w:r w:rsidR="00F370D9" w:rsidRPr="00EF7EBA">
        <w:t xml:space="preserve">Ztráta genu </w:t>
      </w:r>
      <w:r w:rsidR="00F370D9" w:rsidRPr="005A59EC">
        <w:rPr>
          <w:i/>
          <w:iCs/>
        </w:rPr>
        <w:t>ATRX</w:t>
      </w:r>
      <w:r w:rsidR="00F370D9" w:rsidRPr="00EF7EBA">
        <w:t xml:space="preserve"> je charakteristická pro difuzní astrocytom, avšak jak je uvedeno v WHO 2016, není nezbytná pro tuto diagnózu</w:t>
      </w:r>
      <w:r w:rsidR="00C86726" w:rsidRPr="000011FB">
        <w:rPr>
          <w:vertAlign w:val="superscript"/>
        </w:rPr>
        <w:fldChar w:fldCharType="begin" w:fldLock="1"/>
      </w:r>
      <w:r w:rsidR="00CC7CB0">
        <w:rPr>
          <w:vertAlign w:val="superscript"/>
        </w:rPr>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C86726" w:rsidRPr="000011FB">
        <w:rPr>
          <w:vertAlign w:val="superscript"/>
        </w:rPr>
        <w:fldChar w:fldCharType="separate"/>
      </w:r>
      <w:r w:rsidR="006431C6" w:rsidRPr="006431C6">
        <w:rPr>
          <w:noProof/>
          <w:vertAlign w:val="superscript"/>
        </w:rPr>
        <w:t>12</w:t>
      </w:r>
      <w:r w:rsidR="00C86726" w:rsidRPr="000011FB">
        <w:rPr>
          <w:vertAlign w:val="superscript"/>
        </w:rPr>
        <w:fldChar w:fldCharType="end"/>
      </w:r>
      <w:r w:rsidR="00F370D9" w:rsidRPr="00EF7EBA">
        <w:t xml:space="preserve">. </w:t>
      </w:r>
      <w:r w:rsidR="00C86726" w:rsidRPr="00EF7EBA">
        <w:t xml:space="preserve">Bylo prokázáno, že </w:t>
      </w:r>
      <w:r w:rsidR="000011FB">
        <w:t>ztr</w:t>
      </w:r>
      <w:r w:rsidR="00C86726" w:rsidRPr="00EF7EBA">
        <w:t xml:space="preserve">áta </w:t>
      </w:r>
      <w:r w:rsidR="00C86726" w:rsidRPr="005A59EC">
        <w:rPr>
          <w:i/>
          <w:iCs/>
        </w:rPr>
        <w:t>ATRX</w:t>
      </w:r>
      <w:r w:rsidR="00C86726" w:rsidRPr="00EF7EBA">
        <w:t xml:space="preserve"> koreluje s věkem, histopatologií a prognózou. Mutace </w:t>
      </w:r>
      <w:r w:rsidR="00C86726" w:rsidRPr="005A59EC">
        <w:rPr>
          <w:i/>
          <w:iCs/>
        </w:rPr>
        <w:t>ATRX</w:t>
      </w:r>
      <w:r w:rsidR="00C86726" w:rsidRPr="00EF7EBA">
        <w:t xml:space="preserve"> jsou spojeny s lepším přežitím bez progrese celkovým přežitím u IDH mutovaných low grade gliomů bez kodelece 1p/19q</w:t>
      </w:r>
      <w:r w:rsidR="00C86726" w:rsidRPr="00EF7EBA">
        <w:fldChar w:fldCharType="begin" w:fldLock="1"/>
      </w:r>
      <w:r w:rsidR="00D745ED">
        <w:instrText>ADDIN CSL_CITATION {"citationItems":[{"id":"ITEM-1","itemData":{"DOI":"10.1007/s00401-013-1156-z","ISSN":"00016322","PMID":"23904111","abstract":"Mutation/loss of alpha-thalassemia/mental retardation syndrome X-linked (ATRX) expression has been described in anaplastic gliomas. The present study explored the role of ATRX status in the molecular classification of anaplastic gliomas and its impact on survival in the biomarker cohort of the NOA-04 anaplastic glioma trial. Patients (n = 133) of the NOA-04 trial were analyzed for ATRX expression using immunohistochemistry. ATRX status was correlated with age, histology, isocitrate dehydrogenase (IDH), 1p/19q, alternative lengthening of telomeres (ALT) and O6-methylguanine-DNA methyltransferase (MGMT) status, and the trial efficacy endpoints. Loss of ATRX expression was detected in 45 % of anaplastic astrocytomas (AA), 27 % of anaplastic oligoastrocytomas (AOA) and 10 % of anaplastic oligodendrogliomas (AO). It was mostly restricted to IDH mutant tumors and almost mutually exclusive with 1p/19q co-deletion. The ALT phenotype was significantly correlated with ATRX loss. ATRX and 1p/19q status were used to re-classify AOA: AOA harboring ATRX loss shared a similar clinical course with AA, whereas AOA carrying 1p/19q co-deletion shared a similar course with AO. Accordingly, in a Cox regression model including ATRX and 1p/19q status, histology was no longer significantly associated with time to treatment failure. Survival analysis showed a marked separation of IDH mutant astrocytic tumors into two groups based on ATRX status: tumors with ATRX loss had a significantly better prognosis (median time to treatment failure 55.6 vs. 31.8 months, p = 0.0168, log rank test). ATRX status helps better define the clinically and morphologically mixed group of AOA, since ATRX loss is a hallmark of astrocytic tumors. Furthermore, ATRX loss defines a subgroup of astrocytic tumors with a favorable prognosis. © 2013 Springer-Verlag Berlin Heidelberg.","author":[{"dropping-particle":"","family":"Wiestler","given":"Benedikt","non-dropping-particle":"","parse-names":false,"suffix":""},{"dropping-particle":"","family":"Capper","given":"David","non-dropping-particle":"","parse-names":false,"suffix":""},{"dropping-particle":"","family":"Holland-Letz","given":"Tim","non-dropping-particle":"","parse-names":false,"suffix":""},{"dropping-particle":"","family":"Korshunov","given":"Andrey","non-dropping-particle":"","parse-names":false,"suffix":""},{"dropping-particle":"","family":"Deimling","given":"Andreas","non-dropping-particle":"Von","parse-names":false,"suffix":""},{"dropping-particle":"","family":"Pfister","given":"Stefan Michael","non-dropping-particle":"","parse-names":false,"suffix":""},{"dropping-particle":"","family":"Platten","given":"Michael","non-dropping-particle":"","parse-names":false,"suffix":""},{"dropping-particle":"","family":"Weller","given":"Michael","non-dropping-particle":"","parse-names":false,"suffix":""},{"dropping-particle":"","family":"Wick","given":"Wolfgang","non-dropping-particle":"","parse-names":false,"suffix":""}],"container-title":"Acta Neuropathologica","id":"ITEM-1","issue":"3","issued":{"date-parts":[["2013","9"]]},"page":"443-451","publisher":"Acta Neuropathol","title":"ATRX loss refines the classification of anaplastic gliomas and identifies a subgroup of IDH mutant astrocytic tumors with better prognosis","type":"article-journal","volume":"126"},"uris":["http://www.mendeley.com/documents/?uuid=c7a89994-700f-34bf-af52-1d19f0cc890e"]}],"mendeley":{"formattedCitation":"&lt;sup&gt;129&lt;/sup&gt;","plainTextFormattedCitation":"129","previouslyFormattedCitation":"&lt;sup&gt;129&lt;/sup&gt;"},"properties":{"noteIndex":0},"schema":"https://github.com/citation-style-language/schema/raw/master/csl-citation.json"}</w:instrText>
      </w:r>
      <w:r w:rsidR="00C86726" w:rsidRPr="00EF7EBA">
        <w:fldChar w:fldCharType="separate"/>
      </w:r>
      <w:r w:rsidR="00A47FB6" w:rsidRPr="00A47FB6">
        <w:rPr>
          <w:noProof/>
          <w:vertAlign w:val="superscript"/>
        </w:rPr>
        <w:t>129</w:t>
      </w:r>
      <w:r w:rsidR="00C86726" w:rsidRPr="00EF7EBA">
        <w:fldChar w:fldCharType="end"/>
      </w:r>
      <w:r w:rsidR="00C86726" w:rsidRPr="00EF7EBA">
        <w:t>.</w:t>
      </w:r>
    </w:p>
    <w:p w14:paraId="30D2718A" w14:textId="145A816B" w:rsidR="007C62DC" w:rsidRPr="00EF7EBA" w:rsidRDefault="007C62DC" w:rsidP="00EC4DAF">
      <w:pPr>
        <w:pStyle w:val="Odstavecseseznamem"/>
        <w:ind w:left="0"/>
        <w:jc w:val="both"/>
      </w:pPr>
    </w:p>
    <w:p w14:paraId="6F23A7E1" w14:textId="07581937" w:rsidR="007C62DC" w:rsidRDefault="00E00E29" w:rsidP="00EC4DAF">
      <w:pPr>
        <w:pStyle w:val="Odstavecseseznamem"/>
        <w:ind w:left="0"/>
        <w:jc w:val="both"/>
      </w:pPr>
      <w:r w:rsidRPr="00EF7EBA">
        <w:t xml:space="preserve">Metoda vyšetření mutací genu </w:t>
      </w:r>
      <w:r w:rsidRPr="005A59EC">
        <w:rPr>
          <w:i/>
          <w:iCs/>
        </w:rPr>
        <w:t>ATRX</w:t>
      </w:r>
      <w:r w:rsidRPr="00EF7EBA">
        <w:t xml:space="preserve"> se nejčastěji </w:t>
      </w:r>
      <w:r w:rsidRPr="008F1A44">
        <w:t>provádí na FFPE (formalin</w:t>
      </w:r>
      <w:r w:rsidRPr="00EF7EBA">
        <w:t xml:space="preserve"> fixed paraffin embedded) řezech pomocí imunohistochemie, která koreluje s expresí genu</w:t>
      </w:r>
      <w:r w:rsidRPr="00EF7EBA">
        <w:fldChar w:fldCharType="begin" w:fldLock="1"/>
      </w:r>
      <w:r w:rsidR="00D745ED">
        <w:instrText>ADDIN CSL_CITATION {"citationItems":[{"id":"ITEM-1","itemData":{"DOI":"10.1111/his.12927","ISSN":"13652559","PMID":"26741321","abstract":"Aims: We performed an immunohistochemical analysis of alpha-thalassaemia/mental retardation syndrome X-linked (ATRX) expression in adult diffuse gliomas, with reference to clinicopathological and genetic features, to determine the utility of this analysis in diagnostic practice. Methods and results: A total of 193 adult diffuse gliomas underwent immunohistochemical analysis. In areas in which internal controls, neurones, glia and blood vessels were properly stained, the ATRX immunoreactivity of tumour cells was either almost totally absent or completely retained in all cases. There was perfect concordance between the immunohistochemical results and ATRX mutation status, which was known in 19 cases. ATRX loss was observed in 54.5, 30.8 and 0.0% of grades II/III astrocytomas, oligoastrocytomas and oligodendrogliomas, respectively, and 12.7% of glioblastomas. In grades II/III gliomas, most ATRX-loss cases (92.3%) had IDH1/2 mutations. ATRX loss was associated significantly with TP53 mutation and p53 overexpression (P &lt; 0.001), but was never accompanied by 1p/19q co-deletion. IDH1/2 mutation in ATRX-loss tumours was less frequent in glioblastomas than in grades II/III gliomas (P &lt; 0.001). Further, there was no significant association between ATRX loss and p53 overexpression in glioblastomas. ATRX-loss glioblastomas affected younger patients (P &lt; 0.001) and occurred more frequently in locations other than the cerebral hemispheres (P = 0.006). Most grades II/III gliomas (93.3%) were categorized into three molecular subtypes based on the status of IDH1/2 mutation, ATRX immunohistochemistry and 1p/19q co-deletion. Conclusions: Distinct histological and molecular characteristics of adult diffuse gliomas with and without ATRX immunoreactivity indicate the utility of ATRX immunohistochemistry in diagnostic practice.","author":[{"dropping-particle":"","family":"Ikemura","given":"Masako","non-dropping-particle":"","parse-names":false,"suffix":""},{"dropping-particle":"","family":"Shibahara","given":"Junji","non-dropping-particle":"","parse-names":false,"suffix":""},{"dropping-particle":"","family":"Mukasa","given":"Akitake","non-dropping-particle":"","parse-names":false,"suffix":""},{"dropping-particle":"","family":"Takayanagi","given":"Shunsaku","non-dropping-particle":"","parse-names":false,"suffix":""},{"dropping-particle":"","family":"Aihara","given":"Koki","non-dropping-particle":"","parse-names":false,"suffix":""},{"dropping-particle":"","family":"Saito","given":"Nobuhito","non-dropping-particle":"","parse-names":false,"suffix":""},{"dropping-particle":"","family":"Aburatani","given":"Hiroyuki","non-dropping-particle":"","parse-names":false,"suffix":""},{"dropping-particle":"","family":"Fukayama","given":"Masashi","non-dropping-particle":"","parse-names":false,"suffix":""}],"container-title":"Histopathology","id":"ITEM-1","issue":"2","issued":{"date-parts":[["2016","8","1"]]},"page":"260-267","publisher":"Blackwell Publishing Ltd","title":"Utility of ATRX immunohistochemistry in diagnosis of adult diffuse gliomas","type":"article-journal","volume":"69"},"uris":["http://www.mendeley.com/documents/?uuid=f4faa203-0de8-36fa-9862-1a29d9c41c8a"]}],"mendeley":{"formattedCitation":"&lt;sup&gt;130&lt;/sup&gt;","plainTextFormattedCitation":"130","previouslyFormattedCitation":"&lt;sup&gt;130&lt;/sup&gt;"},"properties":{"noteIndex":0},"schema":"https://github.com/citation-style-language/schema/raw/master/csl-citation.json"}</w:instrText>
      </w:r>
      <w:r w:rsidRPr="00EF7EBA">
        <w:fldChar w:fldCharType="separate"/>
      </w:r>
      <w:r w:rsidR="00A47FB6" w:rsidRPr="00A47FB6">
        <w:rPr>
          <w:noProof/>
          <w:vertAlign w:val="superscript"/>
        </w:rPr>
        <w:t>130</w:t>
      </w:r>
      <w:r w:rsidRPr="00EF7EBA">
        <w:fldChar w:fldCharType="end"/>
      </w:r>
      <w:r w:rsidRPr="00EF7EBA">
        <w:t xml:space="preserve">. Tato metoda je nejčastěji využívána v klinické praxi. Další zvažovanou metodou může být sekvenace, avšak vzhledem k tomu, že se jedná o velký gen, jeho detekce je obtížná a nákladnější v porovnání s imunohistochemií. </w:t>
      </w:r>
    </w:p>
    <w:p w14:paraId="12AEFFE3" w14:textId="77777777" w:rsidR="00997A53" w:rsidRDefault="00997A53" w:rsidP="00EC4DAF">
      <w:pPr>
        <w:pStyle w:val="Odstavecseseznamem"/>
        <w:ind w:left="0"/>
        <w:jc w:val="both"/>
      </w:pPr>
    </w:p>
    <w:p w14:paraId="35EE0F01" w14:textId="7EF9C66C" w:rsidR="004942D9" w:rsidRDefault="004942D9" w:rsidP="00A92FFD">
      <w:pPr>
        <w:pStyle w:val="Nadpis4"/>
      </w:pPr>
      <w:bookmarkStart w:id="49" w:name="_Toc88741474"/>
      <w:r>
        <w:t xml:space="preserve">Mutace genu </w:t>
      </w:r>
      <w:r w:rsidR="00A344B6" w:rsidRPr="00A344B6">
        <w:rPr>
          <w:i/>
        </w:rPr>
        <w:t>TP</w:t>
      </w:r>
      <w:r w:rsidRPr="00A344B6">
        <w:rPr>
          <w:i/>
        </w:rPr>
        <w:t>53</w:t>
      </w:r>
      <w:bookmarkEnd w:id="49"/>
    </w:p>
    <w:p w14:paraId="55761EC2" w14:textId="33AACBFA" w:rsidR="00504475" w:rsidRDefault="004942D9" w:rsidP="00EC4DAF">
      <w:pPr>
        <w:pStyle w:val="Odstavecseseznamem"/>
        <w:ind w:left="0"/>
        <w:jc w:val="both"/>
      </w:pPr>
      <w:r>
        <w:t>P53 je jedním z nejlépe prozkoumaných tumor supresorů</w:t>
      </w:r>
      <w:r w:rsidR="00163704">
        <w:t>, hraje důležitou roli v buněčné homeostáz</w:t>
      </w:r>
      <w:r w:rsidR="005A59EC">
        <w:t>e</w:t>
      </w:r>
      <w:r>
        <w:t xml:space="preserve"> a </w:t>
      </w:r>
      <w:r w:rsidR="00C94685">
        <w:t>jeho aberace jsou pozorovány napříč všemi typy karcinomů</w:t>
      </w:r>
      <w:r w:rsidR="008D40E8">
        <w:t xml:space="preserve"> včetně gliálních</w:t>
      </w:r>
      <w:r w:rsidR="00C94685">
        <w:t>.  Gen pro p53 je lokalizovaná v oblasti 17p13.1</w:t>
      </w:r>
      <w:r w:rsidR="00944687">
        <w:t xml:space="preserve"> </w:t>
      </w:r>
      <w:r w:rsidR="00C94685">
        <w:t>a je označován za tzv. strážce genomu, který</w:t>
      </w:r>
      <w:r w:rsidR="000825D1">
        <w:t xml:space="preserve"> jakožto transkripční faktor reguluje geny zapojené do</w:t>
      </w:r>
      <w:r w:rsidR="00C94685">
        <w:t xml:space="preserve"> </w:t>
      </w:r>
      <w:r w:rsidR="009B21CB">
        <w:t>buněčného cyklu, apoptózy, diferenciace a odpovědi na poškození DNA</w:t>
      </w:r>
      <w:r w:rsidR="008D40E8">
        <w:fldChar w:fldCharType="begin" w:fldLock="1"/>
      </w:r>
      <w:r w:rsidR="00D745ED">
        <w:instrText>ADDIN CSL_CITATION {"citationItems":[{"id":"ITEM-1","itemData":{"DOI":"10.1016/j.cell.2009.04.037","ISSN":"00928674","PMID":"19410540","abstract":"While the tumor suppressor functions of p53 have long been recognized, the contribution of p53 to numerous other aspects of disease and normal life is only now being appreciated. This burgeoning range of responses to p53 is reflected by an increasing variety of mechanisms through which p53 can function, although the ability to activate transcription remains key to p53's modus operandi. Control of p53's transcriptional activity is crucial for determining which p53 response is activated, a decision we must understand if we are to exploit efficiently the next generation of drugs that selectively activate or inhibit p53. © 2009 Elsevier Inc. All rights reserved.","author":[{"dropping-particle":"","family":"Vousden","given":"Karen H.","non-dropping-particle":"","parse-names":false,"suffix":""},{"dropping-particle":"","family":"Prives","given":"Carol","non-dropping-particle":"","parse-names":false,"suffix":""}],"container-title":"Cell","id":"ITEM-1","issue":"3","issued":{"date-parts":[["2009","5","1"]]},"page":"413-431","publisher":"Cell","title":"Blinded by the Light: The Growing Complexity of p53","type":"article","volume":"137"},"uris":["http://www.mendeley.com/documents/?uuid=43a0dc1f-8e95-3469-8d87-fc991714550a"]}],"mendeley":{"formattedCitation":"&lt;sup&gt;131&lt;/sup&gt;","plainTextFormattedCitation":"131","previouslyFormattedCitation":"&lt;sup&gt;131&lt;/sup&gt;"},"properties":{"noteIndex":0},"schema":"https://github.com/citation-style-language/schema/raw/master/csl-citation.json"}</w:instrText>
      </w:r>
      <w:r w:rsidR="008D40E8">
        <w:fldChar w:fldCharType="separate"/>
      </w:r>
      <w:r w:rsidR="00A47FB6" w:rsidRPr="00A47FB6">
        <w:rPr>
          <w:noProof/>
          <w:vertAlign w:val="superscript"/>
        </w:rPr>
        <w:t>131</w:t>
      </w:r>
      <w:r w:rsidR="008D40E8">
        <w:fldChar w:fldCharType="end"/>
      </w:r>
      <w:r w:rsidR="00C94685">
        <w:t xml:space="preserve">. </w:t>
      </w:r>
      <w:r w:rsidR="0091508F">
        <w:t xml:space="preserve">U gliálních nádorů jsou popsány delece </w:t>
      </w:r>
      <w:r w:rsidR="005A59EC" w:rsidRPr="005A59EC">
        <w:rPr>
          <w:i/>
          <w:iCs/>
        </w:rPr>
        <w:t>TP</w:t>
      </w:r>
      <w:r w:rsidR="0091508F" w:rsidRPr="005A59EC">
        <w:rPr>
          <w:i/>
          <w:iCs/>
        </w:rPr>
        <w:t>53</w:t>
      </w:r>
      <w:r w:rsidR="0091508F">
        <w:t>, avšak ve většině případů dochází k </w:t>
      </w:r>
      <w:r w:rsidR="0091508F" w:rsidRPr="008F1A44">
        <w:t xml:space="preserve">modulaci dráhy pomocí jejích upstreamových a downstreamových regulátorů jako jsou </w:t>
      </w:r>
      <w:r w:rsidR="009B21CB" w:rsidRPr="008F1A44">
        <w:t xml:space="preserve">například </w:t>
      </w:r>
      <w:r w:rsidR="0091508F" w:rsidRPr="008F1A44">
        <w:t>MDM2 (</w:t>
      </w:r>
      <w:r w:rsidR="001E77FF">
        <w:t>M</w:t>
      </w:r>
      <w:r w:rsidR="0091508F" w:rsidRPr="008F1A44">
        <w:t xml:space="preserve">ouse </w:t>
      </w:r>
      <w:r w:rsidR="001E77FF">
        <w:t>Double Minute 2 Homolog), ATM (Ataxia Telangiectasia Mutated) a ATR (A</w:t>
      </w:r>
      <w:r w:rsidR="0091508F" w:rsidRPr="008F1A44">
        <w:t>ta</w:t>
      </w:r>
      <w:r w:rsidR="001E77FF">
        <w:t>xia Telangiectasia M</w:t>
      </w:r>
      <w:r w:rsidR="0091508F" w:rsidRPr="008F1A44">
        <w:t>utated)</w:t>
      </w:r>
      <w:r w:rsidR="009B21CB" w:rsidRPr="008F1A44">
        <w:t>.</w:t>
      </w:r>
      <w:r w:rsidR="009B21CB">
        <w:t xml:space="preserve"> </w:t>
      </w:r>
    </w:p>
    <w:p w14:paraId="64616686" w14:textId="77777777" w:rsidR="00504475" w:rsidRDefault="00504475" w:rsidP="00EC4DAF">
      <w:pPr>
        <w:pStyle w:val="Odstavecseseznamem"/>
        <w:ind w:left="0"/>
        <w:jc w:val="both"/>
      </w:pPr>
    </w:p>
    <w:p w14:paraId="5B4DB8ED" w14:textId="033DC078" w:rsidR="004942D9" w:rsidRDefault="009B21CB" w:rsidP="00EC4DAF">
      <w:pPr>
        <w:pStyle w:val="Odstavecseseznamem"/>
        <w:ind w:left="0"/>
        <w:jc w:val="both"/>
      </w:pPr>
      <w:r>
        <w:t>Okolo 78</w:t>
      </w:r>
      <w:r w:rsidR="000825D1">
        <w:t xml:space="preserve"> </w:t>
      </w:r>
      <w:r>
        <w:t>% glioblastomů vykazuje mutaci právě někde v této dráze a zdá se, že právě tato dráha je</w:t>
      </w:r>
      <w:r w:rsidR="004E5D32">
        <w:t xml:space="preserve"> </w:t>
      </w:r>
      <w:r>
        <w:t>zodpovědná za progresi nádoru do vyšších gradů</w:t>
      </w:r>
      <w:r w:rsidR="008D40E8">
        <w:fldChar w:fldCharType="begin" w:fldLock="1"/>
      </w:r>
      <w:r w:rsidR="00D745ED">
        <w:instrText>ADDIN CSL_CITATION {"citationItems":[{"id":"ITEM-1","itemData":{"DOI":"10.1038/nature07385","ISSN":"00280836","PMID":"18772890","abstract":"Human cancer cells typically harbour multiple chromosomal aberrations, nucleotide substitutions and epigenetic modifications that drive malignant transformation. The Cancer Genome Atlas (TCGA) pilot project aims to assess the value of large-scale multi-dimensional analysis of these molecular characteristics in human cancer and to provide the data rapidly to the research community. Here we report the interim integrative analysis of DNA copy number, gene expression and DNA methylation aberrations in 206 glioblastomas - the most common type of adult brain cancer - and nucleotide sequence aberrations in 91 of the 206 glioblastomas. This analysis provides new insights into the roles of ERBB2, NF1 and TP53, uncovers frequent mutations of the phosphatidylinositol-3- OH kinase regulatory subunit gene PIK3R1, and provides a network view of the pathways altered in the development of glioblastoma. Furthermore, integration of mutation, DNA methylation and clinical treatment data reveals a link between MGMT promoter methylation and a hypermutator phenotype consequent to mismatch repair deficiency in treated glioblastomas, an observation with potential clinical implications. Together, these findings establish the feasibility and power of TCGA, demonstrating that it can rapidly expand knowledge of the molecular basis of cancer. ©2008 Macmillan Publishers Limited. All rights reserved.","author":[{"dropping-particle":"","family":"McLendon","given":"Roger","non-dropping-particle":"","parse-names":false,"suffix":""},{"dropping-particle":"","family":"Friedman","given":"Allan","non-dropping-particle":"","parse-names":false,"suffix":""},{"dropping-particle":"","family":"Bigner","given":"Darrell","non-dropping-particle":"","parse-names":false,"suffix":""},{"dropping-particle":"","family":"Meir","given":"Erwin G.","non-dropping-particle":"Van","parse-names":false,"suffix":""},{"dropping-particle":"","family":"Brat","given":"Daniel J.","non-dropping-particle":"","parse-names":false,"suffix":""},{"dropping-particle":"","family":"Mastrogianakis","given":"Gena M.","non-dropping-particle":"","parse-names":false,"suffix":""},{"dropping-particle":"","family":"Olson","given":"Jeffrey J.","non-dropping-particle":"","parse-names":false,"suffix":""},{"dropping-particle":"","family":"Mikkelsen","given":"Tom","non-dropping-particle":"","parse-names":false,"suffix":""},{"dropping-particle":"","family":"Lehman","given":"Norman","non-dropping-particle":"","parse-names":false,"suffix":""},{"dropping-particle":"","family":"Aldape","given":"Ken","non-dropping-particle":"","parse-names":false,"suffix":""},{"dropping-particle":"","family":"Yung","given":"W. K.Alfred","non-dropping-particle":"","parse-names":false,"suffix":""},{"dropping-particle":"","family":"Bogler","given":"Oliver","non-dropping-particle":"","parse-names":false,"suffix":""},{"dropping-particle":"","family":"Weinstein","given":"John N.","non-dropping-particle":"","parse-names":false,"suffix":""},{"dropping-particle":"","family":"VandenBerg","given":"Scott","non-dropping-particle":"","parse-names":false,"suffix":""},{"dropping-particle":"","family":"Berger","given":"Mitchel","non-dropping-particle":"","parse-names":false,"suffix":""},{"dropping-particle":"","family":"Prados","given":"Michael","non-dropping-particle":"","parse-names":false,"suffix":""},{"dropping-particle":"","family":"Muzny","given":"Donna","non-dropping-particle":"","parse-names":false,"suffix":""},{"dropping-particle":"","family":"Morgan","given":"Margaret","non-dropping-particle":"","parse-names":false,"suffix":""},{"dropping-particle":"","family":"Scherer","given":"Steve","non-dropping-particle":"","parse-names":false,"suffix":""},{"dropping-particle":"","family":"Sabo","given":"Aniko","non-dropping-particle":"","parse-names":false,"suffix":""},{"dropping-particle":"","family":"Nazareth","given":"Lynn","non-dropping-particle":"","parse-names":false,"suffix":""},{"dropping-particle":"","family":"Lewis","given":"Lora","non-dropping-particle":"","parse-names":false,"suffix":""},{"dropping-particle":"","family":"Hall","given":"Otis","non-dropping-particle":"","parse-names":false,"suffix":""},{"dropping-particle":"","family":"Zhu","given":"Yiming","non-dropping-particle":"","parse-names":false,"suffix":""},{"dropping-particle":"","family":"Ren","given":"Yanru","non-dropping-particle":"","parse-names":false,"suffix":""},{"dropping-particle":"","family":"Alvi","given":"Omar","non-dropping-particle":"","parse-names":false,"suffix":""},{"dropping-particle":"","family":"Yao","given":"Jiqiang","non-dropping-particle":"","parse-names":false,"suffix":""},{"dropping-particle":"","family":"Hawes","given":"Alicia","non-dropping-particle":"","parse-names":false,"suffix":""},{"dropping-particle":"","family":"Jhangiani","given":"Shalini","non-dropping-particle":"","parse-names":false,"suffix":""},{"dropping-particle":"","family":"Fowler","given":"Gerald","non-dropping-particle":"","parse-names":false,"suffix":""},{"dropping-particle":"","family":"San Lucas","given":"Anthony","non-dropping-particle":"","parse-names":false,"suffix":""},{"dropping-particle":"","family":"Kovar","given":"Christie","non-dropping-particle":"","parse-names":false,"suffix":""},{"dropping-particle":"","family":"Cree","given":"Andrew","non-dropping-particle":"","parse-names":false,"suffix":""},{"dropping-particle":"","family":"Dinh","given":"Huyen","non-dropping-particle":"","parse-names":false,"suffix":""},{"dropping-particle":"","family":"Santibanez","given":"Jireh","non-dropping-particle":"","parse-names":false,"suffix":""},{"dropping-particle":"","family":"Joshi","given":"Vandita","non-dropping-particle":"","parse-names":false,"suffix":""},{"dropping-particle":"","family":"Gonzalez-Garay","given":"Manuel L.","non-dropping-particle":"","parse-names":false,"suffix":""},{"dropping-particle":"","family":"Miller","given":"Christopher A.","non-dropping-particle":"","parse-names":false,"suffix":""},{"dropping-particle":"","family":"Milosavljevic","given":"Aleksandar","non-dropping-particle":"","parse-names":false,"suffix":""},{"dropping-particle":"","family":"Donehower","given":"Larry","non-dropping-particle":"","parse-names":false,"suffix":""},{"dropping-particle":"","family":"Wheeler","given":"David A.","non-dropping-particle":"","parse-names":false,"suffix":""},{"dropping-particle":"","family":"Gibbs","given":"Richard A.","non-dropping-particle":"","parse-names":false,"suffix":""},{"dropping-particle":"","family":"Cibulskis","given":"Kristian","non-dropping-particle":"","parse-names":false,"suffix":""},{"dropping-particle":"","family":"Sougnez","given":"Carrie","non-dropping-particle":"","parse-names":false,"suffix":""},{"dropping-particle":"","family":"Fennell","given":"Tim","non-dropping-particle":"","parse-names":false,"suffix":""},{"dropping-particle":"","family":"Mahan","given":"Scott","non-dropping-particle":"","parse-names":false,"suffix":""},{"dropping-particle":"","family":"Wilkinson","given":"Jane","non-dropping-particle":"","parse-names":false,"suffix":""},{"dropping-particle":"","family":"Ziaugra","given":"Liuda","non-dropping-particle":"","parse-names":false,"suffix":""},{"dropping-particle":"","family":"Onofrio","given":"Robert","non-dropping-particle":"","parse-names":false,"suffix":""},{"dropping-particle":"","family":"Bloom","given":"Toby","non-dropping-particle":"","parse-names":false,"suffix":""},{"dropping-particle":"","family":"Nicol","given":"Rob","non-dropping-particle":"","parse-names":false,"suffix":""},{"dropping-particle":"","family":"Ardlie","given":"Kristin","non-dropping-particle":"","parse-names":false,"suffix":""},{"dropping-particle":"","family":"Baldwin","given":"Jennifer","non-dropping-particle":"","parse-names":false,"suffix":""},{"dropping-particle":"","family":"Gabriel","given":"Stacey","non-dropping-particle":"","parse-names":false,"suffix":""},{"dropping-particle":"","family":"Lander","given":"Eric S.","non-dropping-particle":"","parse-names":false,"suffix":""},{"dropping-particle":"","family":"Ding","given":"Li","non-dropping-particle":"","parse-names":false,"suffix":""},{"dropping-particle":"","family":"Fulton","given":"Robert S.","non-dropping-particle":"","parse-names":false,"suffix":""},{"dropping-particle":"","family":"McLellan","given":"Michael D.","non-dropping-particle":"","parse-names":false,"suffix":""},{"dropping-particle":"","family":"Wallis","given":"John","non-dropping-particle":"","parse-names":false,"suffix":""},{"dropping-particle":"","family":"Larson","given":"David E.","non-dropping-particle":"","parse-names":false,"suffix":""},{"dropping-particle":"","family":"Shi","given":"Xiaoqi","non-dropping-particle":"","parse-names":false,"suffix":""},{"dropping-particle":"","family":"Abbott","given":"Rachel","non-dropping-particle":"","parse-names":false,"suffix":""},{"dropping-particle":"","family":"Fulton","given":"Lucinda","non-dropping-particle":"","parse-names":false,"suffix":""},{"dropping-particle":"","family":"Chen","given":"Ken","non-dropping-particle":"","parse-names":false,"suffix":""},{"dropping-particle":"","family":"Koboldt","given":"Daniel C.","non-dropping-particle":"","parse-names":false,"suffix":""},{"dropping-particle":"","family":"Wendl","given":"Michael C.","non-dropping-particle":"","parse-names":false,"suffix":""},{"dropping-particle":"","family":"Meyer","given":"Rick","non-dropping-particle":"","parse-names":false,"suffix":""},{"dropping-particle":"","family":"Tang","given":"Yuzhu","non-dropping-particle":"","parse-names":false,"suffix":""},{"dropping-particle":"","family":"Lin","given":"Ling","non-dropping-particle":"","parse-names":false,"suffix":""},{"dropping-particle":"","family":"Osborne","given":"John R.","non-dropping-particle":"","parse-names":false,"suffix":""},{"dropping-particle":"","family":"Dunford-Shore","given":"Brian H.","non-dropping-particle":"","parse-names":false,"suffix":""},{"dropping-particle":"","family":"Miner","given":"Tracie L.","non-dropping-particle":"","parse-names":false,"suffix":""},{"dropping-particle":"","family":"Delehaunty","given":"Kim","non-dropping-particle":"","parse-names":false,"suffix":""},{"dropping-particle":"","family":"Markovic","given":"Chris","non-dropping-particle":"","parse-names":false,"suffix":""},{"dropping-particle":"","family":"Swift","given":"Gary","non-dropping-particle":"","parse-names":false,"suffix":""},{"dropping-particle":"","family":"Courtney","given":"William","non-dropping-particle":"","parse-names":false,"suffix":""},{"dropping-particle":"","family":"Pohl","given":"Craig","non-dropping-particle":"","parse-names":false,"suffix":""},{"dropping-particle":"","family":"Abbott","given":"Scott","non-dropping-particle":"","parse-names":false,"suffix":""},{"dropping-particle":"","family":"Hawkins","given":"Amy","non-dropping-particle":"","parse-names":false,"suffix":""},{"dropping-particle":"","family":"Leong","given":"Shin","non-dropping-particle":"","parse-names":false,"suffix":""},{"dropping-particle":"","family":"Haipek","given":"Carrie","non-dropping-particle":"","parse-names":false,"suffix":""},{"dropping-particle":"","family":"Schmidt","given":"Heather","non-dropping-particle":"","parse-names":false,"suffix":""},{"dropping-particle":"","family":"Wiechert","given":"Maddy","non-dropping-particle":"","parse-names":false,"suffix":""},{"dropping-particle":"","family":"Vickery","given":"Tammi","non-dropping-particle":"","parse-names":false,"suffix":""},{"dropping-particle":"","family":"Scott","given":"Sacha","non-dropping-particle":"","parse-names":false,"suffix":""},{"dropping-particle":"","family":"Dooling","given":"David J.","non-dropping-particle":"","parse-names":false,"suffix":""},{"dropping-particle":"","family":"Chinwalla","given":"Asif","non-dropping-particle":"","parse-names":false,"suffix":""},{"dropping-particle":"","family":"Weinstock","given":"George M.","non-dropping-particle":"","parse-names":false,"suffix":""},{"dropping-particle":"","family":"Mardis","given":"Elaine R.","non-dropping-particle":"","parse-names":false,"suffix":""},{"dropping-particle":"","family":"Wilson","given":"Richard K.","non-dropping-particle":"","parse-names":false,"suffix":""},{"dropping-particle":"","family":"Getz","given":"Gad","non-dropping-particle":"","parse-names":false,"suffix":""},{"dropping-particle":"","family":"Winckler","given":"Wendy","non-dropping-particle":"","parse-names":false,"suffix":""},{"dropping-particle":"","family":"Verhaak","given":"Roel G.W.","non-dropping-particle":"","parse-names":false,"suffix":""},{"dropping-particle":"","family":"Lawrence","given":"Michael S.","non-dropping-particle":"","parse-names":false,"suffix":""},{"dropping-particle":"","family":"O'Kelly","given":"Michael","non-dropping-particle":"","parse-names":false,"suffix":""},{"dropping-particle":"","family":"Robinson","given":"Jim","non-dropping-particle":"","parse-names":false,"suffix":""},{"dropping-particle":"","family":"Alexe","given":"Gabriele","non-dropping-particle":"","parse-names":false,"suffix":""},{"dropping-particle":"","family":"Beroukhim","given":"Rameen","non-dropping-particle":"","parse-names":false,"suffix":""},{"dropping-particle":"","family":"Carter","given":"Scott","non-dropping-particle":"","parse-names":false,"suffix":""},{"dropping-particle":"","family":"Chiang","given":"Derek","non-dropping-particle":"","parse-names":false,"suffix":""},{"dropping-particle":"","family":"Gould","given":"Josh","non-dropping-particle":"","parse-names":false,"suffix":""},{"dropping-particle":"","family":"Gupta","given":"Supriya","non-dropping-particle":"","parse-names":false,"suffix":""},{"dropping-particle":"","family":"Korn","given":"Josh","non-dropping-particle":"","parse-names":false,"suffix":""},{"dropping-particle":"","family":"Mermel","given":"Craig","non-dropping-particle":"","parse-names":false,"suffix":""},{"dropping-particle":"","family":"Mesirov","given":"Jill","non-dropping-particle":"","parse-names":false,"suffix":""},{"dropping-particle":"","family":"Monti","given":"Stefano","non-dropping-particle":"","parse-names":false,"suffix":""},{"dropping-particle":"","family":"Nguyen","given":"Huy","non-dropping-particle":"","parse-names":false,"suffix":""},{"dropping-particle":"","family":"Parkin","given":"Melissa","non-dropping-particle":"","parse-names":false,"suffix":""},{"dropping-particle":"","family":"Reich","given":"Michael","non-dropping-particle":"","parse-names":false,"suffix":""},{"dropping-particle":"","family":"Stransky","given":"Nicolas","non-dropping-particle":"","parse-names":false,"suffix":""},{"dropping-particle":"","family":"Weir","given":"Barbara A.","non-dropping-particle":"","parse-names":false,"suffix":""},{"dropping-particle":"","family":"Garraway","given":"Levi","non-dropping-particle":"","parse-names":false,"suffix":""},{"dropping-particle":"","family":"Golub","given":"Todd","non-dropping-particle":"","parse-names":false,"suffix":""},{"dropping-particle":"","family":"Meyerson","given":"Matthew","non-dropping-particle":"","parse-names":false,"suffix":""},{"dropping-particle":"","family":"Chin","given":"Lynda","non-dropping-particle":"","parse-names":false,"suffix":""},{"dropping-particle":"","family":"Protopopov","given":"Alexei","non-dropping-particle":"","parse-names":false,"suffix":""},{"dropping-particle":"","family":"Zhang","given":"Jianhua","non-dropping-particle":"","parse-names":false,"suffix":""},{"dropping-particle":"","family":"Perna","given":"Ilana","non-dropping-particle":"","parse-names":false,"suffix":""},{"dropping-particle":"","family":"Aronson","given":"Sandy","non-dropping-particle":"","parse-names":false,"suffix":""},{"dropping-particle":"","family":"Sathiamoorthy","given":"Narayanan","non-dropping-particle":"","parse-names":false,"suffix":""},{"dropping-particle":"","family":"Ren","given":"Georgia","non-dropping-particle":"","parse-names":false,"suffix":""},{"dropping-particle":"","family":"Yao","given":"Jun","non-dropping-particle":"","parse-names":false,"suffix":""},{"dropping-particle":"","family":"Wiedemeyer","given":"W. Ruprecht","non-dropping-particle":"","parse-names":false,"suffix":""},{"dropping-particle":"","family":"Kim","given":"Hyunsoo","non-dropping-particle":"","parse-names":false,"suffix":""},{"dropping-particle":"","family":"Sek","given":"Won Kong","non-dropping-particle":"","parse-names":false,"suffix":""},{"dropping-particle":"","family":"Xiao","given":"Yonghong","non-dropping-particle":"","parse-names":false,"suffix":""},{"dropping-particle":"","family":"Kohane","given":"Isaac S.","non-dropping-particle":"","parse-names":false,"suffix":""},{"dropping-particle":"","family":"Seidman","given":"Jon","non-dropping-particle":"","parse-names":false,"suffix":""},{"dropping-particle":"","family":"Park","given":"Peter J.","non-dropping-particle":"","parse-names":false,"suffix":""},{"dropping-particle":"","family":"Kucherlapati","given":"Raju","non-dropping-particle":"","parse-names":false,"suffix":""},{"dropping-particle":"","family":"Laird","given":"Peter W.","non-dropping-particle":"","parse-names":false,"suffix":""},{"dropping-particle":"","family":"Cope","given":"Leslie","non-dropping-particle":"","parse-names":false,"suffix":""},{"dropping-particle":"","family":"Herman","given":"James G.","non-dropping-particle":"","parse-names":false,"suffix":""},{"dropping-particle":"","family":"Weisenberger","given":"Daniel J.","non-dropping-particle":"","parse-names":false,"suffix":""},{"dropping-particle":"","family":"Pan","given":"Fei","non-dropping-particle":"","parse-names":false,"suffix":""},{"dropping-particle":"","family":"Berg","given":"David","non-dropping-particle":"Van Den","parse-names":false,"suffix":""},{"dropping-particle":"","family":"Neste","given":"Leander","non-dropping-particle":"Van","parse-names":false,"suffix":""},{"dropping-particle":"","family":"Joo","given":"Mi Yi","non-dropping-particle":"","parse-names":false,"suffix":""},{"dropping-particle":"","family":"Schuebel","given":"Kornel E.","non-dropping-particle":"","parse-names":false,"suffix":""},{"dropping-particle":"","family":"Baylin","given":"Stephen B.","non-dropping-particle":"","parse-names":false,"suffix":""},{"dropping-particle":"","family":"Absher","given":"Devin M.","non-dropping-particle":"","parse-names":false,"suffix":""},{"dropping-particle":"","family":"Li","given":"Jun Z.","non-dropping-particle":"","parse-names":false,"suffix":""},{"dropping-particle":"","family":"Southwick","given":"Audrey","non-dropping-particle":"","parse-names":false,"suffix":""},{"dropping-particle":"","family":"Brady","given":"Shannon","non-dropping-particle":"","parse-names":false,"suffix":""},{"dropping-particle":"","family":"Aggarwal","given":"Amita","non-dropping-particle":"","parse-names":false,"suffix":""},{"dropping-particle":"","family":"Chung","given":"Tisha","non-dropping-particle":"","parse-names":false,"suffix":""},{"dropping-particle":"","family":"Sherlock","given":"Gavin","non-dropping-particle":"","parse-names":false,"suffix":""},{"dropping-particle":"","family":"Brooks","given":"James D.","non-dropping-particle":"","parse-names":false,"suffix":""},{"dropping-particle":"","family":"Myers","given":"Richard M.","non-dropping-particle":"","parse-names":false,"suffix":""},{"dropping-particle":"","family":"Spellman","given":"Paul T.","non-dropping-particle":"","parse-names":false,"suffix":""},{"dropping-particle":"","family":"Purdom","given":"Elizabeth","non-dropping-particle":"","parse-names":false,"suffix":""},{"dropping-particle":"","family":"Jakkula","given":"Lakshmi R.","non-dropping-particle":"","parse-names":false,"suffix":""},{"dropping-particle":"V.","family":"Lapuk","given":"Anna","non-dropping-particle":"","parse-names":false,"suffix":""},{"dropping-particle":"","family":"Marr","given":"Henry","non-dropping-particle":"","parse-names":false,"suffix":""},{"dropping-particle":"","family":"Dorton","given":"Shannon","non-dropping-particle":"","parse-names":false,"suffix":""},{"dropping-particle":"","family":"Yoon","given":"Gi Choi","non-dropping-particle":"","parse-names":false,"suffix":""},{"dropping-particle":"","family":"Han","given":"Ju","non-dropping-particle":"","parse-names":false,"suffix":""},{"dropping-particle":"","family":"Ray","given":"Amrita","non-dropping-particle":"","parse-names":false,"suffix":""},{"dropping-particle":"","family":"Wang","given":"Victoria","non-dropping-particle":"","parse-names":false,"suffix":""},{"dropping-particle":"","family":"Durinck","given":"Steffen","non-dropping-particle":"","parse-names":false,"suffix":""},{"dropping-particle":"","family":"Robinson","given":"Mark","non-dropping-particle":"","parse-names":false,"suffix":""},{"dropping-particle":"","family":"Wang","given":"Nicholas J.","non-dropping-particle":"","parse-names":false,"suffix":""},{"dropping-particle":"","family":"Vranizan","given":"Karen","non-dropping-particle":"","parse-names":false,"suffix":""},{"dropping-particle":"","family":"Peng","given":"Vivian","non-dropping-particle":"","parse-names":false,"suffix":""},{"dropping-particle":"","family":"Name","given":"Eric","non-dropping-particle":"Van","parse-names":false,"suffix":""},{"dropping-particle":"V.","family":"Fontenay","given":"Gerald","non-dropping-particle":"","parse-names":false,"suffix":""},{"dropping-particle":"","family":"Ngai","given":"John","non-dropping-particle":"","parse-names":false,"suffix":""},{"dropping-particle":"","family":"Conboy","given":"John G.","non-dropping-particle":"","parse-names":false,"suffix":""},{"dropping-particle":"","family":"Parvin","given":"Bahram","non-dropping-particle":"","parse-names":false,"suffix":""},{"dropping-particle":"","family":"Feiler","given":"Heidi S.","non-dropping-particle":"","parse-names":false,"suffix":""},{"dropping-particle":"","family":"Speed","given":"Terence P.","non-dropping-particle":"","parse-names":false,"suffix":""},{"dropping-particle":"","family":"Gray","given":"Joe W.","non-dropping-particle":"","parse-names":false,"suffix":""},{"dropping-particle":"","family":"Brennan","given":"Cameron","non-dropping-particle":"","parse-names":false,"suffix":""},{"dropping-particle":"","family":"Socci","given":"Nicholas D.","non-dropping-particle":"","parse-names":false,"suffix":""},{"dropping-particle":"","family":"Olshen","given":"Adam","non-dropping-particle":"","parse-names":false,"suffix":""},{"dropping-particle":"","family":"Taylor","given":"Barry S.","non-dropping-particle":"","parse-names":false,"suffix":""},{"dropping-particle":"","family":"Lash","given":"Alex","non-dropping-particle":"","parse-names":false,"suffix":""},{"dropping-particle":"","family":"Schultz","given":"Nikolaus","non-dropping-particle":"","parse-names":false,"suffix":""},{"dropping-particle":"","family":"Reva","given":"Boris","non-dropping-particle":"","parse-names":false,"suffix":""},{"dropping-particle":"","family":"Antipin","given":"Yevgeniy","non-dropping-particle":"","parse-names":false,"suffix":""},{"dropping-particle":"","family":"Stukalov","given":"Alexey","non-dropping-particle":"","parse-names":false,"suffix":""},{"dropping-particle":"","family":"Gross","given":"Benjamin","non-dropping-particle":"","parse-names":false,"suffix":""},{"dropping-particle":"","family":"Cerami","given":"Ethan","non-dropping-particle":"","parse-names":false,"suffix":""},{"dropping-particle":"","family":"Wei","given":"Qing Wang","non-dropping-particle":"","parse-names":false,"suffix":""},{"dropping-particle":"","family":"Qin","given":"Li Xuan","non-dropping-particle":"","parse-names":false,"suffix":""},{"dropping-particle":"","family":"Seshan","given":"Venkatraman E.","non-dropping-particle":"","parse-names":false,"suffix":""},{"dropping-particle":"","family":"Villafania","given":"Liliana","non-dropping-particle":"","parse-names":false,"suffix":""},{"dropping-particle":"","family":"Cavatore","given":"Magali","non-dropping-particle":"","parse-names":false,"suffix":""},{"dropping-particle":"","family":"Borsu","given":"Laetitia","non-dropping-particle":"","parse-names":false,"suffix":""},{"dropping-particle":"","family":"Viale","given":"Agnes","non-dropping-particle":"","parse-names":false,"suffix":""},{"dropping-particle":"","family":"Gerald","given":"William","non-dropping-particle":"","parse-names":false,"suffix":""},{"dropping-particle":"","family":"Sander","given":"Chris","non-dropping-particle":"","parse-names":false,"suffix":""},{"dropping-particle":"","family":"Ladanyi","given":"Marc","non-dropping-particle":"","parse-names":false,"suffix":""},{"dropping-particle":"","family":"Perou","given":"Charles M.","non-dropping-particle":"","parse-names":false,"suffix":""},{"dropping-particle":"","family":"Hayes","given":"D. Neil","non-dropping-particle":"","parse-names":false,"suffix":""},{"dropping-particle":"","family":"Topal","given":"Michael D.","non-dropping-particle":"","parse-names":false,"suffix":""},{"dropping-particle":"","family":"Hoadley","given":"Katherine A.","non-dropping-particle":"","parse-names":false,"suffix":""},{"dropping-particle":"","family":"Qi","given":"Yuan","non-dropping-particle":"","parse-names":false,"suffix":""},{"dropping-particle":"","family":"Balu","given":"Sai","non-dropping-particle":"","parse-names":false,"suffix":""},{"dropping-particle":"","family":"Shi","given":"Yan","non-dropping-particle":"","parse-names":false,"suffix":""},{"dropping-particle":"","family":"Wu","given":"Junyuan","non-dropping-particle":"","parse-names":false,"suffix":""},{"dropping-particle":"","family":"Penny","given":"Robert","non-dropping-particle":"","parse-names":false,"suffix":""},{"dropping-particle":"","family":"Bittner","given":"Michael","non-dropping-particle":"","parse-names":false,"suffix":""},{"dropping-particle":"","family":"Shelton","given":"Troy","non-dropping-particle":"","parse-names":false,"suffix":""},{"dropping-particle":"","family":"Lenkiewicz","given":"Elizabeth","non-dropping-particle":"","parse-names":false,"suffix":""},{"dropping-particle":"","family":"Morris","given":"Scott","non-dropping-particle":"","parse-names":false,"suffix":""},{"dropping-particle":"","family":"Beasley","given":"Debbie","non-dropping-particle":"","parse-names":false,"suffix":""},{"dropping-particle":"","family":"Sanders","given":"Sheri","non-dropping-particle":"","parse-names":false,"suffix":""},{"dropping-particle":"","family":"Kahn","given":"Ari","non-dropping-particle":"","parse-names":false,"suffix":""},{"dropping-particle":"","family":"Sfeir","given":"Robert","non-dropping-particle":"","parse-names":false,"suffix":""},{"dropping-particle":"","family":"Chen","given":"Jessica","non-dropping-particle":"","parse-names":false,"suffix":""},{"dropping-particle":"","family":"Nassau","given":"David","non-dropping-particle":"","parse-names":false,"suffix":""},{"dropping-particle":"","family":"Feng","given":"Larry","non-dropping-particle":"","parse-names":false,"suffix":""},{"dropping-particle":"","family":"Hickey","given":"Erin","non-dropping-particle":"","parse-names":false,"suffix":""},{"dropping-particle":"","family":"Barker","given":"Anna","non-dropping-particle":"","parse-names":false,"suffix":""},{"dropping-particle":"","family":"Gerhard","given":"Daniela S.","non-dropping-particle":"","parse-names":false,"suffix":""},{"dropping-particle":"","family":"Vockley","given":"Joseph","non-dropping-particle":"","parse-names":false,"suffix":""},{"dropping-particle":"","family":"Compton","given":"Carolyn","non-dropping-particle":"","parse-names":false,"suffix":""},{"dropping-particle":"","family":"Vaught","given":"Jim","non-dropping-particle":"","parse-names":false,"suffix":""},{"dropping-particle":"","family":"Fielding","given":"Peter","non-dropping-particle":"","parse-names":false,"suffix":""},{"dropping-particle":"","family":"Ferguson","given":"Martin L.","non-dropping-particle":"","parse-names":false,"suffix":""},{"dropping-particle":"","family":"Schaefer","given":"Carl","non-dropping-particle":"","parse-names":false,"suffix":""},{"dropping-particle":"","family":"Zhang","given":"Jinghui","non-dropping-particle":"","parse-names":false,"suffix":""},{"dropping-particle":"","family":"Madhavan","given":"Subhashree","non-dropping-particle":"","parse-names":false,"suffix":""},{"dropping-particle":"","family":"Buetow","given":"Kenneth H.","non-dropping-particle":"","parse-names":false,"suffix":""},{"dropping-particle":"","family":"Collins","given":"Francis","non-dropping-particle":"","parse-names":false,"suffix":""},{"dropping-particle":"","family":"Good","given":"Peter","non-dropping-particle":"","parse-names":false,"suffix":""},{"dropping-particle":"","family":"Guyer","given":"Mark","non-dropping-particle":"","parse-names":false,"suffix":""},{"dropping-particle":"","family":"Ozenberger","given":"Brad","non-dropping-particle":"","parse-names":false,"suffix":""},{"dropping-particle":"","family":"Peterson","given":"Jane","non-dropping-particle":"","parse-names":false,"suffix":""},{"dropping-particle":"","family":"Thomson","given":"Elizabeth","non-dropping-particle":"","parse-names":false,"suffix":""}],"container-title":"Nature","id":"ITEM-1","issue":"7216","issued":{"date-parts":[["2008","10","23"]]},"page":"1061-1068","publisher":"Nature Publishing Group","title":"Comprehensive genomic characterization defines human glioblastoma genes and core pathways","type":"article-journal","volume":"455"},"uris":["http://www.mendeley.com/documents/?uuid=e72230c9-e558-36ac-91e4-89367c1b4887"]}],"mendeley":{"formattedCitation":"&lt;sup&gt;132&lt;/sup&gt;","plainTextFormattedCitation":"132","previouslyFormattedCitation":"&lt;sup&gt;132&lt;/sup&gt;"},"properties":{"noteIndex":0},"schema":"https://github.com/citation-style-language/schema/raw/master/csl-citation.json"}</w:instrText>
      </w:r>
      <w:r w:rsidR="008D40E8">
        <w:fldChar w:fldCharType="separate"/>
      </w:r>
      <w:r w:rsidR="00A47FB6" w:rsidRPr="00A47FB6">
        <w:rPr>
          <w:noProof/>
          <w:vertAlign w:val="superscript"/>
        </w:rPr>
        <w:t>132</w:t>
      </w:r>
      <w:r w:rsidR="008D40E8">
        <w:fldChar w:fldCharType="end"/>
      </w:r>
      <w:r>
        <w:t xml:space="preserve">. </w:t>
      </w:r>
      <w:r w:rsidR="004E5D32">
        <w:t>Tumor supresorová a</w:t>
      </w:r>
      <w:r w:rsidR="00504475">
        <w:t>ktivita p53 je primárně založena na ovládání exprese nesčetného počtu genů regulujících zástavu buněčného</w:t>
      </w:r>
      <w:r w:rsidR="004E5D32">
        <w:t>, apoptózu, buněčnou diferenciaci a senescenci</w:t>
      </w:r>
      <w:r w:rsidR="004E5D32">
        <w:fldChar w:fldCharType="begin" w:fldLock="1"/>
      </w:r>
      <w:r w:rsidR="00D745ED">
        <w:instrText>ADDIN CSL_CITATION {"citationItems":[{"id":"ITEM-1","itemData":{"DOI":"10.1093/nar/gks1033","ISSN":"03051048","PMID":"23161690","abstract":"A novel resource centre for TP53 mutations and mutants has been developed (http://p53.fr). TP53 gene dysfunction can be found in the majority of human cancer types. The potential use of TP53 mutation as a biomarker for clinical studies or exposome analysis has led to the publication of thousands of reports describing the TP53 gene status in &gt;10000 tumours. The UMD TP53 mutation database was created in 1990 and has been regularly updated. The 2012 release of the database has been carefully curated, and all suspicious reports have been eliminated. It is available either as a flat file that can be easily manipulated or as novel multi-platform analytical software that has been designed to analyse various aspects of TP53 mutations. Several tools to ascertain TP53 mutations are also available for download. We have developed TP53MULTLoad, a manually curated database providing comprehensive details on the properties of 2549 missense TP53 mutants. More than 100 000 entries have been arranged in 39 different activity fields, such as change of transactivation on various promoters, apoptosis or growth arrest. For several hot spot mutants, multiple gain of function activities are also included. The database can be easily browsed via a graphical user interface. © The Author(s) 2012.","author":[{"dropping-particle":"","family":"Leroy","given":"Bernard","non-dropping-particle":"","parse-names":false,"suffix":""},{"dropping-particle":"","family":"Fournier","given":"Jean Louis","non-dropping-particle":"","parse-names":false,"suffix":""},{"dropping-particle":"","family":"Ishioka","given":"Chikashi","non-dropping-particle":"","parse-names":false,"suffix":""},{"dropping-particle":"","family":"Monti","given":"Paola","non-dropping-particle":"","parse-names":false,"suffix":""},{"dropping-particle":"","family":"Inga","given":"Alberto","non-dropping-particle":"","parse-names":false,"suffix":""},{"dropping-particle":"","family":"Fronza","given":"Gilberto","non-dropping-particle":"","parse-names":false,"suffix":""},{"dropping-particle":"","family":"Soussi","given":"Thierry","non-dropping-particle":"","parse-names":false,"suffix":""}],"container-title":"Nucleic Acids Research","id":"ITEM-1","issue":"D1","issued":{"date-parts":[["2013","1","1"]]},"publisher":"Nucleic Acids Res","title":"The TP53 website: An integrative resource centre for the TP53 mutation database and TP53 mutant analysis","type":"article-journal","volume":"41"},"uris":["http://www.mendeley.com/documents/?uuid=6f7675c2-58b5-34dc-b090-2a505e8810b6"]},{"id":"ITEM-2","itemData":{"DOI":"10.1038/ncb1211","ISSN":"14657392","PMID":"15619621","abstract":"The tumour suppressor p53 becomes activated in response to upstream stress signals, such as DNA damage, and causes cell-cycle arrest or apoptosis. Here we report a novel role for p53 in the differentiation of mouse embryonic stem cells (ESCs). p53 binds to the promoter of Nanog, a gene required for ESC self-renewal, and suppresses Nanog expression after DNA damage. The rapid down-regulation of Nanog mRNA during ESC differentiation correlates with the induction of p53 transcriptional activity and Ser 315 phosphorylation. The importance of Ser 315 phosphorylation was revealed by the finding that induction of p53 activity is impaired in p53S315A knock-in ESCs during differentiation, leading to inefficient suppression of Nanog expression. The decreased inhibition of Nanog expression in p53S315A ESCs during differentiation is due to an impaired recruitment of the co-repressor mSin3a to the Nanog promoter. These findings indicate an alternative mechanism for p53 to maintain genetic stability in ESCs, by inducing the differentiation of ESCs into other cell types that undergo efficient p53-dependent cell-cycle arrest and apoptosis.","author":[{"dropping-particle":"","family":"Lin","given":"Tongxiang","non-dropping-particle":"","parse-names":false,"suffix":""},{"dropping-particle":"","family":"Chao","given":"Connie","non-dropping-particle":"","parse-names":false,"suffix":""},{"dropping-particle":"","family":"Saito","given":"Shin'ichi","non-dropping-particle":"","parse-names":false,"suffix":""},{"dropping-particle":"","family":"Mazur","given":"Sharlyn J.","non-dropping-particle":"","parse-names":false,"suffix":""},{"dropping-particle":"","family":"Murphy","given":"Maureen E.","non-dropping-particle":"","parse-names":false,"suffix":""},{"dropping-particle":"","family":"Appella","given":"Ettore","non-dropping-particle":"","parse-names":false,"suffix":""},{"dropping-particle":"","family":"Xu","given":"Yang","non-dropping-particle":"","parse-names":false,"suffix":""}],"container-title":"Nature Cell Biology","id":"ITEM-2","issue":"2","issued":{"date-parts":[["2005","2"]]},"page":"165-171","publisher":"Nat Cell Biol","title":"p53 induces differentiation of mouse embryonic stem cells by suppressing Nanog expression","type":"article-journal","volume":"7"},"uris":["http://www.mendeley.com/documents/?uuid=71baf657-a7de-31be-bb76-6c8fe502b837"]}],"mendeley":{"formattedCitation":"&lt;sup&gt;133,134&lt;/sup&gt;","plainTextFormattedCitation":"133,134","previouslyFormattedCitation":"&lt;sup&gt;133,134&lt;/sup&gt;"},"properties":{"noteIndex":0},"schema":"https://github.com/citation-style-language/schema/raw/master/csl-citation.json"}</w:instrText>
      </w:r>
      <w:r w:rsidR="004E5D32">
        <w:fldChar w:fldCharType="separate"/>
      </w:r>
      <w:r w:rsidR="00A47FB6" w:rsidRPr="00A47FB6">
        <w:rPr>
          <w:noProof/>
          <w:vertAlign w:val="superscript"/>
        </w:rPr>
        <w:t>133,134</w:t>
      </w:r>
      <w:r w:rsidR="004E5D32">
        <w:fldChar w:fldCharType="end"/>
      </w:r>
      <w:r w:rsidR="004E5D32">
        <w:t xml:space="preserve">. Avšak k tomu, aby se projevily onkogenní mutace </w:t>
      </w:r>
      <w:r w:rsidR="004E5D32" w:rsidRPr="005A59EC">
        <w:rPr>
          <w:i/>
          <w:iCs/>
        </w:rPr>
        <w:t>TP53</w:t>
      </w:r>
      <w:r w:rsidR="004E5D32">
        <w:t xml:space="preserve">, musí dojít k mutacím dalších genů, které jsou zodpovědné za progresi </w:t>
      </w:r>
      <w:r w:rsidR="00AD73C1">
        <w:t>glioblastomu</w:t>
      </w:r>
      <w:r w:rsidR="004E5D32">
        <w:t xml:space="preserve"> jako je například </w:t>
      </w:r>
      <w:r w:rsidR="004E5D32" w:rsidRPr="005A59EC">
        <w:rPr>
          <w:i/>
          <w:iCs/>
        </w:rPr>
        <w:t>PTEN</w:t>
      </w:r>
      <w:r w:rsidR="004E5D32" w:rsidRPr="008F1A44">
        <w:t xml:space="preserve"> (</w:t>
      </w:r>
      <w:r w:rsidR="001E77FF">
        <w:t>Phosphatase and Tensin H</w:t>
      </w:r>
      <w:r w:rsidR="004E5D32">
        <w:t>omologue)</w:t>
      </w:r>
      <w:r w:rsidR="00F044A2">
        <w:t xml:space="preserve">, amplifikace </w:t>
      </w:r>
      <w:r w:rsidR="00F044A2" w:rsidRPr="005A59EC">
        <w:rPr>
          <w:i/>
          <w:iCs/>
        </w:rPr>
        <w:t>MDM2</w:t>
      </w:r>
      <w:r w:rsidR="00F044A2">
        <w:t xml:space="preserve"> </w:t>
      </w:r>
      <w:r w:rsidR="004E5D32">
        <w:t xml:space="preserve"> nebo velmi častá deregulace </w:t>
      </w:r>
      <w:r w:rsidR="004E5D32" w:rsidRPr="005A59EC">
        <w:rPr>
          <w:i/>
          <w:iCs/>
        </w:rPr>
        <w:t>CDKN2A/ARF</w:t>
      </w:r>
      <w:r w:rsidR="00883E7C">
        <w:rPr>
          <w:i/>
          <w:iCs/>
        </w:rPr>
        <w:t> </w:t>
      </w:r>
      <w:r w:rsidR="004E5D32">
        <w:t xml:space="preserve"> </w:t>
      </w:r>
      <w:r w:rsidR="004E5D32">
        <w:fldChar w:fldCharType="begin" w:fldLock="1"/>
      </w:r>
      <w:r w:rsidR="00D745ED">
        <w:instrText>ADDIN CSL_CITATION {"citationItems":[{"id":"ITEM-1","itemData":{"DOI":"10.1038/nature07443","ISSN":"14764687","PMID":"18948956","abstract":"Glioblastoma (GBM) is a highly lethal brain tumour presenting as one of two subtypes with distinct clinical histories and molecular profiles. The primary GBM subtype presents acutely as a high-grade disease that typically harbours mutations in EGFR, PTEN and INK4A/ARF (also known as CDKN2A), and the secondary GBM subtype evolves from the slow progression of a low-grade disease that classically possesses PDGF and TP53 events. Here we show that concomitant central nervous system (CNS)-specific deletion of p53 and Pten in the mouse CNS generates a penetrant acute-onset high-grade malignant glioma phenotype with notable clinical, pathological and molecular resemblance to primary GBM in humans. This genetic observation prompted TP53 and PTEN mutational analysis in human primary GBM, demonstrating unexpectedly frequent inactivating mutations of TP53 as well as the expected PTEN mutations. Integrated transcriptomic profiling, in silico promoter analysis and functional studies of murine neural stem cells (NSCs) established that dual, but not singular, inactivation of p53 and Pten promotes an undifferentiated state with high renewal potential and drives increased Myc protein levels and its associated signature. Functional studies validated increased Myc activity as a potent contributor to the impaired differentiation and enhanced renewal of NSCs doubly null for p53 and Pten (p53-/- Pten-/-) as well as tumour neurospheres (TNSs) derived from this model. Myc also serves to maintain robust tumorigenic potential of p53-/- Pten-/- TNSs. These murine modelling studies, together with confirmatory transcriptomic/promoter studies in human primary GBM, validate a pathogenetic role of a common tumour suppressor mutation profile in human primary GBM and establish Myc as an important target for cooperative actions of p53 and Pten in the regulation of normal and malignant stem/progenitor cell differentiation, self-renewal and tumorigenic potential. ©2008 Macmillan Publishers Limited. All rights reserved.","author":[{"dropping-particle":"","family":"Zheng","given":"Hongwu","non-dropping-particle":"","parse-names":false,"suffix":""},{"dropping-particle":"","family":"Ying","given":"Haoqiang","non-dropping-particle":"","parse-names":false,"suffix":""},{"dropping-particle":"","family":"Yan","given":"Haiyan","non-dropping-particle":"","parse-names":false,"suffix":""},{"dropping-particle":"","family":"Kimmelman","given":"Alec C.","non-dropping-particle":"","parse-names":false,"suffix":""},{"dropping-particle":"","family":"Hiller","given":"David J.","non-dropping-particle":"","parse-names":false,"suffix":""},{"dropping-particle":"","family":"Chen","given":"An Jou","non-dropping-particle":"","parse-names":false,"suffix":""},{"dropping-particle":"","family":"Perry","given":"Samuel R.","non-dropping-particle":"","parse-names":false,"suffix":""},{"dropping-particle":"","family":"Tonon","given":"Giovanni","non-dropping-particle":"","parse-names":false,"suffix":""},{"dropping-particle":"","family":"Chu","given":"Gerald C.","non-dropping-particle":"","parse-names":false,"suffix":""},{"dropping-particle":"","family":"Ding","given":"Zhihu","non-dropping-particle":"","parse-names":false,"suffix":""},{"dropping-particle":"","family":"Stommel","given":"Jayne M.","non-dropping-particle":"","parse-names":false,"suffix":""},{"dropping-particle":"","family":"Dunn","given":"Katherine L.","non-dropping-particle":"","parse-names":false,"suffix":""},{"dropping-particle":"","family":"Wiedemeyer","given":"Ruprecht","non-dropping-particle":"","parse-names":false,"suffix":""},{"dropping-particle":"","family":"You","given":"Mingjian J.","non-dropping-particle":"","parse-names":false,"suffix":""},{"dropping-particle":"","family":"Brennan","given":"Cameron","non-dropping-particle":"","parse-names":false,"suffix":""},{"dropping-particle":"","family":"Wang","given":"Y. Alan","non-dropping-particle":"","parse-names":false,"suffix":""},{"dropping-particle":"","family":"Ligon","given":"Keith L.","non-dropping-particle":"","parse-names":false,"suffix":""},{"dropping-particle":"","family":"Wong","given":"Wing H.","non-dropping-particle":"","parse-names":false,"suffix":""},{"dropping-particle":"","family":"Chin","given":"Lynda","non-dropping-particle":"","parse-names":false,"suffix":""},{"dropping-particle":"","family":"DePinho","given":"Ronald A.","non-dropping-particle":"","parse-names":false,"suffix":""}],"container-title":"Nature","id":"ITEM-1","issue":"7216","issued":{"date-parts":[["2008","10","23"]]},"page":"1129-1133","publisher":"Nature Publishing Group","title":"p53 and Pten control neural and glioma stem/progenitor cell renewal and differentiation","type":"article-journal","volume":"455"},"uris":["http://www.mendeley.com/documents/?uuid=0ff914e6-1f6e-38b0-9d3f-350d8ef4cf83"]},{"id":"ITEM-2","itemData":{"DOI":"10.1158/2159-8290.CD-12-0095","ISSN":"21598274","PMID":"22588877","abstract":"The cBio Cancer Genomics Portal (http://cbioportal.org) is an open-access resource for interactive exploration of multidimensional cancer genomics data sets, currently providing access to data from more than 5,000 tumor samples from 20 cancer studies. The cBio Cancer Genomics Portal significantly lowers the barriers between complex genomic data and cancer researchers who want rapid, intuitive, and high-quality access to molecular profiles and clinical attributes from large-scale cancer genomics projects and empowers researchers to translate these rich data sets into biologic insights and clinical applications. © 2012 American Association for Cancer Research.","author":[{"dropping-particle":"","family":"Cerami","given":"Ethan","non-dropping-particle":"","parse-names":false,"suffix":""},{"dropping-particle":"","family":"Gao","given":"Jianjiong","non-dropping-particle":"","parse-names":false,"suffix":""},{"dropping-particle":"","family":"Dogrusoz","given":"Ugur","non-dropping-particle":"","parse-names":false,"suffix":""},{"dropping-particle":"","family":"Gross","given":"Benjamin E.","non-dropping-particle":"","parse-names":false,"suffix":""},{"dropping-particle":"","family":"Sumer","given":"Selcuk Onur","non-dropping-particle":"","parse-names":false,"suffix":""},{"dropping-particle":"","family":"Aksoy","given":"Bülent Arman","non-dropping-particle":"","parse-names":false,"suffix":""},{"dropping-particle":"","family":"Jacobsen","given":"Anders","non-dropping-particle":"","parse-names":false,"suffix":""},{"dropping-particle":"","family":"Byrne","given":"Caitlin J.","non-dropping-particle":"","parse-names":false,"suffix":""},{"dropping-particle":"","family":"Heuer","given":"Michael L.","non-dropping-particle":"","parse-names":false,"suffix":""},{"dropping-particle":"","family":"Larsson","given":"Erik","non-dropping-particle":"","parse-names":false,"suffix":""},{"dropping-particle":"","family":"Antipin","given":"Yevgeniy","non-dropping-particle":"","parse-names":false,"suffix":""},{"dropping-particle":"","family":"Reva","given":"Boris","non-dropping-particle":"","parse-names":false,"suffix":""},{"dropping-particle":"","family":"Goldberg","given":"Arthur P.","non-dropping-particle":"","parse-names":false,"suffix":""},{"dropping-particle":"","family":"Sander","given":"Chris","non-dropping-particle":"","parse-names":false,"suffix":""},{"dropping-particle":"","family":"Schultz","given":"Nikolaus","non-dropping-particle":"","parse-names":false,"suffix":""}],"container-title":"Cancer Discovery","id":"ITEM-2","issue":"5","issued":{"date-parts":[["2012","5"]]},"page":"401-404","publisher":"Cancer Discov","title":"The cBio Cancer Genomics Portal: An open platform for exploring multidimensional cancer genomics data","type":"article-journal","volume":"2"},"uris":["http://www.mendeley.com/documents/?uuid=791cf0b8-6610-3d20-95a9-9677803777c6"]},{"id":"ITEM-3","itemData":{"DOI":"10.1126/scisignal.2004088","ISSN":"19450877","PMID":"23550210","abstract":"The cBioPortal for Cancer Genomics (http://cbioportal.org) provides a Web resource for exploring, visualizing, and analyzing multidimensional cancer genomics data. The portal reduces molecular profiling data from cancer tissues and cell lines into readily understandable genetic, epigenetic, gene expression, and proteomic events. The query interface combined with customized data storage enables researchers to interactively explore genetic alterations across samples, genes, and pathways and, when available in the underlying data, to link these to clinical outcomes. The portal provides graphical summaries of gene-level data from multiple platforms, network visualization and analysis, survival analysis, patient-centric queries, and software programmatic access. The intuitive Web interface of the portal makes complex cancer genomics profiles accessible to researchers and clinicians without requiring bioinformatics expertise, thus facilitating biological discoveries. Here, we provide a practical guide to the analysis and visualization features of the cBioPortal for Cancer Genomics. © 2013 American Association for the Advancement of Science.","author":[{"dropping-particle":"","family":"Gao","given":"Jianjiong","non-dropping-particle":"","parse-names":false,"suffix":""},{"dropping-particle":"","family":"Aksoy","given":"Bülent Arman","non-dropping-particle":"","parse-names":false,"suffix":""},{"dropping-particle":"","family":"Dogrusoz","given":"Ugur","non-dropping-particle":"","parse-names":false,"suffix":""},{"dropping-particle":"","family":"Dresdner","given":"Gideon","non-dropping-particle":"","parse-names":false,"suffix":""},{"dropping-particle":"","family":"Gross","given":"Benjamin","non-dropping-particle":"","parse-names":false,"suffix":""},{"dropping-particle":"","family":"Sumer","given":"S. Onur","non-dropping-particle":"","parse-names":false,"suffix":""},{"dropping-particle":"","family":"Sun","given":"Yichao","non-dropping-particle":"","parse-names":false,"suffix":""},{"dropping-particle":"","family":"Jacobsen","given":"Anders","non-dropping-particle":"","parse-names":false,"suffix":""},{"dropping-particle":"","family":"Sinha","given":"Rileen","non-dropping-particle":"","parse-names":false,"suffix":""},{"dropping-particle":"","family":"Larsson","given":"Erik","non-dropping-particle":"","parse-names":false,"suffix":""},{"dropping-particle":"","family":"Cerami","given":"Ethan","non-dropping-particle":"","parse-names":false,"suffix":""},{"dropping-particle":"","family":"Sander","given":"Chris","non-dropping-particle":"","parse-names":false,"suffix":""},{"dropping-particle":"","family":"Schultz","given":"Nikolaus","non-dropping-particle":"","parse-names":false,"suffix":""}],"container-title":"Science Signaling","id":"ITEM-3","issue":"269","issued":{"date-parts":[["2013","4","2"]]},"publisher":"Sci Signal","title":"Integrative analysis of complex cancer genomics and clinical profiles using the cBioPortal","type":"article-journal","volume":"6"},"uris":["http://www.mendeley.com/documents/?uuid=0b41724b-032e-30cc-84d8-6afabdc2fb41"]},{"id":"ITEM-4","itemData":{"DOI":"10.1016/j.ajpath.2015.02.023","ISSN":"15252191","PMID":"25976245","abstract":"In recent years, important advances have been achieved in the understanding of the molecular biology of glioblastoma multiforme (GBM); thus, complex genetic alterations and genomic profiles, which recurrently involve multiple signaling pathways, have been defined, leading to the first molecular/genetic classification of the disease. In this regard, different genetic alterations and genetic pathways appear to distinguish primary (eg, EGFR amplification) versus secondary (eg, IDH1/2 or TP53 mutation) GBM. Such genetic alterations target distinct combinations of the growth factor receptor-ras signaling pathways, as well as the phosphatidylinositol 3-kinase/phosphatase and tensin homolog/AKT, retinoblastoma/cyclin-dependent kinase (CDK) N2A-p16INK4A, and TP53/mouse double minute (MDM) 2/MDM4/CDKN2A-p14ARF pathways, in cells that present features associated with key stages of normal neurogenesis and (normal) central nervous system cell types. This translates into well-defined genomic profiles that have been recently classified by The Cancer Genome Atlas Consortium into four subtypes: classic, mesenchymal, proneural, and neural GBM. Herein, we review the most relevant genetic alterations of primary versus secondary GBM, the specific signaling pathways involved, and the overall genomic profile of this genetically heterogeneous group of malignant tumors.","author":[{"dropping-particle":"","family":"Crespo","given":"Ines","non-dropping-particle":"","parse-names":false,"suffix":""},{"dropping-particle":"","family":"Vital","given":"Ana Louisa","non-dropping-particle":"","parse-names":false,"suffix":""},{"dropping-particle":"","family":"Gonzalez-Tablas","given":"María","non-dropping-particle":"","parse-names":false,"suffix":""},{"dropping-particle":"","family":"Patino","given":"María Del Carmen","non-dropping-particle":"","parse-names":false,"suffix":""},{"dropping-particle":"","family":"Otero","given":"Alvaro","non-dropping-particle":"","parse-names":false,"suffix":""},{"dropping-particle":"","family":"Lopes","given":"María Celeste","non-dropping-particle":"","parse-names":false,"suffix":""},{"dropping-particle":"","family":"Oliveira","given":"Catarina","non-dropping-particle":"De","parse-names":false,"suffix":""},{"dropping-particle":"","family":"Domingues","given":"Patricia","non-dropping-particle":"","parse-names":false,"suffix":""},{"dropping-particle":"","family":"Orfao","given":"Alberto","non-dropping-particle":"","parse-names":false,"suffix":""},{"dropping-particle":"","family":"Tabernero","given":"Maria Dolores","non-dropping-particle":"","parse-names":false,"suffix":""}],"container-title":"American Journal of Pathology","id":"ITEM-4","issue":"7","issued":{"date-parts":[["2015","7","1"]]},"page":"1820-1833","publisher":"Elsevier Inc.","title":"Molecular and Genomic Alterations in Glioblastoma Multiforme","type":"article","volume":"185"},"uris":["http://www.mendeley.com/documents/?uuid=d145258d-e18b-3eee-90bd-6c6360d4c18d"]}],"mendeley":{"formattedCitation":"&lt;sup&gt;135–138&lt;/sup&gt;","plainTextFormattedCitation":"135–138","previouslyFormattedCitation":"&lt;sup&gt;135–138&lt;/sup&gt;"},"properties":{"noteIndex":0},"schema":"https://github.com/citation-style-language/schema/raw/master/csl-citation.json"}</w:instrText>
      </w:r>
      <w:r w:rsidR="004E5D32">
        <w:fldChar w:fldCharType="separate"/>
      </w:r>
      <w:r w:rsidR="00A47FB6" w:rsidRPr="00A47FB6">
        <w:rPr>
          <w:noProof/>
          <w:vertAlign w:val="superscript"/>
        </w:rPr>
        <w:t>135–138</w:t>
      </w:r>
      <w:r w:rsidR="004E5D32">
        <w:fldChar w:fldCharType="end"/>
      </w:r>
      <w:r w:rsidR="004E5D32">
        <w:t xml:space="preserve">. Všechny tyto kroky vedou </w:t>
      </w:r>
      <w:r w:rsidR="00F044A2">
        <w:t xml:space="preserve">k progresi </w:t>
      </w:r>
      <w:r w:rsidR="00AD73C1">
        <w:t>glioblastomu</w:t>
      </w:r>
      <w:r w:rsidR="00F044A2">
        <w:t>, vyšší invazivit</w:t>
      </w:r>
      <w:r w:rsidR="005A59EC">
        <w:t>ě</w:t>
      </w:r>
      <w:r w:rsidR="00F044A2">
        <w:t>, menším počtem apoptóz a vyšší proliferaci</w:t>
      </w:r>
      <w:r w:rsidR="00F044A2">
        <w:fldChar w:fldCharType="begin" w:fldLock="1"/>
      </w:r>
      <w:r w:rsidR="00D745ED">
        <w:instrText>ADDIN CSL_CITATION {"citationItems":[{"id":"ITEM-1","itemData":{"DOI":"10.1227/01.NEU.0000093426.29236.86","ISSN":"0148396X","PMID":"14633303","abstract":"OBJECTIVE: Multifocal glioblastomas constitute an increasingly diagnosed subgroup of glioblastoma multiforme, the most malignant primary brain tumor in adults. The molecular background of these lesions is unknown. However, the ability to study multiple lesions of one patient simultaneously could provide new aspects in glioma development. METHODS: Short-term cell cultures were derived from three isolated glioblastoma lesions of one patient. Spectral karyotyping and interphase fluorescence in situ hybridization were used for cytogenetic analysis. Loss of heterozygosity was assessed in tumor tissues and cell lines for seven gene loci (p73, p21, p16, PTEN, p27, Rb, p53). In addition, sequence analysis of the PTEN and p53 loci was performed, epidermal growth factor receptor protein expression was assessed, and in vitro proliferation was assayed. RESULTS: A balanced translocation [t(1;15)(p3?6;q2?5)] that has not been described previously in glioblastomas was identified in all cell lines. Primarily, the cell lines have a homozygous deletion of the p16 locus and inactivation of the PTEN gene by loss of heterozygosity and an identical mutation in common. Furthermore, the cell lines harbor a hemizygous (R175H) or two heterozygous (R175H, R213Q) mutations of the p53 gene or none at all. The occurrence of p53 mutations correlates with the size of the original tumors and in vitro proliferation. CONCLUSION: The analysis of a multifocal glioma revealed three main aspects: 1) the combined cytogenetic and molecular analysis of this subgroup of glioblastoma multiforme is a suitable tool to gain new perspectives in glioma development, 2) the balanced translocation [t(1;15)(p3?6;q2?5)] might harbor a new genetic marker involved in glioma development, and 3) the pattern of p53 mutation suggests a role of p53 in the progression of malignancy, migration, and growth of this particular primary glioblastoma.","author":[{"dropping-particle":"","family":"Krex","given":"Dietmar","non-dropping-particle":"","parse-names":false,"suffix":""},{"dropping-particle":"","family":"Mohr","given":"Brigitte","non-dropping-particle":"","parse-names":false,"suffix":""},{"dropping-particle":"","family":"Appelt","given":"Hella","non-dropping-particle":"","parse-names":false,"suffix":""},{"dropping-particle":"","family":"Schackert","given":"Hans K.","non-dropping-particle":"","parse-names":false,"suffix":""},{"dropping-particle":"","family":"Schackert","given":"Gabriele","non-dropping-particle":"","parse-names":false,"suffix":""},{"dropping-particle":"","family":"Waziri","given":"Allen E.","non-dropping-particle":"","parse-names":false,"suffix":""},{"dropping-particle":"","family":"Bruce","given":"Jeffrey N.","non-dropping-particle":"","parse-names":false,"suffix":""}],"container-title":"Neurosurgery","id":"ITEM-1","issue":"6","issued":{"date-parts":[["2003"]]},"page":"1377-1384","publisher":"Lippincott Williams and Wilkins","title":"Genetic Analysis of A Multifocal Glioblastoma Multiforme: A Suitable Tool to Gain New Aspects in Glioma Development","type":"article-journal","volume":"53"},"uris":["http://www.mendeley.com/documents/?uuid=2a7391b5-68c3-3681-8c70-d85208e44a65"]},{"id":"ITEM-2","itemData":{"DOI":"10.1016/j.yexcr.2014.08.013","ISSN":"10902422","PMID":"25149900","abstract":"Glioblastoma cells exhibit highly invasive behavior whose mechanisms are not yet fully understood. The present study explores the relationship between the invasion capacity of 5 glioblastoma cell lines differing in p53 and PTEN status, expression of mTOR and several other marker proteins involved in cell invasion, actin cytoskeleton organization and cell morphology. We found that two glioblastoma lines mutated in both p53 and PTEN genes (U373-MG and SNB19) exhibited the highest invasion rates through the Matrigel or collagen matrix. In DK-MG (p53wt/PTENwt) and GaMG (p53mut/PTENwt) cells, F-actin mainly occurred in the numerous stress fibers spanning the cytoplasm, whereas U87-MG (p53wt/PTENmut), U373-MG and SNB19 (both p53mut/PTENmut) cells preferentially expressed F-actin in filopodia and lamellipodia. Scanning electron microscopy confirmed the abundant filopodia and lamellipodia in the PTEN mutated cell lines. Interestingly, the gene profiling analysis revealed two clusters of cell lines, corresponding to the most (U373-MG and SNB19, i.e. p53 and PTEN mutated cells) and less invasive phenotypes. The results of this study might shed new light on the mechanisms of glioblastoma invasion.","author":[{"dropping-particle":"","family":"Djuzenova","given":"Cholpon S.","non-dropping-particle":"","parse-names":false,"suffix":""},{"dropping-particle":"","family":"Fiedler","given":"Vanessa","non-dropping-particle":"","parse-names":false,"suffix":""},{"dropping-particle":"","family":"Memmel","given":"Simon","non-dropping-particle":"","parse-names":false,"suffix":""},{"dropping-particle":"","family":"Katzer","given":"Astrid","non-dropping-particle":"","parse-names":false,"suffix":""},{"dropping-particle":"","family":"Hartmann","given":"Susanne","non-dropping-particle":"","parse-names":false,"suffix":""},{"dropping-particle":"","family":"Krohne","given":"Georg","non-dropping-particle":"","parse-names":false,"suffix":""},{"dropping-particle":"","family":"Zimmermann","given":"Heiko","non-dropping-particle":"","parse-names":false,"suffix":""},{"dropping-particle":"","family":"Scholz","given":"Claus Jürgen","non-dropping-particle":"","parse-names":false,"suffix":""},{"dropping-particle":"","family":"Polat","given":"Bülent","non-dropping-particle":"","parse-names":false,"suffix":""},{"dropping-particle":"","family":"Flentje","given":"Michael","non-dropping-particle":"","parse-names":false,"suffix":""},{"dropping-particle":"","family":"Sukhorukov","given":"Vladimir L.","non-dropping-particle":"","parse-names":false,"suffix":""}],"container-title":"Experimental Cell Research","id":"ITEM-2","issue":"2","issued":{"date-parts":[["2015","1","15"]]},"page":"346-357","publisher":"Academic Press Inc.","title":"Actin cytoskeleton organization, cell surface modification and invasion rate of 5 glioblastoma cell lines differing in PTEN and p53 status","type":"article-journal","volume":"330"},"uris":["http://www.mendeley.com/documents/?uuid=3123b21c-023d-3dee-bd01-c7598fd7679f"]},{"id":"ITEM-3","itemData":{"DOI":"10.1007/s13277-013-0871-3","ISSN":"10104283","PMID":"23737287","abstract":"Glioblastoma multiforme (GBM) is the most common primary malignancy in the brain and confers a uniformly poor prognosis. Despite decades of research on the topic, limited progress has been made to improve the poor survival associated with this disease. GBM arises de novo (primary GBM) or via dedifferentiation of lower grade glioma (secondary GBM). While distinct mutations are predominant in each subtype, alterations of tumor suppressor p53 are the most common, seen in 25-30 % of primary GBM and 60-70 % of secondary GBM. Various roles of p53 that protect against neoplastic transformation include modulation of cell cycle, DNA repair, apoptosis, senescence, angiogenesis, and metabolism, resulting in an extremely complex signaling network. Mutations of p53 in GBM are most common in the DNA-binding domain, namely within six hotspot mutation sites (codons 175, 245, 248, 249, 273, and 282). These alterations generally result in loss-of-function, gain-of-function, and dominant-negative mutational effects for p53, however, the distinct effect of these mutation types in GBM pathogenesis remain unclear. Signaling alterations downstream from p53 (e.g., MDM2, MDM4, INK4/ARF), p53 isoforms (e.g., p63, p73), and microRNAs (e.g., miR-34) also play critical roles in modulating the p53 pathway. Despite novel mouse models of GBM showing that p53 combined with other mutation generate tumors de novo, the role of p53 as a molecular marker of GBM remains controversial with most studies failing to show an association with prognosis. Regarding treatment in GBM, p53 targeted-gene therapy and vaccinations have reached phase I clinical trials while therapeutic drugs are still in preclinical development. This review aims to discuss the most recent findings regarding the impact of p53 mutations on GBM pathogenesis, prognosis, and treatment. © 2013 International Society of Oncology and BioMarkers (ISOBM).","author":[{"dropping-particle":"","family":"England","given":"Bryant","non-dropping-particle":"","parse-names":false,"suffix":""},{"dropping-particle":"","family":"Huang","given":"Tiangui","non-dropping-particle":"","parse-names":false,"suffix":""},{"dropping-particle":"","family":"Karsy","given":"Michael","non-dropping-particle":"","parse-names":false,"suffix":""}],"container-title":"Tumor Biology","id":"ITEM-3","issue":"4","issued":{"date-parts":[["2013","8"]]},"page":"2063-2074","publisher":"Tumour Biol","title":"Current understanding of the role and targeting of tumor suppressor p53 in glioblastoma multiforme","type":"article","volume":"34"},"uris":["http://www.mendeley.com/documents/?uuid=f4c19a91-bbc4-36b0-832b-92d551e648dd"]},{"id":"ITEM-4","itemData":{"DOI":"10.3892/ijo.28.1.119","ISSN":"17912423","PMID":"16327987","abstract":"Cisplatin is a DNA-damaging chemotherapeutic drug that may have a role in the adjuvant chemotherapy of several solid tumors, such as malignant glioblastoma, and the status of p53 tumor suppressor protein is a critical determinant of cisplatin chemosensitivity. In the present study, we showed the relationship of p53 status and chemosensitivity of cisplatin between two human malignant glioblastoma cell lines, A172 and T98G, harboring wild-type and mutant-type p53, respectively. Cisplatin was found to be more cytotoxic to A172 than T98G cells in a time- and concentration-dependent manner. Cisplatin-induced cytotoxicity manifested as apoptosis, characterized by genomic DNA fragmentation, nuclear condensation and an increase in sub-G1 population. Cisplatin induced the accumulation of p53 and p21 proteins in A172 cells, but not in T98G cells. The introduction of the adenovirus-mediated wild-type p53 gene into T98G cells resulted in the decrease of viability as well as the increase in sub-G1 population with p53 accumulation, activation of caspase-3 protease and release of cytochrome c from the mitochondria. These data strongly suggest that the expression of p53 is essential for the cytotoxic effect of cisplatin in human malignant glioblastoma cells, A172 and T98G, and the introduction of apoptotic signal molecules, such as p53, will be beneficial to achieve chemosensitivity in malignant glioma.","author":[{"dropping-particle":"","family":"Park","given":"Chang Min","non-dropping-particle":"","parse-names":false,"suffix":""},{"dropping-particle":"","family":"Park","given":"Myung Jin","non-dropping-particle":"","parse-names":false,"suffix":""},{"dropping-particle":"","family":"Kwak","given":"Hee Jin","non-dropping-particle":"","parse-names":false,"suffix":""},{"dropping-particle":"","family":"Moon","given":"Sang Ik","non-dropping-particle":"","parse-names":false,"suffix":""},{"dropping-particle":"","family":"Yoo","given":"Doo Hyun","non-dropping-particle":"","parse-names":false,"suffix":""},{"dropping-particle":"","family":"Lee","given":"Hyung Chahn","non-dropping-particle":"","parse-names":false,"suffix":""},{"dropping-particle":"","family":"Park","given":"In Chul","non-dropping-particle":"","parse-names":false,"suffix":""},{"dropping-particle":"","family":"Rhee","given":"Chang Hun","non-dropping-particle":"","parse-names":false,"suffix":""},{"dropping-particle":"Il","family":"Hong","given":"Seok","non-dropping-particle":"","parse-names":false,"suffix":""}],"container-title":"International Journal of Oncology","id":"ITEM-4","issue":"1","issued":{"date-parts":[["2006"]]},"page":"119-125","publisher":"Spandidos Publications","title":"Induction of p53-mediated apoptosis and recovery of chemosensitivity through p53 transduction in human glioblastoma cells by cisplatin","type":"article-journal","volume":"28"},"uris":["http://www.mendeley.com/documents/?uuid=3eaf7cb3-aa92-3f12-973b-a9deab94d937"]}],"mendeley":{"formattedCitation":"&lt;sup&gt;139–142&lt;/sup&gt;","plainTextFormattedCitation":"139–142","previouslyFormattedCitation":"&lt;sup&gt;139–142&lt;/sup&gt;"},"properties":{"noteIndex":0},"schema":"https://github.com/citation-style-language/schema/raw/master/csl-citation.json"}</w:instrText>
      </w:r>
      <w:r w:rsidR="00F044A2">
        <w:fldChar w:fldCharType="separate"/>
      </w:r>
      <w:r w:rsidR="00A47FB6" w:rsidRPr="00A47FB6">
        <w:rPr>
          <w:noProof/>
          <w:vertAlign w:val="superscript"/>
        </w:rPr>
        <w:t>139–142</w:t>
      </w:r>
      <w:r w:rsidR="00F044A2">
        <w:fldChar w:fldCharType="end"/>
      </w:r>
      <w:r w:rsidR="00F044A2">
        <w:t>.</w:t>
      </w:r>
    </w:p>
    <w:p w14:paraId="58C30FEC" w14:textId="77777777" w:rsidR="000825D1" w:rsidRDefault="000825D1" w:rsidP="00EC4DAF">
      <w:pPr>
        <w:pStyle w:val="Odstavecseseznamem"/>
        <w:ind w:left="0"/>
        <w:jc w:val="both"/>
      </w:pPr>
    </w:p>
    <w:p w14:paraId="6D04FFDF" w14:textId="3ECEF8F7" w:rsidR="00504475" w:rsidRDefault="000825D1" w:rsidP="00EC4DAF">
      <w:pPr>
        <w:pStyle w:val="Odstavecseseznamem"/>
        <w:ind w:left="0"/>
        <w:jc w:val="both"/>
      </w:pPr>
      <w:r>
        <w:t>Změny p53 na molekulární úrovni jsou pozorovány zhruba u 50 % gliomů gradu II a III,</w:t>
      </w:r>
      <w:r w:rsidR="005A59EC">
        <w:t xml:space="preserve"> u</w:t>
      </w:r>
      <w:r>
        <w:t xml:space="preserve"> primárních glioblastomů je četnost 25-30 % a u sekundárních glioblastomů je to dokonce 60-70 %. Z toho plyne, že se jedná o jednu z nejčastějších aberací zapojených do gliomageneze</w:t>
      </w:r>
      <w:r w:rsidR="00C63257">
        <w:t xml:space="preserve"> a může se jednat i o</w:t>
      </w:r>
      <w:r w:rsidR="00883E7C">
        <w:t> </w:t>
      </w:r>
      <w:r w:rsidR="00C63257">
        <w:t>potencionální tzv. driver mutaci</w:t>
      </w:r>
      <w:r w:rsidR="00C63257">
        <w:fldChar w:fldCharType="begin" w:fldLock="1"/>
      </w:r>
      <w:r w:rsidR="00D745ED">
        <w:instrText>ADDIN CSL_CITATION {"citationItems":[{"id":"ITEM-1","itemData":{"DOI":"10.1038/nature07443","ISSN":"14764687","PMID":"18948956","abstract":"Glioblastoma (GBM) is a highly lethal brain tumour presenting as one of two subtypes with distinct clinical histories and molecular profiles. The primary GBM subtype presents acutely as a high-grade disease that typically harbours mutations in EGFR, PTEN and INK4A/ARF (also known as CDKN2A), and the secondary GBM subtype evolves from the slow progression of a low-grade disease that classically possesses PDGF and TP53 events. Here we show that concomitant central nervous system (CNS)-specific deletion of p53 and Pten in the mouse CNS generates a penetrant acute-onset high-grade malignant glioma phenotype with notable clinical, pathological and molecular resemblance to primary GBM in humans. This genetic observation prompted TP53 and PTEN mutational analysis in human primary GBM, demonstrating unexpectedly frequent inactivating mutations of TP53 as well as the expected PTEN mutations. Integrated transcriptomic profiling, in silico promoter analysis and functional studies of murine neural stem cells (NSCs) established that dual, but not singular, inactivation of p53 and Pten promotes an undifferentiated state with high renewal potential and drives increased Myc protein levels and its associated signature. Functional studies validated increased Myc activity as a potent contributor to the impaired differentiation and enhanced renewal of NSCs doubly null for p53 and Pten (p53-/- Pten-/-) as well as tumour neurospheres (TNSs) derived from this model. Myc also serves to maintain robust tumorigenic potential of p53-/- Pten-/- TNSs. These murine modelling studies, together with confirmatory transcriptomic/promoter studies in human primary GBM, validate a pathogenetic role of a common tumour suppressor mutation profile in human primary GBM and establish Myc as an important target for cooperative actions of p53 and Pten in the regulation of normal and malignant stem/progenitor cell differentiation, self-renewal and tumorigenic potential. ©2008 Macmillan Publishers Limited. All rights reserved.","author":[{"dropping-particle":"","family":"Zheng","given":"Hongwu","non-dropping-particle":"","parse-names":false,"suffix":""},{"dropping-particle":"","family":"Ying","given":"Haoqiang","non-dropping-particle":"","parse-names":false,"suffix":""},{"dropping-particle":"","family":"Yan","given":"Haiyan","non-dropping-particle":"","parse-names":false,"suffix":""},{"dropping-particle":"","family":"Kimmelman","given":"Alec C.","non-dropping-particle":"","parse-names":false,"suffix":""},{"dropping-particle":"","family":"Hiller","given":"David J.","non-dropping-particle":"","parse-names":false,"suffix":""},{"dropping-particle":"","family":"Chen","given":"An Jou","non-dropping-particle":"","parse-names":false,"suffix":""},{"dropping-particle":"","family":"Perry","given":"Samuel R.","non-dropping-particle":"","parse-names":false,"suffix":""},{"dropping-particle":"","family":"Tonon","given":"Giovanni","non-dropping-particle":"","parse-names":false,"suffix":""},{"dropping-particle":"","family":"Chu","given":"Gerald C.","non-dropping-particle":"","parse-names":false,"suffix":""},{"dropping-particle":"","family":"Ding","given":"Zhihu","non-dropping-particle":"","parse-names":false,"suffix":""},{"dropping-particle":"","family":"Stommel","given":"Jayne M.","non-dropping-particle":"","parse-names":false,"suffix":""},{"dropping-particle":"","family":"Dunn","given":"Katherine L.","non-dropping-particle":"","parse-names":false,"suffix":""},{"dropping-particle":"","family":"Wiedemeyer","given":"Ruprecht","non-dropping-particle":"","parse-names":false,"suffix":""},{"dropping-particle":"","family":"You","given":"Mingjian J.","non-dropping-particle":"","parse-names":false,"suffix":""},{"dropping-particle":"","family":"Brennan","given":"Cameron","non-dropping-particle":"","parse-names":false,"suffix":""},{"dropping-particle":"","family":"Wang","given":"Y. Alan","non-dropping-particle":"","parse-names":false,"suffix":""},{"dropping-particle":"","family":"Ligon","given":"Keith L.","non-dropping-particle":"","parse-names":false,"suffix":""},{"dropping-particle":"","family":"Wong","given":"Wing H.","non-dropping-particle":"","parse-names":false,"suffix":""},{"dropping-particle":"","family":"Chin","given":"Lynda","non-dropping-particle":"","parse-names":false,"suffix":""},{"dropping-particle":"","family":"DePinho","given":"Ronald A.","non-dropping-particle":"","parse-names":false,"suffix":""}],"container-title":"Nature","id":"ITEM-1","issue":"7216","issued":{"date-parts":[["2008","10","23"]]},"page":"1129-1133","publisher":"Nature Publishing Group","title":"p53 and Pten control neural and glioma stem/progenitor cell renewal and differentiation","type":"article-journal","volume":"455"},"uris":["http://www.mendeley.com/documents/?uuid=8c791a07-a49d-3a9e-b2fc-347637cfd640"]},{"id":"ITEM-2","itemData":{"DOI":"10.1016/j.ccr.2009.04.001","ISSN":"15356108","PMID":"19477430","abstract":"Recent studies have identified genes and core pathways that are altered in human glioblastoma. However, the mechanisms by which alterations of these glioblastoma genes singly and cooperatively transform brain cells remain poorly understood. Further, the cell of origin of glioblastoma is largely elusive. By targeting a p53 in-frame deletion mutation to the brain, we show that p53 deficiency provides no significant growth advantage to adult brain cells, but appears to induce pleiotropic accumulation of cooperative oncogenic alterations driving gliomagenesis. Our data show that accumulation of a detectable level of mutant p53 proteins occurs first in neural stem cells in the subventricular zone (SVZ) and that subsequent expansion of mutant p53-expressing Olig2+ transit-amplifying progenitor-like cells in the SVZ-associated areas initiates glioma formation. © 2009 Elsevier Inc. All rights reserved.","author":[{"dropping-particle":"","family":"Wang","given":"Yuan","non-dropping-particle":"","parse-names":false,"suffix":""},{"dropping-particle":"","family":"Yang","given":"Jiong","non-dropping-particle":"","parse-names":false,"suffix":""},{"dropping-particle":"","family":"Zheng","given":"Huarui","non-dropping-particle":"","parse-names":false,"suffix":""},{"dropping-particle":"","family":"Tomasek","given":"Gerald J.","non-dropping-particle":"","parse-names":false,"suffix":""},{"dropping-particle":"","family":"Zhang","given":"Peng","non-dropping-particle":"","parse-names":false,"suffix":""},{"dropping-particle":"","family":"McKeever","given":"Paul E.","non-dropping-particle":"","parse-names":false,"suffix":""},{"dropping-particle":"","family":"Lee","given":"Eva Y.H.P.","non-dropping-particle":"","parse-names":false,"suffix":""},{"dropping-particle":"","family":"Zhu","given":"Yuan","non-dropping-particle":"","parse-names":false,"suffix":""}],"container-title":"Cancer Cell","id":"ITEM-2","issue":"6","issued":{"date-parts":[["2009","6","2"]]},"page":"514-526","publisher":"NIH Public Access","title":"Expression of Mutant p53 Proteins Implicates a Lineage Relationship between Neural Stem Cells and Malignant Astrocytic Glioma in a Murine Model","type":"article-journal","volume":"15"},"uris":["http://www.mendeley.com/documents/?uuid=46f4bddc-5e46-30f0-845f-5e005ca6f7d8"]}],"mendeley":{"formattedCitation":"&lt;sup&gt;143,144&lt;/sup&gt;","plainTextFormattedCitation":"143,144","previouslyFormattedCitation":"&lt;sup&gt;143,144&lt;/sup&gt;"},"properties":{"noteIndex":0},"schema":"https://github.com/citation-style-language/schema/raw/master/csl-citation.json"}</w:instrText>
      </w:r>
      <w:r w:rsidR="00C63257">
        <w:fldChar w:fldCharType="separate"/>
      </w:r>
      <w:r w:rsidR="00A47FB6" w:rsidRPr="00A47FB6">
        <w:rPr>
          <w:noProof/>
          <w:vertAlign w:val="superscript"/>
        </w:rPr>
        <w:t>143,144</w:t>
      </w:r>
      <w:r w:rsidR="00C63257">
        <w:fldChar w:fldCharType="end"/>
      </w:r>
      <w:r>
        <w:t xml:space="preserve">. </w:t>
      </w:r>
      <w:r w:rsidR="00504475">
        <w:t>V</w:t>
      </w:r>
      <w:r w:rsidR="005A59EC">
        <w:t> </w:t>
      </w:r>
      <w:r w:rsidR="00504475">
        <w:t>90</w:t>
      </w:r>
      <w:r w:rsidR="005A59EC">
        <w:t xml:space="preserve"> </w:t>
      </w:r>
      <w:r w:rsidR="00504475">
        <w:t>% případů je mutace genu</w:t>
      </w:r>
      <w:r w:rsidR="00504475" w:rsidRPr="005A59EC">
        <w:rPr>
          <w:i/>
          <w:iCs/>
        </w:rPr>
        <w:t xml:space="preserve"> TP53</w:t>
      </w:r>
      <w:r w:rsidR="00504475">
        <w:t xml:space="preserve"> doprovázena  mutací </w:t>
      </w:r>
      <w:r w:rsidR="00504475" w:rsidRPr="005A59EC">
        <w:rPr>
          <w:i/>
          <w:iCs/>
        </w:rPr>
        <w:t xml:space="preserve">IDH1 </w:t>
      </w:r>
      <w:r w:rsidR="00504475">
        <w:t>u nižších gradů gliomů</w:t>
      </w:r>
      <w:r w:rsidR="00504475">
        <w:fldChar w:fldCharType="begin" w:fldLock="1"/>
      </w:r>
      <w:r w:rsidR="00D745ED">
        <w:instrText>ADDIN CSL_CITATION {"citationItems":[{"id":"ITEM-1","itemData":{"DOI":"10.1016/j.cell.2013.09.034","ISSN":"10974172","PMID":"24120142","abstract":"We describe the landscape of somatic genomic alterations based on multidimensional and comprehensive characterization of more than 500 glioblastoma tumors (GBMs). We identify several novel mutated genes as well as complex rearrangements of signature receptors, including EGFR and PDGFRA. TERT promoter mutations areshown tocorrelate with elevated mRNA expression, supporting a role in telomerase reactivation. Correlative analyses confirm that the survival advantage of the proneural subtype is conferred by the G-CIMP phenotype, and MGMT DNA methylation may be a predictive biomarker for treatment response only in classical subtype GBM. Integrative analysis of genomic and proteomic profiles challenges the notion of therapeutic inhibition of a pathway as an alternative to inhibition of the target itself. These data will facilitate the discovery of therapeutic and diagnostic target candidates, the validation of research and clinical observations and the generation of unanticipated hypotheses that can advance our molecular understanding of this lethal cancer.","author":[{"dropping-particle":"","family":"Brennan","given":"Cameron W.","non-dropping-particle":"","parse-names":false,"suffix":""},{"dropping-particle":"","family":"Verhaak","given":"Roel G.W.","non-dropping-particle":"","parse-names":false,"suffix":""},{"dropping-particle":"","family":"McKenna","given":"Aaron","non-dropping-particle":"","parse-names":false,"suffix":""},{"dropping-particle":"","family":"Campos","given":"Benito","non-dropping-particle":"","parse-names":false,"suffix":""},{"dropping-particle":"","family":"Noushmehr","given":"Houtan","non-dropping-particle":"","parse-names":false,"suffix":""},{"dropping-particle":"","family":"Salama","given":"Sofie R.","non-dropping-particle":"","parse-names":false,"suffix":""},{"dropping-particle":"","family":"Zheng","given":"Siyuan","non-dropping-particle":"","parse-names":false,"suffix":""},{"dropping-particle":"","family":"Chakravarty","given":"Debyani","non-dropping-particle":"","parse-names":false,"suffix":""},{"dropping-particle":"","family":"Sanborn","given":"J. Zachary","non-dropping-particle":"","parse-names":false,"suffix":""},{"dropping-particle":"","family":"Berman","given":"Samuel H.","non-dropping-particle":"","parse-names":false,"suffix":""},{"dropping-particle":"","family":"Beroukhim","given":"Rameen","non-dropping-particle":"","parse-names":false,"suffix":""},{"dropping-particle":"","family":"Bernard","given":"Brady","non-dropping-particle":"","parse-names":false,"suffix":""},{"dropping-particle":"","family":"Wu","given":"Chang Jiun","non-dropping-particle":"","parse-names":false,"suffix":""},{"dropping-particle":"","family":"Genovese","given":"Giannicola","non-dropping-particle":"","parse-names":false,"suffix":""},{"dropping-particle":"","family":"Shmulevich","given":"Ilya","non-dropping-particle":"","parse-names":false,"suffix":""},{"dropping-particle":"","family":"Barnholtz-Sloan","given":"Jill","non-dropping-particle":"","parse-names":false,"suffix":""},{"dropping-particle":"","family":"Zou","given":"Lihua","non-dropping-particle":"","parse-names":false,"suffix":""},{"dropping-particle":"","family":"Vegesna","given":"Rahulsimham","non-dropping-particle":"","parse-names":false,"suffix":""},{"dropping-particle":"","family":"Shukla","given":"Sachet A.","non-dropping-particle":"","parse-names":false,"suffix":""},{"dropping-particle":"","family":"Ciriello","given":"Giovanni","non-dropping-particle":"","parse-names":false,"suffix":""},{"dropping-particle":"","family":"Yung","given":"W. K.","non-dropping-particle":"","parse-names":false,"suffix":""},{"dropping-particle":"","family":"Zhang","given":"Wei","non-dropping-particle":"","parse-names":false,"suffix":""},{"dropping-particle":"","family":"Sougnez","given":"Carrie","non-dropping-particle":"","parse-names":false,"suffix":""},{"dropping-particle":"","family":"Mikkelsen","given":"Tom","non-dropping-particle":"","parse-names":false,"suffix":""},{"dropping-particle":"","family":"Aldape","given":"Kenneth","non-dropping-particle":"","parse-names":false,"suffix":""},{"dropping-particle":"","family":"Bigner","given":"Darell D.","non-dropping-particle":"","parse-names":false,"suffix":""},{"dropping-particle":"","family":"Meir","given":"Erwin G.","non-dropping-particle":"Van","parse-names":false,"suffix":""},{"dropping-particle":"","family":"Prados","given":"Michael","non-dropping-particle":"","parse-names":false,"suffix":""},{"dropping-particle":"","family":"Sloan","given":"Andrew","non-dropping-particle":"","parse-names":false,"suffix":""},{"dropping-particle":"","family":"Black","given":"Keith L.","non-dropping-particle":"","parse-names":false,"suffix":""},{"dropping-particle":"","family":"Eschbacher","given":"Jennifer","non-dropping-particle":"","parse-names":false,"suffix":""},{"dropping-particle":"","family":"Finocchiaro","given":"Gaetano","non-dropping-particle":"","parse-names":false,"suffix":""},{"dropping-particle":"","family":"Friedman","given":"William","non-dropping-particle":"","parse-names":false,"suffix":""},{"dropping-particle":"","family":"Andrews","given":"David W.","non-dropping-particle":"","parse-names":false,"suffix":""},{"dropping-particle":"","family":"Guha","given":"Abhijit","non-dropping-particle":"","parse-names":false,"suffix":""},{"dropping-particle":"","family":"Iacocca","given":"Mary","non-dropping-particle":"","parse-names":false,"suffix":""},{"dropping-particle":"","family":"O'Neill","given":"Brian P.","non-dropping-particle":"","parse-names":false,"suffix":""},{"dropping-particle":"","family":"Foltz","given":"Greg","non-dropping-particle":"","parse-names":false,"suffix":""},{"dropping-particle":"","family":"Myers","given":"Jerome","non-dropping-particle":"","parse-names":false,"suffix":""},{"dropping-particle":"","family":"Weisenberger","given":"Daniel J.","non-dropping-particle":"","parse-names":false,"suffix":""},{"dropping-particle":"","family":"Penny","given":"Robert","non-dropping-particle":"","parse-names":false,"suffix":""},{"dropping-particle":"","family":"Kucherlapati","given":"Raju","non-dropping-particle":"","parse-names":false,"suffix":""},{"dropping-particle":"","family":"Perou","given":"Charles M.","non-dropping-particle":"","parse-names":false,"suffix":""},{"dropping-particle":"","family":"Hayes","given":"D. Neil","non-dropping-particle":"","parse-names":false,"suffix":""},{"dropping-particle":"","family":"Gibbs","given":"Richard","non-dropping-particle":"","parse-names":false,"suffix":""},{"dropping-particle":"","family":"Marra","given":"Marco","non-dropping-particle":"","parse-names":false,"suffix":""},{"dropping-particle":"","family":"Mills","given":"Gordon B.","non-dropping-particle":"","parse-names":false,"suffix":""},{"dropping-particle":"","family":"Lander","given":"Eric S.","non-dropping-particle":"","parse-names":false,"suffix":""},{"dropping-particle":"","family":"Spellman","given":"Paul","non-dropping-particle":"","parse-names":false,"suffix":""},{"dropping-particle":"","family":"Wilson","given":"Richard","non-dropping-particle":"","parse-names":false,"suffix":""},{"dropping-particle":"","family":"Sander","given":"Chris","non-dropping-particle":"","parse-names":false,"suffix":""},{"dropping-particle":"","family":"Weinstein","given":"John","non-dropping-particle":"","parse-names":false,"suffix":""},{"dropping-particle":"","family":"Meyerson","given":"Matthew","non-dropping-particle":"","parse-names":false,"suffix":""},{"dropping-particle":"","family":"Gabriel","given":"Stacey","non-dropping-particle":"","parse-names":false,"suffix":""},{"dropping-particle":"","family":"Laird","given":"Peter W.","non-dropping-particle":"","parse-names":false,"suffix":""},{"dropping-particle":"","family":"Haussler","given":"David","non-dropping-particle":"","parse-names":false,"suffix":""},{"dropping-particle":"","family":"Getz","given":"Gad","non-dropping-particle":"","parse-names":false,"suffix":""},{"dropping-particle":"","family":"Chin","given":"Lynda","non-dropping-particle":"","parse-names":false,"suffix":""},{"dropping-particle":"","family":"Benz","given":"Christopher","non-dropping-particle":"","parse-names":false,"suffix":""},{"dropping-particle":"","family":"Barrett","given":"Wendi","non-dropping-particle":"","parse-names":false,"suffix":""},{"dropping-particle":"","family":"Ostrom","given":"Quinn","non-dropping-particle":"","parse-names":false,"suffix":""},{"dropping-particle":"","family":"Wolinsky","given":"Yingli","non-dropping-particle":"","parse-names":false,"suffix":""},{"dropping-particle":"","family":"Bose","given":"Bikash","non-dropping-particle":"","parse-names":false,"suffix":""},{"dropping-particle":"","family":"Boulos","given":"Paul T.","non-dropping-particle":"","parse-names":false,"suffix":""},{"dropping-particle":"","family":"Boulos","given":"Madgy","non-dropping-particle":"","parse-names":false,"suffix":""},{"dropping-particle":"","family":"Brown","given":"Jenn","non-dropping-particle":"","parse-names":false,"suffix":""},{"dropping-particle":"","family":"Czerinski","given":"Christine","non-dropping-particle":"","parse-names":false,"suffix":""},{"dropping-particle":"","family":"Eppley","given":"Matthew","non-dropping-particle":"","parse-names":false,"suffix":""},{"dropping-particle":"","family":"Kempista","given":"Thelma","non-dropping-particle":"","parse-names":false,"suffix":""},{"dropping-particle":"","family":"Kitko","given":"Teresa","non-dropping-particle":"","parse-names":false,"suffix":""},{"dropping-particle":"","family":"Koyfman","given":"Yakov","non-dropping-particle":"","parse-names":false,"suffix":""},{"dropping-particle":"","family":"Rabeno","given":"Brenda","non-dropping-particle":"","parse-names":false,"suffix":""},{"dropping-particle":"","family":"Rastogi","given":"Pawan","non-dropping-particle":"","parse-names":false,"suffix":""},{"dropping-particle":"","family":"Sugarman","given":"Michael","non-dropping-particle":"","parse-names":false,"suffix":""},{"dropping-particle":"","family":"Swanson","given":"Patricia","non-dropping-particle":"","parse-names":false,"suffix":""},{"dropping-particle":"","family":"Yalamanchii","given":"Kennedy","non-dropping-particle":"","parse-names":false,"suffix":""},{"dropping-particle":"","family":"Otey","given":"Ilana P.","non-dropping-particle":"","parse-names":false,"suffix":""},{"dropping-particle":"","family":"Liu","given":"Yingchun Spring","non-dropping-particle":"","parse-names":false,"suffix":""},{"dropping-particle":"","family":"Xiao","given":"Yonghong","non-dropping-particle":"","parse-names":false,"suffix":""},{"dropping-particle":"","family":"Auman","given":"J. Todd","non-dropping-particle":"","parse-names":false,"suffix":""},{"dropping-particle":"","family":"Chen","given":"Peng Chieh","non-dropping-particle":"","parse-names":false,"suffix":""},{"dropping-particle":"","family":"Hadjipanayis","given":"Angela","non-dropping-particle":"","parse-names":false,"suffix":""},{"dropping-particle":"","family":"Lee","given":"Eunjung","non-dropping-particle":"","parse-names":false,"suffix":""},{"dropping-particle":"","family":"Lee","given":"Semin","non-dropping-particle":"","parse-names":false,"suffix":""},{"dropping-particle":"","family":"Park","given":"Peter J.","non-dropping-particle":"","parse-names":false,"suffix":""},{"dropping-particle":"","family":"Seidman","given":"Jonathan","non-dropping-particle":"","parse-names":false,"suffix":""},{"dropping-particle":"","family":"Yang","given":"Lixing","non-dropping-particle":"","parse-names":false,"suffix":""},{"dropping-particle":"","family":"Kalkanis","given":"Steven","non-dropping-particle":"","parse-names":false,"suffix":""},{"dropping-particle":"","family":"Poisson","given":"Laila M.","non-dropping-particle":"","parse-names":false,"suffix":""},{"dropping-particle":"","family":"Raghunathan","given":"Aditya","non-dropping-particle":"","parse-names":false,"suffix":""},{"dropping-particle":"","family":"Scarpace","given":"Lisa","non-dropping-particle":"","parse-names":false,"suffix":""},{"dropping-particle":"","family":"Bressler","given":"Ryan","non-dropping-particle":"","parse-names":false,"suffix":""},{"dropping-particle":"","family":"Eakin","given":"Andrea","non-dropping-particle":"","parse-names":false,"suffix":""},{"dropping-particle":"","family":"Iype","given":"Lisa","non-dropping-particle":"","parse-names":false,"suffix":""},{"dropping-particle":"","family":"Kreisberg","given":"Richard B.","non-dropping-particle":"","parse-names":false,"suffix":""},{"dropping-particle":"","family":"Leinonen","given":"Kalle","non-dropping-particle":"","parse-names":false,"suffix":""},{"dropping-particle":"","family":"Reynolds","given":"Sheila","non-dropping-particle":"","parse-names":false,"suffix":""},{"dropping-particle":"","family":"Rovira","given":"Hector","non-dropping-particle":"","parse-names":false,"suffix":""},{"dropping-particle":"","family":"Thorsson","given":"Vesteinn","non-dropping-particle":"","parse-names":false,"suffix":""},{"dropping-particle":"","family":"Annala","given":"Matti J.","non-dropping-particle":"","parse-names":false,"suffix":""},{"dropping-particle":"","family":"Paulauskis","given":"Joseph","non-dropping-particle":"","parse-names":false,"suffix":""},{"dropping-particle":"","family":"Curley","given":"Erin","non-dropping-particle":"","parse-names":false,"suffix":""},{"dropping-particle":"","family":"Hatfield","given":"Martha","non-dropping-particle":"","parse-names":false,"suffix":""},{"dropping-particle":"","family":"Mallery","given":"David","non-dropping-particle":"","parse-names":false,"suffix":""},{"dropping-particle":"","family":"Morris","given":"Scott","non-dropping-particle":"","parse-names":false,"suffix":""},{"dropping-particle":"","family":"Shelton","given":"Troy","non-dropping-particle":"","parse-names":false,"suffix":""},{"dropping-particle":"","family":"Shelton","given":"Candace","non-dropping-particle":"","parse-names":false,"suffix":""},{"dropping-particle":"","family":"Sherman","given":"Mark","non-dropping-particle":"","parse-names":false,"suffix":""},{"dropping-particle":"","family":"Yena","given":"Peggy","non-dropping-particle":"","parse-names":false,"suffix":""},{"dropping-particle":"","family":"Cuppini","given":"Lucia","non-dropping-particle":"","parse-names":false,"suffix":""},{"dropping-particle":"","family":"DiMeco","given":"Francesco","non-dropping-particle":"","parse-names":false,"suffix":""},{"dropping-particle":"","family":"Eoli","given":"Marica","non-dropping-particle":"","parse-names":false,"suffix":""},{"dropping-particle":"","family":"Maderna","given":"Emanuela","non-dropping-particle":"","parse-names":false,"suffix":""},{"dropping-particle":"","family":"Pollo","given":"Bianca","non-dropping-particle":"","parse-names":false,"suffix":""},{"dropping-particle":"","family":"Saini","given":"Marco","non-dropping-particle":"","parse-names":false,"suffix":""},{"dropping-particle":"","family":"Balu","given":"Saianand","non-dropping-particle":"","parse-names":false,"suffix":""},{"dropping-particle":"","family":"Hoadley","given":"Katherine A.","non-dropping-particle":"","parse-names":false,"suffix":""},{"dropping-particle":"","family":"Li","given":"Ling","non-dropping-particle":"","parse-names":false,"suffix":""},{"dropping-particle":"","family":"Miller","given":"C. Ryan","non-dropping-particle":"","parse-names":false,"suffix":""},{"dropping-particle":"","family":"Shi","given":"Yan","non-dropping-particle":"","parse-names":false,"suffix":""},{"dropping-particle":"","family":"Topal","given":"Michael D.","non-dropping-particle":"","parse-names":false,"suffix":""},{"dropping-particle":"","family":"Wu","given":"Junyuan","non-dropping-particle":"","parse-names":false,"suffix":""},{"dropping-particle":"","family":"Dunn","given":"Gavin","non-dropping-particle":"","parse-names":false,"suffix":""},{"dropping-particle":"","family":"Giannini","given":"Caterina","non-dropping-particle":"","parse-names":false,"suffix":""},{"dropping-particle":"","family":"Aksoy","given":"B. Arman","non-dropping-particle":"","parse-names":false,"suffix":""},{"dropping-particle":"","family":"Antipin","given":"Yevgeniy","non-dropping-particle":"","parse-names":false,"suffix":""},{"dropping-particle":"","family":"Borsu","given":"Laetitia","non-dropping-particle":"","parse-names":false,"suffix":""},{"dropping-particle":"","family":"Cerami","given":"Ethan","non-dropping-particle":"","parse-names":false,"suffix":""},{"dropping-particle":"","family":"Gao","given":"Jianjiong","non-dropping-particle":"","parse-names":false,"suffix":""},{"dropping-particle":"","family":"Gross","given":"Benjamin","non-dropping-particle":"","parse-names":false,"suffix":""},{"dropping-particle":"","family":"Jacobsen","given":"Anders","non-dropping-particle":"","parse-names":false,"suffix":""},{"dropping-particle":"","family":"Ladanyi","given":"Marc","non-dropping-particle":"","parse-names":false,"suffix":""},{"dropping-particle":"","family":"Lash","given":"Alex","non-dropping-particle":"","parse-names":false,"suffix":""},{"dropping-particle":"","family":"Liang","given":"Yupu","non-dropping-particle":"","parse-names":false,"suffix":""},{"dropping-particle":"","family":"Reva","given":"Boris","non-dropping-particle":"","parse-names":false,"suffix":""},{"dropping-particle":"","family":"Schultz","given":"Nikolaus","non-dropping-particle":"","parse-names":false,"suffix":""},{"dropping-particle":"","family":"Shen","given":"Ronglai","non-dropping-particle":"","parse-names":false,"suffix":""},{"dropping-particle":"","family":"Socci","given":"Nicholas D.","non-dropping-particle":"","parse-names":false,"suffix":""},{"dropping-particle":"","family":"Viale","given":"Agnes","non-dropping-particle":"","parse-names":false,"suffix":""},{"dropping-particle":"","family":"Ferguson","given":"Martin L.","non-dropping-particle":"","parse-names":false,"suffix":""},{"dropping-particle":"","family":"Chen","given":"Qing Rong","non-dropping-particle":"","parse-names":false,"suffix":""},{"dropping-particle":"","family":"Demchok","given":"John A.","non-dropping-particle":"","parse-names":false,"suffix":""},{"dropping-particle":"","family":"Dillon","given":"Laura A.L.","non-dropping-particle":"","parse-names":false,"suffix":""},{"dropping-particle":"","family":"Mills Shaw","given":"Kenna R.","non-dropping-particle":"","parse-names":false,"suffix":""},{"dropping-particle":"","family":"Sheth","given":"Margi","non-dropping-particle":"","parse-names":false,"suffix":""},{"dropping-particle":"","family":"Tarnuzzer","given":"Roy","non-dropping-particle":"","parse-names":false,"suffix":""},{"dropping-particle":"","family":"Wang","given":"Zhining","non-dropping-particle":"","parse-names":false,"suffix":""},{"dropping-particle":"","family":"Yang","given":"Liming","non-dropping-particle":"","parse-names":false,"suffix":""},{"dropping-particle":"","family":"Davidsen","given":"Tanja","non-dropping-particle":"","parse-names":false,"suffix":""},{"dropping-particle":"","family":"Guyer","given":"Mark S.","non-dropping-particle":"","parse-names":false,"suffix":""},{"dropping-particle":"","family":"Ozenberger","given":"Bradley A.","non-dropping-particle":"","parse-names":false,"suffix":""},{"dropping-particle":"","family":"Sofia","given":"Heidi J.","non-dropping-particle":"","parse-names":false,"suffix":""},{"dropping-particle":"","family":"Bergsten","given":"Julie","non-dropping-particle":"","parse-names":false,"suffix":""},{"dropping-particle":"","family":"Eckman","given":"John","non-dropping-particle":"","parse-names":false,"suffix":""},{"dropping-particle":"","family":"Harr","given":"Jodi","non-dropping-particle":"","parse-names":false,"suffix":""},{"dropping-particle":"","family":"Smith","given":"Christine","non-dropping-particle":"","parse-names":false,"suffix":""},{"dropping-particle":"","family":"Tucker","given":"Kelly","non-dropping-particle":"","parse-names":false,"suffix":""},{"dropping-particle":"","family":"Winemiller","given":"Cindy","non-dropping-particle":"","parse-names":false,"suffix":""},{"dropping-particle":"","family":"Zach","given":"Leigh Anne","non-dropping-particle":"","parse-names":false,"suffix":""},{"dropping-particle":"","family":"Ljubimova","given":"Julia Y.","non-dropping-particle":"","parse-names":false,"suffix":""},{"dropping-particle":"","family":"Eley","given":"Greg","non-dropping-particle":"","parse-names":false,"suffix":""},{"dropping-particle":"","family":"Ayala","given":"Brenda","non-dropping-particle":"","parse-names":false,"suffix":""},{"dropping-particle":"","family":"Jensen","given":"Mark A.","non-dropping-particle":"","parse-names":false,"suffix":""},{"dropping-particle":"","family":"Kahn","given":"Ari","non-dropping-particle":"","parse-names":false,"suffix":""},{"dropping-particle":"","family":"Pihl","given":"Todd D.","non-dropping-particle":"","parse-names":false,"suffix":""},{"dropping-particle":"","family":"Pot","given":"David A.","non-dropping-particle":"","parse-names":false,"suffix":""},{"dropping-particle":"","family":"Wan","given":"Yunhu","non-dropping-particle":"","parse-names":false,"suffix":""},{"dropping-particle":"","family":"Hansen","given":"Nathan","non-dropping-particle":"","parse-names":false,"suffix":""},{"dropping-particle":"","family":"Hothi","given":"Parvi","non-dropping-particle":"","parse-names":false,"suffix":""},{"dropping-particle":"","family":"Lin","given":"Biaoyang","non-dropping-particle":"","parse-names":false,"suffix":""},{"dropping-particle":"","family":"Shah","given":"Nameeta","non-dropping-particle":"","parse-names":false,"suffix":""},{"dropping-particle":"","family":"Yoon","given":"Jae Geun","non-dropping-particle":"","parse-names":false,"suffix":""},{"dropping-particle":"","family":"Lau","given":"Ching","non-dropping-particle":"","parse-names":false,"suffix":""},{"dropping-particle":"","family":"Berens","given":"Michael","non-dropping-particle":"","parse-names":false,"suffix":""},{"dropping-particle":"","family":"Ardlie","given":"Kristin","non-dropping-particle":"","parse-names":false,"suffix":""},{"dropping-particle":"","family":"Carter","given":"Scott L.","non-dropping-particle":"","parse-names":false,"suffix":""},{"dropping-particle":"","family":"Cherniack","given":"Andrew D.","non-dropping-particle":"","parse-names":false,"suffix":""},{"dropping-particle":"","family":"Noble","given":"Mike","non-dropping-particle":"","parse-names":false,"suffix":""},{"dropping-particle":"","family":"Cho","given":"Juok","non-dropping-particle":"","parse-names":false,"suffix":""},{"dropping-particle":"","family":"Cibulskis","given":"Kristian","non-dropping-particle":"","parse-names":false,"suffix":""},{"dropping-particle":"","family":"DiCara","given":"Daniel","non-dropping-particle":"","parse-names":false,"suffix":""},{"dropping-particle":"","family":"Frazer","given":"Scott","non-dropping-particle":"","parse-names":false,"suffix":""},{"dropping-particle":"","family":"Gabriel","given":"Stacey B.","non-dropping-particle":"","parse-names":false,"suffix":""},{"dropping-particle":"","family":"Gehlenborg","given":"Nils","non-dropping-particle":"","parse-names":false,"suffix":""},{"dropping-particle":"","family":"Gentry","given":"Jeff","non-dropping-particle":"","parse-names":false,"suffix":""},{"dropping-particle":"","family":"Heiman","given":"David","non-dropping-particle":"","parse-names":false,"suffix":""},{"dropping-particle":"","family":"Kim","given":"Jaegil","non-dropping-particle":"","parse-names":false,"suffix":""},{"dropping-particle":"","family":"Jing","given":"Rui","non-dropping-particle":"","parse-names":false,"suffix":""},{"dropping-particle":"","family":"Lawrence","given":"Michael","non-dropping-particle":"","parse-names":false,"suffix":""},{"dropping-particle":"","family":"Lin","given":"Pei","non-dropping-particle":"","parse-names":false,"suffix":""},{"dropping-particle":"","family":"Mallard","given":"Will","non-dropping-particle":"","parse-names":false,"suffix":""},{"dropping-particle":"","family":"Onofrio","given":"Robert C.","non-dropping-particle":"","parse-names":false,"suffix":""},{"dropping-particle":"","family":"Saksena","given":"Gordon","non-dropping-particle":"","parse-names":false,"suffix":""},{"dropping-particle":"","family":"Schumacher","given":"Steve","non-dropping-particle":"","parse-names":false,"suffix":""},{"dropping-particle":"","family":"Stojanov","given":"Petar","non-dropping-particle":"","parse-names":false,"suffix":""},{"dropping-particle":"","family":"Tabak","given":"Barbara","non-dropping-particle":"","parse-names":false,"suffix":""},{"dropping-particle":"","family":"Voet","given":"Doug","non-dropping-particle":"","parse-names":false,"suffix":""},{"dropping-particle":"","family":"Zhang","given":"Hailei","non-dropping-particle":"","parse-names":false,"suffix":""},{"dropping-particle":"","family":"Dees","given":"Nathan N.","non-dropping-particle":"","parse-names":false,"suffix":""},{"dropping-particle":"","family":"Ding","given":"Li","non-dropping-particle":"","parse-names":false,"suffix":""},{"dropping-particle":"","family":"Fulton","given":"Lucinda L.","non-dropping-particle":"","parse-names":false,"suffix":""},{"dropping-particle":"","family":"Fulton","given":"Robert S.","non-dropping-particle":"","parse-names":false,"suffix":""},{"dropping-particle":"","family":"Kanchi","given":"Krishna Latha","non-dropping-particle":"","parse-names":false,"suffix":""},{"dropping-particle":"","family":"Mardis","given":"Elaine R.","non-dropping-particle":"","parse-names":false,"suffix":""},{"dropping-particle":"","family":"Wilson","given":"Richard K.","non-dropping-particle":"","parse-names":false,"suffix":""},{"dropping-particle":"","family":"Baylin","given":"Stephen B.","non-dropping-particle":"","parse-names":false,"suffix":""},{"dropping-particle":"","family":"Harshyne","given":"Larry","non-dropping-particle":"","parse-names":false,"suffix":""},{"dropping-particle":"","family":"Cohen","given":"Mark L.","non-dropping-particle":"","parse-names":false,"suffix":""},{"dropping-particle":"","family":"Devine","given":"Karen","non-dropping-particle":"","parse-names":false,"suffix":""},{"dropping-particle":"","family":"Sloan","given":"Andrew E.","non-dropping-particle":"","parse-names":false,"suffix":""},{"dropping-particle":"","family":"Berg","given":"Scott R.","non-dropping-particle":"Van Den","parse-names":false,"suffix":""},{"dropping-particle":"","family":"Berger","given":"Mitchel S.","non-dropping-particle":"","parse-names":false,"suffix":""},{"dropping-particle":"","family":"Carlin","given":"Daniel","non-dropping-particle":"","parse-names":false,"suffix":""},{"dropping-particle":"","family":"Craft","given":"Brian","non-dropping-particle":"","parse-names":false,"suffix":""},{"dropping-particle":"","family":"Ellrott","given":"Kyle","non-dropping-particle":"","parse-names":false,"suffix":""},{"dropping-particle":"","family":"Goldman","given":"Mary","non-dropping-particle":"","parse-names":false,"suffix":""},{"dropping-particle":"","family":"Goldstein","given":"Theodore","non-dropping-particle":"","parse-names":false,"suffix":""},{"dropping-particle":"","family":"Grifford","given":"Mia","non-dropping-particle":"","parse-names":false,"suffix":""},{"dropping-particle":"","family":"Ma","given":"Singer","non-dropping-particle":"","parse-names":false,"suffix":""},{"dropping-particle":"","family":"Ng","given":"Sam","non-dropping-particle":"","parse-names":false,"suffix":""},{"dropping-particle":"","family":"Stuart","given":"Joshua","non-dropping-particle":"","parse-names":false,"suffix":""},{"dropping-particle":"","family":"Swatloski","given":"Teresa","non-dropping-particle":"","parse-names":false,"suffix":""},{"dropping-particle":"","family":"Waltman","given":"Peter","non-dropping-particle":"","parse-names":false,"suffix":""},{"dropping-particle":"","family":"Zhu","given":"Jing","non-dropping-particle":"","parse-names":false,"suffix":""},{"dropping-particle":"","family":"Foss","given":"Robin","non-dropping-particle":"","parse-names":false,"suffix":""},{"dropping-particle":"","family":"Frentzen","given":"Barbara","non-dropping-particle":"","parse-names":false,"suffix":""},{"dropping-particle":"","family":"McTiernan","given":"Raquel","non-dropping-particle":"","parse-names":false,"suffix":""},{"dropping-particle":"","family":"Yachnis","given":"Anthony","non-dropping-particle":"","parse-names":false,"suffix":""},{"dropping-particle":"","family":"Mao","given":"Yong","non-dropping-particle":"","parse-names":false,"suffix":""},{"dropping-particle":"","family":"Akbani","given":"Rehan","non-dropping-particle":"","parse-names":false,"suffix":""},{"dropping-particle":"","family":"Bogler","given":"Oliver","non-dropping-particle":"","parse-names":false,"suffix":""},{"dropping-particle":"","family":"Fuller","given":"Gregory N.","non-dropping-particle":"","parse-names":false,"suffix":""},{"dropping-particle":"","family":"Liu","given":"Wenbin","non-dropping-particle":"","parse-names":false,"suffix":""},{"dropping-particle":"","family":"Liu","given":"Yuexin","non-dropping-particle":"","parse-names":false,"suffix":""},{"dropping-particle":"","family":"Lu","given":"Yiling","non-dropping-particle":"","parse-names":false,"suffix":""},{"dropping-particle":"","family":"Protopopov","given":"Alexei","non-dropping-particle":"","parse-names":false,"suffix":""},{"dropping-particle":"","family":"Ren","given":"Xiaojia","non-dropping-particle":"","parse-names":false,"suffix":""},{"dropping-particle":"","family":"Sun","given":"Youting","non-dropping-particle":"","parse-names":false,"suffix":""},{"dropping-particle":"","family":"Yung","given":"W. K.Alfred","non-dropping-particle":"","parse-names":false,"suffix":""},{"dropping-particle":"","family":"Zhang","given":"Jianhua","non-dropping-particle":"","parse-names":false,"suffix":""},{"dropping-particle":"","family":"Chen","given":"Ken","non-dropping-particle":"","parse-names":false,"suffix":""},{"dropping-particle":"","family":"Weinstein","given":"John N.","non-dropping-particle":"","parse-names":false,"suffix":""},{"dropping-particle":"","family":"Bootwalla","given":"Moiz S.","non-dropping-particle":"","parse-names":false,"suffix":""},{"dropping-particle":"","family":"Lai","given":"Phillip H.","non-dropping-particle":"","parse-names":false,"suffix":""},{"dropping-particle":"","family":"Triche","given":"Timothy J.","non-dropping-particle":"","parse-names":false,"suffix":""},{"dropping-particle":"","family":"Berg","given":"David J.","non-dropping-particle":"Van Den","parse-names":false,"suffix":""},{"dropping-particle":"","family":"Gutmann","given":"David H.","non-dropping-particle":"","parse-names":false,"suffix":""},{"dropping-particle":"","family":"Lehman","given":"Norman L.","non-dropping-particle":"","parse-names":false,"suffix":""},{"dropping-particle":"","family":"Brat","given":"Daniel","non-dropping-particle":"","parse-names":false,"suffix":""},{"dropping-particle":"","family":"Olson","given":"Jeffrey J.","non-dropping-particle":"","parse-names":false,"suffix":""},{"dropping-particle":"","family":"Mastrogianakis","given":"Gena M.","non-dropping-particle":"","parse-names":false,"suffix":""},{"dropping-particle":"","family":"Devi","given":"Narra S.","non-dropping-particle":"","parse-names":false,"suffix":""},{"dropping-particle":"","family":"Zhang","given":"Zhaobin","non-dropping-particle":"","parse-names":false,"suffix":""},{"dropping-particle":"","family":"Lipp","given":"Eric","non-dropping-particle":"","parse-names":false,"suffix":""},{"dropping-particle":"","family":"McLendon","given":"Roger","non-dropping-particle":"","parse-names":false,"suffix":""}],"container-title":"Cell","id":"ITEM-1","issue":"2","issued":{"date-parts":[["2013","10","10"]]},"page":"462","publisher":"Cell Press","title":"The somatic genomic landscape of glioblastoma","type":"article-journal","volume":"155"},"uris":["http://www.mendeley.com/documents/?uuid=7934a658-3437-333f-9dd9-6d686ba002f0"]}],"mendeley":{"formattedCitation":"&lt;sup&gt;145&lt;/sup&gt;","plainTextFormattedCitation":"145","previouslyFormattedCitation":"&lt;sup&gt;145&lt;/sup&gt;"},"properties":{"noteIndex":0},"schema":"https://github.com/citation-style-language/schema/raw/master/csl-citation.json"}</w:instrText>
      </w:r>
      <w:r w:rsidR="00504475">
        <w:fldChar w:fldCharType="separate"/>
      </w:r>
      <w:r w:rsidR="00A47FB6" w:rsidRPr="00A47FB6">
        <w:rPr>
          <w:noProof/>
          <w:vertAlign w:val="superscript"/>
        </w:rPr>
        <w:t>145</w:t>
      </w:r>
      <w:r w:rsidR="00504475">
        <w:fldChar w:fldCharType="end"/>
      </w:r>
      <w:r w:rsidR="00F044A2">
        <w:t>.</w:t>
      </w:r>
    </w:p>
    <w:p w14:paraId="5C848EC1" w14:textId="646571D4" w:rsidR="00F044A2" w:rsidRDefault="00F044A2" w:rsidP="00EC4DAF">
      <w:pPr>
        <w:pStyle w:val="Odstavecseseznamem"/>
        <w:ind w:left="0"/>
        <w:jc w:val="both"/>
      </w:pPr>
    </w:p>
    <w:p w14:paraId="66ACB468" w14:textId="05ACF5FC" w:rsidR="00997A53" w:rsidRDefault="00F044A2" w:rsidP="00EC4DAF">
      <w:pPr>
        <w:pStyle w:val="Odstavecseseznamem"/>
        <w:ind w:left="0"/>
        <w:jc w:val="both"/>
      </w:pPr>
      <w:r>
        <w:t xml:space="preserve">Mutace </w:t>
      </w:r>
      <w:r w:rsidR="005A59EC" w:rsidRPr="009D7D66">
        <w:rPr>
          <w:i/>
          <w:iCs/>
        </w:rPr>
        <w:t>TP</w:t>
      </w:r>
      <w:r w:rsidRPr="009D7D66">
        <w:rPr>
          <w:i/>
          <w:iCs/>
        </w:rPr>
        <w:t>53</w:t>
      </w:r>
      <w:r>
        <w:t xml:space="preserve"> jsou doporučovány dle WHO 2016 sekvenovat</w:t>
      </w:r>
      <w:r w:rsidR="0009161F">
        <w:t xml:space="preserve">, popřípadě lze využít </w:t>
      </w:r>
      <w:r>
        <w:t xml:space="preserve">PCR metod. </w:t>
      </w:r>
      <w:r w:rsidR="0009161F">
        <w:t>Pro</w:t>
      </w:r>
      <w:r w:rsidR="00883E7C">
        <w:t> </w:t>
      </w:r>
      <w:r w:rsidR="0009161F">
        <w:t>detekci delecí tohoto genu lze použít</w:t>
      </w:r>
      <w:r>
        <w:t xml:space="preserve"> </w:t>
      </w:r>
      <w:r w:rsidR="0009161F">
        <w:t xml:space="preserve">cytogenetickou techniku </w:t>
      </w:r>
      <w:r>
        <w:t>fluorescenční</w:t>
      </w:r>
      <w:r w:rsidR="0009161F">
        <w:t xml:space="preserve"> </w:t>
      </w:r>
      <w:r w:rsidR="0009161F" w:rsidRPr="0009161F">
        <w:rPr>
          <w:i/>
          <w:iCs/>
        </w:rPr>
        <w:t>in situ</w:t>
      </w:r>
      <w:r w:rsidR="0009161F">
        <w:t xml:space="preserve"> hybridizace a pro sledování aberací proteinu se využívá imunohistochemické stanovení</w:t>
      </w:r>
      <w:r w:rsidR="0009161F">
        <w:fldChar w:fldCharType="begin" w:fldLock="1"/>
      </w:r>
      <w:r w:rsidR="00D745ED">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summary","type":"article-journal","volume":"131"},"uris":["http://www.mendeley.com/documents/?uuid=8af243f0-550f-447e-814c-6fb570c155aa"]},{"id":"ITEM-2","itemData":{"DOI":"10.1111/bpa.12173","ISSN":"17503639","PMID":"25040820","abstract":"The association between p53 immunohistochemistry and TP53 mutation status has been controversial. The present study aims to re-evaluate the efficacy of p53 immunohistochemistry to predict the mutational status of TP53. A total of 157 diffuse gliomas (World Health Organization grades II-IV) were assessed by exon-by-exon DNA sequencing from exon 4 through 10 of TP53 using frozen tissue samples. Immunohistochemistry with a p53 antibody (DO-7) on paired formalin-fixed paraffin-embedded materials was assessed for the extent and intensity of reactivity in all cases. A total of 72 mutations were detected in 66 samples. They included 60 missense mutations, five nonsense mutations, four deletions and three alterations in the splicing sites. A receiver operating characteristic curve analysis revealed that strong p53 immunoreactivity in more than 10% of cells provided the most accurate prediction of mutation. Using this cutoff value, 52 of 55 immunopositive cases harbored a mutation, whereas only 14 of 102 immunonegative cases showed mutations, sensitivity and specificity being 78.8% and 96.7%. Tumors with frameshift mutations frequently showed negative immunostaining. Staining interpretation by an independent observer yielded comparable accuracy. We thus propose p53 immunohistochemistry as a moderately sensitive and highly specific marker to predict TP53 mutation.","author":[{"dropping-particle":"","family":"Takami","given":"Hirokazu","non-dropping-particle":"","parse-names":false,"suffix":""},{"dropping-particle":"","family":"Yoshida","given":"Akihiko","non-dropping-particle":"","parse-names":false,"suffix":""},{"dropping-particle":"","family":"Fukushima","given":"Shintaro","non-dropping-particle":"","parse-names":false,"suffix":""},{"dropping-particle":"","family":"Arita","given":"Hideyuki","non-dropping-particle":"","parse-names":false,"suffix":""},{"dropping-particle":"","family":"Matsushita","given":"Yuko","non-dropping-particle":"","parse-names":false,"suffix":""},{"dropping-particle":"","family":"Nakamura","given":"Taishi","non-dropping-particle":"","parse-names":false,"suffix":""},{"dropping-particle":"","family":"Ohno","given":"Makoto","non-dropping-particle":"","parse-names":false,"suffix":""},{"dropping-particle":"","family":"Miyakita","given":"Yasuji","non-dropping-particle":"","parse-names":false,"suffix":""},{"dropping-particle":"","family":"Shibui","given":"Soichiro","non-dropping-particle":"","parse-names":false,"suffix":""},{"dropping-particle":"","family":"Narita","given":"Yoshitaka","non-dropping-particle":"","parse-names":false,"suffix":""},{"dropping-particle":"","family":"Ichimura","given":"Koichi","non-dropping-particle":"","parse-names":false,"suffix":""}],"container-title":"Brain Pathology","id":"ITEM-2","issue":"3","issued":{"date-parts":[["2015","5","1"]]},"page":"256-265","publisher":"Blackwell Publishing Ltd","title":"Revisiting TP53 mutations and immunohistochemistry - A comparative study in 157 diffuse gliomas","type":"paper-conference","volume":"25"},"uris":["http://www.mendeley.com/documents/?uuid=a4ff3d9b-7216-3694-ab60-8b2adbe27098"]},{"id":"ITEM-3","itemData":{"DOI":"10.1101/cshperspect.a026179","ISSN":"21571422","PMID":"27503997","abstract":"Amid the complexity of genetic alterations in human cancer, TP53 mutation appears as an almost invariant component, representing by far the most frequent genetic alteration overall. Compared with previous targeted sequencing studies, recent integrated genomics studies offer a less biased view of TP53 mutation patterns, revealing that &gt;20% of mutations occur outside the DNA-binding domain. Among the 12 mutations representing each at least 1% of all mutations, five occur at residues directly involved in specificDNA binding, four affect the tertiary fold of the DNA-binding domain, and three are nonsense mutations, two of them in the carboxyl terminus. Significant mutations also occur in introns, affecting alternative splicing events or generating rearrangements (e.g., in intron 1 in sporadic osteosarcoma). In aggressive cancers, mutation is so common that it may not have prognostic value (all these cancers have impaired p53 function caused by mutation or by other mechanisms). In several other cancers, however, mutation makes a clear difference for prognostication, as, for example, in HER2-enriched breast cancers and in lung adenocarcinoma with EGFR mutations. Thus, the clinical significance of TP53 mutation is dependent on tumor subtype and context. Understanding the clinical impact of mutation will require integrating mutationspecific information (type, frequency, and predicted impact) with data on haplotypes and on loss of heterozygosity.","author":[{"dropping-particle":"","family":"Hainaut","given":"Pierre","non-dropping-particle":"","parse-names":false,"suffix":""},{"dropping-particle":"","family":"Pfeifer","given":"Gerd P.","non-dropping-particle":"","parse-names":false,"suffix":""}],"container-title":"Cold Spring Harbor Perspectives in Medicine","id":"ITEM-3","issue":"11","issued":{"date-parts":[["2016","11","1"]]},"publisher":"Cold Spring Harbor Laboratory Press","title":"Somatic TP53 mutations in the era of genome sequencing","type":"article-journal","volume":"6"},"uris":["http://www.mendeley.com/documents/?uuid=09d30f11-351d-34d5-8512-55fb74f6961f"]}],"mendeley":{"formattedCitation":"&lt;sup&gt;12,146,147&lt;/sup&gt;","plainTextFormattedCitation":"12,146,147","previouslyFormattedCitation":"&lt;sup&gt;12,146,147&lt;/sup&gt;"},"properties":{"noteIndex":0},"schema":"https://github.com/citation-style-language/schema/raw/master/csl-citation.json"}</w:instrText>
      </w:r>
      <w:r w:rsidR="0009161F">
        <w:fldChar w:fldCharType="separate"/>
      </w:r>
      <w:r w:rsidR="00A47FB6" w:rsidRPr="00A47FB6">
        <w:rPr>
          <w:noProof/>
          <w:vertAlign w:val="superscript"/>
        </w:rPr>
        <w:t>12,146,147</w:t>
      </w:r>
      <w:r w:rsidR="0009161F">
        <w:fldChar w:fldCharType="end"/>
      </w:r>
      <w:r w:rsidR="0009161F">
        <w:t xml:space="preserve">.  </w:t>
      </w:r>
    </w:p>
    <w:p w14:paraId="1CD9CE1A" w14:textId="77777777" w:rsidR="00997A53" w:rsidRDefault="00997A53" w:rsidP="00EC4DAF">
      <w:pPr>
        <w:pStyle w:val="Odstavecseseznamem"/>
        <w:ind w:left="0"/>
        <w:jc w:val="both"/>
      </w:pPr>
    </w:p>
    <w:p w14:paraId="080A8EEB" w14:textId="04F6CABE" w:rsidR="00997A53" w:rsidRDefault="00A344B6" w:rsidP="00A92FFD">
      <w:pPr>
        <w:pStyle w:val="Nadpis4"/>
      </w:pPr>
      <w:bookmarkStart w:id="50" w:name="_Toc88741475"/>
      <w:r>
        <w:t xml:space="preserve">Mutace genu </w:t>
      </w:r>
      <w:r w:rsidR="00787064" w:rsidRPr="00292239">
        <w:rPr>
          <w:i/>
        </w:rPr>
        <w:t>MDM2</w:t>
      </w:r>
      <w:bookmarkEnd w:id="50"/>
    </w:p>
    <w:p w14:paraId="606E693D" w14:textId="158109BD" w:rsidR="00AD73C1" w:rsidRDefault="00AF2AC9" w:rsidP="00EC4DAF">
      <w:pPr>
        <w:pStyle w:val="Odstavecseseznamem"/>
        <w:ind w:left="0"/>
        <w:jc w:val="both"/>
      </w:pPr>
      <w:r w:rsidRPr="00997A53">
        <w:t xml:space="preserve">Gen </w:t>
      </w:r>
      <w:r w:rsidRPr="009D7D66">
        <w:rPr>
          <w:i/>
          <w:iCs/>
        </w:rPr>
        <w:t>MDM2</w:t>
      </w:r>
      <w:r w:rsidRPr="00997A53">
        <w:t xml:space="preserve"> je lokalizován v chromozomální oblasti 12q13-14 </w:t>
      </w:r>
      <w:r w:rsidR="004942D9" w:rsidRPr="00997A53">
        <w:t>a jeho funkce je založena na inhibici tumor</w:t>
      </w:r>
      <w:r w:rsidR="0009161F" w:rsidRPr="00997A53">
        <w:t xml:space="preserve"> </w:t>
      </w:r>
      <w:r w:rsidR="004942D9" w:rsidRPr="00997A53">
        <w:t xml:space="preserve">supresorového proteinu p53.  </w:t>
      </w:r>
      <w:r w:rsidR="00997A53" w:rsidRPr="00997A53">
        <w:t>MDM2 je znám pod názvem E3 ubiquitin-protein ligáza MDM2</w:t>
      </w:r>
      <w:r w:rsidR="00997A53">
        <w:t xml:space="preserve">, která se váže na p53 a blokuje tedy jeho aktivitu. Na druhou stranu je transktripce </w:t>
      </w:r>
      <w:r w:rsidR="00997A53" w:rsidRPr="009D7D66">
        <w:rPr>
          <w:i/>
          <w:iCs/>
        </w:rPr>
        <w:t>MDM2</w:t>
      </w:r>
      <w:r w:rsidR="00997A53">
        <w:t xml:space="preserve"> indukována pomocí p53, což vytváří zpětnovazebnou smyčku mezi aktivitou p53 a expresí MDM2. Amplifikace </w:t>
      </w:r>
      <w:r w:rsidR="00997A53" w:rsidRPr="009D7D66">
        <w:rPr>
          <w:i/>
          <w:iCs/>
        </w:rPr>
        <w:t>MDM2</w:t>
      </w:r>
      <w:r w:rsidR="00997A53">
        <w:t xml:space="preserve"> vede k inaktivaci p53 a tím vypnutí mechanizmů bránících rozvoji onkogeneze</w:t>
      </w:r>
      <w:r w:rsidR="00AD73C1">
        <w:fldChar w:fldCharType="begin" w:fldLock="1"/>
      </w:r>
      <w:r w:rsidR="00D745ED">
        <w:instrText>ADDIN CSL_CITATION {"citationItems":[{"id":"ITEM-1","itemData":{"DOI":"10.1007/s13277-013-0871-3","ISSN":"10104283","PMID":"23737287","abstract":"Glioblastoma multiforme (GBM) is the most common primary malignancy in the brain and confers a uniformly poor prognosis. Despite decades of research on the topic, limited progress has been made to improve the poor survival associated with this disease. GBM arises de novo (primary GBM) or via dedifferentiation of lower grade glioma (secondary GBM). While distinct mutations are predominant in each subtype, alterations of tumor suppressor p53 are the most common, seen in 25-30 % of primary GBM and 60-70 % of secondary GBM. Various roles of p53 that protect against neoplastic transformation include modulation of cell cycle, DNA repair, apoptosis, senescence, angiogenesis, and metabolism, resulting in an extremely complex signaling network. Mutations of p53 in GBM are most common in the DNA-binding domain, namely within six hotspot mutation sites (codons 175, 245, 248, 249, 273, and 282). These alterations generally result in loss-of-function, gain-of-function, and dominant-negative mutational effects for p53, however, the distinct effect of these mutation types in GBM pathogenesis remain unclear. Signaling alterations downstream from p53 (e.g., MDM2, MDM4, INK4/ARF), p53 isoforms (e.g., p63, p73), and microRNAs (e.g., miR-34) also play critical roles in modulating the p53 pathway. Despite novel mouse models of GBM showing that p53 combined with other mutation generate tumors de novo, the role of p53 as a molecular marker of GBM remains controversial with most studies failing to show an association with prognosis. Regarding treatment in GBM, p53 targeted-gene therapy and vaccinations have reached phase I clinical trials while therapeutic drugs are still in preclinical development. This review aims to discuss the most recent findings regarding the impact of p53 mutations on GBM pathogenesis, prognosis, and treatment. © 2013 International Society of Oncology and BioMarkers (ISOBM).","author":[{"dropping-particle":"","family":"England","given":"Bryant","non-dropping-particle":"","parse-names":false,"suffix":""},{"dropping-particle":"","family":"Huang","given":"Tiangui","non-dropping-particle":"","parse-names":false,"suffix":""},{"dropping-particle":"","family":"Karsy","given":"Michael","non-dropping-particle":"","parse-names":false,"suffix":""}],"container-title":"Tumor Biology","id":"ITEM-1","issue":"4","issued":{"date-parts":[["2013","8"]]},"page":"2063-2074","publisher":"Tumour Biol","title":"Current understanding of the role and targeting of tumor suppressor p53 in glioblastoma multiforme","type":"article","volume":"34"},"uris":["http://www.mendeley.com/documents/?uuid=f4c19a91-bbc4-36b0-832b-92d551e648dd"]}],"mendeley":{"formattedCitation":"&lt;sup&gt;141&lt;/sup&gt;","plainTextFormattedCitation":"141","previouslyFormattedCitation":"&lt;sup&gt;141&lt;/sup&gt;"},"properties":{"noteIndex":0},"schema":"https://github.com/citation-style-language/schema/raw/master/csl-citation.json"}</w:instrText>
      </w:r>
      <w:r w:rsidR="00AD73C1">
        <w:fldChar w:fldCharType="separate"/>
      </w:r>
      <w:r w:rsidR="00A47FB6" w:rsidRPr="00A47FB6">
        <w:rPr>
          <w:noProof/>
          <w:vertAlign w:val="superscript"/>
        </w:rPr>
        <w:t>141</w:t>
      </w:r>
      <w:r w:rsidR="00AD73C1">
        <w:fldChar w:fldCharType="end"/>
      </w:r>
      <w:r w:rsidR="00997A53">
        <w:t>.</w:t>
      </w:r>
      <w:r w:rsidR="00AD73C1">
        <w:t xml:space="preserve"> </w:t>
      </w:r>
      <w:r w:rsidR="00A877F3">
        <w:t>Kromě vlivu na gliomagenezi, má MDM2 vliv na normální rozvoj centrální nervové soustavy</w:t>
      </w:r>
      <w:r w:rsidR="00A877F3">
        <w:fldChar w:fldCharType="begin" w:fldLock="1"/>
      </w:r>
      <w:r w:rsidR="00D745ED">
        <w:instrText>ADDIN CSL_CITATION {"citationItems":[{"id":"ITEM-1","itemData":{"DOI":"10.1073/pnas.0508500103","ISSN":"00278424","PMID":"16492743","abstract":"Loss of Mdm2 or Mdm4 leads to embryo lethal phenotypes that are p53-dependent. To determine whether Mdm2 and Mdm4 inhibit p53 function redundantly in a more restricted cell type, conditional alleles were crossed to a neuronal specific Cre transgene to delete Mdm2 and Mdm4 in the CNS. Mice lacking Mdm2 in the CNS developed hydranencephaly at embryonic day 12.5 due to apoptosis, whereas Mdm4 deletion showed a proencephaly phenotype at embryonic day 17.5 because of cell cycle arrest and apoptosis. The deletion of both genes, strikingly, contributed to an even earlier and more severe CNS phenotype. Additionally, Mdm2 and Mdm4 had a gene dosage effect, because loss of three of the four Mdm alleles also showed a more accelerated CNS phenotype than deletion of either gene alone. All phenotypes were rescued by deletion of p53. Thus, these in vivo data demonstrate the importance of Mdm4 independent of Mdm2 in inhibition of p53. © 2006 by The National Academy of Sciences of the USA.","author":[{"dropping-particle":"","family":"Xiong","given":"Shunbin","non-dropping-particle":"","parse-names":false,"suffix":""},{"dropping-particle":"","family":"Pelt","given":"Carolyn S.","non-dropping-particle":"Van","parse-names":false,"suffix":""},{"dropping-particle":"","family":"Elizondo-Fraire","given":"Ana C.","non-dropping-particle":"","parse-names":false,"suffix":""},{"dropping-particle":"","family":"Liu","given":"Geng","non-dropping-particle":"","parse-names":false,"suffix":""},{"dropping-particle":"","family":"Lozano","given":"Guillermina","non-dropping-particle":"","parse-names":false,"suffix":""}],"container-title":"Proceedings of the National Academy of Sciences of the United States of America","id":"ITEM-1","issue":"9","issued":{"date-parts":[["2006","2","28"]]},"page":"3226-3231","publisher":"Proc Natl Acad Sci U S A","title":"Synergistic roles of Mdm2 and Mdm4 for p53 inhibition in central nervous system development","type":"article-journal","volume":"103"},"uris":["http://www.mendeley.com/documents/?uuid=eeaa5452-55c3-3c7f-9850-eb7c9567a8c8"]}],"mendeley":{"formattedCitation":"&lt;sup&gt;148&lt;/sup&gt;","plainTextFormattedCitation":"148","previouslyFormattedCitation":"&lt;sup&gt;148&lt;/sup&gt;"},"properties":{"noteIndex":0},"schema":"https://github.com/citation-style-language/schema/raw/master/csl-citation.json"}</w:instrText>
      </w:r>
      <w:r w:rsidR="00A877F3">
        <w:fldChar w:fldCharType="separate"/>
      </w:r>
      <w:r w:rsidR="00A47FB6" w:rsidRPr="00A47FB6">
        <w:rPr>
          <w:noProof/>
          <w:vertAlign w:val="superscript"/>
        </w:rPr>
        <w:t>148</w:t>
      </w:r>
      <w:r w:rsidR="00A877F3">
        <w:fldChar w:fldCharType="end"/>
      </w:r>
    </w:p>
    <w:p w14:paraId="41DCB849" w14:textId="77777777" w:rsidR="00A877F3" w:rsidRDefault="00A877F3" w:rsidP="00EC4DAF">
      <w:pPr>
        <w:pStyle w:val="Odstavecseseznamem"/>
        <w:ind w:left="0"/>
        <w:jc w:val="both"/>
      </w:pPr>
    </w:p>
    <w:p w14:paraId="13BC8C5E" w14:textId="07ADB9CC" w:rsidR="00997A53" w:rsidRDefault="00AD73C1" w:rsidP="00EC4DAF">
      <w:pPr>
        <w:pStyle w:val="Odstavecseseznamem"/>
        <w:ind w:left="0"/>
        <w:jc w:val="both"/>
      </w:pPr>
      <w:r w:rsidRPr="009D7D66">
        <w:rPr>
          <w:i/>
          <w:iCs/>
        </w:rPr>
        <w:t>MDM2</w:t>
      </w:r>
      <w:r>
        <w:t xml:space="preserve"> amplifikace jsou často pozorovány u GBM a tato mutace vy</w:t>
      </w:r>
      <w:r w:rsidR="009D7D66">
        <w:t>l</w:t>
      </w:r>
      <w:r>
        <w:t xml:space="preserve">učuje přítomnost mutace </w:t>
      </w:r>
      <w:r w:rsidRPr="009D7D66">
        <w:rPr>
          <w:i/>
          <w:iCs/>
        </w:rPr>
        <w:t>TP53</w:t>
      </w:r>
      <w:r>
        <w:fldChar w:fldCharType="begin" w:fldLock="1"/>
      </w:r>
      <w:r w:rsidR="00D745ED">
        <w:instrText>ADDIN CSL_CITATION {"citationItems":[{"id":"ITEM-1","itemData":{"DOI":"10.1023/A:1022127302008","ISSN":"0167594X","PMID":"12622447","abstract":"Sixty-one glioblastomas have been studied, subdivided into the categories of classic glioblastomas (GBM) and glioblastomas with astrocytic (GBA) and oligodendroglial (GBO) differentiated areas. On surgical samples, TP53, Mdm2, CDKN2A/p16-p14 alterations were studied by molecular biology techniques and by immunohistochemistry. It has been found that Mdm2 amplification was more frequent in GBM than in GBA and GBO, that p14ARF was inactivated in a high percentage of cases in the three tumor categories. Both these and other alterations did not reach a statistical significance, with the exception of CDKN2A/p16 homozygous deletion which showed the highest frequency in GBO. The latter finding could be in line with the observation that CDKN2A/p16 inactivation is a step in the molecular pathway to tumor progression in oligodendrogliomas. TP53 mutations and Mdm2 amplifications were mutually exclusive, whereas TP53 mutations and CDKN2A/p14 inactivation coexisted in 5 cases. The alterations of the p53/Mdm2/p14ARF pathway occurred in 73% of cases and in 80% of cases if CDKN2A homozygous deletions were associated. All glioblastomas with gemistocytic areas showed p14ARF inactivation. Immunohistochemistry showed higher percentages of positivity in comparison with molecular genetics, but with similar variations.","author":[{"dropping-particle":"","family":"Ghimenti","given":"Chiara","non-dropping-particle":"","parse-names":false,"suffix":""},{"dropping-particle":"","family":"Fiano","given":"Valentina","non-dropping-particle":"","parse-names":false,"suffix":""},{"dropping-particle":"","family":"Chiadò-Piat","given":"Loredana","non-dropping-particle":"","parse-names":false,"suffix":""},{"dropping-particle":"","family":"Chiò","given":"Adriano","non-dropping-particle":"","parse-names":false,"suffix":""},{"dropping-particle":"","family":"Cavalla","given":"Paola","non-dropping-particle":"","parse-names":false,"suffix":""},{"dropping-particle":"","family":"Schiffer","given":"Davide","non-dropping-particle":"","parse-names":false,"suffix":""}],"container-title":"Journal of Neuro-Oncology","id":"ITEM-1","issue":"2","issued":{"date-parts":[["2003","1"]]},"page":"95-102","title":"Deregulation of the p14ARF/Mdm2/p53 pathway and G1/S transition in two glioblastoma sets","type":"article-journal","volume":"61"},"uris":["http://www.mendeley.com/documents/?uuid=be1dc4e3-82e6-3224-90cf-801c19229883"]}],"mendeley":{"formattedCitation":"&lt;sup&gt;149&lt;/sup&gt;","plainTextFormattedCitation":"149","previouslyFormattedCitation":"&lt;sup&gt;149&lt;/sup&gt;"},"properties":{"noteIndex":0},"schema":"https://github.com/citation-style-language/schema/raw/master/csl-citation.json"}</w:instrText>
      </w:r>
      <w:r>
        <w:fldChar w:fldCharType="separate"/>
      </w:r>
      <w:r w:rsidR="00A47FB6" w:rsidRPr="00A47FB6">
        <w:rPr>
          <w:noProof/>
          <w:vertAlign w:val="superscript"/>
        </w:rPr>
        <w:t>149</w:t>
      </w:r>
      <w:r>
        <w:fldChar w:fldCharType="end"/>
      </w:r>
      <w:r>
        <w:t xml:space="preserve">. Amplifikace </w:t>
      </w:r>
      <w:r w:rsidRPr="009D7D66">
        <w:rPr>
          <w:i/>
          <w:iCs/>
        </w:rPr>
        <w:t>MDM</w:t>
      </w:r>
      <w:r w:rsidR="009D7D66" w:rsidRPr="009D7D66">
        <w:rPr>
          <w:i/>
          <w:iCs/>
        </w:rPr>
        <w:t>2</w:t>
      </w:r>
      <w:r>
        <w:t xml:space="preserve"> </w:t>
      </w:r>
      <w:r w:rsidR="00A877F3">
        <w:t>jsou</w:t>
      </w:r>
      <w:r>
        <w:t xml:space="preserve"> pozorovány u 14 % glioblastomů</w:t>
      </w:r>
      <w:r w:rsidR="00A877F3">
        <w:t xml:space="preserve"> bez přítomnosti mutace </w:t>
      </w:r>
      <w:r w:rsidR="00A877F3" w:rsidRPr="009D7D66">
        <w:rPr>
          <w:i/>
          <w:iCs/>
        </w:rPr>
        <w:t>TP53</w:t>
      </w:r>
      <w:r w:rsidR="00A877F3">
        <w:t>, proto se nabízí terapie tzv. nutliny cílící na MDM2 pro reaktivaci p53 dráhy</w:t>
      </w:r>
      <w:r w:rsidR="001E17FA">
        <w:fldChar w:fldCharType="begin" w:fldLock="1"/>
      </w:r>
      <w:r w:rsidR="00D745ED">
        <w:instrText>ADDIN CSL_CITATION {"citationItems":[{"id":"ITEM-1","itemData":{"DOI":"10.1158/1535-7163.MCT-14-0710","ISSN":"15388514","PMID":"25567130","abstract":"p53 is a critical tumor suppressor and is the most frequently inactivated gene in human cancer. Inhibition of the interaction of p53 with its negative regulator MDM2 represents a promising clinical strategy to treat p53 wild-type tumors. AMG 232 is a potential best-in-class inhibitor of the MDM2-p53 interaction and is currently in clinical trials. We characterized the activity of AMG 232 and its effect on p53 signaling in several preclinical tumormodels.AMG232 binds theMDM2protein with picomolar affinity and robustly inducesp53 activity, leading to cell-cycle arrest and inhibition of tumor cell proliferation. AMG 232 treatment inhibited the in vivo growth of several tumor xenografts and led to complete and durable regression of MDM2-amplified SJSA-1 tumors via growth arrest and induction of apoptosis. Therapeutic combination studies of AMG 232 with chemotherapies that induce DNA damage and p53 activity resulted in significantly superior antitumor efficacy and regression, and markedly increased activation of p53 signaling in tumors. These preclinical data support the further evaluation ofAMG 232 in clinical trials as both a monotherapy and in combination with standard-of-care cytotoxics.","author":[{"dropping-particle":"","family":"Canon","given":"Jude","non-dropping-particle":"","parse-names":false,"suffix":""},{"dropping-particle":"","family":"Osgood","given":"Tao","non-dropping-particle":"","parse-names":false,"suffix":""},{"dropping-particle":"","family":"Olson","given":"Steven H.","non-dropping-particle":"","parse-names":false,"suffix":""},{"dropping-particle":"","family":"Saiki","given":"Anne Y.","non-dropping-particle":"","parse-names":false,"suffix":""},{"dropping-particle":"","family":"Robertson","given":"Rebecca","non-dropping-particle":"","parse-names":false,"suffix":""},{"dropping-particle":"","family":"Yu","given":"Dongyin","non-dropping-particle":"","parse-names":false,"suffix":""},{"dropping-particle":"","family":"Eksterowicz","given":"John","non-dropping-particle":"","parse-names":false,"suffix":""},{"dropping-particle":"","family":"Ye","given":"Qiuping","non-dropping-particle":"","parse-names":false,"suffix":""},{"dropping-particle":"","family":"Jin","given":"Lixia","non-dropping-particle":"","parse-names":false,"suffix":""},{"dropping-particle":"","family":"Chen","given":"Ada","non-dropping-particle":"","parse-names":false,"suffix":""},{"dropping-particle":"","family":"Zhou","given":"Jing","non-dropping-particle":"","parse-names":false,"suffix":""},{"dropping-particle":"","family":"Cordover","given":"David","non-dropping-particle":"","parse-names":false,"suffix":""},{"dropping-particle":"","family":"Kaufman","given":"Stephen","non-dropping-particle":"","parse-names":false,"suffix":""},{"dropping-particle":"","family":"Kendall","given":"Richard","non-dropping-particle":"","parse-names":false,"suffix":""},{"dropping-particle":"","family":"Oliner","given":"Jonathan D.","non-dropping-particle":"","parse-names":false,"suffix":""},{"dropping-particle":"","family":"Coxon","given":"Angela","non-dropping-particle":"","parse-names":false,"suffix":""},{"dropping-particle":"","family":"Radinsky","given":"Robert","non-dropping-particle":"","parse-names":false,"suffix":""}],"container-title":"Molecular Cancer Therapeutics","id":"ITEM-1","issue":"3","issued":{"date-parts":[["2015","3","1"]]},"page":"649-658","publisher":"American Association for Cancer Research Inc.","title":"The MDM2 inhibitor AMG 232 demonstrates robust antitumor efficacy and potentiates the activity of p53-inducing cytotoxic agents","type":"article-journal","volume":"14"},"uris":["http://www.mendeley.com/documents/?uuid=b4529afc-0f75-3b06-8e82-ecebc99e472a"]},{"id":"ITEM-2","itemData":{"DOI":"10.1158/1078-0432.CCR-15-1015","ISSN":"15573265","PMID":"26482041","abstract":"Purpose: p53 pathway alterations are key molecular events in glioblastoma (GBM). MDM2 inhibitors increase expression and stability of p53 and are presumed to be most efficacious in patients with TP53 wild-type andMDM2-amplified cancers. However, this biomarker hypothesis has not been tested in patients or patient-derived models for GBM. Experimental Design: We performed a preclinical evaluation of RG7112 MDM2 inhibitor, across a panel of 36 patient-derived GBM cell lines (PDCL), each genetically characterized according to their P53 pathway status. We then performed a pharmacokinetic (PK) profiling of RG7112 distribution in mice and evaluated the therapeutic activity of RG7112 in orthotopic and subcutaneous GBM models. Results:MDM2-amplified PDCLs were 44 times more sensitive than TP53-mutated lines that showed complete resistance at therapeutically attainable concentrations (avg. IC50 of 0.52 mmol/L vs. 21.9 mmol/L). MDM4-amplified PDCLs were highly sensitive but showed intermediate response (avg. IC50 of 1.2 μmol/L), whereas response was heterogeneous in TP53 wild-type PDCLs with normal MDM2/4 levels (avg. IC50 of 7.7 μmol/L). In MDM2-amplified lines, RG7112 restored p53 activity inducing robust p21 expression and apoptosis. PK profiling of RG7112- treated PDCL intracranial xenografts demonstrated that the compound significantly crosses the blood-brain and the blood- tumor barriers. Most importantly, treatment of MDM2-amplified/TP53 wild-type PDCL-derived model (subcutaneous and orthotopic) reduced tumor growth, was cytotoxic, and significantly increased survival. Conclusions: These data strongly support development of MDM2 inhibitors for clinical testing in MDM2-amplified GBM patients. Moreover, significant efficacy in a subset of non-MDM2-amplified models suggests that additional markers of response to MDM2 inhibitors must be identified.","author":[{"dropping-particle":"","family":"Verreault","given":"Maite","non-dropping-particle":"","parse-names":false,"suffix":""},{"dropping-particle":"","family":"Schmitt","given":"Charlotte","non-dropping-particle":"","parse-names":false,"suffix":""},{"dropping-particle":"","family":"Goldwirt","given":"Lauriane","non-dropping-particle":"","parse-names":false,"suffix":""},{"dropping-particle":"","family":"Pelton","given":"Kristine","non-dropping-particle":"","parse-names":false,"suffix":""},{"dropping-particle":"","family":"Haidar","given":"Samer","non-dropping-particle":"","parse-names":false,"suffix":""},{"dropping-particle":"","family":"Levasseur","given":"Camille","non-dropping-particle":"","parse-names":false,"suffix":""},{"dropping-particle":"","family":"Guehennec","given":"Jeremy","non-dropping-particle":"","parse-names":false,"suffix":""},{"dropping-particle":"","family":"Knoff","given":"David","non-dropping-particle":"","parse-names":false,"suffix":""},{"dropping-particle":"","family":"Labussière","given":"Marianne","non-dropping-particle":"","parse-names":false,"suffix":""},{"dropping-particle":"","family":"Marie","given":"Yannick","non-dropping-particle":"","parse-names":false,"suffix":""},{"dropping-particle":"","family":"Ligon","given":"Azra H.","non-dropping-particle":"","parse-names":false,"suffix":""},{"dropping-particle":"","family":"Mokhtari","given":"Karima","non-dropping-particle":"","parse-names":false,"suffix":""},{"dropping-particle":"","family":"Hoang-Xuan","given":"Khê","non-dropping-particle":"","parse-names":false,"suffix":""},{"dropping-particle":"","family":"Sanson","given":"Marc","non-dropping-particle":"","parse-names":false,"suffix":""},{"dropping-particle":"","family":"Alexander","given":"Brian M.","non-dropping-particle":"","parse-names":false,"suffix":""},{"dropping-particle":"","family":"Wen","given":"Patrick Y.","non-dropping-particle":"","parse-names":false,"suffix":""},{"dropping-particle":"","family":"Delattre","given":"Jean Yves","non-dropping-particle":"","parse-names":false,"suffix":""},{"dropping-particle":"","family":"Ligon","given":"Keith L.","non-dropping-particle":"","parse-names":false,"suffix":""},{"dropping-particle":"","family":"Idbaih","given":"Ahmed","non-dropping-particle":"","parse-names":false,"suffix":""}],"container-title":"Clinical Cancer Research","id":"ITEM-2","issue":"5","issued":{"date-parts":[["2016","3","1"]]},"page":"1185-1196","publisher":"American Association for Cancer Research Inc.","title":"Preclinical efficacy of the MDM2 inhibitor RG7112 in MDM2-amplified and TP53 wild-type glioblastomas","type":"article-journal","volume":"22"},"uris":["http://www.mendeley.com/documents/?uuid=c7fb9d55-61a1-30ce-a0f0-884cdf44d9e5"]}],"mendeley":{"formattedCitation":"&lt;sup&gt;150,151&lt;/sup&gt;","plainTextFormattedCitation":"150,151","previouslyFormattedCitation":"&lt;sup&gt;150,151&lt;/sup&gt;"},"properties":{"noteIndex":0},"schema":"https://github.com/citation-style-language/schema/raw/master/csl-citation.json"}</w:instrText>
      </w:r>
      <w:r w:rsidR="001E17FA">
        <w:fldChar w:fldCharType="separate"/>
      </w:r>
      <w:r w:rsidR="00A47FB6" w:rsidRPr="00A47FB6">
        <w:rPr>
          <w:noProof/>
          <w:vertAlign w:val="superscript"/>
        </w:rPr>
        <w:t>150,151</w:t>
      </w:r>
      <w:r w:rsidR="001E17FA">
        <w:fldChar w:fldCharType="end"/>
      </w:r>
      <w:r w:rsidR="00A877F3">
        <w:t>. Problém však nastává s permeabilitou v krevní mozkové bariéře</w:t>
      </w:r>
      <w:r w:rsidR="00D62779">
        <w:t xml:space="preserve"> a </w:t>
      </w:r>
      <w:r w:rsidR="009D7D66">
        <w:t xml:space="preserve">navíc </w:t>
      </w:r>
      <w:r w:rsidR="00D62779">
        <w:t>většina glioblastomů nese mutaci v </w:t>
      </w:r>
      <w:r w:rsidR="009D7D66" w:rsidRPr="009D7D66">
        <w:rPr>
          <w:i/>
          <w:iCs/>
        </w:rPr>
        <w:t>TP</w:t>
      </w:r>
      <w:r w:rsidR="00D62779" w:rsidRPr="009D7D66">
        <w:rPr>
          <w:i/>
          <w:iCs/>
        </w:rPr>
        <w:t>53</w:t>
      </w:r>
      <w:r w:rsidR="00D62779">
        <w:fldChar w:fldCharType="begin" w:fldLock="1"/>
      </w:r>
      <w:r w:rsidR="00D745ED">
        <w:instrText>ADDIN CSL_CITATION {"citationItems":[{"id":"ITEM-1","itemData":{"DOI":"10.1158/1535-7163.MCT-17-0600","ISSN":"15388514","PMID":"29970480","abstract":"Controversy exists surrounding whether heterogeneous disruption of the blood–brain barrier (BBB), as seen in glioblastoma (GBM), leads to adequate drug delivery sufficient for efficacy in GBM. This question is especially important when using potent, targeted agents that have a poor penetration across an intact BBB. Efficacy of the murine double minute-2 (MDM2) inhibitor SAR405838 was tested in patient-derived xenograft (PDX) models of GBM. In vitro efficacy of SAR405838 was evaluated in PDX models with varying MDM2 expression and those with high (GBM108) and low (GBM102) expression were evaluated for flank and orthotopic efficacy. BBB permeability, evaluated using TexasRed-3 kDa dextran, was significantly increased in GBM108 through VEGFA overexpression. Drug delivery, MRI, and orthotopic survival were compared between BBB-intact (GBM108-vector) and BBB-disrupted (GBM108-VEGFA) models. MDM2-ampli-fied PDX lines with high MDM2 expression were sensitive to SAR405838 in comparison with MDM2 control lines in both in vitro and heterotopic models. In contrast with profound efficacy observed in flank xenografts, SAR405838 was ineffective in orthotopic tumors. Although both GBM108-vector and GBM108-VEGFA readily imaged on MRI following gadolinium contrast administration, GBM108-VEGFA tumors had a significantly enhanced drug and gadolinium accumulation, as determined by MALDI-MSI. Enhanced drug delivery in GBM108-VEGFA translated into a marked improvement in orthotopic efficacy. This study clearly shows that limited drug distribution across a partially intact BBB may limit the efficacy of targeted agents in GBM. Brain penetration of targeted agents is a critical consideration in any precision medicine strategy for GBM.","author":[{"dropping-particle":"","family":"Kim","given":"Minjee","non-dropping-particle":"","parse-names":false,"suffix":""},{"dropping-particle":"","family":"Ma","given":"Daniel J.","non-dropping-particle":"","parse-names":false,"suffix":""},{"dropping-particle":"","family":"Calligaris","given":"David","non-dropping-particle":"","parse-names":false,"suffix":""},{"dropping-particle":"","family":"Zhang","given":"Shuangling","non-dropping-particle":"","parse-names":false,"suffix":""},{"dropping-particle":"","family":"Feathers","given":"Ryan W.","non-dropping-particle":"","parse-names":false,"suffix":""},{"dropping-particle":"","family":"Vaubel","given":"Rachael A.","non-dropping-particle":"","parse-names":false,"suffix":""},{"dropping-particle":"","family":"Meaux","given":"Isabelle","non-dropping-particle":"","parse-names":false,"suffix":""},{"dropping-particle":"","family":"Mladek","given":"Ann C.","non-dropping-particle":"","parse-names":false,"suffix":""},{"dropping-particle":"","family":"Parrish","given":"Karen E.","non-dropping-particle":"","parse-names":false,"suffix":""},{"dropping-particle":"","family":"Jin","given":"Fang","non-dropping-particle":"","parse-names":false,"suffix":""},{"dropping-particle":"","family":"Barriere","given":"Cedric","non-dropping-particle":"","parse-names":false,"suffix":""},{"dropping-particle":"","family":"Debussche","given":"Laurent","non-dropping-particle":"","parse-names":false,"suffix":""},{"dropping-particle":"","family":"Watters","given":"James","non-dropping-particle":"","parse-names":false,"suffix":""},{"dropping-particle":"","family":"Tian","given":"Shulan","non-dropping-particle":"","parse-names":false,"suffix":""},{"dropping-particle":"","family":"Decker","given":"Paul A.","non-dropping-particle":"","parse-names":false,"suffix":""},{"dropping-particle":"","family":"Eckel-Passow","given":"Jeanette E.","non-dropping-particle":"","parse-names":false,"suffix":""},{"dropping-particle":"","family":"Kitange","given":"Gaspar J.","non-dropping-particle":"","parse-names":false,"suffix":""},{"dropping-particle":"","family":"Johnson","given":"Aaron J.","non-dropping-particle":"","parse-names":false,"suffix":""},{"dropping-particle":"","family":"Parney","given":"Ian F.","non-dropping-particle":"","parse-names":false,"suffix":""},{"dropping-particle":"","family":"Anastasiadis","given":"Panos Z.","non-dropping-particle":"","parse-names":false,"suffix":""},{"dropping-particle":"","family":"Agar","given":"Nathalie Y.R.","non-dropping-particle":"","parse-names":false,"suffix":""},{"dropping-particle":"","family":"Elmquist","given":"William F.","non-dropping-particle":"","parse-names":false,"suffix":""},{"dropping-particle":"","family":"Sarkaria","given":"Jann N.","non-dropping-particle":"","parse-names":false,"suffix":""}],"container-title":"Molecular Cancer Therapeutics","id":"ITEM-1","issue":"9","issued":{"date-parts":[["2018","9","1"]]},"page":"1893-1901","publisher":"American Association for Cancer Research Inc.","title":"Efficacy of the MDM2 inhibitor SAR405838 in glioblastoma is limited by poor distribution across the blood–brain barrier","type":"article-journal","volume":"17"},"uris":["http://www.mendeley.com/documents/?uuid=8c1c59d2-d224-3dde-add3-109572ad6dbf"]}],"mendeley":{"formattedCitation":"&lt;sup&gt;152&lt;/sup&gt;","plainTextFormattedCitation":"152","previouslyFormattedCitation":"&lt;sup&gt;152&lt;/sup&gt;"},"properties":{"noteIndex":0},"schema":"https://github.com/citation-style-language/schema/raw/master/csl-citation.json"}</w:instrText>
      </w:r>
      <w:r w:rsidR="00D62779">
        <w:fldChar w:fldCharType="separate"/>
      </w:r>
      <w:r w:rsidR="00A47FB6" w:rsidRPr="00A47FB6">
        <w:rPr>
          <w:noProof/>
          <w:vertAlign w:val="superscript"/>
        </w:rPr>
        <w:t>152</w:t>
      </w:r>
      <w:r w:rsidR="00D62779">
        <w:fldChar w:fldCharType="end"/>
      </w:r>
      <w:r w:rsidR="00D62779">
        <w:t xml:space="preserve">. Tato léčba bohužel ve většině případů selhává a má jen nízkou míru úspěšnosti. </w:t>
      </w:r>
    </w:p>
    <w:p w14:paraId="5DB63BC7" w14:textId="3320277F" w:rsidR="009F17CF" w:rsidRDefault="009F17CF" w:rsidP="00EC4DAF">
      <w:pPr>
        <w:pStyle w:val="Odstavecseseznamem"/>
        <w:ind w:left="0"/>
        <w:jc w:val="both"/>
      </w:pPr>
    </w:p>
    <w:p w14:paraId="739803AF" w14:textId="4D51413F" w:rsidR="009F17CF" w:rsidRDefault="009F17CF" w:rsidP="00EC4DAF">
      <w:pPr>
        <w:pStyle w:val="Odstavecseseznamem"/>
        <w:ind w:left="0"/>
        <w:jc w:val="both"/>
      </w:pPr>
      <w:r w:rsidRPr="003B33C9">
        <w:t xml:space="preserve">Vyšetření míry exprese MDM2 lze provést pomocí imunohistochemického stanovení pomocí protilátek, amplifikace genu lze stanovit pomocí </w:t>
      </w:r>
      <w:r w:rsidRPr="003B33C9">
        <w:rPr>
          <w:i/>
          <w:iCs/>
        </w:rPr>
        <w:t>in situ</w:t>
      </w:r>
      <w:r w:rsidRPr="003B33C9">
        <w:t xml:space="preserve"> hybridizace </w:t>
      </w:r>
      <w:r w:rsidR="001E2EB3" w:rsidRPr="003B33C9">
        <w:t>popřípadě</w:t>
      </w:r>
      <w:r w:rsidR="001E2EB3">
        <w:t xml:space="preserve"> sekvenováním</w:t>
      </w:r>
      <w:r w:rsidR="001E2EB3">
        <w:fldChar w:fldCharType="begin" w:fldLock="1"/>
      </w:r>
      <w:r w:rsidR="00D745ED">
        <w:instrText>ADDIN CSL_CITATION {"citationItems":[{"id":"ITEM-1","itemData":{"DOI":"10.1200/po.17.00235","ISSN":"2473-4284","abstract":"PurposeMDM2 amplification can promote tumorigenesis directly or indirectly through p53 inhibition. MDM2 has increasing clinical relevance because inhibitors are under evaluation in clinical trials, and MDM2 amplification is a possible genomic correlate of accelerated progression, known as hyperprogression, after anti–PD-1/PD-L1 immunotherapy. We used next-generation sequencing (NGS) to ascertain MDM2 amplification status across a large number of diverse cancers.MethodsWe interrogated the molecular profiles of 102,878 patients with diverse malignancies for MDM2 amplification and co-altered genes using clinical-grade NGS (182 to 465 genes).ResultsMDM2 amplification occurred in 3.5% of patients (3,650 of 102,878). The majority of tumor types had a small subset of patients with MDM2 amplification. Most of these patients (99.0% [3,613/3,650]) had co-alterations that accompanied MDM2 amplification. Various pathways, including those related to tyrosine kinase (37.9% [1,385 of 3,650]), PI3K signaling (25.4% [926 ...","author":[{"dropping-particle":"","family":"Kato","given":"Shumei","non-dropping-particle":"","parse-names":false,"suffix":""},{"dropping-particle":"","family":"Ross","given":"Jeffrey S.","non-dropping-particle":"","parse-names":false,"suffix":""},{"dropping-particle":"","family":"Gay","given":"Laurie","non-dropping-particle":"","parse-names":false,"suffix":""},{"dropping-particle":"","family":"Dayyani","given":"Farshid","non-dropping-particle":"","parse-names":false,"suffix":""},{"dropping-particle":"","family":"Roszik","given":"Jason","non-dropping-particle":"","parse-names":false,"suffix":""},{"dropping-particle":"","family":"Subbiah","given":"Vivek","non-dropping-particle":"","parse-names":false,"suffix":""},{"dropping-particle":"","family":"Kurzrock","given":"Razelle","non-dropping-particle":"","parse-names":false,"suffix":""}],"container-title":"JCO Precision Oncology","id":"ITEM-1","issue":"2","issued":{"date-parts":[["2018","11","13"]]},"page":"1-14","publisher":"American Society of Clinical Oncology (ASCO)","title":" Analysis of MDM2 Amplification: Next-Generation Sequencing of Patients With Diverse Malignancies ","type":"article-journal"},"uris":["http://www.mendeley.com/documents/?uuid=0158e881-cc03-33b9-b8ba-828cd2620eaf"]},{"id":"ITEM-2","itemData":{"DOI":"10.1590/0004-282X20150059","ISSN":"0004-282X","abstract":"&lt;p&gt;We studied 36 glioblastoma cases at HC-UNICAMP from 2008 to 2012 and classified the immunohistochemical distribution of the wild-type epidermal growth factor receptor (EGFR), mutated forms of p53 protein and isocitrate dehydrogenase-1 (IDH-1) and murine double protein 2 (MDM2). Immunostaining findings were correlated with clinical data and response to treatment (surgery, chemotherapy and radiotherapy). About 97% of the tumors were primary, most of them localized in the frontal lobe. Mean time free of clinical or symptomatic disease and free time of radiological disease were 7.56 and 7.14 months, respectively. We observed a significant positive correlation between expressions of p53 and MDM2, EGFR and MDM2. Clinical, radiological and overall survivals also showed a significant positive correlation. p53 staining and clinical survival showed a significant negative correlation. The current series provides clinical and histopathological data that contribute to knowledge on glioblastoma in Brazilians.&lt;/p&gt;","author":[{"dropping-particle":"","family":"Montgomery","given":"Richard Murdoch","non-dropping-particle":"","parse-names":false,"suffix":""},{"dropping-particle":"","family":"Queiroz","given":"Luciano de Souza","non-dropping-particle":"","parse-names":false,"suffix":""},{"dropping-particle":"","family":"Rogerio","given":"Fabio","non-dropping-particle":"","parse-names":false,"suffix":""}],"container-title":"Arquivos de Neuro-Psiquiatria","id":"ITEM-2","issue":"7","issued":{"date-parts":[["2015","7","1"]]},"page":"561-568","publisher":"Associacao Arquivos de Neuro-Psiquiatria","title":"EGFR, p53, IDH-1 and MDM2 immunohistochemical analysis in glioblastoma: therapeutic and prognostic correlation","type":"article-journal","volume":"73"},"uris":["http://www.mendeley.com/documents/?uuid=e3ab1dc2-a2a1-3693-abd0-544902eef502"]},{"id":"ITEM-3","itemData":{"DOI":"10.1155/2015/812089","ISSN":"13691643","PMID":"25810689","abstract":"Background. The assessment of MDM2 gene amplification by fluorescence in situ hybridization (FISH) has become a routine ancillary tool for diagnosing atypical lipomatous tumor (ALT)/well-differentiated liposarcoma and dedifferentiated liposarcoma (WDL/DDL) in specialist sarcoma units. We describe our experience of its utility at our tertiary institute. Methods. All routine histology samples in which MDM2 amplification was assessed with FISH over a 2-year period were included, and FISH results were correlated with clinical and histologic findings. Results. 365 samples from 347 patients had FISH for MDM2 gene amplification. 170 were positive (i.e., showed MDM2 gene amplification), 192 were negative, and 3 were technically unsatisfactory. There were 122 histologically benign cases showing a histology:FISH concordance rate of 92.6%, 142 WDL/DDL (concordance 96.5%), and 34 cases histologically equivocal for WDL (concordance 50%). Of 64 spindle cell/pleomorphic neoplasms (in which DDL was a differential diagnosis), 21.9% showed MDM2 amplification. Of the cases with discrepant histology and FISH, all but 3 had diagnoses amended following FISH results. For discrepancies of benign histology but positive FISH, lesions were on average larger, more frequently in \"classical\" (intra-abdominal or inguinal) sites for WDL/DDL and more frequently core biopsies. Discrepancies of malignant histology but negative FISH were smaller, less frequently in \"classical\" sites but again more frequently core biopsies. Conclusions. FISH has a high correlation rate with histology for cases with firm histologic diagnoses of lipoma or WDL/DDL. It is a useful ancillary diagnostic tool in histologically equivocal cases, particularly in WDL lacking significant histologic atypia or DDL without corresponding WDL component, especially in larger tumors, those from intra-abdominal or inguinal sites or core biopsies. There is a significant group of well-differentiated adipocytic neoplasms which are difficult to diagnose on morphology alone, in which FISH for MDM2 amplification is diagnostically contributory.","author":[{"dropping-particle":"","family":"Thway","given":"Khin","non-dropping-particle":"","parse-names":false,"suffix":""},{"dropping-particle":"","family":"Wang","given":"Jayson","non-dropping-particle":"","parse-names":false,"suffix":""},{"dropping-particle":"","family":"Swansbury","given":"John","non-dropping-particle":"","parse-names":false,"suffix":""},{"dropping-particle":"","family":"Min","given":"Toon","non-dropping-particle":"","parse-names":false,"suffix":""},{"dropping-particle":"","family":"Fisher","given":"Cyril","non-dropping-particle":"","parse-names":false,"suffix":""}],"container-title":"Sarcoma","id":"ITEM-3","issued":{"date-parts":[["2015","2","25"]]},"publisher":"Hindawi Publishing Corporation","title":"Fluorescence in situ hybridization for MDM2 amplification as a routine ancillary diagnostic tool for suspected well-differentiated and dedifferentiated liposarcomas: Experience at a tertiary center","type":"article-journal","volume":"2015"},"uris":["http://www.mendeley.com/documents/?uuid=0d8fda3f-4bf1-33fd-ae36-a38bc7029d69"]}],"mendeley":{"formattedCitation":"&lt;sup&gt;153–155&lt;/sup&gt;","plainTextFormattedCitation":"153–155","previouslyFormattedCitation":"&lt;sup&gt;153–155&lt;/sup&gt;"},"properties":{"noteIndex":0},"schema":"https://github.com/citation-style-language/schema/raw/master/csl-citation.json"}</w:instrText>
      </w:r>
      <w:r w:rsidR="001E2EB3">
        <w:fldChar w:fldCharType="separate"/>
      </w:r>
      <w:r w:rsidR="00A47FB6" w:rsidRPr="00A47FB6">
        <w:rPr>
          <w:noProof/>
          <w:vertAlign w:val="superscript"/>
        </w:rPr>
        <w:t>153–155</w:t>
      </w:r>
      <w:r w:rsidR="001E2EB3">
        <w:fldChar w:fldCharType="end"/>
      </w:r>
      <w:r w:rsidR="003B33C9">
        <w:t>.</w:t>
      </w:r>
    </w:p>
    <w:p w14:paraId="491978FC" w14:textId="71432B58" w:rsidR="001E17FA" w:rsidRDefault="001E17FA" w:rsidP="00EC4DAF">
      <w:pPr>
        <w:pStyle w:val="Odstavecseseznamem"/>
        <w:ind w:left="0"/>
        <w:jc w:val="both"/>
      </w:pPr>
    </w:p>
    <w:p w14:paraId="2657B72D" w14:textId="405C55C3" w:rsidR="00997A53" w:rsidRDefault="00A344B6" w:rsidP="00883E7C">
      <w:pPr>
        <w:pStyle w:val="Nadpis4"/>
        <w:ind w:left="646" w:hanging="646"/>
      </w:pPr>
      <w:bookmarkStart w:id="51" w:name="_Toc88741476"/>
      <w:r>
        <w:t xml:space="preserve">Mutace genu </w:t>
      </w:r>
      <w:r w:rsidR="00997A53" w:rsidRPr="00A344B6">
        <w:rPr>
          <w:i/>
        </w:rPr>
        <w:t>P</w:t>
      </w:r>
      <w:r w:rsidR="008D40E8" w:rsidRPr="00A344B6">
        <w:rPr>
          <w:i/>
        </w:rPr>
        <w:t>TEN</w:t>
      </w:r>
      <w:bookmarkEnd w:id="51"/>
      <w:r w:rsidR="00997A53" w:rsidRPr="00A344B6">
        <w:rPr>
          <w:i/>
        </w:rPr>
        <w:t xml:space="preserve"> </w:t>
      </w:r>
    </w:p>
    <w:p w14:paraId="7DDFA269" w14:textId="417CF32E" w:rsidR="003B33C9" w:rsidRDefault="002A1A6E" w:rsidP="00EC4DAF">
      <w:pPr>
        <w:pStyle w:val="Odstavecseseznamem"/>
        <w:ind w:left="0"/>
        <w:jc w:val="both"/>
      </w:pPr>
      <w:r w:rsidRPr="009D7D66">
        <w:rPr>
          <w:i/>
          <w:iCs/>
        </w:rPr>
        <w:t>PTEN</w:t>
      </w:r>
      <w:r>
        <w:t xml:space="preserve"> je lokalizován v chromozomální oblasti 10q23.3 a jeho aberace jsou popsány v </w:t>
      </w:r>
      <w:r w:rsidR="00E87612">
        <w:t>c</w:t>
      </w:r>
      <w:r>
        <w:t>elé řadě nádorových onemocnění včetně gliálních nádorů</w:t>
      </w:r>
      <w:r>
        <w:fldChar w:fldCharType="begin" w:fldLock="1"/>
      </w:r>
      <w:r w:rsidR="00D745ED">
        <w:instrText>ADDIN CSL_CITATION {"citationItems":[{"id":"ITEM-1","itemData":{"DOI":"10.1126/science.275.5308.1943","ISSN":"00368075","PMID":"9072974","abstract":"Mapping of homozygous deletions on human chromosome 10q23 has led to the isolation of a candidate tumor suppressor gene, PTEN, that appears to be mutated at considerable frequency in human cancers. In preliminary screens, mutations of PTEN were detected in 31% (13/42) of glioblastoma cell lines and xenografts, 100% (4/4) of prostate cancer cell lines, 6% (4/65) of breast cancer cell lines and xenografts, and 17% (3/18) of primary glioblastomas. The predicted PTEN product has a protein tyrosine phosphatase domain and extensive homology to tensin, a protein that interacts with actin filaments at focal adhesions. These homologies suggest that PTEN may suppress tumor cell growth by antagonizing protein tyrosine kinases and may regulate tumor cell invasion and metastasis through interactions at focal adhesions.","author":[{"dropping-particle":"","family":"Li","given":"Jing","non-dropping-particle":"","parse-names":false,"suffix":""},{"dropping-particle":"","family":"Yen","given":"Clifford","non-dropping-particle":"","parse-names":false,"suffix":""},{"dropping-particle":"","family":"Liaw","given":"Danny","non-dropping-particle":"","parse-names":false,"suffix":""},{"dropping-particle":"","family":"Podsypanina","given":"Katrina","non-dropping-particle":"","parse-names":false,"suffix":""},{"dropping-particle":"","family":"Bose","given":"Shikha","non-dropping-particle":"","parse-names":false,"suffix":""},{"dropping-particle":"","family":"Wang","given":"Steven I.","non-dropping-particle":"","parse-names":false,"suffix":""},{"dropping-particle":"","family":"Puc","given":"Janusz","non-dropping-particle":"","parse-names":false,"suffix":""},{"dropping-particle":"","family":"Miliaresis","given":"Christa","non-dropping-particle":"","parse-names":false,"suffix":""},{"dropping-particle":"","family":"Rodgers","given":"Linda","non-dropping-particle":"","parse-names":false,"suffix":""},{"dropping-particle":"","family":"McCombie","given":"Richard","non-dropping-particle":"","parse-names":false,"suffix":""},{"dropping-particle":"","family":"Bigner","given":"Sandra H.","non-dropping-particle":"","parse-names":false,"suffix":""},{"dropping-particle":"","family":"Giovanella","given":"Beppino C.","non-dropping-particle":"","parse-names":false,"suffix":""},{"dropping-particle":"","family":"Ittmann","given":"Michael","non-dropping-particle":"","parse-names":false,"suffix":""},{"dropping-particle":"","family":"Tycko","given":"Ben","non-dropping-particle":"","parse-names":false,"suffix":""},{"dropping-particle":"","family":"Hibshoosh","given":"Hanina","non-dropping-particle":"","parse-names":false,"suffix":""},{"dropping-particle":"","family":"Wigler","given":"Michael H.","non-dropping-particle":"","parse-names":false,"suffix":""},{"dropping-particle":"","family":"Parsons","given":"Ramon","non-dropping-particle":"","parse-names":false,"suffix":""}],"container-title":"Science","id":"ITEM-1","issue":"5308","issued":{"date-parts":[["1997","3","28"]]},"page":"1943-1947","publisher":"Science","title":"PTEN, a putative protein tyrosine phosphatase gene mutated in human brain, breast, and prostate cancer","type":"article-journal","volume":"275"},"uris":["http://www.mendeley.com/documents/?uuid=8d2a976f-0eb4-3db6-97b3-bbc2bce7392a"]}],"mendeley":{"formattedCitation":"&lt;sup&gt;156&lt;/sup&gt;","plainTextFormattedCitation":"156","previouslyFormattedCitation":"&lt;sup&gt;156&lt;/sup&gt;"},"properties":{"noteIndex":0},"schema":"https://github.com/citation-style-language/schema/raw/master/csl-citation.json"}</w:instrText>
      </w:r>
      <w:r>
        <w:fldChar w:fldCharType="separate"/>
      </w:r>
      <w:r w:rsidR="00A47FB6" w:rsidRPr="00A47FB6">
        <w:rPr>
          <w:noProof/>
          <w:vertAlign w:val="superscript"/>
        </w:rPr>
        <w:t>156</w:t>
      </w:r>
      <w:r>
        <w:fldChar w:fldCharType="end"/>
      </w:r>
      <w:r>
        <w:t>.  Jedná se o tumor supresor zapojený do regulace buněčné proliferace, adheze spolu s buněčnou invazivitou, apoptózou a opravou poškozen</w:t>
      </w:r>
      <w:r w:rsidR="0058351A">
        <w:t>é</w:t>
      </w:r>
      <w:r>
        <w:t xml:space="preserve"> DNA</w:t>
      </w:r>
      <w:r>
        <w:fldChar w:fldCharType="begin" w:fldLock="1"/>
      </w:r>
      <w:r w:rsidR="00D745ED">
        <w:instrText>ADDIN CSL_CITATION {"citationItems":[{"id":"ITEM-1","itemData":{"DOI":"10.4161/cbt.7.9.6954","ISSN":"15558576","PMID":"18836294","abstract":"Malignant gliomas are the most common primary brain tumor in adults, but the prognosis for patients with these tumors remains poor despite advances in diagnosis and standard therapies such as surgery, radiation therapy, and chemotherapy. Progress in the treatment of gliomas now depends to a great extent on an increased understanding of the biology of these tumors. Recent insights into the biology of gliomas include the finding that tyrosine kinase receptors and signal transduction pathways play a role in tumor initiation and maintenance. Deregulation of phosphatidylinositol 3-kinase (PI3K) signaling pathways resulting from genetic alterations in the PTEN tumor suppressor gene on 10q23 at the level of LOH, mutation and methylation have been identified in at least 60% of glioblastoma. Loss of PTEN function by mutation or LOH correlates with poor survival in anaplastic astrocytoma and glioblastoma, suggesting that PTEN plays a role in patient outcome. Interestingly, amplification of Epidermal growth factor receptor (EGFR) in the background of heterozygous PTEN knockout mice develop invasive glioma very similar to human glioblastoma, demonstrating the importance of PTEN in glioma progression and providing a model system to evaluate the efficacy of targeting PTEN in glioblastoma. ©2008 Landes Bioscience.","author":[{"dropping-particle":"","family":"Koul","given":"Dimpy","non-dropping-particle":"","parse-names":false,"suffix":""}],"container-title":"Cancer Biology and Therapy","id":"ITEM-1","issue":"9","issued":{"date-parts":[["2008"]]},"page":"1321-1325","publisher":"Landes Bioscience","title":"PTEN signaling pathways in glioblastoma","type":"article","volume":"7"},"uris":["http://www.mendeley.com/documents/?uuid=6309e227-75d8-3b5b-93f7-8d12c1a530ba"]},{"id":"ITEM-2","itemData":{"DOI":"10.1016/j.canlet.2012.01.003","ISSN":"18727980","PMID":"22266095","abstract":"The ability of DNA repair in a cell is vital to its genomic integrity and thus to the normal functioning of an organism. Phosphatase and tensin homolog (PTEN) is a well-established tumor suppressor gene that induces apoptosis and controls cell growth by inhibiting the PI3K/AKT pathway. In various human cancers, PTEN is frequently found to be mutated, deleted, or epigenetically silenced. Recent new findings have demonstrated that PTEN also plays a critical role in DNA damage repair and DNA damage response. This review summarizes the recent progress in the function of PTEN in DNA damage repair, especially in double strand break repair and nucleotide excision repair. In addition, we will discuss the role of PTEN in DNA damage response through its interaction with the Chk1 and p53 pathways. We will focus on the newly discovered mechanisms and the potential implications in cancer prevention and therapeutic intervention. © 2012 Elsevier Ireland Ltd.","author":[{"dropping-particle":"","family":"Ming","given":"Mei","non-dropping-particle":"","parse-names":false,"suffix":""},{"dropping-particle":"","family":"He","given":"Yu Ying","non-dropping-particle":"","parse-names":false,"suffix":""}],"container-title":"Cancer Letters","id":"ITEM-2","issue":"2","issued":{"date-parts":[["2012","6","28"]]},"page":"125-129","publisher":"Elsevier Ireland Ltd","title":"PTEN in DNA damage repair","type":"article","volume":"319"},"uris":["http://www.mendeley.com/documents/?uuid=78d69956-bef3-3b46-b00a-422227de01e4"]}],"mendeley":{"formattedCitation":"&lt;sup&gt;157,158&lt;/sup&gt;","plainTextFormattedCitation":"157,158","previouslyFormattedCitation":"&lt;sup&gt;157,158&lt;/sup&gt;"},"properties":{"noteIndex":0},"schema":"https://github.com/citation-style-language/schema/raw/master/csl-citation.json"}</w:instrText>
      </w:r>
      <w:r>
        <w:fldChar w:fldCharType="separate"/>
      </w:r>
      <w:r w:rsidR="00A47FB6" w:rsidRPr="00A47FB6">
        <w:rPr>
          <w:noProof/>
          <w:vertAlign w:val="superscript"/>
        </w:rPr>
        <w:t>157,158</w:t>
      </w:r>
      <w:r>
        <w:fldChar w:fldCharType="end"/>
      </w:r>
      <w:r>
        <w:t xml:space="preserve">. Ztráta exprese </w:t>
      </w:r>
      <w:r w:rsidRPr="009D7D66">
        <w:rPr>
          <w:i/>
          <w:iCs/>
        </w:rPr>
        <w:t>PTEN</w:t>
      </w:r>
      <w:r>
        <w:t xml:space="preserve"> se řadí mezi aberace zapojené do časné gliomageneze s četností mezi 5 – 40 % </w:t>
      </w:r>
      <w:r w:rsidR="00E87612">
        <w:t>případů gliálních nádorů</w:t>
      </w:r>
      <w:r w:rsidR="00E87612">
        <w:fldChar w:fldCharType="begin" w:fldLock="1"/>
      </w:r>
      <w:r w:rsidR="00D745ED">
        <w:instrText>ADDIN CSL_CITATION {"citationItems":[{"id":"ITEM-1","itemData":{"DOI":"10.1093/jnci/93.16.1246","ISSN":"00278874","PMID":"11504770","abstract":"Background: Survival of patients with anaplastic astrocytoma is highly variable. Prognostic markers would thus be useful to identify clinical subsets of such patients. Because specific genetic alterations have been associated with glioblastoma, we investigated whether similar genetic alterations could be detected in patients with anaplastic astrocytoma and used to identify those with particularly aggressive disease. Methods: Tissue specimens were collected from 174 patients enrolled in Mayo Clinic Cancer Center and North Central Cancer Treatment Group clinical trials for newly diagnosed gliomas, including 63 with anaplastic astrocytoma and 111 with glioblastoma multiforme. Alterations of the EGFR, PTEN, and p53 genes and of chromosomes 7 and 10 were examined by fluorescence in situ hybridization, semi-quantitative polymerase chain reaction, and DNA sequenceing. All statistical test were two-sided. Results: Mutation of PTEN, amplification of EGFR, and loss of the q arm of chromosome 10 were statistically significantly less common in anaplastic astrocytoma than in glioblastoma multiforme (P = .033, P = .001, and P&lt;.001, respectively), and mutation of p53 was statisticaly significantly more common (P&lt;.001). Univariate survival analyses of patients with anaplastic astrocytoma indentified PTEN (P = .002) and p53 (P = .012) mutations as statistically significantly associated with reduced and prolonged survival, respectively. Multivariate Cox analysis of patients with anaplastic astrocytoma showed that PTEN mutation remained a powerful prognostic factor after adjusting for patient age, on-study performances score, and extent of tumor resection (hazard ratio = 4.34; 95% confidence interval = 1.82 to 10.34). Multivariate classification and regression-tree analysis of all 174 patients identified EGFR amplification as an independent predictor of pro-longed survival in patients with glioblastoma multiforme who were older than 60 years of age. Conclusion: PTEN mutation and EGFR amplification are important prognostic factors in patients with anaplastic astrocytoma and in older patients with glioblastoma multiforme, respectively.","author":[{"dropping-particle":"","family":"Smith","given":"Justin S.","non-dropping-particle":"","parse-names":false,"suffix":""},{"dropping-particle":"","family":"Tachibana","given":"Issei","non-dropping-particle":"","parse-names":false,"suffix":""},{"dropping-particle":"","family":"Passe","given":"Sandra M.","non-dropping-particle":"","parse-names":false,"suffix":""},{"dropping-particle":"","family":"Huntley","given":"Brenda K.","non-dropping-particle":"","parse-names":false,"suffix":""},{"dropping-particle":"","family":"Borell","given":"Thomas J.","non-dropping-particle":"","parse-names":false,"suffix":""},{"dropping-particle":"","family":"Iturria","given":"Nancy","non-dropping-particle":"","parse-names":false,"suffix":""},{"dropping-particle":"","family":"O'Fallon","given":"Judith R.","non-dropping-particle":"","parse-names":false,"suffix":""},{"dropping-particle":"","family":"Schaefer","given":"Paul L.","non-dropping-particle":"","parse-names":false,"suffix":""},{"dropping-particle":"","family":"Scheithauer","given":"Bernd W.","non-dropping-particle":"","parse-names":false,"suffix":""},{"dropping-particle":"","family":"James","given":"C. David","non-dropping-particle":"","parse-names":false,"suffix":""},{"dropping-particle":"","family":"Buckner","given":"Jan C.","non-dropping-particle":"","parse-names":false,"suffix":""},{"dropping-particle":"","family":"Jenkins","given":"Robert B.","non-dropping-particle":"","parse-names":false,"suffix":""}],"container-title":"Journal of the National Cancer Institute","id":"ITEM-1","issue":"16","issued":{"date-parts":[["2001","8","15"]]},"page":"1246-1256","publisher":"Oxford University Press","title":"PTEN mutation, EGFR amplification, and outcome in patients with anaplastic astrocytoma and glioblastoma multiforme","type":"article-journal","volume":"93"},"uris":["http://www.mendeley.com/documents/?uuid=ab3a50e9-59f5-3b3f-bc4f-e1e4f69e2f0b"]},{"id":"ITEM-2","itemData":{"DOI":"10.1111/j.1440-1789.2010.01178.x","ISSN":"09196544","PMID":"21134002","abstract":"Tumors from a prospective cohort of adult patients with newly diagnosed glioblastoma (n=73), treated uniformly with radiochemotherapy, were examined for 10q23/PTEN deletion by fluorescence in situ hybridization (FISH). Statistical methods were employed to evaluate the degree of association between 10q23/PTEN deletion status and patient age. Survival analysis was performed using Kaplan-Meier log-rank test and multivariable Cox models to assess the prognostic value of 10q23/PTEN deletion. Interestingly, 10q23/PTEN homozygous deletion was frequent in patients &gt;45 years of age (P=0.034) and the median age of patients harboring PTEN homozygous deletions was significantly higher than those with the retained status (P=0.019). 10q23/PTEN homozygous deletion was associated with shorter survival in the entire cohort as well in patients &gt;45 years (P&lt;0.05), indicating that loss of 10q23/PTEN showed clinical importance in elderly patients. Our study highlights the independent prognostic/predictive value of 10q23/PTEN deletion status as identified by FISH, particularly in glioblastoma patients aged &gt;45 years. © 2010 Japanese Society of Neuropathology.","author":[{"dropping-particle":"","family":"Srividya","given":"Mallavarapu R.","non-dropping-particle":"","parse-names":false,"suffix":""},{"dropping-particle":"","family":"Thota","given":"Balaram","non-dropping-particle":"","parse-names":false,"suffix":""},{"dropping-particle":"","family":"Shailaja","given":"Bangalore C.","non-dropping-particle":"","parse-names":false,"suffix":""},{"dropping-particle":"","family":"Arivazhagan","given":"Arimappamagan","non-dropping-particle":"","parse-names":false,"suffix":""},{"dropping-particle":"","family":"Thennarasu","given":"Kandavel","non-dropping-particle":"","parse-names":false,"suffix":""},{"dropping-particle":"","family":"Chandramouli","given":"Bangalore A.","non-dropping-particle":"","parse-names":false,"suffix":""},{"dropping-particle":"","family":"Hegde","given":"Alangar S.","non-dropping-particle":"","parse-names":false,"suffix":""},{"dropping-particle":"","family":"Santosh","given":"Vani","non-dropping-particle":"","parse-names":false,"suffix":""}],"container-title":"Neuropathology","id":"ITEM-2","issue":"4","issued":{"date-parts":[["2011","8"]]},"page":"376-383","publisher":"Neuropathology","title":"Homozygous 10q23/PTEN deletion and its impact on outcome in glioblastoma: A prospective translational study on a uniformly treated cohort of adult patients","type":"article-journal","volume":"31"},"uris":["http://www.mendeley.com/documents/?uuid=d985b5c9-e165-3155-a623-ed8c16c01ebd"]}],"mendeley":{"formattedCitation":"&lt;sup&gt;159,160&lt;/sup&gt;","plainTextFormattedCitation":"159,160","previouslyFormattedCitation":"&lt;sup&gt;159,160&lt;/sup&gt;"},"properties":{"noteIndex":0},"schema":"https://github.com/citation-style-language/schema/raw/master/csl-citation.json"}</w:instrText>
      </w:r>
      <w:r w:rsidR="00E87612">
        <w:fldChar w:fldCharType="separate"/>
      </w:r>
      <w:r w:rsidR="00A47FB6" w:rsidRPr="00A47FB6">
        <w:rPr>
          <w:noProof/>
          <w:vertAlign w:val="superscript"/>
        </w:rPr>
        <w:t>159,160</w:t>
      </w:r>
      <w:r w:rsidR="00E87612">
        <w:fldChar w:fldCharType="end"/>
      </w:r>
      <w:r w:rsidR="00E87612">
        <w:t xml:space="preserve">. Všeobecně </w:t>
      </w:r>
      <w:r w:rsidR="00E87612" w:rsidRPr="009D7D66">
        <w:rPr>
          <w:i/>
          <w:iCs/>
        </w:rPr>
        <w:t>PTEN</w:t>
      </w:r>
      <w:r w:rsidR="00E87612">
        <w:t xml:space="preserve"> hraje roli jak v neurogenezi tak glio</w:t>
      </w:r>
      <w:r w:rsidR="0058351A">
        <w:t>ma</w:t>
      </w:r>
      <w:r w:rsidR="00E87612">
        <w:t>genezi a zároveň je spojován s maligní progresí gliálních nádorů</w:t>
      </w:r>
      <w:r w:rsidR="0058351A">
        <w:fldChar w:fldCharType="begin" w:fldLock="1"/>
      </w:r>
      <w:r w:rsidR="00D745ED">
        <w:instrText>ADDIN CSL_CITATION {"citationItems":[{"id":"ITEM-1","itemData":{"DOI":"10.1126/science.1074192","ISSN":"00368075","PMID":"12130776","abstract":"Transgenic mice expressing a stabilized β-catenin in neural precursors develop enlarged brains with increased cerebral cortical surface area and folds resembling sulci and gyri of higher mammals. Brains from transgenic animals have enlarged lateral ventricles lined with neuroepithelial precursor cells, reflecting an expansion of the precursor population. Compared with wild-type precursors, a greater proportion of transgenic precursors reenter the cell cycle after mitosis. These results show that β-catenin can function in the decision of precursors to proliferate or differentiate during mammalian neuronal development and suggest that β-catenin can regulate cerebral cortical size by controlling the generation of neural precursor cells.","author":[{"dropping-particle":"","family":"Chenn","given":"Anjen","non-dropping-particle":"","parse-names":false,"suffix":""},{"dropping-particle":"","family":"Walsh","given":"Christopher A.","non-dropping-particle":"","parse-names":false,"suffix":""}],"container-title":"Science","id":"ITEM-1","issue":"5580","issued":{"date-parts":[["2002","7","19"]]},"page":"365-369","publisher":"Science","title":"Regulation of cerebral cortical size by control of cell cycle exit in neural precursors","type":"article-journal","volume":"297"},"uris":["http://www.mendeley.com/documents/?uuid=1ff778cb-fb10-3ae1-b06a-3d72a9c2110e"]},{"id":"ITEM-2","itemData":{"DOI":"10.1158/0008-5472.CAN-04-2487","ISSN":"00085472","PMID":"15520182","abstract":"Somatic mutations of PTEN are found in many types of cancers including glioblastoma, the most malignant astrocytic tumor. PTEN mutation occurs in 25 to 40% of glioblastomas but is rarely observed in low-grade glial neoplasms. To determine the role of Pten in astrocytes and glial tumor formation, we inactivated Pten by a Cre-loxP approach with a GFAP-cre transgenic mouse that induced Cre-mediated recombination in astrocytes. Pten conditional knockout mice showed a striking progressive enlargement of the entire brain. Increased nuclear and soma size was observed in both astrocytes and neurons, which contributed in part to the increase in brain size. Pten-deficient astrocytes showed accelerated proliferation in vitro and aberrant ongoing proliferation in adult brains in vivo. In contrast, neurons lacking Pten did not show alterations in proliferation. This study shows cell-type dependent effects of Pten loss in the adult brain, including increased astrocyte proliferation that may render astroglial cells susceptible to neoplastic transformation or malignant progression.","author":[{"dropping-particle":"","family":"Fraser","given":"Melissa M.","non-dropping-particle":"","parse-names":false,"suffix":""},{"dropping-particle":"","family":"Zhu","given":"Xiaoyan","non-dropping-particle":"","parse-names":false,"suffix":""},{"dropping-particle":"","family":"Kwon","given":"Chang Hyuk","non-dropping-particle":"","parse-names":false,"suffix":""},{"dropping-particle":"","family":"Uhlmann","given":"Erik J.","non-dropping-particle":"","parse-names":false,"suffix":""},{"dropping-particle":"","family":"Gutmann","given":"David H.","non-dropping-particle":"","parse-names":false,"suffix":""},{"dropping-particle":"","family":"Baker","given":"Suzanne J.","non-dropping-particle":"","parse-names":false,"suffix":""}],"container-title":"Cancer Research","id":"ITEM-2","issue":"21","issued":{"date-parts":[["2004","11","1"]]},"page":"7773-7779","publisher":"Cancer Res","title":"Pten loss causes hypertrophy and increased proliferation of astrocytes in vivo","type":"article-journal","volume":"64"},"uris":["http://www.mendeley.com/documents/?uuid=058b284f-f817-3a7e-b1f0-bed081f50da3"]},{"id":"ITEM-3","itemData":{"DOI":"10.1093/hmg/ddu031","ISSN":"14602083","PMID":"24470394","abstract":"PTEN Hamartoma Tumor Syndrome (PHTS) is an autosomal-dominant genetic condition underlying a subset of autism spectrumdisorder (ASD)with macrocephaly. Caused by germline mutations in PTEN, PHTS also causes increased risks of multiple cancers via dysregulation of the PI3K and MAPK signaling pathways. Conditional knockout models have shown that neural Pten regulates social behavior, proliferation and cell size. Although much is known about how the intracellular localization of PTEN regulates signaling in cancer cell lines, we know little of how PTEN localization influences normal brain physiology and behavior. To address this, we generated a germline knock-in mouse model of cytoplasm-predominant Pten and characterized its behavioral and cellular phenotypes. Thehomozygous Ptenm3m4 mice have decreased total Pten levels including a specific drop in nuclear Pten and exhibit region-specific increases in brain weight. The Ptenm3m4 model displays sex-specific increases in social motivation, poor balance and normal recognition memory-a profile reminiscent of some individuals with high functioning ASD. The cytoplasm-predominant protein caused cellular hypertrophy limited to thesoma and led to increasedNG2cell proliferation and accumulation of glia. The animals also exhibit significant astrogliosis and microglial activation, indicating a neuroinflammatory phenotype. At the signaling level, Ptenm3m4 mice show brain region-specific differences in Akt activation. These results demonstrate that differing alterations to thesame autism-linked gene can cause distinct behavioral profiles. The Ptenm3m4 model is the first murine model of inappropriately elevated social motivation in the context of normal cognition and may expand the range of autism-related behaviors replicated in animal models. © The Author 2014. Published by Oxford University Press. All rights reserved.","author":[{"dropping-particle":"","family":"Tilot","given":"Amanda K.","non-dropping-particle":"","parse-names":false,"suffix":""},{"dropping-particle":"","family":"Gaugler","given":"Mary K.","non-dropping-particle":"","parse-names":false,"suffix":""},{"dropping-particle":"","family":"Yu","given":"Qi","non-dropping-particle":"","parse-names":false,"suffix":""},{"dropping-particle":"","family":"Romigh","given":"Todd","non-dropping-particle":"","parse-names":false,"suffix":""},{"dropping-particle":"","family":"Yu","given":"Wanfeng","non-dropping-particle":"","parse-names":false,"suffix":""},{"dropping-particle":"","family":"Miller","given":"Robert H.","non-dropping-particle":"","parse-names":false,"suffix":""},{"dropping-particle":"","family":"Frazier","given":"Thomas W.","non-dropping-particle":"","parse-names":false,"suffix":""},{"dropping-particle":"","family":"Eng","given":"Charis","non-dropping-particle":"","parse-names":false,"suffix":""}],"container-title":"Human Molecular Genetics","id":"ITEM-3","issue":"12","issued":{"date-parts":[["2014"]]},"page":"3212-3227","publisher":"Oxford University Press","title":"Germline disruption of Pten localization causes enhanced sex-dependent social motivation and increased glial production","type":"article-journal","volume":"23"},"uris":["http://www.mendeley.com/documents/?uuid=25c97880-c6cc-3790-b68a-5ce66c29387d"]},{"id":"ITEM-4","itemData":{"DOI":"10.1523/JNEUROSCI.5272-14.2015","ISSN":"15292401","PMID":"26180201","abstract":"Abnormal patterns of head and brain growth are a replicated finding in a subset of individuals with autism spectrum disorder (ASD). It is not known whether risk factors associated with ASD and abnormal brain growth (both overgrowth and undergrowth) converge on common biological pathways and cellular mechanisms in the developing brain. Heterozygous mutations in PTEN (PTEN+/-), which encodes a negative regulator of the PI3K-Akt-mTOR pathway, are a risk factor for ASD and macrocephaly. Here we use the developing cerebral cortex of Pten+/- mice to investigate the trajectory of brain overgrowth and underlying cellular mechanisms. We find that overgrowth is detectable from birth to adulthood, is driven by hyperplasia, and coincides with excess neurons at birth and excess glia in adulthood. β-Catenin signaling is elevated in the developing Pten+/- cortex, and a heterozygous mutation in Ctnnb1 (encoding β-catenin), itself a candidate gene for ASD and microcephaly, can suppress Pten+/- cortical overgrowth. Thus, a balance of Pten and β-catenin signaling regulates normal brain growth trajectory by controlling cell number, and imbalance in this relationship can result in abnormal brain growth.","author":[{"dropping-particle":"","family":"Chen","given":"Youjun","non-dropping-particle":"","parse-names":false,"suffix":""},{"dropping-particle":"","family":"Huang","given":"Wen Chin","non-dropping-particle":"","parse-names":false,"suffix":""},{"dropping-particle":"","family":"Séjourné","given":"Julien","non-dropping-particle":"","parse-names":false,"suffix":""},{"dropping-particle":"","family":"Clipperton-Allen","given":"Amy E.","non-dropping-particle":"","parse-names":false,"suffix":""},{"dropping-particle":"","family":"Page","given":"Damon T.","non-dropping-particle":"","parse-names":false,"suffix":""}],"container-title":"Journal of Neuroscience","id":"ITEM-4","issue":"28","issued":{"date-parts":[["2015","7","15"]]},"page":"10252-10267","publisher":"Society for Neuroscience","title":"Pten mutations alter brain growth trajectory and allocation of cell types through elevated β-Catenin signaling","type":"article-journal","volume":"35"},"uris":["http://www.mendeley.com/documents/?uuid=9a296b08-473c-3946-b7e2-b72bd289a637"]}],"mendeley":{"formattedCitation":"&lt;sup&gt;161–164&lt;/sup&gt;","plainTextFormattedCitation":"161–164","previouslyFormattedCitation":"&lt;sup&gt;161–164&lt;/sup&gt;"},"properties":{"noteIndex":0},"schema":"https://github.com/citation-style-language/schema/raw/master/csl-citation.json"}</w:instrText>
      </w:r>
      <w:r w:rsidR="0058351A">
        <w:fldChar w:fldCharType="separate"/>
      </w:r>
      <w:r w:rsidR="00A47FB6" w:rsidRPr="00A47FB6">
        <w:rPr>
          <w:noProof/>
          <w:vertAlign w:val="superscript"/>
        </w:rPr>
        <w:t>161–164</w:t>
      </w:r>
      <w:r w:rsidR="0058351A">
        <w:fldChar w:fldCharType="end"/>
      </w:r>
      <w:r w:rsidR="00E87612">
        <w:t xml:space="preserve">. </w:t>
      </w:r>
    </w:p>
    <w:p w14:paraId="38EB40D8" w14:textId="77777777" w:rsidR="002A1A6E" w:rsidRDefault="002A1A6E" w:rsidP="00EC4DAF">
      <w:pPr>
        <w:pStyle w:val="Odstavecseseznamem"/>
        <w:ind w:left="0"/>
        <w:jc w:val="both"/>
      </w:pPr>
    </w:p>
    <w:p w14:paraId="198C9C07" w14:textId="56B931BF" w:rsidR="008D40E8" w:rsidRDefault="008D40E8" w:rsidP="00EC4DAF">
      <w:pPr>
        <w:pStyle w:val="Odstavecseseznamem"/>
        <w:ind w:left="0"/>
        <w:jc w:val="both"/>
      </w:pPr>
      <w:r w:rsidRPr="00997A53">
        <w:t>Častou aberací popisovanou u primárního a sekundárního glioblastomu jsou delece podél chromozomálního ramene 10q čítající 70</w:t>
      </w:r>
      <w:r w:rsidR="003B33C9">
        <w:t xml:space="preserve"> </w:t>
      </w:r>
      <w:r w:rsidRPr="00997A53">
        <w:t>% glioblastomů</w:t>
      </w:r>
      <w:r w:rsidR="0058351A">
        <w:t xml:space="preserve"> a jak již bylo zmíněno, v této</w:t>
      </w:r>
      <w:r w:rsidR="0058351A" w:rsidRPr="00997A53">
        <w:t> oblasti 10q23 se kromě jiných tumor supresorů vyskytuje i gen pro fosfat</w:t>
      </w:r>
      <w:r w:rsidR="0058351A" w:rsidRPr="008F1A44">
        <w:t xml:space="preserve">ázu </w:t>
      </w:r>
      <w:r w:rsidR="0058351A" w:rsidRPr="009D7D66">
        <w:rPr>
          <w:i/>
          <w:iCs/>
        </w:rPr>
        <w:t>PTEN</w:t>
      </w:r>
      <w:r w:rsidR="0058351A" w:rsidRPr="008F1A44">
        <w:rPr>
          <w:noProof/>
          <w:vertAlign w:val="superscript"/>
        </w:rPr>
        <w:t xml:space="preserve"> </w:t>
      </w:r>
      <w:r w:rsidRPr="008F1A44">
        <w:rPr>
          <w:noProof/>
          <w:vertAlign w:val="superscript"/>
        </w:rPr>
        <w:fldChar w:fldCharType="begin" w:fldLock="1"/>
      </w:r>
      <w:r w:rsidR="00F90F1D">
        <w:rPr>
          <w:noProof/>
          <w:vertAlign w:val="superscript"/>
        </w:rPr>
        <w:instrText>ADDIN CSL_CITATION {"citationItems":[{"id":"ITEM-1","itemData":{"DOI":"10.2353/ajpath.2007.070011","ISSN":"00029440","PMID":"17456751","abstract":"Glioblastoma is the most frequent and most malignant human brain tumor. The prognosis remains very poor, with most patients dying within 1 year after diagnosis. Primary and secondary glioblastoma constitute distinct disease subtypes, affecting patients of different age and developing through different genetic pathways. The majority of cases (&gt;90%) are primary glioblastomas that develop rapidly de novo, without clinical or histological evidence of a less malignant precursor lesion. They affect mainly the elderly and are genetically characterized by loss of heterozygosity 10q (70% of cases), EGFR amplification (36%), p16INK4a deletion (31%), and PTEN mutations (25%). Secondary glioblastomas develop through progression from low-grade diffuse astrocytoma or anaplastic astrocytoma and manifest in younger patients. In the pathway to secondary glioblastoma, TP53 mutations are the most frequent and earliest detectable genetic alteration, already present in 60% of precursor low-grade astrocytomas. The mutation pattern is characterized by frequent G:C→A:T mutations at CpG sites. During progression to glioblastoma, additional mutations accumulate, including loss of heterozygosity 10q25-qter (</w:instrText>
      </w:r>
      <w:r w:rsidR="00F90F1D">
        <w:rPr>
          <w:rFonts w:ascii="Cambria Math" w:hAnsi="Cambria Math" w:cs="Cambria Math"/>
          <w:noProof/>
          <w:vertAlign w:val="superscript"/>
        </w:rPr>
        <w:instrText>∼</w:instrText>
      </w:r>
      <w:r w:rsidR="00F90F1D">
        <w:rPr>
          <w:noProof/>
          <w:vertAlign w:val="superscript"/>
        </w:rPr>
        <w:instrText>70%), which is the most frequent genetic alteration in both primary and secondary glioblastomas. Primary and secondary glioblastomas also differ significantly in their pattern of promoter methylation and in expression profiles at RNA and protein levels. This has significant implications, particularly for the development of novel, targeted therapies, as discussed in this review. Copyright © American Society for Investigative Pathology.","author":[{"dropping-particle":"","family":"Ohgaki","given":"Hiroko","non-dropping-particle":"","parse-names":false,"suffix":""},{"dropping-particle":"","family":"Kleihues","given":"Paul","non-dropping-particle":"","parse-names":false,"suffix":""}],"container-title":"American Journal of Pathology","id":"ITEM-1","issue":"5","issued":{"date-parts":[["2007"]]},"page":"1445-1453","publisher":"American Society for Investigative Pathology Inc.","title":"Genetic pathways to primary and secondary glioblastoma","type":"article","volume":"170"},"uris":["http://www.mendeley.com/documents/?uuid=28bf176a-1d02-314b-9e33-555e9f848170"]},{"id":"ITEM-2","itemData":{"DOI":"10.1146/annurev.pathol.4.110807.092311","ISSN":"15534006","PMID":"18767981","abstract":"PI3-kinase and PTEN are major positive and negative regulators, respectively, of the PI3-kinase pathway, which regulates growth, survival, and proliferation. These key signaling components are two of the most frequently mutated proteins in human cancers, resulting in unregulated activation of PI3K signaling and providing irrefutable genetic evidence of the central role of this pathway in tumorigenesis. PTEN regulates PI3K signaling by dephosphorylating the lipid signaling intermediate PIP3, but PTEN may have additional phosphatase-independent activities, as well as other functions in the nucleus. In this review, we highlight current work showing cancer-relevant complexities in the regulation of PTEN and PI3K activity, potential novel functions for PTEN, and feedback regulation within the pathway. The significance and complexity of PI3K signaling make it an important but challenging therapeutic target for cancer. Copyright © 2009 by Annual Reviews. All rights reserved.","author":[{"dropping-particle":"","family":"Chalhoub","given":"Nader","non-dropping-particle":"","parse-names":false,"suffix":""},{"dropping-particle":"","family":"Baker","given":"Suzanne J.","non-dropping-particle":"","parse-names":false,"suffix":""}],"container-title":"Annual Review of Pathology: Mechanisms of Disease","id":"ITEM-2","issued":{"date-parts":[["2009","2"]]},"page":"127-150","publisher":"Annu Rev Pathol","title":"PTEN and the PI3-kinase pathway in cancer","type":"article","volume":"4"},"uris":["http://www.mendeley.com/documents/?uuid=51da1b9b-7f30-301d-8434-f8e2fa600851"]}],"mendeley":{"formattedCitation":"&lt;sup&gt;39,165&lt;/sup&gt;","plainTextFormattedCitation":"39,165","previouslyFormattedCitation":"&lt;sup&gt;39,165&lt;/sup&gt;"},"properties":{"noteIndex":0},"schema":"https://github.com/citation-style-language/schema/raw/master/csl-citation.json"}</w:instrText>
      </w:r>
      <w:r w:rsidRPr="008F1A44">
        <w:rPr>
          <w:noProof/>
          <w:vertAlign w:val="superscript"/>
        </w:rPr>
        <w:fldChar w:fldCharType="separate"/>
      </w:r>
      <w:r w:rsidR="00CB0011" w:rsidRPr="00CB0011">
        <w:rPr>
          <w:noProof/>
          <w:vertAlign w:val="superscript"/>
        </w:rPr>
        <w:t>39,165</w:t>
      </w:r>
      <w:r w:rsidRPr="008F1A44">
        <w:rPr>
          <w:noProof/>
          <w:vertAlign w:val="superscript"/>
        </w:rPr>
        <w:fldChar w:fldCharType="end"/>
      </w:r>
      <w:r w:rsidR="0058351A">
        <w:t xml:space="preserve">. Je dokázáno, že mutace v tomto genu jsou zapojeny i do maligní progrese gliomů a </w:t>
      </w:r>
      <w:r w:rsidR="004823BA">
        <w:t>korelují s</w:t>
      </w:r>
      <w:r w:rsidR="009D7D66">
        <w:t xml:space="preserve"> </w:t>
      </w:r>
      <w:r w:rsidR="004823BA">
        <w:t>kratším celkovým přežitím</w:t>
      </w:r>
      <w:r w:rsidR="004823BA">
        <w:fldChar w:fldCharType="begin" w:fldLock="1"/>
      </w:r>
      <w:r w:rsidR="00D745ED">
        <w:instrText>ADDIN CSL_CITATION {"citationItems":[{"id":"ITEM-1","itemData":{"DOI":"10.1097/00001622-200305000-00003","ISSN":"10408746","PMID":"12778011","abstract":"Primary brain tumors, particularly glioblastomas, remain a challenge for oncology. Uncontrolled cellular proliferation, lack of apoptosis, invasion, and angiogenesis are among the biologic processes that render these tumors both aggressive and difficult to treat. An understanding of the genetics and molecular events regulating these aggressive tumors is beginning to emerge, partly because of recent knowledge in genomics, gene expression analysis, and mouse tumor models. As a result, it is now generally accepted that brain tumors, particularly those arising from cells of glial lineage, result from stepwise accumulation of deleterious genetic alterations. Several genetic abnormalities have been described, and current research is aimed at elucidating their causal association with brain tumor formation and progression. The purpose of this review is to summarize some of the most important recently published findings on the molecular genetics of primary gliomas. © 2003 Lippincott Williams &amp; Wilkins.","author":[{"dropping-particle":"","family":"Kitange","given":"Gaspar J.","non-dropping-particle":"","parse-names":false,"suffix":""},{"dropping-particle":"","family":"Templeton","given":"Kristen L.","non-dropping-particle":"","parse-names":false,"suffix":""},{"dropping-particle":"","family":"Jenkins","given":"Robert B.","non-dropping-particle":"","parse-names":false,"suffix":""}],"container-title":"Current Opinion in Oncology","id":"ITEM-1","issue":"3","issued":{"date-parts":[["2003","5"]]},"page":"197-203","publisher":"Curr Opin Oncol","title":"Recent advances in the molecular genetics of primary gliomas","type":"article","volume":"15"},"uris":["http://www.mendeley.com/documents/?uuid=22234aa2-663a-3bf2-baad-864822057243"]}],"mendeley":{"formattedCitation":"&lt;sup&gt;166&lt;/sup&gt;","plainTextFormattedCitation":"166","previouslyFormattedCitation":"&lt;sup&gt;166&lt;/sup&gt;"},"properties":{"noteIndex":0},"schema":"https://github.com/citation-style-language/schema/raw/master/csl-citation.json"}</w:instrText>
      </w:r>
      <w:r w:rsidR="004823BA">
        <w:fldChar w:fldCharType="separate"/>
      </w:r>
      <w:r w:rsidR="00A47FB6" w:rsidRPr="00A47FB6">
        <w:rPr>
          <w:noProof/>
          <w:vertAlign w:val="superscript"/>
        </w:rPr>
        <w:t>166</w:t>
      </w:r>
      <w:r w:rsidR="004823BA">
        <w:fldChar w:fldCharType="end"/>
      </w:r>
      <w:r w:rsidR="0058351A">
        <w:t xml:space="preserve">. </w:t>
      </w:r>
      <w:r w:rsidR="004823BA">
        <w:t xml:space="preserve">Co se týče vlivu na prognózu, </w:t>
      </w:r>
      <w:r w:rsidR="00707B68">
        <w:t>existují</w:t>
      </w:r>
      <w:r w:rsidR="004823BA">
        <w:t xml:space="preserve"> napříč literaturou nekonzistentní závěry. </w:t>
      </w:r>
    </w:p>
    <w:p w14:paraId="0505A890" w14:textId="452055A2" w:rsidR="00707B68" w:rsidRDefault="00707B68" w:rsidP="00EC4DAF">
      <w:pPr>
        <w:pStyle w:val="Odstavecseseznamem"/>
        <w:ind w:left="0"/>
        <w:jc w:val="both"/>
      </w:pPr>
    </w:p>
    <w:p w14:paraId="0481FFF9" w14:textId="06F190A4" w:rsidR="00707B68" w:rsidRDefault="00707B68" w:rsidP="00EC4DAF">
      <w:pPr>
        <w:pStyle w:val="Odstavecseseznamem"/>
        <w:ind w:left="0"/>
        <w:jc w:val="both"/>
      </w:pPr>
      <w:r>
        <w:t>Jako všechny ostatní kandidátní geny zapojené do gliomageneze</w:t>
      </w:r>
      <w:r w:rsidR="004D2697">
        <w:t>,</w:t>
      </w:r>
      <w:r>
        <w:t xml:space="preserve"> lze </w:t>
      </w:r>
      <w:r w:rsidRPr="009D7D66">
        <w:rPr>
          <w:i/>
          <w:iCs/>
        </w:rPr>
        <w:t>PTEN</w:t>
      </w:r>
      <w:r>
        <w:t xml:space="preserve"> sledovat na úrovni genové pomocí sekvenování, PCR metod</w:t>
      </w:r>
      <w:r w:rsidR="004D2697">
        <w:t xml:space="preserve">ami a po cytogenetické stránce je možné delece sledovat pomocí fluorescenční </w:t>
      </w:r>
      <w:r w:rsidR="004D2697" w:rsidRPr="004D2697">
        <w:rPr>
          <w:i/>
          <w:iCs/>
        </w:rPr>
        <w:t>in situ</w:t>
      </w:r>
      <w:r w:rsidR="004D2697">
        <w:t xml:space="preserve"> hybridizace</w:t>
      </w:r>
      <w:r w:rsidR="00F400B8">
        <w:fldChar w:fldCharType="begin" w:fldLock="1"/>
      </w:r>
      <w:r w:rsidR="00D745ED">
        <w:instrText>ADDIN CSL_CITATION {"citationItems":[{"id":"ITEM-1","itemData":{"DOI":"10.1038/onc.2016.493","ISSN":"14765594","PMID":"28263967","abstract":"PTEN is a PIP3 phosphatase that antagonizes oncogenic PI3-kinase signalling. Due to its critical role in suppressing the potent signalling pathway, it is one of the most mutated tumour suppressors, especially in brain tumours. It is generally thought that PTEN deficiencies predominantly result from either loss of expression or enzymatic activity. By analysing PTEN in malignant glioblastoma primary cells derived from 16 of our patients, we report mutations that block localization of PTEN at the plasma membrane and nucleus without affecting lipid phosphatase activity. Cellular and biochemical analyses as well as structural modelling revealed that two mutations disrupt intramolecular interaction of PTEN and open its conformation, enhancing polyubiquitination of PTEN and decreasing protein stability. Moreover, promoting mono-ubiquitination increases protein stability and nuclear localization of mutant PTEN. Thus, our findings provide a molecular mechanism for cancer-associated PTEN defects and may lead to a brain cancer treatment that targets PTEN mono-ubiquitination.","author":[{"dropping-particle":"","family":"Yang","given":"Jr M.","non-dropping-particle":"","parse-names":false,"suffix":""},{"dropping-particle":"","family":"Schiapparelli","given":"P.","non-dropping-particle":"","parse-names":false,"suffix":""},{"dropping-particle":"","family":"Nguyen","given":"H. N.","non-dropping-particle":"","parse-names":false,"suffix":""},{"dropping-particle":"","family":"Igarashi","given":"A.","non-dropping-particle":"","parse-names":false,"suffix":""},{"dropping-particle":"","family":"Zhang","given":"Q.","non-dropping-particle":"","parse-names":false,"suffix":""},{"dropping-particle":"","family":"Abbadi","given":"S.","non-dropping-particle":"","parse-names":false,"suffix":""},{"dropping-particle":"","family":"Amzel","given":"L. M.","non-dropping-particle":"","parse-names":false,"suffix":""},{"dropping-particle":"","family":"Sesaki","given":"H.","non-dropping-particle":"","parse-names":false,"suffix":""},{"dropping-particle":"","family":"Quinõnes-Hinojosa","given":"A.","non-dropping-particle":"","parse-names":false,"suffix":""},{"dropping-particle":"","family":"Iijima","given":"M.","non-dropping-particle":"","parse-names":false,"suffix":""}],"container-title":"Oncogene","id":"ITEM-1","issue":"26","issued":{"date-parts":[["2017","6","29"]]},"page":"3673-3685","publisher":"Nature Publishing Group","title":"Characterization of PTEN mutations in brain cancer reveals that pten mono-ubiquitination promotes protein stability and nuclear localization","type":"article-journal","volume":"36"},"uris":["http://www.mendeley.com/documents/?uuid=21896270-a30d-3ee3-aa8d-b3bb60d52ffd"]},{"id":"ITEM-2","itemData":{"DOI":"10.1038/modpathol.3800415","ISSN":"08933952","PMID":"15832192","abstract":"Astrocytic gliomas are the most common pediatric brain tumors; however, nonbrainstem glioblastomas are extremely rare compared with their adult counterparts. Little information is available on the clinical significance of various molecular markers in pediatric grade IV astrocytomas. The current study was focused on the molecular analysis and clinico-pathological correlations in a set of 44 tumor samples obtained from pediatric patients with nonbrainstem glioblastomas. Fluorescence in situ hybridization (FISH) with a set of 10 commercial chromosome probes (1p36, 1q25, centromere (CEP)7, EGFR, CEP9, 9p21/p16, CEP10, 10q23/PTEN, 19p13, and 19q13) was performed. Disclosed molecular abnormalities, in descending order of frequency, included polysomy 7 (72%), loss of 10q23 (61%), loss of 9p21 (52%), loss of 1p36 (41%), gain of 1q25 (25%), polysomy 9 (16%), EGFR amplification (9%), loss of 19q13 (5%), polysomy 19 (5%), and codeletion 1p36/19q13 (2%). The overall survival time was markedly shorter only for those patients whose lesions harbored deletion of 10q23/PTEN locus (log-rank test; P = 0.00007). By multivariate analysis, only loss of 10q23 locus reached an independent level of prognostic value (hazard ratio = 2.88; P = 0.01). There were no significant differences in patient survival for other molecular abnormalities. In conclusion, a FISH analysis of 10q23 dosage should be recommended as an ancillary laboratory method that allows further clinical subdivision of pediatric glioblastomas. © 2005 USCAP, Inc. All rights reserved.","author":[{"dropping-particle":"","family":"Korshunov","given":"Andrey","non-dropping-particle":"","parse-names":false,"suffix":""},{"dropping-particle":"","family":"Sycheva","given":"Regina","non-dropping-particle":"","parse-names":false,"suffix":""},{"dropping-particle":"","family":"Gorelyshev","given":"Sergey","non-dropping-particle":"","parse-names":false,"suffix":""},{"dropping-particle":"","family":"Golanov","given":"Andrey","non-dropping-particle":"","parse-names":false,"suffix":""}],"container-title":"Modern Pathology","id":"ITEM-2","issue":"9","issued":{"date-parts":[["2005","9"]]},"page":"1258-1263","publisher":"Mod Pathol","title":"Clinical utility of fluorescence in situ hybridization (FISH) in nonbrainstem glioblastomas of childhood","type":"article-journal","volume":"18"},"uris":["http://www.mendeley.com/documents/?uuid=7a5ffdc1-1203-39df-9a51-e3c91c99d62b"]},{"id":"ITEM-3","itemData":{"DOI":"10.1016/S0002-9440(10)63463-3","ISSN":"00029440","PMID":"12937144","abstract":"Diffuse astrocytoma of World Health Organization (WHO) grade II has an inherent tendency to spontaneously progress to anaplastic astrocytoma (WHO grade III) and/or glioblastoma (WHO grade IV). The molecular basis of astrocytoma progression is still poorly understood, in particular with respect to the progression-associated changes at the mRNA level. Therefore, we compared the transcriptional profile of approximately 6800 genes in primary WHO grade II gliomas and corresponding recurrent high-grade (WHO grade III or IV) gliomas from eight patients using oligonucleotide-based microarray analysis. We identified 66 genes whose mRNA levels differed significantly (P &lt; 0.01, ≥2-fold change) between the primary and recurrent tumors. The microarray data were corroborated by real-time reverse transcription-polymerase chain reaction analysis of 12 selected genes, including 7 genes with increased expression and 5 genes with reduced expression on progression. In addition, the expression of these 12 genes was determined in an independent series of 43 astrocytic gliomas (9 diffuse astrocytomas, 10 anaplastic astrocytomas, 17 primary, and 7 secondary glioblastomas). These analyses confirmed that the transcript levels of nine of the selected genes (COL4A2, FOXM1, MGP, TOP2A, CENPF, IGFBP4, VEGFA, ADD3, and CAMK2G) differed significantly in WHO grade II astrocytomas as compared to anaplastic astrocytomas and/or glioblastomas. Thus, we identified and validated a set of interesting candidate genes whose differential expression likely plays a role in astrocytoma progression.","author":[{"dropping-particle":"","family":"Boom","given":"Jörg","non-dropping-particle":"Van den","parse-names":false,"suffix":""},{"dropping-particle":"","family":"Wolter","given":"Marietta","non-dropping-particle":"","parse-names":false,"suffix":""},{"dropping-particle":"","family":"Kuick","given":"Rork","non-dropping-particle":"","parse-names":false,"suffix":""},{"dropping-particle":"","family":"Misek","given":"David E.","non-dropping-particle":"","parse-names":false,"suffix":""},{"dropping-particle":"","family":"Youkilis","given":"Andrew S.","non-dropping-particle":"","parse-names":false,"suffix":""},{"dropping-particle":"","family":"Wechsler","given":"Daniel S.","non-dropping-particle":"","parse-names":false,"suffix":""},{"dropping-particle":"","family":"Sommer","given":"Clemens","non-dropping-particle":"","parse-names":false,"suffix":""},{"dropping-particle":"","family":"Reifenberger","given":"Guido","non-dropping-particle":"","parse-names":false,"suffix":""},{"dropping-particle":"","family":"Hanash","given":"Samir M.","non-dropping-particle":"","parse-names":false,"suffix":""}],"container-title":"American Journal of Pathology","id":"ITEM-3","issue":"3","issued":{"date-parts":[["2003","9","1"]]},"page":"1033-1043","publisher":"American Society for Investigative Pathology Inc.","title":"Characterization of gene expression profiles associated with glioma progression using oligonucleotide-based microarray analysis and real-time reverse transcription-polymerase chain reaction","type":"article-journal","volume":"163"},"uris":["http://www.mendeley.com/documents/?uuid=4b4b091e-c854-3e4d-bb5b-dc70475d713e"]}],"mendeley":{"formattedCitation":"&lt;sup&gt;167–169&lt;/sup&gt;","plainTextFormattedCitation":"167–169","previouslyFormattedCitation":"&lt;sup&gt;167–169&lt;/sup&gt;"},"properties":{"noteIndex":0},"schema":"https://github.com/citation-style-language/schema/raw/master/csl-citation.json"}</w:instrText>
      </w:r>
      <w:r w:rsidR="00F400B8">
        <w:fldChar w:fldCharType="separate"/>
      </w:r>
      <w:r w:rsidR="00A47FB6" w:rsidRPr="00A47FB6">
        <w:rPr>
          <w:noProof/>
          <w:vertAlign w:val="superscript"/>
        </w:rPr>
        <w:t>167–169</w:t>
      </w:r>
      <w:r w:rsidR="00F400B8">
        <w:fldChar w:fldCharType="end"/>
      </w:r>
      <w:r w:rsidR="004D2697">
        <w:t xml:space="preserve">.  Pomocí </w:t>
      </w:r>
      <w:r>
        <w:t xml:space="preserve">expresní imunohistochemie </w:t>
      </w:r>
      <w:r w:rsidR="004D2697">
        <w:t xml:space="preserve">a </w:t>
      </w:r>
      <w:r>
        <w:t>příslušné protilátky</w:t>
      </w:r>
      <w:r w:rsidR="004D2697">
        <w:t xml:space="preserve"> proti PTEN lze sledovat </w:t>
      </w:r>
      <w:r w:rsidR="00A344B6">
        <w:t xml:space="preserve">i </w:t>
      </w:r>
      <w:r w:rsidR="004D2697">
        <w:t>jeho míru exprese</w:t>
      </w:r>
      <w:r w:rsidR="00F400B8">
        <w:fldChar w:fldCharType="begin" w:fldLock="1"/>
      </w:r>
      <w:r w:rsidR="00D745ED">
        <w:instrText>ADDIN CSL_CITATION {"citationItems":[{"id":"ITEM-1","itemData":{"DOI":"10.1038/onc.2016.493","ISSN":"14765594","PMID":"28263967","abstract":"PTEN is a PIP3 phosphatase that antagonizes oncogenic PI3-kinase signalling. Due to its critical role in suppressing the potent signalling pathway, it is one of the most mutated tumour suppressors, especially in brain tumours. It is generally thought that PTEN deficiencies predominantly result from either loss of expression or enzymatic activity. By analysing PTEN in malignant glioblastoma primary cells derived from 16 of our patients, we report mutations that block localization of PTEN at the plasma membrane and nucleus without affecting lipid phosphatase activity. Cellular and biochemical analyses as well as structural modelling revealed that two mutations disrupt intramolecular interaction of PTEN and open its conformation, enhancing polyubiquitination of PTEN and decreasing protein stability. Moreover, promoting mono-ubiquitination increases protein stability and nuclear localization of mutant PTEN. Thus, our findings provide a molecular mechanism for cancer-associated PTEN defects and may lead to a brain cancer treatment that targets PTEN mono-ubiquitination.","author":[{"dropping-particle":"","family":"Yang","given":"Jr M.","non-dropping-particle":"","parse-names":false,"suffix":""},{"dropping-particle":"","family":"Schiapparelli","given":"P.","non-dropping-particle":"","parse-names":false,"suffix":""},{"dropping-particle":"","family":"Nguyen","given":"H. N.","non-dropping-particle":"","parse-names":false,"suffix":""},{"dropping-particle":"","family":"Igarashi","given":"A.","non-dropping-particle":"","parse-names":false,"suffix":""},{"dropping-particle":"","family":"Zhang","given":"Q.","non-dropping-particle":"","parse-names":false,"suffix":""},{"dropping-particle":"","family":"Abbadi","given":"S.","non-dropping-particle":"","parse-names":false,"suffix":""},{"dropping-particle":"","family":"Amzel","given":"L. M.","non-dropping-particle":"","parse-names":false,"suffix":""},{"dropping-particle":"","family":"Sesaki","given":"H.","non-dropping-particle":"","parse-names":false,"suffix":""},{"dropping-particle":"","family":"Quinõnes-Hinojosa","given":"A.","non-dropping-particle":"","parse-names":false,"suffix":""},{"dropping-particle":"","family":"Iijima","given":"M.","non-dropping-particle":"","parse-names":false,"suffix":""}],"container-title":"Oncogene","id":"ITEM-1","issue":"26","issued":{"date-parts":[["2017","6","29"]]},"page":"3673-3685","publisher":"Nature Publishing Group","title":"Characterization of PTEN mutations in brain cancer reveals that pten mono-ubiquitination promotes protein stability and nuclear localization","type":"article-journal","volume":"36"},"uris":["http://www.mendeley.com/documents/?uuid=21896270-a30d-3ee3-aa8d-b3bb60d52ffd"]}],"mendeley":{"formattedCitation":"&lt;sup&gt;167&lt;/sup&gt;","plainTextFormattedCitation":"167","previouslyFormattedCitation":"&lt;sup&gt;167&lt;/sup&gt;"},"properties":{"noteIndex":0},"schema":"https://github.com/citation-style-language/schema/raw/master/csl-citation.json"}</w:instrText>
      </w:r>
      <w:r w:rsidR="00F400B8">
        <w:fldChar w:fldCharType="separate"/>
      </w:r>
      <w:r w:rsidR="00A47FB6" w:rsidRPr="00A47FB6">
        <w:rPr>
          <w:noProof/>
          <w:vertAlign w:val="superscript"/>
        </w:rPr>
        <w:t>167</w:t>
      </w:r>
      <w:r w:rsidR="00F400B8">
        <w:fldChar w:fldCharType="end"/>
      </w:r>
      <w:r>
        <w:t xml:space="preserve">. S nástupem </w:t>
      </w:r>
      <w:r w:rsidR="004D2697">
        <w:t>microarrayí</w:t>
      </w:r>
      <w:r>
        <w:t xml:space="preserve"> lze využít sledování většího množství kandidátních genů pomocí nové generace</w:t>
      </w:r>
      <w:r w:rsidR="004D2697">
        <w:t xml:space="preserve"> čipů, využívající analýzy od genů přes RNA</w:t>
      </w:r>
      <w:r w:rsidR="006B5691">
        <w:t xml:space="preserve"> </w:t>
      </w:r>
      <w:r w:rsidR="004D2697">
        <w:t>až po proteiny</w:t>
      </w:r>
      <w:r w:rsidR="006B5691">
        <w:fldChar w:fldCharType="begin" w:fldLock="1"/>
      </w:r>
      <w:r w:rsidR="00D745ED">
        <w:instrText>ADDIN CSL_CITATION {"citationItems":[{"id":"ITEM-1","itemData":{"DOI":"10.1016/S0002-9440(10)63463-3","ISSN":"00029440","PMID":"12937144","abstract":"Diffuse astrocytoma of World Health Organization (WHO) grade II has an inherent tendency to spontaneously progress to anaplastic astrocytoma (WHO grade III) and/or glioblastoma (WHO grade IV). The molecular basis of astrocytoma progression is still poorly understood, in particular with respect to the progression-associated changes at the mRNA level. Therefore, we compared the transcriptional profile of approximately 6800 genes in primary WHO grade II gliomas and corresponding recurrent high-grade (WHO grade III or IV) gliomas from eight patients using oligonucleotide-based microarray analysis. We identified 66 genes whose mRNA levels differed significantly (P &lt; 0.01, ≥2-fold change) between the primary and recurrent tumors. The microarray data were corroborated by real-time reverse transcription-polymerase chain reaction analysis of 12 selected genes, including 7 genes with increased expression and 5 genes with reduced expression on progression. In addition, the expression of these 12 genes was determined in an independent series of 43 astrocytic gliomas (9 diffuse astrocytomas, 10 anaplastic astrocytomas, 17 primary, and 7 secondary glioblastomas). These analyses confirmed that the transcript levels of nine of the selected genes (COL4A2, FOXM1, MGP, TOP2A, CENPF, IGFBP4, VEGFA, ADD3, and CAMK2G) differed significantly in WHO grade II astrocytomas as compared to anaplastic astrocytomas and/or glioblastomas. Thus, we identified and validated a set of interesting candidate genes whose differential expression likely plays a role in astrocytoma progression.","author":[{"dropping-particle":"","family":"Boom","given":"Jörg","non-dropping-particle":"Van den","parse-names":false,"suffix":""},{"dropping-particle":"","family":"Wolter","given":"Marietta","non-dropping-particle":"","parse-names":false,"suffix":""},{"dropping-particle":"","family":"Kuick","given":"Rork","non-dropping-particle":"","parse-names":false,"suffix":""},{"dropping-particle":"","family":"Misek","given":"David E.","non-dropping-particle":"","parse-names":false,"suffix":""},{"dropping-particle":"","family":"Youkilis","given":"Andrew S.","non-dropping-particle":"","parse-names":false,"suffix":""},{"dropping-particle":"","family":"Wechsler","given":"Daniel S.","non-dropping-particle":"","parse-names":false,"suffix":""},{"dropping-particle":"","family":"Sommer","given":"Clemens","non-dropping-particle":"","parse-names":false,"suffix":""},{"dropping-particle":"","family":"Reifenberger","given":"Guido","non-dropping-particle":"","parse-names":false,"suffix":""},{"dropping-particle":"","family":"Hanash","given":"Samir M.","non-dropping-particle":"","parse-names":false,"suffix":""}],"container-title":"American Journal of Pathology","id":"ITEM-1","issue":"3","issued":{"date-parts":[["2003","9","1"]]},"page":"1033-1043","publisher":"American Society for Investigative Pathology Inc.","title":"Characterization of gene expression profiles associated with glioma progression using oligonucleotide-based microarray analysis and real-time reverse transcription-polymerase chain reaction","type":"article-journal","volume":"163"},"uris":["http://www.mendeley.com/documents/?uuid=4b4b091e-c854-3e4d-bb5b-dc70475d713e"]},{"id":"ITEM-2","itemData":{"DOI":"10.18632/oncotarget.2993","ISSN":"19492553","PMID":"25576921","abstract":"Glioblastoma multiforme (GBM) is the most common primary brain tumour in adults and one of the most aggressive cancers. PARP-1 is a nuclear protein involved in multiple facets of DNA repair and transcriptional regulation. In this study we dissected the action of PARP inhibition in different GBM cell lines with either functional or mutated PTEN that confers resistance to diverse therapies. In PTEN mutant cells, PARP inhibition induced a severe genomic instability, exacerbated homologous recombination repair (HR) deficiency and down-regulated the Spindle Assembly Checkpoint (SAC) factor BUBR1, leading to mitotic catastrophe (MC). EGFR gene amplification also represents a signature of genetic abnormality in GBM. To more effectively target GBM cells, co-treatment with a PARP inhibitor and an EGFR blocker, erlotinib, resulted in a strong suppression of ERK1/2 activation and in vivo the combined effect elicited a robust reduction in tumour development. In conclusion, PARP inhibition targets PTEN-deficient GBM cells through accentuation of SAC repression and aggravation of HR deficiency, leading to the induction of genomic instability and eventually deriving to mitotic catastrophe (MC); the inhibition of PARP and co-treatment with an inhibitor of pro-survival pathways strongly retarded in vivo gliomagenesis.","author":[{"dropping-particle":"","family":"Majuelos-Melguizo","given":"Jara","non-dropping-particle":"","parse-names":false,"suffix":""},{"dropping-particle":"","family":"Rodríguez","given":"María Isabel","non-dropping-particle":"","parse-names":false,"suffix":""},{"dropping-particle":"","family":"López-Jiménez","given":"Laura","non-dropping-particle":"","parse-names":false,"suffix":""},{"dropping-particle":"","family":"Rodríguez-Vargas","given":"Jose M.","non-dropping-particle":"","parse-names":false,"suffix":""},{"dropping-particle":"","family":"Martín-Consuegra","given":"Juan M.Martí","non-dropping-particle":"","parse-names":false,"suffix":""},{"dropping-particle":"","family":"Serrano-Sáenz","given":"Santiago","non-dropping-particle":"","parse-names":false,"suffix":""},{"dropping-particle":"","family":"Gavard","given":"Julie","non-dropping-particle":"","parse-names":false,"suffix":""},{"dropping-particle":"","family":"Almodóvar","given":"J. Mariano Ruiz","non-dropping-particle":"de","parse-names":false,"suffix":""},{"dropping-particle":"","family":"Oliver","given":"F. Javier","non-dropping-particle":"","parse-names":false,"suffix":""}],"container-title":"Oncotarget","id":"ITEM-2","issue":"7","issued":{"date-parts":[["2015","12","11"]]},"page":"4790-4803","publisher":"Impact Journals LLC","title":"PARP targeting counteracts gliomagenesis through induction of mitotic catastrophe and aggravation of deficiency in homologous recombination in PTEN-mutant glioma","type":"article-journal","volume":"6"},"uris":["http://www.mendeley.com/documents/?uuid=5f5e3931-d93c-391f-84d8-ccf295df6d02"]}],"mendeley":{"formattedCitation":"&lt;sup&gt;169,170&lt;/sup&gt;","plainTextFormattedCitation":"169,170","previouslyFormattedCitation":"&lt;sup&gt;169,170&lt;/sup&gt;"},"properties":{"noteIndex":0},"schema":"https://github.com/citation-style-language/schema/raw/master/csl-citation.json"}</w:instrText>
      </w:r>
      <w:r w:rsidR="006B5691">
        <w:fldChar w:fldCharType="separate"/>
      </w:r>
      <w:r w:rsidR="00A47FB6" w:rsidRPr="00A47FB6">
        <w:rPr>
          <w:noProof/>
          <w:vertAlign w:val="superscript"/>
        </w:rPr>
        <w:t>169,170</w:t>
      </w:r>
      <w:r w:rsidR="006B5691">
        <w:fldChar w:fldCharType="end"/>
      </w:r>
      <w:r w:rsidR="004D2697">
        <w:t xml:space="preserve">. </w:t>
      </w:r>
    </w:p>
    <w:p w14:paraId="1E652043" w14:textId="77777777" w:rsidR="0072220B" w:rsidRDefault="0072220B" w:rsidP="00EF1645">
      <w:pPr>
        <w:pStyle w:val="Odstavecseseznamem"/>
        <w:ind w:left="0"/>
        <w:jc w:val="both"/>
      </w:pPr>
    </w:p>
    <w:p w14:paraId="53072178" w14:textId="0C55A08C" w:rsidR="00BC75DD" w:rsidRDefault="00BC75DD" w:rsidP="00883E7C">
      <w:pPr>
        <w:pStyle w:val="Nadpis4"/>
        <w:ind w:left="0" w:firstLine="0"/>
      </w:pPr>
      <w:bookmarkStart w:id="52" w:name="_Toc88741477"/>
      <w:r w:rsidRPr="00883E7C">
        <w:t>Mutace</w:t>
      </w:r>
      <w:r>
        <w:t xml:space="preserve"> genu </w:t>
      </w:r>
      <w:r w:rsidRPr="00EF1645">
        <w:t>CDKN2A</w:t>
      </w:r>
      <w:bookmarkEnd w:id="52"/>
    </w:p>
    <w:p w14:paraId="7D3CA36D" w14:textId="52F236C2" w:rsidR="00BC75DD" w:rsidRDefault="00BC75DD" w:rsidP="00EC4DAF">
      <w:pPr>
        <w:pStyle w:val="Odstavecseseznamem"/>
        <w:ind w:left="0"/>
        <w:jc w:val="both"/>
      </w:pPr>
      <w:r>
        <w:t xml:space="preserve">Gen </w:t>
      </w:r>
      <w:r w:rsidR="001E77FF">
        <w:t>pro CDKN2A (C</w:t>
      </w:r>
      <w:r w:rsidRPr="008F1A44">
        <w:t>ycli</w:t>
      </w:r>
      <w:r w:rsidR="001E77FF">
        <w:t>n Dependent Kinase I</w:t>
      </w:r>
      <w:r>
        <w:t>nhibitor 2A) je lokalizován v chromozomální oblasti 9p21.3 a je</w:t>
      </w:r>
      <w:r w:rsidR="00EC5DB1">
        <w:t xml:space="preserve"> jakožto tumor supresor</w:t>
      </w:r>
      <w:r>
        <w:t xml:space="preserve"> spojován s tumorigenezí a špatnou prognózou u velkého množství nádorových onemocnění. </w:t>
      </w:r>
      <w:r w:rsidR="009D7D66">
        <w:t>Nejčastější alterací</w:t>
      </w:r>
      <w:r w:rsidR="001A3543">
        <w:t xml:space="preserve"> CDKN2A je ztráta/delece a v </w:t>
      </w:r>
      <w:r w:rsidR="009D7D66">
        <w:t>minoritě</w:t>
      </w:r>
      <w:r w:rsidR="001A3543">
        <w:t xml:space="preserve"> se jedná o mutace</w:t>
      </w:r>
      <w:r w:rsidR="001A3543">
        <w:fldChar w:fldCharType="begin" w:fldLock="1"/>
      </w:r>
      <w:r w:rsidR="00D745ED">
        <w:instrText>ADDIN CSL_CITATION {"citationItems":[{"id":"ITEM-1","itemData":{"DOI":"10.1158/2159-8290.CD-17-0151","ISSN":"21598290","PMID":"28572459","abstract":"The AACR Project GENIE is an international data-sharing consortium focused on generating an evidence base for precision cancer medicine by integrating clinical-grade cancer genomic data with clinical outcome data for tens of thousands of cancer patients treated at multiple institutions worldwide. In conjunction with the first public data release from approximately 19,000 samples, we describe the goals, structure, and data standards of the consortium and report conclusions from high-level analysis of the initial phase of genomic data. We also provide examples of the clinical utility of GENIE data, such as an estimate of clinical actionability across multiple cancer types (&gt;30%) and prediction of accrual rates to the NCI-MATCH trial that accurately reflect recently reported actual match rates. The GENIE database is expected to grow to &gt;100,000 samples within 5 years and should serve as a powerful tool for precision cancer medicine. SIGNIFICANCE: The AACR Project GENIE aims to catalyze sharing of integrated genomic and clinical datasets across multiple institutions worldwide, and thereby enable precision cancer medicine research, including the identification of novel therapeutic targets, design of biomarker-driven clinical trials, and identification of genomic determinants of response to therapy.","author":[{"dropping-particle":"","family":"Sweeney","given":"S. M.","non-dropping-particle":"","parse-names":false,"suffix":""},{"dropping-particle":"","family":"Cerami","given":"E.","non-dropping-particle":"","parse-names":false,"suffix":""},{"dropping-particle":"","family":"Baras","given":"A.","non-dropping-particle":"","parse-names":false,"suffix":""},{"dropping-particle":"","family":"Pugh","given":"T. J.","non-dropping-particle":"","parse-names":false,"suffix":""},{"dropping-particle":"","family":"Schultz","given":"N.","non-dropping-particle":"","parse-names":false,"suffix":""},{"dropping-particle":"","family":"Stricker","given":"T.","non-dropping-particle":"","parse-names":false,"suffix":""},{"dropping-particle":"","family":"Lindsay","given":"J.","non-dropping-particle":"","parse-names":false,"suffix":""},{"dropping-particle":"","family":"Vecchio Fitz","given":"C.","non-dropping-particle":"Del","parse-names":false,"suffix":""},{"dropping-particle":"","family":"Kumari","given":"P.","non-dropping-particle":"","parse-names":false,"suffix":""},{"dropping-particle":"","family":"Micheel","given":"C.","non-dropping-particle":"","parse-names":false,"suffix":""},{"dropping-particle":"","family":"Shaw","given":"K.","non-dropping-particle":"","parse-names":false,"suffix":""},{"dropping-particle":"","family":"Gao","given":"J.","non-dropping-particle":"","parse-names":false,"suffix":""},{"dropping-particle":"","family":"Moore","given":"N.","non-dropping-particle":"","parse-names":false,"suffix":""},{"dropping-particle":"","family":"Stricker","given":"T.","non-dropping-particle":"","parse-names":false,"suffix":""},{"dropping-particle":"","family":"Kandoth","given":"C.","non-dropping-particle":"","parse-names":false,"suffix":""},{"dropping-particle":"","family":"Reardon","given":"B.","non-dropping-particle":"","parse-names":false,"suffix":""},{"dropping-particle":"","family":"Lepisto","given":"E.","non-dropping-particle":"","parse-names":false,"suffix":""},{"dropping-particle":"","family":"Gardos","given":"S.","non-dropping-particle":"","parse-names":false,"suffix":""},{"dropping-particle":"","family":"Dang","given":"K.","non-dropping-particle":"","parse-names":false,"suffix":""},{"dropping-particle":"","family":"Guinney","given":"J.","non-dropping-particle":"","parse-names":false,"suffix":""},{"dropping-particle":"","family":"Omberg","given":"L.","non-dropping-particle":"","parse-names":false,"suffix":""},{"dropping-particle":"","family":"Yu","given":"T.","non-dropping-particle":"","parse-names":false,"suffix":""},{"dropping-particle":"","family":"Gross","given":"B.","non-dropping-particle":"","parse-names":false,"suffix":""},{"dropping-particle":"","family":"Heins","given":"Z.","non-dropping-particle":"","parse-names":false,"suffix":""},{"dropping-particle":"","family":"Hyman","given":"D.","non-dropping-particle":"","parse-names":false,"suffix":""},{"dropping-particle":"","family":"Rollins","given":"B.","non-dropping-particle":"","parse-names":false,"suffix":""},{"dropping-particle":"","family":"Sawyers","given":"C.","non-dropping-particle":"","parse-names":false,"suffix":""},{"dropping-particle":"","family":"Solit","given":"D.","non-dropping-particle":"","parse-names":false,"suffix":""},{"dropping-particle":"","family":"Schrag","given":"D.","non-dropping-particle":"","parse-names":false,"suffix":""},{"dropping-particle":"","family":"Velculescu","given":"V.","non-dropping-particle":"","parse-names":false,"suffix":""},{"dropping-particle":"","family":"Andre","given":"F.","non-dropping-particle":"","parse-names":false,"suffix":""},{"dropping-particle":"","family":"Bedard","given":"P.","non-dropping-particle":"","parse-names":false,"suffix":""},{"dropping-particle":"","family":"Levy","given":"M.","non-dropping-particle":"","parse-names":false,"suffix":""},{"dropping-particle":"","family":"Meijer","given":"G.","non-dropping-particle":"","parse-names":false,"suffix":""},{"dropping-particle":"","family":"Rollins","given":"B.","non-dropping-particle":"","parse-names":false,"suffix":""},{"dropping-particle":"","family":"Shaw","given":"K.","non-dropping-particle":"","parse-names":false,"suffix":""}],"container-title":"Cancer Discovery","id":"ITEM-1","issue":"8","issued":{"date-parts":[["2017","8","1"]]},"page":"818-831","publisher":"American Association for Cancer Research Inc.","title":"AACR project genie: Powering precision medicine through an international consortium","type":"article-journal","volume":"7"},"uris":["http://www.mendeley.com/documents/?uuid=3ae55fd2-8d8f-3a23-91b2-b22014e09d85"]}],"mendeley":{"formattedCitation":"&lt;sup&gt;171&lt;/sup&gt;","plainTextFormattedCitation":"171","previouslyFormattedCitation":"&lt;sup&gt;171&lt;/sup&gt;"},"properties":{"noteIndex":0},"schema":"https://github.com/citation-style-language/schema/raw/master/csl-citation.json"}</w:instrText>
      </w:r>
      <w:r w:rsidR="001A3543">
        <w:fldChar w:fldCharType="separate"/>
      </w:r>
      <w:r w:rsidR="00A47FB6" w:rsidRPr="00A47FB6">
        <w:rPr>
          <w:noProof/>
          <w:vertAlign w:val="superscript"/>
        </w:rPr>
        <w:t>171</w:t>
      </w:r>
      <w:r w:rsidR="001A3543">
        <w:fldChar w:fldCharType="end"/>
      </w:r>
      <w:r w:rsidR="001A3543">
        <w:t xml:space="preserve">. </w:t>
      </w:r>
      <w:r w:rsidR="00EC5DB1">
        <w:t>Gen pro CDKN2A kóduje dva alternativní transkripty p16 (p16INK4A) a p14 (p14ARF)</w:t>
      </w:r>
      <w:r w:rsidR="00350C98">
        <w:t xml:space="preserve"> zapojené do regulace buněčného cyklu. P16 inhibuje komplex CDK4/6-cyklin D a tak </w:t>
      </w:r>
      <w:r w:rsidR="007D2030">
        <w:t>zabraňuje progresi buněčného cyklu</w:t>
      </w:r>
      <w:r w:rsidR="000151EA">
        <w:t xml:space="preserve"> z G1 do S fáze</w:t>
      </w:r>
      <w:r w:rsidR="00350C98">
        <w:t xml:space="preserve">. </w:t>
      </w:r>
      <w:r w:rsidR="000151EA">
        <w:t xml:space="preserve">Naproti tomu p14 inhibuje vazbu MDM2 na p53, který dále řídí expresi p21 a </w:t>
      </w:r>
      <w:r w:rsidR="001E4E8F">
        <w:t xml:space="preserve">ten </w:t>
      </w:r>
      <w:r w:rsidR="000151EA">
        <w:t>blokuje komplexy CDK/cyklin</w:t>
      </w:r>
      <w:r w:rsidR="001E4E8F">
        <w:t xml:space="preserve">. Z toho vyplývá, že pokud dojde k deleci popřípadě snížené expresi produktů genu CDKN2A, dochází ke ztrátě negativní regulace buněčného cyklu. </w:t>
      </w:r>
    </w:p>
    <w:p w14:paraId="6247353A" w14:textId="60D1D619" w:rsidR="00EC5DB1" w:rsidRDefault="00EC5DB1" w:rsidP="00EC4DAF">
      <w:pPr>
        <w:pStyle w:val="Odstavecseseznamem"/>
        <w:ind w:left="0"/>
        <w:jc w:val="both"/>
      </w:pPr>
    </w:p>
    <w:p w14:paraId="1EDB13D3" w14:textId="13E8F543" w:rsidR="00DD68BE" w:rsidRDefault="00EC5DB1" w:rsidP="00EC4DAF">
      <w:pPr>
        <w:pStyle w:val="Odstavecseseznamem"/>
        <w:ind w:left="0"/>
        <w:jc w:val="both"/>
      </w:pPr>
      <w:r>
        <w:t xml:space="preserve">Homozygotní delece genu </w:t>
      </w:r>
      <w:r w:rsidRPr="009D7D66">
        <w:rPr>
          <w:i/>
          <w:iCs/>
        </w:rPr>
        <w:t>CDKN2A</w:t>
      </w:r>
      <w:r>
        <w:t xml:space="preserve"> je </w:t>
      </w:r>
      <w:r w:rsidR="008851AD">
        <w:t xml:space="preserve">všeobecně </w:t>
      </w:r>
      <w:r>
        <w:t>spojována s horším přežitím gliálních nádorů</w:t>
      </w:r>
      <w:r w:rsidR="008851AD">
        <w:t xml:space="preserve"> i u IDH mutovaných oproti IDH nemutovaným </w:t>
      </w:r>
      <w:r>
        <w:fldChar w:fldCharType="begin" w:fldLock="1"/>
      </w:r>
      <w:r w:rsidR="00D745ED">
        <w:instrText>ADDIN CSL_CITATION {"citationItems":[{"id":"ITEM-1","itemData":{"DOI":"10.1007/s11060-020-03528-2","ISSN":"15737373","PMID":"32385699","abstract":"Background: The most recent cIMPACT-NOW update highlighted the homozygous deletion of the Cyclin Dependent Kinase Inhibitor 2A (CDKN2A) gene as a clinically important molecular alteration in IDH-mutant glioma. Correspondingly, we systematically reviewed the contemporary literature to affirm the contemporary stance of the literature on the prognostic significance of this alteration in this setting based on the current World Health Organization (WHO) Grade classification. Methods: A systematic search of seven electronic databases from inception to February 2020 was conducted following PRISMA guidelines. Articles were screened against pre-specified criteria to include lower-grade glioma (LGG, WHO Grade II/III) and glioblastoma (GBM, WHO Grade IV) separately. Progression free survival (PFS) and overall survival (OS) from Kaplan–Meier and multivariable analyses were outcomes of interest. Results: Nine institutional studies describing 2193 IDH-mutant gliomas satisfied criteria for evaluation, with 1756 (80%) LGG and 437 (20%) GBM. When reported, the proportion of CDKN2A homozygous deleted gliomas ranged from 9 to 43%, with a median incidence of 22%. For LGG, Kaplan–Meier analyses demonstrated shorter PFS in the presence of CDKN2A homozygous deletion in three studies (median values, 31 versus 91 months), and shorter OS in five studies (median values, 61 versus 154 months). For GBM, Kaplan–Meier analyses demonstrated shorter PFS in the presence of CDKN2A homozygous deletion in two studies (median values, 16 versus 30 months), and shorter OS in four studies (median values, 38 versus 86 months). By multivariable analyses, CDKN2A homozygous deletion was a predictor of significantly shorter PFS and OS in both LGG and GBM across all included studies. Conclusions: The CDKN2A homozygous deletion is an important prognostic factor for survival outcomes of IDH-mutant glioma patients across multiple histologic WHO grades with specific molecular features likely dependent on IDH-mutant status. Greater understanding of how identifying this deletion can assist in the stratification of management for these tumors to optimize clinical course is required.","author":[{"dropping-particle":"","family":"Lu","given":"Victor M.","non-dropping-particle":"","parse-names":false,"suffix":""},{"dropping-particle":"","family":"O’Connor","given":"Kyle P.","non-dropping-particle":"","parse-names":false,"suffix":""},{"dropping-particle":"","family":"Shah","given":"Ashish H.","non-dropping-particle":"","parse-names":false,"suffix":""},{"dropping-particle":"","family":"Eichberg","given":"Daniel G.","non-dropping-particle":"","parse-names":false,"suffix":""},{"dropping-particle":"","family":"Luther","given":"Evan M.","non-dropping-particle":"","parse-names":false,"suffix":""},{"dropping-particle":"","family":"Komotar","given":"Ricardo J.","non-dropping-particle":"","parse-names":false,"suffix":""},{"dropping-particle":"","family":"Ivan","given":"Michael E.","non-dropping-particle":"","parse-names":false,"suffix":""}],"container-title":"Journal of Neuro-Oncology","id":"ITEM-1","issue":"2","issued":{"date-parts":[["2020","6","1"]]},"page":"221-229","publisher":"Springer","title":"The prognostic significance of CDKN2A homozygous deletion in IDH-mutant lower-grade glioma and glioblastoma: a systematic review of the contemporary literature","type":"article","volume":"148"},"uris":["http://www.mendeley.com/documents/?uuid=d332e1a6-19ec-3512-884e-d3331849c6da"]},{"id":"ITEM-2","itemData":{"DOI":"10.1200/JCO.2009.23.0805","ISSN":"0732183X","PMID":"19805672","abstract":"Purpose: The prognostic value of genetic alterations characteristic of glioblastoma in patients treated according to present standards of care is unclear. Patients and Methods: Three hundred one patients with glioblastoma were prospectively recruited between October 2004 and December 2006 at the clinical centers of the German Glioma Network. Two hundred fifty-eight patients had radiotherapy, 199 patients had temozolomide, 189 had both, and seven had another chemotherapy as the initial treatment. The tumors were investigated for TP53 mutation, p53 immunoreactivity, epidermal growth factor receptor, cyclin-dependent kinase CDK 4 or murine double minute 2 amplification, CDKN2A homozygous deletion, allelic losses on chromosome arms 1p, 9p, 10q, and 19q, O6-methylguanine methyltransferase (MGMT) promoter methylation, and isocitrate dehydrogenase 1 (IDH1) mutations. Results: Median progression-free (PFS) and overall survival (OS) were 6.8 and 12.5 months. Multivariate analysis revealed younger age, higher performance score, MGMT promoter methylation, and temozolomide radiochemotherapy as independent factors associated with longer OS. MGMT promoter methylation was associated with longer PFS (relative risk [RR], 0.5; 95% CI, 0.38 to 0.68; P &lt; .001) and OS (RR, 0.39; 95% CI, 0.28 to 0.54; P &lt; .001) in patients receiving temozolomide. IDH1 mutations were associated with prolonged PFS (RR, 0.42; 95% CI, 0.19 to 0.91; P = .028) and a trend for prolonged OS (RR, 0.43; 95% CI, 0.15 to 1.19; P = .10). No other molecular factor was associated with outcome. Conclusion: Molecular changes associated with gliomagenesis do not predict response to therapy in glioblastoma patients managed according to current standards of care. MGMT promoter methylation and IDH1 mutational status allow for stratification into prognostically distinct subgroups. © 2009 by American Society of Clinical Oncology.","author":[{"dropping-particle":"","family":"Weller","given":"Michael","non-dropping-particle":"","parse-names":false,"suffix":""},{"dropping-particle":"","family":"Felsberg","given":"Jörg","non-dropping-particle":"","parse-names":false,"suffix":""},{"dropping-particle":"","family":"Hartmann","given":"Christian","non-dropping-particle":"","parse-names":false,"suffix":""},{"dropping-particle":"","family":"Berger","given":"Hilmar","non-dropping-particle":"","parse-names":false,"suffix":""},{"dropping-particle":"","family":"Steinbach","given":"Joachim P.","non-dropping-particle":"","parse-names":false,"suffix":""},{"dropping-particle":"","family":"Schramm","given":"Johannes","non-dropping-particle":"","parse-names":false,"suffix":""},{"dropping-particle":"","family":"Westphal","given":"Manfred","non-dropping-particle":"","parse-names":false,"suffix":""},{"dropping-particle":"","family":"Schackert","given":"Gabriele","non-dropping-particle":"","parse-names":false,"suffix":""},{"dropping-particle":"","family":"Simon","given":"Matthias","non-dropping-particle":"","parse-names":false,"suffix":""},{"dropping-particle":"","family":"Tonn","given":"Jörg C.","non-dropping-particle":"","parse-names":false,"suffix":""},{"dropping-particle":"","family":"Heese","given":"Oliver","non-dropping-particle":"","parse-names":false,"suffix":""},{"dropping-particle":"","family":"Krex","given":"Dietmar","non-dropping-particle":"","parse-names":false,"suffix":""},{"dropping-particle":"","family":"Nikkhah","given":"Guido","non-dropping-particle":"","parse-names":false,"suffix":""},{"dropping-particle":"","family":"Pietsch","given":"Torsten","non-dropping-particle":"","parse-names":false,"suffix":""},{"dropping-particle":"","family":"Wiestler","given":"Otmar","non-dropping-particle":"","parse-names":false,"suffix":""},{"dropping-particle":"","family":"Reifenberger","given":"Guido","non-dropping-particle":"","parse-names":false,"suffix":""},{"dropping-particle":"","family":"Deimling","given":"Andreas","non-dropping-particle":"Von","parse-names":false,"suffix":""},{"dropping-particle":"","family":"Loeffler","given":"Markus","non-dropping-particle":"","parse-names":false,"suffix":""}],"container-title":"Journal of Clinical Oncology","id":"ITEM-2","issue":"34","issued":{"date-parts":[["2009","12","1"]]},"page":"5743-5750","publisher":"J Clin Oncol","title":"Molecular predictors of progression-free and overall survival in patients with newly diagnosed glioblastoma: A prospective translational study of the German Glioma Network","type":"article-journal","volume":"27"},"uris":["http://www.mendeley.com/documents/?uuid=7c7996cf-a1ac-3447-9e67-84aff47b3630"]}],"mendeley":{"formattedCitation":"&lt;sup&gt;172,173&lt;/sup&gt;","plainTextFormattedCitation":"172,173","previouslyFormattedCitation":"&lt;sup&gt;172,173&lt;/sup&gt;"},"properties":{"noteIndex":0},"schema":"https://github.com/citation-style-language/schema/raw/master/csl-citation.json"}</w:instrText>
      </w:r>
      <w:r>
        <w:fldChar w:fldCharType="separate"/>
      </w:r>
      <w:r w:rsidR="00A47FB6" w:rsidRPr="00A47FB6">
        <w:rPr>
          <w:noProof/>
          <w:vertAlign w:val="superscript"/>
        </w:rPr>
        <w:t>172,173</w:t>
      </w:r>
      <w:r>
        <w:fldChar w:fldCharType="end"/>
      </w:r>
      <w:r>
        <w:t xml:space="preserve">. </w:t>
      </w:r>
      <w:r w:rsidR="008851AD">
        <w:t xml:space="preserve">Nižší </w:t>
      </w:r>
      <w:r w:rsidR="001A3543">
        <w:t>exprese produktu CDKN2A/p16</w:t>
      </w:r>
      <w:r w:rsidR="008851AD">
        <w:t xml:space="preserve"> je pozorována u</w:t>
      </w:r>
      <w:r w:rsidR="001A3543">
        <w:t xml:space="preserve"> </w:t>
      </w:r>
      <w:r w:rsidR="008851AD">
        <w:t xml:space="preserve">maligních gliálních nádorů vyššího gradu </w:t>
      </w:r>
      <w:r w:rsidR="001A3543">
        <w:t>než u gliálních nádorů s nižším gradem</w:t>
      </w:r>
      <w:r w:rsidR="001A3543">
        <w:fldChar w:fldCharType="begin" w:fldLock="1"/>
      </w:r>
      <w:r w:rsidR="00D745ED">
        <w:instrText>ADDIN CSL_CITATION {"citationItems":[{"id":"ITEM-1","itemData":{"DOI":"10.1186/1756-9966-30-76","ISSN":"17569966","PMID":"21843312","abstract":"Background: Malignant gliomas are the most common in central nervous system cancer. Genome-wide association study identifies that CDKN2A was a susceptibility loci for glioma. The CDKN2A/cyclin-dependent kinase 4, 6/Retinoblastoma protein (Rb) pathway is thought to play a crucial role in malignant gliomas pathogenesis. We have investigated the expression of CDKN2A for potential correlations with malignant gliomas grade and potential role of CDKN2A on malignant gliomas pathogenesis. Methods. Tumour tissue samples from 61 patients suffering from malignant gliomas were investigated. The expression levels of CDKN2A were detected using immunohistochemical staining and western blot. Overexpression and knockdown of CDKN2A were performed in human glioma cell lines. Subsequently, colony formation, growth curves and CDKN2A-Cyclin-Rb pathway were analyzed. Results: Here we show that a lower expression of CDKN2A and a higher expression of cyclin D1 in the patients with high-grade malignant gliomas than low-grade gliomas, respectively. Moreover, overexpression of CDKN2A inhibits growth of glioma cell lines by suppression of cyclin D1 gene expression. Conclusions: Our study suggests that CDKN2A as a malignant gliomas suppressor gene, appears to be useful for predicting behaviour of high-grade malignant gliomas. CDKN2A-Cyclin-Rb pathway plays a key role on malignant gliomas formation and that therapeutic targeting of this pathway may be useful in malignant gliomas treatment. © 2011 Liu et al; licensee BioMed Central Ltd.","author":[{"dropping-particle":"","family":"Liu","given":"Weidong","non-dropping-particle":"","parse-names":false,"suffix":""},{"dropping-particle":"","family":"Lv","given":"Guohua","non-dropping-particle":"","parse-names":false,"suffix":""},{"dropping-particle":"","family":"Li","given":"Yawei","non-dropping-particle":"","parse-names":false,"suffix":""},{"dropping-particle":"","family":"Li","given":"Lei","non-dropping-particle":"","parse-names":false,"suffix":""},{"dropping-particle":"","family":"Wang","given":"Bing","non-dropping-particle":"","parse-names":false,"suffix":""}],"container-title":"Journal of Experimental and Clinical Cancer Research","id":"ITEM-1","issue":"1","issued":{"date-parts":[["2011","8","15"]]},"page":"76","publisher":"BioMed Central","title":"Downregulation of CDKN2A and suppression of cyclin D1 gene expressions in malignant gliomas","type":"article-journal","volume":"30"},"uris":["http://www.mendeley.com/documents/?uuid=5894d6ed-bf00-3fc7-9f75-072a9520f226"]}],"mendeley":{"formattedCitation":"&lt;sup&gt;174&lt;/sup&gt;","plainTextFormattedCitation":"174","previouslyFormattedCitation":"&lt;sup&gt;174&lt;/sup&gt;"},"properties":{"noteIndex":0},"schema":"https://github.com/citation-style-language/schema/raw/master/csl-citation.json"}</w:instrText>
      </w:r>
      <w:r w:rsidR="001A3543">
        <w:fldChar w:fldCharType="separate"/>
      </w:r>
      <w:r w:rsidR="00A47FB6" w:rsidRPr="00A47FB6">
        <w:rPr>
          <w:noProof/>
          <w:vertAlign w:val="superscript"/>
        </w:rPr>
        <w:t>174</w:t>
      </w:r>
      <w:r w:rsidR="001A3543">
        <w:fldChar w:fldCharType="end"/>
      </w:r>
      <w:r w:rsidR="001A3543">
        <w:t xml:space="preserve">. </w:t>
      </w:r>
      <w:r w:rsidR="00DD68BE">
        <w:t>Dokonce o</w:t>
      </w:r>
      <w:r w:rsidR="008851AD">
        <w:t xml:space="preserve">kolo 60-80 % gliomů vyššího gradu </w:t>
      </w:r>
      <w:r w:rsidR="00DD68BE">
        <w:t>má ztrátu tumor supresoru p14 způsobenou homozygotními mutacemi</w:t>
      </w:r>
      <w:r w:rsidR="00DD68BE">
        <w:fldChar w:fldCharType="begin" w:fldLock="1"/>
      </w:r>
      <w:r w:rsidR="00D745ED">
        <w:instrText>ADDIN CSL_CITATION {"citationItems":[{"id":"ITEM-1","itemData":{"DOI":"10.1172/JCI38596","ISSN":"00219738","PMID":"22378045","abstract":"Malignant gliomas are the most common and the most lethal primary brain tumors in adults. Among malignant gliomas, 60%-80% show loss of P14ARF tumor suppressor activity due to somatic alterations of the INK4A/ARF genetic locus. The tumor suppressor activity of P14ARF is in part a result of its ability to prevent the degradation of P53 by binding to and sequestering HDM2. However, the subsequent finding of P14ARF loss in conjunction with TP53 gene loss in some tumors suggests the protein may have other P53-independent tumor suppressor functions. Here, we report what we believe to be a novel tumor suppressor function for P14ARF as an inhibitor of tumor-induced angiogenesis. We found that P14ARF mediates antiangiogenic effects by upregulating expression of tissue inhibitor of metalloproteinase-3 (TIMP3) in a P53-independent fashion. Mechanistically, this regulation occurred at the gene transcription level and was controlled by HDM2-SP1 interplay, where P14ARF relieved a dominant negative interaction of HDM2 with SP1. P14ARF-induced expression of TIMP3 inhibited endothelial cell migration and vessel formation in response to angiogenic stimuli produced by cancer cells. The discovery of this angiogenesis regulatory pathway may provide new insights into P53-independent P14ARF tumor-suppressive mechanisms that have implications for the development of novel therapies directed at tumors and other diseases characterized by vascular pathology.","author":[{"dropping-particle":"","family":"Zerrouqi","given":"Abdessamad","non-dropping-particle":"","parse-names":false,"suffix":""},{"dropping-particle":"","family":"Pyrzynska","given":"Beata","non-dropping-particle":"","parse-names":false,"suffix":""},{"dropping-particle":"","family":"Febbraio","given":"Maria","non-dropping-particle":"","parse-names":false,"suffix":""},{"dropping-particle":"","family":"Brat","given":"Daniel J.","non-dropping-particle":"","parse-names":false,"suffix":""},{"dropping-particle":"","family":"Meir","given":"Erwin G.","non-dropping-particle":"Van","parse-names":false,"suffix":""}],"container-title":"Journal of Clinical Investigation","id":"ITEM-1","issue":"4","issued":{"date-parts":[["2012","4","2"]]},"page":"1283-1295","publisher":"J Clin Invest","title":"P14ARF inhibits human glioblastoma-induced angiogenesis by upregulating the expression of TIMP3","type":"article-journal","volume":"122"},"uris":["http://www.mendeley.com/documents/?uuid=57f6a333-93cf-3959-88a4-c23e2dad874a"]}],"mendeley":{"formattedCitation":"&lt;sup&gt;175&lt;/sup&gt;","plainTextFormattedCitation":"175","previouslyFormattedCitation":"&lt;sup&gt;175&lt;/sup&gt;"},"properties":{"noteIndex":0},"schema":"https://github.com/citation-style-language/schema/raw/master/csl-citation.json"}</w:instrText>
      </w:r>
      <w:r w:rsidR="00DD68BE">
        <w:fldChar w:fldCharType="separate"/>
      </w:r>
      <w:r w:rsidR="00A47FB6" w:rsidRPr="00A47FB6">
        <w:rPr>
          <w:noProof/>
          <w:vertAlign w:val="superscript"/>
        </w:rPr>
        <w:t>175</w:t>
      </w:r>
      <w:r w:rsidR="00DD68BE">
        <w:fldChar w:fldCharType="end"/>
      </w:r>
      <w:r w:rsidR="00DD68BE">
        <w:t>. Co se týče jednotlivých subtypů,</w:t>
      </w:r>
      <w:r w:rsidR="00DD68BE" w:rsidRPr="009D7D66">
        <w:rPr>
          <w:i/>
          <w:iCs/>
        </w:rPr>
        <w:t xml:space="preserve"> CDKN2A</w:t>
      </w:r>
      <w:r w:rsidR="00DD68BE">
        <w:t xml:space="preserve"> delece jsou spojovány s horším celkovým přežitím u astrocytomů,</w:t>
      </w:r>
      <w:r w:rsidR="006C3969">
        <w:t xml:space="preserve"> avšak toto neplatí u oligodendrogliomů a oligoastrocytomů</w:t>
      </w:r>
      <w:r w:rsidR="006C3969">
        <w:fldChar w:fldCharType="begin" w:fldLock="1"/>
      </w:r>
      <w:r w:rsidR="00D745ED">
        <w:instrText>ADDIN CSL_CITATION {"citationItems":[{"id":"ITEM-1","itemData":{"DOI":"10.1097/NEN.0000000000000188","ISSN":"15546578","PMID":"25853694","abstract":"Lower-grade (World Health Organization Grades II and III) gliomas vary widely in clinical behavior and are classified as astrocytic, oligodendroglial, or mixed. Anaplasia depends greatly on mitotic activity, with CDKN2A loss considered as the most common mechanism for cell cycle dysregulation. We investigated whether loss of the CDKN2A gene is associated with overall survival across pathologically and genetically defined glioma subtypes. After adjustment for IDH mutation, sex, and age, CDKN2A deletion was strongly associated with poorer overall survival in astrocytomas but not in oligodendrogliomas or oligoastrocytomas. Molecular classification of astrocytomas by IDH mutation, TP53 mutation, and /or ATRX loss of expression revealed that CDKN2A loss in IDH/TP53 mutated tumors was strongly associated with worse overall survival. CDKN2A loss in IDH mutated tumors with ATRX loss was only weakly associated with worse overall survival. These findings suggest that CDKN2A testing may provide further clinical aid in lower-grade glioma substratification beyond IDH mutation and 1p19q codeletion status, particularly in IDH/TP53 mutated astrocytomas.","author":[{"dropping-particle":"","family":"Reis","given":"Gerald F.","non-dropping-particle":"","parse-names":false,"suffix":""},{"dropping-particle":"","family":"Pekmezci","given":"Melike","non-dropping-particle":"","parse-names":false,"suffix":""},{"dropping-particle":"","family":"Hansen","given":"Helen M.","non-dropping-particle":"","parse-names":false,"suffix":""},{"dropping-particle":"","family":"Rice","given":"Terri","non-dropping-particle":"","parse-names":false,"suffix":""},{"dropping-particle":"","family":"Marshall","given":"Roxanne E.","non-dropping-particle":"","parse-names":false,"suffix":""},{"dropping-particle":"","family":"Molinaro","given":"Annette M.","non-dropping-particle":"","parse-names":false,"suffix":""},{"dropping-particle":"","family":"Phillips","given":"Joanna J.","non-dropping-particle":"","parse-names":false,"suffix":""},{"dropping-particle":"","family":"Vogel","given":"Hannes","non-dropping-particle":"","parse-names":false,"suffix":""},{"dropping-particle":"","family":"Wiencke","given":"John K.","non-dropping-particle":"","parse-names":false,"suffix":""},{"dropping-particle":"","family":"Wrensch","given":"Margaret R.","non-dropping-particle":"","parse-names":false,"suffix":""},{"dropping-particle":"","family":"Walsh","given":"Kyle M.","non-dropping-particle":"","parse-names":false,"suffix":""},{"dropping-particle":"","family":"Perry","given":"Arie","non-dropping-particle":"","parse-names":false,"suffix":""}],"container-title":"Journal of Neuropathology and Experimental Neurology","id":"ITEM-1","issue":"5","issued":{"date-parts":[["2015","5","4"]]},"page":"442-452","publisher":"Lippincott Williams and Wilkins","title":"CDKN2A Loss Is Associated with Shortened Overall Survival in Lower-Grade (World Health Organization Grades II-III) Astrocytomas","type":"article-journal","volume":"74"},"uris":["http://www.mendeley.com/documents/?uuid=0247098b-fce9-3c23-8694-837d3bed7276"]}],"mendeley":{"formattedCitation":"&lt;sup&gt;176&lt;/sup&gt;","plainTextFormattedCitation":"176","previouslyFormattedCitation":"&lt;sup&gt;176&lt;/sup&gt;"},"properties":{"noteIndex":0},"schema":"https://github.com/citation-style-language/schema/raw/master/csl-citation.json"}</w:instrText>
      </w:r>
      <w:r w:rsidR="006C3969">
        <w:fldChar w:fldCharType="separate"/>
      </w:r>
      <w:r w:rsidR="00A47FB6" w:rsidRPr="00A47FB6">
        <w:rPr>
          <w:noProof/>
          <w:vertAlign w:val="superscript"/>
        </w:rPr>
        <w:t>176</w:t>
      </w:r>
      <w:r w:rsidR="006C3969">
        <w:fldChar w:fldCharType="end"/>
      </w:r>
      <w:r w:rsidR="006C3969">
        <w:t xml:space="preserve">. </w:t>
      </w:r>
      <w:r w:rsidR="00DD68BE">
        <w:t xml:space="preserve"> </w:t>
      </w:r>
    </w:p>
    <w:p w14:paraId="3D7DB534" w14:textId="1A9D62E3" w:rsidR="006C3969" w:rsidRDefault="006C3969" w:rsidP="00EC4DAF">
      <w:pPr>
        <w:pStyle w:val="Odstavecseseznamem"/>
        <w:ind w:left="0"/>
        <w:jc w:val="both"/>
      </w:pPr>
    </w:p>
    <w:p w14:paraId="22E74D86" w14:textId="492A67C2" w:rsidR="006C3969" w:rsidRDefault="006C3969" w:rsidP="00EC4DAF">
      <w:pPr>
        <w:pStyle w:val="Odstavecseseznamem"/>
        <w:ind w:left="0"/>
        <w:jc w:val="both"/>
      </w:pPr>
      <w:r>
        <w:t xml:space="preserve">Ke sledování alterací produktů </w:t>
      </w:r>
      <w:r w:rsidRPr="009D7D66">
        <w:rPr>
          <w:i/>
          <w:iCs/>
        </w:rPr>
        <w:t>CDNK2A</w:t>
      </w:r>
      <w:r>
        <w:t xml:space="preserve"> se nejčastěji využívá imunohistochemické stanovení s příslušnými protilátkami</w:t>
      </w:r>
      <w:r w:rsidR="00D36AE8">
        <w:fldChar w:fldCharType="begin" w:fldLock="1"/>
      </w:r>
      <w:r w:rsidR="00D745ED">
        <w:instrText>ADDIN CSL_CITATION {"citationItems":[{"id":"ITEM-1","itemData":{"DOI":"10.1111/neup.12014","ISSN":"09196544","PMID":"23311918","abstract":"Cell cycle regulator genes are major target of mutation in many human malignancies including glioblastomas (GBMs). CDKN2A is one such tumor suppressor gene which encodes p16INK4a protein and serves as an inhibitor of cell cycle progression. Very few studies are available regarding the association of CDKN2A deletion with p16 protein expression in GBMs. There is limited data on the frequency of CDKN2A deletion in different age groups. The aim of the present study was to analyze the frequency of CDKN2A gene deletions in GBM and correlate CDKN2A deletional status with (i) age of the patient (ii) p16 protein expression and (iii) other genetic alterations, namely EGFR amplification and TP53 mutation. A combined retrospective and prospective study was conducted. Sixty seven cases were included. The patients were grouped into pediatric (≤18 years), young adults (19-40 years) and older adults (&gt;40 years). CDKN2A and EGFR status were assessed by Fluorescence in situ Hybridization.TP53 mutation was analyzed by PCR based method. p16 expression was assessed using immunohistochemistry. CDKN2A deletion was noted in 40.3% cases of GBM with majority being homozygous deletion (74%). It was commoner in primary GBMs (65.8%) and cases with EGFR amplification (50%). A variable frequency of CDKN2A was observed in older adults (42.3%), young adults (44%), and pediatric patients (31.25%). The difference however was not statistically significant. There was statistically significant association between CDKN2A deletion and p16 immunonegativity with a high negative predictive value of immunohistochemistry. © 2013 Japanese Society of Neuropathology.","author":[{"dropping-particle":"","family":"Purkait","given":"Suvendu","non-dropping-particle":"","parse-names":false,"suffix":""},{"dropping-particle":"","family":"Jha","given":"Prerana","non-dropping-particle":"","parse-names":false,"suffix":""},{"dropping-particle":"","family":"Sharma","given":"Mehar Chand","non-dropping-particle":"","parse-names":false,"suffix":""},{"dropping-particle":"","family":"Suri","given":"Vaishali","non-dropping-particle":"","parse-names":false,"suffix":""},{"dropping-particle":"","family":"Sharma","given":"Manish","non-dropping-particle":"","parse-names":false,"suffix":""},{"dropping-particle":"","family":"Kale","given":"Shashank Sharad","non-dropping-particle":"","parse-names":false,"suffix":""},{"dropping-particle":"","family":"Sarkar","given":"Chitra","non-dropping-particle":"","parse-names":false,"suffix":""}],"container-title":"Neuropathology","id":"ITEM-1","issue":"4","issued":{"date-parts":[["2013","8"]]},"page":"405-412","publisher":"Neuropathology","title":"CDKN2A deletion in pediatric versus adult glioblastomas and predictive value of p16 immunohistochemistry","type":"article-journal","volume":"33"},"uris":["http://www.mendeley.com/documents/?uuid=506c6c73-a47d-3b97-82d2-74368f522217"]}],"mendeley":{"formattedCitation":"&lt;sup&gt;177&lt;/sup&gt;","plainTextFormattedCitation":"177","previouslyFormattedCitation":"&lt;sup&gt;177&lt;/sup&gt;"},"properties":{"noteIndex":0},"schema":"https://github.com/citation-style-language/schema/raw/master/csl-citation.json"}</w:instrText>
      </w:r>
      <w:r w:rsidR="00D36AE8">
        <w:fldChar w:fldCharType="separate"/>
      </w:r>
      <w:r w:rsidR="00A47FB6" w:rsidRPr="00A47FB6">
        <w:rPr>
          <w:noProof/>
          <w:vertAlign w:val="superscript"/>
        </w:rPr>
        <w:t>177</w:t>
      </w:r>
      <w:r w:rsidR="00D36AE8">
        <w:fldChar w:fldCharType="end"/>
      </w:r>
      <w:r>
        <w:t xml:space="preserve">. Co se týče samotného sledování ztráty </w:t>
      </w:r>
      <w:r w:rsidRPr="009D7D66">
        <w:rPr>
          <w:i/>
          <w:iCs/>
        </w:rPr>
        <w:t>CDKN2A</w:t>
      </w:r>
      <w:r>
        <w:t xml:space="preserve">, tak se nejčastěji využívá metody fluorescenční </w:t>
      </w:r>
      <w:r w:rsidRPr="001E77FF">
        <w:rPr>
          <w:i/>
        </w:rPr>
        <w:t>in situ</w:t>
      </w:r>
      <w:r>
        <w:t xml:space="preserve"> hybridizace, popřípadě metod PCR nebo sekvenování pro sledování mutací</w:t>
      </w:r>
      <w:r>
        <w:fldChar w:fldCharType="begin" w:fldLock="1"/>
      </w:r>
      <w:r w:rsidR="00D745ED">
        <w:instrText>ADDIN CSL_CITATION {"citationItems":[{"id":"ITEM-1","itemData":{"DOI":"10.1097/NEN.0000000000000188","ISSN":"15546578","PMID":"25853694","abstract":"Lower-grade (World Health Organization Grades II and III) gliomas vary widely in clinical behavior and are classified as astrocytic, oligodendroglial, or mixed. Anaplasia depends greatly on mitotic activity, with CDKN2A loss considered as the most common mechanism for cell cycle dysregulation. We investigated whether loss of the CDKN2A gene is associated with overall survival across pathologically and genetically defined glioma subtypes. After adjustment for IDH mutation, sex, and age, CDKN2A deletion was strongly associated with poorer overall survival in astrocytomas but not in oligodendrogliomas or oligoastrocytomas. Molecular classification of astrocytomas by IDH mutation, TP53 mutation, and /or ATRX loss of expression revealed that CDKN2A loss in IDH/TP53 mutated tumors was strongly associated with worse overall survival. CDKN2A loss in IDH mutated tumors with ATRX loss was only weakly associated with worse overall survival. These findings suggest that CDKN2A testing may provide further clinical aid in lower-grade glioma substratification beyond IDH mutation and 1p19q codeletion status, particularly in IDH/TP53 mutated astrocytomas.","author":[{"dropping-particle":"","family":"Reis","given":"Gerald F.","non-dropping-particle":"","parse-names":false,"suffix":""},{"dropping-particle":"","family":"Pekmezci","given":"Melike","non-dropping-particle":"","parse-names":false,"suffix":""},{"dropping-particle":"","family":"Hansen","given":"Helen M.","non-dropping-particle":"","parse-names":false,"suffix":""},{"dropping-particle":"","family":"Rice","given":"Terri","non-dropping-particle":"","parse-names":false,"suffix":""},{"dropping-particle":"","family":"Marshall","given":"Roxanne E.","non-dropping-particle":"","parse-names":false,"suffix":""},{"dropping-particle":"","family":"Molinaro","given":"Annette M.","non-dropping-particle":"","parse-names":false,"suffix":""},{"dropping-particle":"","family":"Phillips","given":"Joanna J.","non-dropping-particle":"","parse-names":false,"suffix":""},{"dropping-particle":"","family":"Vogel","given":"Hannes","non-dropping-particle":"","parse-names":false,"suffix":""},{"dropping-particle":"","family":"Wiencke","given":"John K.","non-dropping-particle":"","parse-names":false,"suffix":""},{"dropping-particle":"","family":"Wrensch","given":"Margaret R.","non-dropping-particle":"","parse-names":false,"suffix":""},{"dropping-particle":"","family":"Walsh","given":"Kyle M.","non-dropping-particle":"","parse-names":false,"suffix":""},{"dropping-particle":"","family":"Perry","given":"Arie","non-dropping-particle":"","parse-names":false,"suffix":""}],"container-title":"Journal of Neuropathology and Experimental Neurology","id":"ITEM-1","issue":"5","issued":{"date-parts":[["2015","5","4"]]},"page":"442-452","publisher":"Lippincott Williams and Wilkins","title":"CDKN2A Loss Is Associated with Shortened Overall Survival in Lower-Grade (World Health Organization Grades II-III) Astrocytomas","type":"article-journal","volume":"74"},"uris":["http://www.mendeley.com/documents/?uuid=0247098b-fce9-3c23-8694-837d3bed7276"]},{"id":"ITEM-2","itemData":{"DOI":"10.1016/S1525-1578(10)60532-6","ISSN":"15251578","PMID":"15507675","abstract":"Many tumors have large homozygous deletions of the CDKN2A locus (encoding p14ARF and p16) and of CDKN2B (p15). Our aim was to determine which gene is the major target in bladder cancer. We used quantitative real-time PCR (RTQ-PCR) to determine copy number of p15, of p14ARF exon 1β, and p16 exon 2 in 22 tumor cell lines and 83 bladder tumors, some of which had been assessed previously by duplex PCR. Titration experiments showed that homozygous deletion could be detected in the presence of up to 30% normal DNA. Results for cell lines were compatible with previous cytogenetic analyses. Ten cell lines and 32 tumors (38.5%) had homozygous deletion of at least one target. Thirteen tumors (15.7%) had deletion of all three targets. Two tumors had deletion of p14ARF exon 1β alone and four of p16 exon 2 alone. RTQ-PCR detected more homozygous deletions than duplex PCR. Finally we used a multiplex ligation-dependent probe amplification kit to provide independent confirmation of results. We conclude that with appropriate controls RTQ-PCR is a sensitive and robust method to detect copy number changes in tumors even in the presence of contaminating normal cell DNA. Copyright © American Society for Investigative Pathology and the Association for Molecular Pathology.","author":[{"dropping-particle":"","family":"Aveyard","given":"Joanne S.","non-dropping-particle":"","parse-names":false,"suffix":""},{"dropping-particle":"","family":"Knowles","given":"Margaret A.","non-dropping-particle":"","parse-names":false,"suffix":""}],"container-title":"Journal of Molecular Diagnostics","id":"ITEM-2","issue":"4","issued":{"date-parts":[["2004"]]},"page":"356-365","publisher":"Association of Molecular Pathology","title":"Measurement of relative copy number of CDKN2A/ARF and CDKN2B in bladder cancer by real-time quantitative PCR and multiplex ligation-dependent probe amplification","type":"article-journal","volume":"6"},"uris":["http://www.mendeley.com/documents/?uuid=89d941e8-c37c-31ca-b51b-4cf4a23c5553"]},{"id":"ITEM-3","itemData":{"abstract":"Human melanoma cell lines and tumor tissue from familial and sporadic melanomas have frequent, nonrandom chromosomal breaks and deletions on chromosome 9p21, a region that includes the tumor suppressor gene CDKN2A/ p16 INK4A. Germ-line mutations within this gene have been observed in some familial melanoma kindreds, but somatic mutation in sporadic primary melanoma is infrequent. Thirty nine archival, paraffin-embedded, sporadic, primary cutaneous malignant melanomas (20 &gt;3-mm-thick and 19 &lt;0.75-mm-thick cases) were examined for mutations of the CDKN2A gene using single-strand conformational polymor-phism analysis and direct sequencing. No mutations were detected. Loss of heterozygosity for the 9p21 microsatellite marker D9S942 was detected in 6 of 17 informative thick lesions (35%) but 0 of 18 thin lesions (P 0.006). These results support other studies indicating that intragenic mutation is an infrequent mechanism of CDKN2A inactivation in primary melanoma. The finding of loss of heterozygosity for the 9p21 microsatellite D9S942 in thick but not thin primary melanoma suggests that deletion or inactivation of CDKN2A or other tumor suppressor gene(s) at this locus is involved in the progression rather than initiation of sporadic malignant melanoma.","author":[{"dropping-particle":"","family":"Cachia","given":"Adrian R","non-dropping-particle":"","parse-names":false,"suffix":""},{"dropping-particle":"","family":"Indsto","given":"James O","non-dropping-particle":"","parse-names":false,"suffix":""},{"dropping-particle":"","family":"Mclaren","given":"Kathryn M","non-dropping-particle":"","parse-names":false,"suffix":""},{"dropping-particle":"","family":"Mann","given":"Graham J","non-dropping-particle":"","parse-names":false,"suffix":""},{"dropping-particle":"","family":"Arends","given":"Mark J","non-dropping-particle":"","parse-names":false,"suffix":""}],"id":"ITEM-3","issued":{"date-parts":[["2000"]]},"title":"CDKN2A Mutation and Deletion Status in Thin and Thick Primary Melanoma 1","type":"report"},"uris":["http://www.mendeley.com/documents/?uuid=0af32924-ba48-3cd9-8382-a26c6a052b0d"]}],"mendeley":{"formattedCitation":"&lt;sup&gt;176,178,179&lt;/sup&gt;","plainTextFormattedCitation":"176,178,179","previouslyFormattedCitation":"&lt;sup&gt;176,178,179&lt;/sup&gt;"},"properties":{"noteIndex":0},"schema":"https://github.com/citation-style-language/schema/raw/master/csl-citation.json"}</w:instrText>
      </w:r>
      <w:r>
        <w:fldChar w:fldCharType="separate"/>
      </w:r>
      <w:r w:rsidR="00A47FB6" w:rsidRPr="00A47FB6">
        <w:rPr>
          <w:noProof/>
          <w:vertAlign w:val="superscript"/>
        </w:rPr>
        <w:t>176,178,179</w:t>
      </w:r>
      <w:r>
        <w:fldChar w:fldCharType="end"/>
      </w:r>
      <w:r>
        <w:t xml:space="preserve">. </w:t>
      </w:r>
    </w:p>
    <w:p w14:paraId="708A1FAB" w14:textId="7DEDC859" w:rsidR="00D36AE8" w:rsidRDefault="00D36AE8" w:rsidP="00EC4DAF">
      <w:pPr>
        <w:pStyle w:val="Odstavecseseznamem"/>
        <w:ind w:left="0"/>
        <w:jc w:val="both"/>
      </w:pPr>
    </w:p>
    <w:p w14:paraId="2213CC0E" w14:textId="13870DFD" w:rsidR="00D36AE8" w:rsidRDefault="005A1DD0" w:rsidP="00A92FFD">
      <w:pPr>
        <w:pStyle w:val="Nadpis4"/>
      </w:pPr>
      <w:bookmarkStart w:id="53" w:name="_Toc88741478"/>
      <w:r>
        <w:t xml:space="preserve">Mutace genu </w:t>
      </w:r>
      <w:r w:rsidR="00D36AE8" w:rsidRPr="007617EA">
        <w:rPr>
          <w:i/>
        </w:rPr>
        <w:t>CCND1</w:t>
      </w:r>
      <w:bookmarkEnd w:id="53"/>
    </w:p>
    <w:p w14:paraId="31CD04FD" w14:textId="7DB6A289" w:rsidR="00D36AE8" w:rsidRDefault="00D36AE8" w:rsidP="00EC4DAF">
      <w:pPr>
        <w:pStyle w:val="Odstavecseseznamem"/>
        <w:ind w:left="0"/>
        <w:jc w:val="both"/>
      </w:pPr>
      <w:r w:rsidRPr="008F1A44">
        <w:t xml:space="preserve">Gen </w:t>
      </w:r>
      <w:r w:rsidRPr="009D7D66">
        <w:rPr>
          <w:i/>
          <w:iCs/>
        </w:rPr>
        <w:t>CCND1</w:t>
      </w:r>
      <w:r w:rsidR="001E77FF">
        <w:t xml:space="preserve"> (C</w:t>
      </w:r>
      <w:r w:rsidRPr="008F1A44">
        <w:t>yclin</w:t>
      </w:r>
      <w:r>
        <w:t xml:space="preserve"> D1) leží v chromozomální oblasti 11q13.3 a jeho produkt je klíčový</w:t>
      </w:r>
      <w:r w:rsidR="009D7D66">
        <w:t>m</w:t>
      </w:r>
      <w:r>
        <w:t xml:space="preserve"> regulátor</w:t>
      </w:r>
      <w:r w:rsidR="009D7D66">
        <w:t xml:space="preserve">em </w:t>
      </w:r>
      <w:r>
        <w:t>přechodu z G1 do S fáze buněčného cyklu</w:t>
      </w:r>
      <w:r>
        <w:fldChar w:fldCharType="begin" w:fldLock="1"/>
      </w:r>
      <w:r w:rsidR="00D745ED">
        <w:instrText>ADDIN CSL_CITATION {"citationItems":[{"id":"ITEM-1","itemData":{"DOI":"10.1126/science.2683075","ISSN":"00368075","PMID":"2683075","abstract":"Cells prepare for S phase during the G1 phase of the cell cycle. Cell biological methods have provided knowledge of cycle kinetics and of substages of G1 that are determined by extracellular signals. Through the use of biochemical and molecular biological techniques to study effects of growth factors, oncogenes, and inhibitors, intracellular events during G 1 that lead to DNA synthesis are rapidly being discovered. Many cells in vivo are in a quiescent state (G0), with unduplicated DNA. Cells can be activated to reenter the cycle during G1. Similarly, cells in culture can be shifted between G0 and G1. These switches in and out of G1 are the main determinants of post-embryonic cell proliferation rate and are defectively controlled in cancer cells.","author":[{"dropping-particle":"","family":"Pardee","given":"Arthur B.","non-dropping-particle":"","parse-names":false,"suffix":""}],"container-title":"Science","id":"ITEM-1","issue":"4930","issued":{"date-parts":[["1989"]]},"page":"603-608","publisher":"Science","title":"G1 events and regulation of cell proliferation","type":"article-journal","volume":"246"},"uris":["http://www.mendeley.com/documents/?uuid=b025601b-a96a-34ba-8026-66adea654609"]}],"mendeley":{"formattedCitation":"&lt;sup&gt;180&lt;/sup&gt;","plainTextFormattedCitation":"180","previouslyFormattedCitation":"&lt;sup&gt;180&lt;/sup&gt;"},"properties":{"noteIndex":0},"schema":"https://github.com/citation-style-language/schema/raw/master/csl-citation.json"}</w:instrText>
      </w:r>
      <w:r>
        <w:fldChar w:fldCharType="separate"/>
      </w:r>
      <w:r w:rsidR="00A47FB6" w:rsidRPr="00A47FB6">
        <w:rPr>
          <w:noProof/>
          <w:vertAlign w:val="superscript"/>
        </w:rPr>
        <w:t>180</w:t>
      </w:r>
      <w:r>
        <w:fldChar w:fldCharType="end"/>
      </w:r>
      <w:r>
        <w:t xml:space="preserve">. </w:t>
      </w:r>
      <w:r w:rsidR="00EC298D">
        <w:t>Vazbou cyklinu D1 na cyklin dependentní kinázy CDK4 nebo CDK6 dochází k následné fosforylaci Rb</w:t>
      </w:r>
      <w:r w:rsidR="009D7D66">
        <w:t>1</w:t>
      </w:r>
      <w:r w:rsidR="00EC298D">
        <w:t xml:space="preserve"> proteinu a spuštění transkripce genů zapojených do přechodu buněčného cyklu z G1 do S fáze</w:t>
      </w:r>
      <w:r w:rsidR="00EC298D">
        <w:fldChar w:fldCharType="begin" w:fldLock="1"/>
      </w:r>
      <w:r w:rsidR="00D745ED">
        <w:instrText>ADDIN CSL_CITATION {"citationItems":[{"id":"ITEM-1","itemData":{"DOI":"10.1038/sj.onc.1209371","ISSN":"09509232","PMID":"16550162","abstract":"The cyclin D1 proto-oncogene exercises powerful control over the mechanisms that regulate the mitotic cell cycle, and excessive cyclin D1 expression and/or activity is common in human cancers. Although somatic mutations of the cyclin D1 locus are rarely observed, mounting evidence demonstrates that a specific polymorphism of cyclin D1 (G/A870) and a protein product of a potentially related alternate splicing event (cyclin D1b) may influence cancer risk and outcome. Herein, we review the epidemiological and functional literatures that link these alterations of cyclin D1 to human tumor development and progression. © 2006 Nature Publishing Group All rights reserved.","author":[{"dropping-particle":"","family":"Knudsen","given":"K. E.","non-dropping-particle":"","parse-names":false,"suffix":""},{"dropping-particle":"","family":"Alan Diehl","given":"J.","non-dropping-particle":"","parse-names":false,"suffix":""},{"dropping-particle":"","family":"Haiman","given":"C. A.","non-dropping-particle":"","parse-names":false,"suffix":""},{"dropping-particle":"","family":"Knudsen","given":"E. S.","non-dropping-particle":"","parse-names":false,"suffix":""}],"container-title":"Oncogene","id":"ITEM-1","issue":"11","issued":{"date-parts":[["2006","3","13"]]},"page":"1620-1628","publisher":"Oncogene","title":"Cyclin D1: Polymorphism, aberrant splicing and cancer risk","type":"article","volume":"25"},"uris":["http://www.mendeley.com/documents/?uuid=a89bc688-3b81-33ed-a661-5cdce24a6e45"]},{"id":"ITEM-2","itemData":{"DOI":"10.1038/366704a0","ISSN":"00280836","PMID":"8259215","abstract":"THE division cycle of eukaryotic cells is regulated by a family of protein kinases known as the cyclin-dependent kinases (CDKs)1,2. The sequential activation of individual members of this family and their consequent phosphorylation of critical substrates promotes orderly progression through the cell cycle3,4. The complexes formed by CDK4 and the D-type cyclins have been strongly implicated in the control of cell proliferation during the G1 phase3-6. CDK4 exists, in part, as a multi-protein complex with a D-type cyclin, proliferating cell nuclear antigen and a protein, p21 (refs 7-9). CDK4 associates separately with a protein of Mr 16K, particularly in cells lacking a functional retinoblastoma protein9. Here we report the isolation of a human p16 complementary DNA and demonstrate that p16 binds to CDK4 and inhibits the catalytic activity of the CDK4/cyclin D enzymes. p16 seems to act in a regulatory feedback circuit with CDK4, D-type cyclins and retinoblastoma protein. © 1993 Nature Publishing Group.","author":[{"dropping-particle":"","family":"Serrano","given":"Manual","non-dropping-particle":"","parse-names":false,"suffix":""},{"dropping-particle":"","family":"Hannon","given":"Gregory J.","non-dropping-particle":"","parse-names":false,"suffix":""},{"dropping-particle":"","family":"Beach","given":"David","non-dropping-particle":"","parse-names":false,"suffix":""}],"container-title":"Nature","id":"ITEM-2","issue":"6456","issued":{"date-parts":[["1993"]]},"page":"704-707","publisher":"Nature","title":"A new regulatory motif in cell-cycle control causing specific inhibition of cyclin D/CDK4","type":"article-journal","volume":"366"},"uris":["http://www.mendeley.com/documents/?uuid=0f30ad83-aefe-3771-aa6a-4c2e0653b834"]}],"mendeley":{"formattedCitation":"&lt;sup&gt;181,182&lt;/sup&gt;","plainTextFormattedCitation":"181,182","previouslyFormattedCitation":"&lt;sup&gt;181,182&lt;/sup&gt;"},"properties":{"noteIndex":0},"schema":"https://github.com/citation-style-language/schema/raw/master/csl-citation.json"}</w:instrText>
      </w:r>
      <w:r w:rsidR="00EC298D">
        <w:fldChar w:fldCharType="separate"/>
      </w:r>
      <w:r w:rsidR="00A47FB6" w:rsidRPr="00A47FB6">
        <w:rPr>
          <w:noProof/>
          <w:vertAlign w:val="superscript"/>
        </w:rPr>
        <w:t>181,182</w:t>
      </w:r>
      <w:r w:rsidR="00EC298D">
        <w:fldChar w:fldCharType="end"/>
      </w:r>
      <w:r w:rsidR="00EC298D">
        <w:t xml:space="preserve">. Jako většina genů zapojených do regulace buněčného cyklu, je i </w:t>
      </w:r>
      <w:r w:rsidR="00EC298D" w:rsidRPr="009D7D66">
        <w:rPr>
          <w:i/>
          <w:iCs/>
        </w:rPr>
        <w:t>CCND1</w:t>
      </w:r>
      <w:r w:rsidR="00EC298D">
        <w:t xml:space="preserve"> po</w:t>
      </w:r>
      <w:r w:rsidR="009D7D66">
        <w:t>pisován</w:t>
      </w:r>
      <w:r w:rsidR="00EC298D">
        <w:t xml:space="preserve"> napříč širokým spektrem nádorových onemocnění. </w:t>
      </w:r>
    </w:p>
    <w:p w14:paraId="2050356D" w14:textId="401E54A3" w:rsidR="00EC298D" w:rsidRDefault="00EC298D" w:rsidP="00EC4DAF">
      <w:pPr>
        <w:pStyle w:val="Odstavecseseznamem"/>
        <w:ind w:left="0"/>
        <w:jc w:val="both"/>
      </w:pPr>
    </w:p>
    <w:p w14:paraId="66A1DA56" w14:textId="7FC67AEF" w:rsidR="00EC298D" w:rsidRDefault="00441C0B" w:rsidP="00EC4DAF">
      <w:pPr>
        <w:pStyle w:val="Odstavecseseznamem"/>
        <w:ind w:left="0"/>
        <w:jc w:val="both"/>
      </w:pPr>
      <w:r>
        <w:t>Je dokázáno, že i</w:t>
      </w:r>
      <w:r w:rsidR="00EC298D">
        <w:t xml:space="preserve">nhibice exprese </w:t>
      </w:r>
      <w:r w:rsidR="00EC298D" w:rsidRPr="009D7D66">
        <w:rPr>
          <w:i/>
          <w:iCs/>
        </w:rPr>
        <w:t>CCND1</w:t>
      </w:r>
      <w:r w:rsidR="00EC298D">
        <w:t xml:space="preserve"> u glioblastomu je spojována se zvýšenou senzitivitou na temozolomid</w:t>
      </w:r>
      <w:r w:rsidR="00EC298D">
        <w:fldChar w:fldCharType="begin" w:fldLock="1"/>
      </w:r>
      <w:r w:rsidR="00D745ED">
        <w:instrText>ADDIN CSL_CITATION {"citationItems":[{"id":"ITEM-1","itemData":{"DOI":"10.1159/000495920","ISSN":"1015-8987","abstract":"&lt;p&gt;Background/Aims: Cyclin D1 (CCND1) is frequently overexpressed in malignant gliomas. We have previously shown ectopic overexpression of CCND1 in human malignant gliomas cell lines. Methods: Quantitative reverse transcriptase PCR (qRT-PCR) and Western Blot (WB) was performed to investigate the expression of CCND1 in glioma tissues and cell lines. The biological function of CCND1 was also investigated through knockdown and overexpression of BCYRN1 in vitro. Results: Here we reported that CCND1 expression was positively associated with the pathological grade and proliferative activity of astrocytomas, as the lowest expression was found in normal brain tissue (N = 3) whereas the highest expression was in high-grade glioma tissue (N = 25). Additionally, we found that the expression level of CCND1 was associated with IC50 values in malignant glioma cell lines. Forced inhibition of CCND1 increased temozolomide efficacy in U251 and SHG-44 cells. After CCND1 overexpression, the temozolomide efficacy decreased in U251 and SHG-44 cells. Colony survival assay and apoptosis analysis confirmed that CCND1 inhibition renders cells more sensitive to temozolomide treatment and temozolomide-induced apoptosis in U251 and SHG-44 cells. Inhibition of P-gp (MDR1) by Tariquidar overcomes the effects of CCND1 overexpression on inhibiting temozolomide-induced apoptosis. Inhibition of CCND1 inhibited cell growth in vitro and in vivo significantly more effectively after temozolomide treatments than single temozolomide treatments. Finally, inhibition of CCND1 in glioma cells reduced tumor volume in a murine model. Conclusion: Taken together, these data indicate that CCND1 overexpression upregulate P-gp and induces chemoresistance in human malignant gliomas cells and that inhibition of CCND1 may be an effective means of overcoming CCND1 associated chemoresistance in human malignant glioma cells.&lt;/p&gt;","author":[{"dropping-particle":"","family":"Zhang","given":"Danfeng","non-dropping-particle":"","parse-names":false,"suffix":""},{"dropping-particle":"","family":"Dai","given":"Dawei","non-dropping-particle":"","parse-names":false,"suffix":""},{"dropping-particle":"","family":"Zhou","given":"Mengxia","non-dropping-particle":"","parse-names":false,"suffix":""},{"dropping-particle":"","family":"Li","given":"Zhenxing","non-dropping-particle":"","parse-names":false,"suffix":""},{"dropping-particle":"","family":"Wang","given":"Chunhui","non-dropping-particle":"","parse-names":false,"suffix":""},{"dropping-particle":"","family":"Lu","given":"Yicheng","non-dropping-particle":"","parse-names":false,"suffix":""},{"dropping-particle":"","family":"Li","given":"Yiming","non-dropping-particle":"","parse-names":false,"suffix":""},{"dropping-particle":"","family":"Wang","given":"Junyu","non-dropping-particle":"","parse-names":false,"suffix":""}],"container-title":"Cellular Physiology and Biochemistry","id":"ITEM-1","issue":"6","issued":{"date-parts":[["2018","1","1"]]},"page":"2496-2508","publisher":"S. Karger AG","title":"Inhibition of Cyclin D1 Expression in Human Glioblastoma Cells is Associated with Increased Temozolomide Chemosensitivity","type":"article-journal","volume":"51"},"uris":["http://www.mendeley.com/documents/?uuid=e76077fd-6af2-345e-9170-e93a2f9b3457"]}],"mendeley":{"formattedCitation":"&lt;sup&gt;183&lt;/sup&gt;","plainTextFormattedCitation":"183","previouslyFormattedCitation":"&lt;sup&gt;183&lt;/sup&gt;"},"properties":{"noteIndex":0},"schema":"https://github.com/citation-style-language/schema/raw/master/csl-citation.json"}</w:instrText>
      </w:r>
      <w:r w:rsidR="00EC298D">
        <w:fldChar w:fldCharType="separate"/>
      </w:r>
      <w:r w:rsidR="00A47FB6" w:rsidRPr="00A47FB6">
        <w:rPr>
          <w:noProof/>
          <w:vertAlign w:val="superscript"/>
        </w:rPr>
        <w:t>183</w:t>
      </w:r>
      <w:r w:rsidR="00EC298D">
        <w:fldChar w:fldCharType="end"/>
      </w:r>
      <w:r>
        <w:t xml:space="preserve">. Na </w:t>
      </w:r>
      <w:r w:rsidRPr="00441C0B">
        <w:rPr>
          <w:i/>
          <w:iCs/>
        </w:rPr>
        <w:t>in vivo</w:t>
      </w:r>
      <w:r>
        <w:t xml:space="preserve"> modelech bylo zjištěno, že downregulace</w:t>
      </w:r>
      <w:r w:rsidRPr="009D7D66">
        <w:t xml:space="preserve"> CCND1</w:t>
      </w:r>
      <w:r>
        <w:t xml:space="preserve"> u glioblastomových linií snižuje jejich proliferační aktivitu a navíc i jejich invazivitu</w:t>
      </w:r>
      <w:r>
        <w:fldChar w:fldCharType="begin" w:fldLock="1"/>
      </w:r>
      <w:r w:rsidR="00D745ED">
        <w:instrText>ADDIN CSL_CITATION {"citationItems":[{"id":"ITEM-1","itemData":{"DOI":"10.1007/s11060-011-0692-4","ISSN":"0167594X","PMID":"21912938","abstract":"Elevated cyclin D1 (CCND1) in human glioblastoma correlates with poor clinical prognosis. In this study, the human glioblastoma cell lines SHG-44 and U251 were stably transfected with short hairpin RNA (shRNA) targeting cyclin D1 or with ectogenic cyclin D1 by lentivirus- mediated transfection. Glioblastoma cells overexpressing or underexpressing cyclin D1 were then examined by in vitro growth assays, apoptosis assays, cell cycle analysis, and invasion assays. Cyclin D1 knockdown in SHG-44 cells inhibited cell proliferation, induced apoptosis, and attenuated migration across Matrigel, a model of invasive capacity. Western blot analysis and quantitative reverse-transcription polymerase chain reaction (RT-PCR) revealed that cells underexpressing CCND1 exhibited decreased multidrug resistance protein 1 (MDR1) and B-cell lymphoma-2 (Bcl-2) expression, but enhanced apoptosis effector caspase-3 expression. In contrast, cyclin D1 overexpression promoted cell proliferation, attenuated apoptosis, and enhanced invasive capacity. Furthermore, cyclin D1 overexpression was associated with increased expression of MDR1 and Bcl-2, and decreased caspase-3 expression. Results using the U251 cell line confirmed the effects of CCND1-targeted shRNA and lentivirus-mediated overexpression on proliferation and apoptosis of glioblastoma cells. Overexpression of cyclin D1 enhanced the proliferation and invasive potential of human glioblastoma cells, while reducing apoptosis. The ability to suppress the malignant phenotype by downregulating cyclin D1 expression may provide a new gene therapy approach for patients with malignant glioma. © 2011 Springer Science+Business Media, LLC.","author":[{"dropping-particle":"","family":"Wang","given":"Junyu","non-dropping-particle":"","parse-names":false,"suffix":""},{"dropping-particle":"","family":"Wang","given":"Qi","non-dropping-particle":"","parse-names":false,"suffix":""},{"dropping-particle":"","family":"Cui","given":"Yong","non-dropping-particle":"","parse-names":false,"suffix":""},{"dropping-particle":"","family":"Liu","given":"Zhen Yang","non-dropping-particle":"","parse-names":false,"suffix":""},{"dropping-particle":"","family":"Zhao","given":"Wei","non-dropping-particle":"","parse-names":false,"suffix":""},{"dropping-particle":"","family":"Wang","given":"Chun Lin","non-dropping-particle":"","parse-names":false,"suffix":""},{"dropping-particle":"","family":"Dong","given":"Yan","non-dropping-particle":"","parse-names":false,"suffix":""},{"dropping-particle":"","family":"Hou","given":"Lijun","non-dropping-particle":"","parse-names":false,"suffix":""},{"dropping-particle":"","family":"Hu","given":"Guohan","non-dropping-particle":"","parse-names":false,"suffix":""},{"dropping-particle":"","family":"Luo","given":"Chun","non-dropping-particle":"","parse-names":false,"suffix":""},{"dropping-particle":"","family":"Chen","given":"Juxiang","non-dropping-particle":"","parse-names":false,"suffix":""},{"dropping-particle":"","family":"Lu","given":"Yicheng","non-dropping-particle":"","parse-names":false,"suffix":""}],"container-title":"Journal of Neuro-Oncology","id":"ITEM-1","issue":"3","issued":{"date-parts":[["2012","2"]]},"page":"473-484","publisher":"J Neurooncol","title":"Knockdown of cyclin D1 inhibits proliferation, induces apoptosis, and attenuates the invasive capacity of human glioblastoma cells","type":"article-journal","volume":"106"},"uris":["http://www.mendeley.com/documents/?uuid=9b2544f2-a378-33d4-90e7-ab34b2c7e5e6"]},{"id":"ITEM-2","itemData":{"DOI":"10.1002/path.5277","ISSN":"0022-3417","abstract":"Glioblastoma (GBM) is a highly invasive brain neoplasia with an elevated recurrence rate after surgical resection. The cyclin D1 (Ccnd1)/Cdk4–retinoblastoma 1 (RB1) axis is frequently altered in GBM, leading to overproliferation by RB1 deletion or by Ccnd1-Cdk4 overactivation. High levels of Ccnd1-Cdk4 also promote GBM cell invasion by mechanisms that are not so well understood. The purpose of this work is to elucidate the in vivo role of cytoplasmic Ccnd1-Cdk4 activity in the dissemination of GBM. We show that Ccnd1 activates the invasion of primary human GBM cells through cytoplasmic RB1-independent mechanisms. By using GBM mouse models, we observed that evaded GBM cells showed cytoplasmic Ccnd1 colocalizing with regulators of cell invasion such as RalA and paxillin. Our genetic data strongly suggest that, in GBM cells, the Ccnd1-Cdk4 complex is acting upstream of those regulators. Accordingly, expression of Ccnd1 induces focal adhesion kinase, RalA and Rac1 activities. Finally, in vivo experiments demonstrated increased GBM dissemination after expression of membrane-targeted Ccnd1. We conclude that Ccnd1-Cdk4 activity promotes GBM dissemination through cytoplasmic and RB1-independent mechanisms. Therefore, inhibition of Ccnd1-Cdk4 activity may be useful to hinder the dissemination of recurrent GBM. © 2019 Pathological Society of Great Britain and Ireland. Published by John Wiley &amp; Sons, Ltd.","author":[{"dropping-particle":"","family":"Cemeli","given":"Tània","non-dropping-particle":"","parse-names":false,"suffix":""},{"dropping-particle":"","family":"Guasch‐Vallés","given":"Marta","non-dropping-particle":"","parse-names":false,"suffix":""},{"dropping-particle":"","family":"Nàger","given":"Mireia","non-dropping-particle":"","parse-names":false,"suffix":""},{"dropping-particle":"","family":"Felip","given":"Isidre","non-dropping-particle":"","parse-names":false,"suffix":""},{"dropping-particle":"","family":"Cambray","given":"Serafí","non-dropping-particle":"","parse-names":false,"suffix":""},{"dropping-particle":"","family":"Santacana","given":"Maria","non-dropping-particle":"","parse-names":false,"suffix":""},{"dropping-particle":"","family":"Gatius","given":"Sònia","non-dropping-particle":"","parse-names":false,"suffix":""},{"dropping-particle":"","family":"Pedraza","given":"Neus","non-dropping-particle":"","parse-names":false,"suffix":""},{"dropping-particle":"","family":"Dolcet","given":"Xavier","non-dropping-particle":"","parse-names":false,"suffix":""},{"dropping-particle":"","family":"Ferrezuelo","given":"Francisco","non-dropping-particle":"","parse-names":false,"suffix":""},{"dropping-particle":"","family":"Schuhmacher","given":"Alberto J","non-dropping-particle":"","parse-names":false,"suffix":""},{"dropping-particle":"","family":"Herreros","given":"Judit","non-dropping-particle":"","parse-names":false,"suffix":""},{"dropping-particle":"","family":"Garí","given":"Eloi","non-dropping-particle":"","parse-names":false,"suffix":""}],"container-title":"The Journal of Pathology","id":"ITEM-2","issue":"4","issued":{"date-parts":[["2019","8","16"]]},"page":"501-513","publisher":"John Wiley and Sons Ltd","title":"Cytoplasmic cyclin D1 regulates glioblastoma dissemination","type":"article-journal","volume":"248"},"uris":["http://www.mendeley.com/documents/?uuid=cc59dacf-e28d-3833-ae4b-0b04eec3c468"]}],"mendeley":{"formattedCitation":"&lt;sup&gt;184,185&lt;/sup&gt;","plainTextFormattedCitation":"184,185","previouslyFormattedCitation":"&lt;sup&gt;184,185&lt;/sup&gt;"},"properties":{"noteIndex":0},"schema":"https://github.com/citation-style-language/schema/raw/master/csl-citation.json"}</w:instrText>
      </w:r>
      <w:r>
        <w:fldChar w:fldCharType="separate"/>
      </w:r>
      <w:r w:rsidR="00A47FB6" w:rsidRPr="00A47FB6">
        <w:rPr>
          <w:noProof/>
          <w:vertAlign w:val="superscript"/>
        </w:rPr>
        <w:t>184,185</w:t>
      </w:r>
      <w:r>
        <w:fldChar w:fldCharType="end"/>
      </w:r>
      <w:r>
        <w:t xml:space="preserve">. </w:t>
      </w:r>
    </w:p>
    <w:p w14:paraId="54B3A199" w14:textId="0A4B43E6" w:rsidR="00EC298D" w:rsidRDefault="00EC298D" w:rsidP="00EC4DAF">
      <w:pPr>
        <w:pStyle w:val="Odstavecseseznamem"/>
        <w:ind w:left="0"/>
        <w:jc w:val="both"/>
      </w:pPr>
    </w:p>
    <w:p w14:paraId="10231C37" w14:textId="7173BA23" w:rsidR="00D30923" w:rsidRDefault="008814EF" w:rsidP="00EC4DAF">
      <w:pPr>
        <w:pStyle w:val="Odstavecseseznamem"/>
        <w:ind w:left="0"/>
        <w:jc w:val="both"/>
      </w:pPr>
      <w:r>
        <w:t xml:space="preserve">Ke sledování genu </w:t>
      </w:r>
      <w:r w:rsidRPr="009D7D66">
        <w:rPr>
          <w:i/>
          <w:iCs/>
        </w:rPr>
        <w:t xml:space="preserve">CCND1 </w:t>
      </w:r>
      <w:r>
        <w:t xml:space="preserve">se využívá klasické PCR metody, popřípadě pro sledování polymorfizmů se využívá </w:t>
      </w:r>
      <w:r w:rsidRPr="00A3741B">
        <w:t>metody ARMS-PCR</w:t>
      </w:r>
      <w:r>
        <w:t xml:space="preserve"> (</w:t>
      </w:r>
      <w:r w:rsidR="001E77FF">
        <w:t>Amplification-Refractory Mutation System Polymerase Chain R</w:t>
      </w:r>
      <w:r w:rsidRPr="008814EF">
        <w:t>eaction</w:t>
      </w:r>
      <w:r>
        <w:t>) nebo samotného sekvenování. Pro vyšetření míry exprese se využívá blotovacích metod popřípadě imuhohistochemické stanovení</w:t>
      </w:r>
      <w:r>
        <w:fldChar w:fldCharType="begin" w:fldLock="1"/>
      </w:r>
      <w:r w:rsidR="00D745ED">
        <w:instrText>ADDIN CSL_CITATION {"citationItems":[{"id":"ITEM-1","itemData":{"DOI":"10.1159/000495920","ISSN":"1015-8987","abstract":"&lt;p&gt;Background/Aims: Cyclin D1 (CCND1) is frequently overexpressed in malignant gliomas. We have previously shown ectopic overexpression of CCND1 in human malignant gliomas cell lines. Methods: Quantitative reverse transcriptase PCR (qRT-PCR) and Western Blot (WB) was performed to investigate the expression of CCND1 in glioma tissues and cell lines. The biological function of CCND1 was also investigated through knockdown and overexpression of BCYRN1 in vitro. Results: Here we reported that CCND1 expression was positively associated with the pathological grade and proliferative activity of astrocytomas, as the lowest expression was found in normal brain tissue (N = 3) whereas the highest expression was in high-grade glioma tissue (N = 25). Additionally, we found that the expression level of CCND1 was associated with IC50 values in malignant glioma cell lines. Forced inhibition of CCND1 increased temozolomide efficacy in U251 and SHG-44 cells. After CCND1 overexpression, the temozolomide efficacy decreased in U251 and SHG-44 cells. Colony survival assay and apoptosis analysis confirmed that CCND1 inhibition renders cells more sensitive to temozolomide treatment and temozolomide-induced apoptosis in U251 and SHG-44 cells. Inhibition of P-gp (MDR1) by Tariquidar overcomes the effects of CCND1 overexpression on inhibiting temozolomide-induced apoptosis. Inhibition of CCND1 inhibited cell growth in vitro and in vivo significantly more effectively after temozolomide treatments than single temozolomide treatments. Finally, inhibition of CCND1 in glioma cells reduced tumor volume in a murine model. Conclusion: Taken together, these data indicate that CCND1 overexpression upregulate P-gp and induces chemoresistance in human malignant gliomas cells and that inhibition of CCND1 may be an effective means of overcoming CCND1 associated chemoresistance in human malignant glioma cells.&lt;/p&gt;","author":[{"dropping-particle":"","family":"Zhang","given":"Danfeng","non-dropping-particle":"","parse-names":false,"suffix":""},{"dropping-particle":"","family":"Dai","given":"Dawei","non-dropping-particle":"","parse-names":false,"suffix":""},{"dropping-particle":"","family":"Zhou","given":"Mengxia","non-dropping-particle":"","parse-names":false,"suffix":""},{"dropping-particle":"","family":"Li","given":"Zhenxing","non-dropping-particle":"","parse-names":false,"suffix":""},{"dropping-particle":"","family":"Wang","given":"Chunhui","non-dropping-particle":"","parse-names":false,"suffix":""},{"dropping-particle":"","family":"Lu","given":"Yicheng","non-dropping-particle":"","parse-names":false,"suffix":""},{"dropping-particle":"","family":"Li","given":"Yiming","non-dropping-particle":"","parse-names":false,"suffix":""},{"dropping-particle":"","family":"Wang","given":"Junyu","non-dropping-particle":"","parse-names":false,"suffix":""}],"container-title":"Cellular Physiology and Biochemistry","id":"ITEM-1","issue":"6","issued":{"date-parts":[["2018","1","1"]]},"page":"2496-2508","publisher":"S. Karger AG","title":"Inhibition of Cyclin D1 Expression in Human Glioblastoma Cells is Associated with Increased Temozolomide Chemosensitivity","type":"article-journal","volume":"51"},"uris":["http://www.mendeley.com/documents/?uuid=e76077fd-6af2-345e-9170-e93a2f9b3457"]},{"id":"ITEM-2","itemData":{"DOI":"10.1042/BSR20190629","ISSN":"15734935","PMID":"32373934","abstract":"The present study was designed to determine the association between the genetic polymorphisms/expression variations of RB1 and CCND1 genes and brain tumor risk. For this purpose, 250 blood samples of brain tumor patients along with 250 controls (cohort I) and 96 brain tumor tissues (cohort II) with adjacent control section were collected. Mutation analysis of RB1 (rs137853294, rs121913300) and CCND1 (rs614367, rs498136) genes was performed using ARMS-PCR followed by sequencing, and expression analysis was performed using real-time PCR and immunohistochemistry. The results showed homozygous mutant genotype of RB1 gene polymorphism, rs121913300 (P=0.003) and CCND1 gene polymorphism rs614367 (P=0.01) were associated significantly with brain tumor risk. Moreover, significant down-regulation of RB1 (P=0.005) and up-regulation of CCND1 (P=0.0001) gene was observed in brain tumor sections vs controls. Spearman correlation showed significant negative correlation between RB1 vs proliferation marker, Ki-67 (r = −0.291*, P&lt;0.05) in brain tumors. Expression levels of selected genes were also assessed at protein level using immunohistochemical analysis (IHC) and signification down-regulation of RB1 (P=0.0001) and up-regulation of CCND1 (P=0.0001) was observed in brain tumor compared with control sections. In conclusion, it is suggested that polymorphisms/expression variations of RB1 and CCND1 genes may be associated with increased risk of brain tumor.","author":[{"dropping-particle":"","family":"Naqvi","given":"Anum Zehra","non-dropping-particle":"","parse-names":false,"suffix":""},{"dropping-particle":"","family":"Mahjabeen","given":"Ishrat","non-dropping-particle":"","parse-names":false,"suffix":""},{"dropping-particle":"","family":"Ameen","given":"Saima","non-dropping-particle":"","parse-names":false,"suffix":""},{"dropping-particle":"","family":"Ahmed","given":"Malik Waqar","non-dropping-particle":"","parse-names":false,"suffix":""},{"dropping-particle":"","family":"Khan","given":"Asad Ullah","non-dropping-particle":"","parse-names":false,"suffix":""},{"dropping-particle":"","family":"Akram","given":"Zertashia","non-dropping-particle":"","parse-names":false,"suffix":""},{"dropping-particle":"","family":"Kayani","given":"Mahmood Akhtar","non-dropping-particle":"","parse-names":false,"suffix":""}],"container-title":"Bioscience Reports","id":"ITEM-2","issue":"5","issued":{"date-parts":[["2020","5","1"]]},"publisher":"Portland Press Ltd","title":"Genetic and expression variations of cell cycle pathway genes in brain tumor patients","type":"article-journal","volume":"40"},"uris":["http://www.mendeley.com/documents/?uuid=98ad6c31-f215-302a-be0a-0b30c1522ec1"]}],"mendeley":{"formattedCitation":"&lt;sup&gt;183,186&lt;/sup&gt;","plainTextFormattedCitation":"183,186","previouslyFormattedCitation":"&lt;sup&gt;183,186&lt;/sup&gt;"},"properties":{"noteIndex":0},"schema":"https://github.com/citation-style-language/schema/raw/master/csl-citation.json"}</w:instrText>
      </w:r>
      <w:r>
        <w:fldChar w:fldCharType="separate"/>
      </w:r>
      <w:r w:rsidR="00A47FB6" w:rsidRPr="00A47FB6">
        <w:rPr>
          <w:noProof/>
          <w:vertAlign w:val="superscript"/>
        </w:rPr>
        <w:t>183,186</w:t>
      </w:r>
      <w:r>
        <w:fldChar w:fldCharType="end"/>
      </w:r>
      <w:r>
        <w:t xml:space="preserve">. </w:t>
      </w:r>
    </w:p>
    <w:p w14:paraId="0B0748CC" w14:textId="77777777" w:rsidR="00D30923" w:rsidRDefault="00D30923" w:rsidP="00EC4DAF">
      <w:pPr>
        <w:pStyle w:val="Odstavecseseznamem"/>
        <w:ind w:left="0"/>
        <w:jc w:val="both"/>
      </w:pPr>
    </w:p>
    <w:p w14:paraId="66357701" w14:textId="0A63FF55" w:rsidR="000005BF" w:rsidRPr="006243FC" w:rsidRDefault="005A1DD0" w:rsidP="00A92FFD">
      <w:pPr>
        <w:pStyle w:val="Nadpis4"/>
      </w:pPr>
      <w:bookmarkStart w:id="54" w:name="_Toc88741479"/>
      <w:r w:rsidRPr="006243FC">
        <w:t xml:space="preserve">Mutace </w:t>
      </w:r>
      <w:r w:rsidR="00D30923" w:rsidRPr="006243FC">
        <w:rPr>
          <w:i/>
        </w:rPr>
        <w:t>H3K27M</w:t>
      </w:r>
      <w:bookmarkEnd w:id="54"/>
    </w:p>
    <w:p w14:paraId="72F0B6A9" w14:textId="608AAF78" w:rsidR="00D30923" w:rsidRPr="006243FC" w:rsidRDefault="00D30923" w:rsidP="00EC4DAF">
      <w:pPr>
        <w:pStyle w:val="Odstavecseseznamem"/>
        <w:ind w:left="0"/>
        <w:jc w:val="both"/>
      </w:pPr>
      <w:r w:rsidRPr="006243FC">
        <w:t>Difuzní středočárový gliom je charakterizován dle nové klasifikace mutací v </w:t>
      </w:r>
      <w:r w:rsidRPr="006243FC">
        <w:rPr>
          <w:i/>
          <w:iCs/>
        </w:rPr>
        <w:t>H3K27M</w:t>
      </w:r>
      <w:r w:rsidRPr="006243FC">
        <w:t xml:space="preserve"> (</w:t>
      </w:r>
      <w:r w:rsidRPr="006243FC">
        <w:rPr>
          <w:color w:val="000000"/>
          <w:shd w:val="clear" w:color="auto" w:fill="FFFFFF"/>
        </w:rPr>
        <w:t>záměna lyzinu 27 za methionin u histonu H3</w:t>
      </w:r>
      <w:r w:rsidRPr="006243FC">
        <w:t>)</w:t>
      </w:r>
      <w:r w:rsidRPr="006243FC">
        <w:fldChar w:fldCharType="begin" w:fldLock="1"/>
      </w:r>
      <w:r w:rsidR="00CC7CB0" w:rsidRPr="006243FC">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Pr="006243FC">
        <w:fldChar w:fldCharType="separate"/>
      </w:r>
      <w:r w:rsidR="006431C6" w:rsidRPr="006243FC">
        <w:rPr>
          <w:noProof/>
          <w:vertAlign w:val="superscript"/>
        </w:rPr>
        <w:t>12</w:t>
      </w:r>
      <w:r w:rsidRPr="006243FC">
        <w:fldChar w:fldCharType="end"/>
      </w:r>
      <w:r w:rsidRPr="006243FC">
        <w:t>. Tento nádor je charakt</w:t>
      </w:r>
      <w:r w:rsidR="001E77FF">
        <w:t xml:space="preserve">erizován vysokou agresivitou a </w:t>
      </w:r>
      <w:r w:rsidRPr="006243FC">
        <w:t>jedná se zejména o pediatrický nádor s přesahem k mladším dospělým</w:t>
      </w:r>
      <w:r w:rsidRPr="006243FC">
        <w:fldChar w:fldCharType="begin" w:fldLock="1"/>
      </w:r>
      <w:r w:rsidR="00D745ED" w:rsidRPr="006243FC">
        <w:instrText>ADDIN CSL_CITATION {"citationItems":[{"id":"ITEM-1","itemData":{"DOI":"10.1038/nature10833","ISSN":"00280836","PMID":"22286061","abstract":"Glioblastoma multiforme (GBM) is a lethal brain tumour in adults and children. However, DNA copy number and gene expression signatures indicate differences between adult and paediatric cases. To explore the genetic events underlying this distinction, we sequenced the exomes of 48 paediatric GBM samples. Somatic mutations in the H3.3-ATRX-DAXX chromatin remodelling pathway were identified in 44% of tumours (21/48). Recurrent mutations in H3F3A, which encodes the replication-independent histone 3 variant H3.3, were observed in 31% of tumours, and led to amino acid substitutions at two critical positions within the histone tail (K27M, G34R/G34V) involved in key regulatory post-translational modifications. Mutations in ATRX (α-thalassaemia/mental retardation syndrome X-linked) and DAXX (death-domain associated protein), encoding two subunits of a chromatin remodelling complex required for H3.3 incorporation at pericentric heterochromatin and telomeres, were identified in 31% of samples overall, and in 100% of tumours harbouring a G34R or G34V H3.3 mutation. Somatic TP53 mutations were identified in 54% of all cases, and in 86% of samples with H3F3A and/or ATRX mutations. Screening of a large cohort of gliomas of various grades and histologies (n = 784) showed H3F3A mutations to be specific to GBM and highly prevalent in children and young adults. Furthermore, the presence of H3F3A/ATRX-DAXX/TP53 mutations was strongly associated with alternative lengthening of telomeres and specific gene expression profiles. This is, to our knowledge, the first report to highlight recurrent mutations in a regulatory histone in humans, and our data suggest that defects of the chromatin architecture underlie paediatric and young adult GBM pathogenesis. © 2012 Macmillan Publishers Limited. All rights reserved.","author":[{"dropping-particle":"","family":"Schwartzentruber","given":"Jeremy","non-dropping-particle":"","parse-names":false,"suffix":""},{"dropping-particle":"","family":"Korshunov","given":"Andrey","non-dropping-particle":"","parse-names":false,"suffix":""},{"dropping-particle":"","family":"Liu","given":"Xiao Yang","non-dropping-particle":"","parse-names":false,"suffix":""},{"dropping-particle":"","family":"Jones","given":"David T.W.","non-dropping-particle":"","parse-names":false,"suffix":""},{"dropping-particle":"","family":"Pfaff","given":"Elke","non-dropping-particle":"","parse-names":false,"suffix":""},{"dropping-particle":"","family":"Jacob","given":"Karine","non-dropping-particle":"","parse-names":false,"suffix":""},{"dropping-particle":"","family":"Sturm","given":"Dominik","non-dropping-particle":"","parse-names":false,"suffix":""},{"dropping-particle":"","family":"Fontebasso","given":"Adam M.","non-dropping-particle":"","parse-names":false,"suffix":""},{"dropping-particle":"","family":"Quang","given":"Dong Anh Khuong","non-dropping-particle":"","parse-names":false,"suffix":""},{"dropping-particle":"","family":"Tönjes","given":"Martje","non-dropping-particle":"","parse-names":false,"suffix":""},{"dropping-particle":"","family":"Hovestadt","given":"Volker","non-dropping-particle":"","parse-names":false,"suffix":""},{"dropping-particle":"","family":"Albrecht","given":"Steffen","non-dropping-particle":"","parse-names":false,"suffix":""},{"dropping-particle":"","family":"Kool","given":"Marcel","non-dropping-particle":"","parse-names":false,"suffix":""},{"dropping-particle":"","family":"Nantel","given":"Andre","non-dropping-particle":"","parse-names":false,"suffix":""},{"dropping-particle":"","family":"Konermann","given":"Carolin","non-dropping-particle":"","parse-names":false,"suffix":""},{"dropping-particle":"","family":"Lindroth","given":"Anders","non-dropping-particle":"","parse-names":false,"suffix":""},{"dropping-particle":"","family":"Jäger","given":"Natalie","non-dropping-particle":"","parse-names":false,"suffix":""},{"dropping-particle":"","family":"Rausch","given":"Tobias","non-dropping-particle":"","parse-names":false,"suffix":""},{"dropping-particle":"","family":"Ryzhova","given":"Marina","non-dropping-particle":"","parse-names":false,"suffix":""},{"dropping-particle":"","family":"Korbel","given":"Jan O.","non-dropping-particle":"","parse-names":false,"suffix":""},{"dropping-particle":"","family":"Hielscher","given":"Thomas","non-dropping-particle":"","parse-names":false,"suffix":""},{"dropping-particle":"","family":"Hauser","given":"Peter","non-dropping-particle":"","parse-names":false,"suffix":""},{"dropping-particle":"","family":"Garami","given":"Miklos","non-dropping-particle":"","parse-names":false,"suffix":""},{"dropping-particle":"","family":"Klekner","given":"Almos","non-dropping-particle":"","parse-names":false,"suffix":""},{"dropping-particle":"","family":"Bognar","given":"Laszlo","non-dropping-particle":"","parse-names":false,"suffix":""},{"dropping-particle":"","family":"Ebinger","given":"Martin","non-dropping-particle":"","parse-names":false,"suffix":""},{"dropping-particle":"","family":"Schuhmann","given":"Martin U.","non-dropping-particle":"","parse-names":false,"suffix":""},{"dropping-particle":"","family":"Scheurlen","given":"Wolfram","non-dropping-particle":"","parse-names":false,"suffix":""},{"dropping-particle":"","family":"Pekrun","given":"Arnulf","non-dropping-particle":"","parse-names":false,"suffix":""},{"dropping-particle":"","family":"Frühwald","given":"Michael C.","non-dropping-particle":"","parse-names":false,"suffix":""},{"dropping-particle":"","family":"Roggendorf","given":"Wolfgang","non-dropping-particle":"","parse-names":false,"suffix":""},{"dropping-particle":"","family":"Kramm","given":"Christoph","non-dropping-particle":"","parse-names":false,"suffix":""},{"dropping-particle":"","family":"Dürken","given":"Matthias","non-dropping-particle":"","parse-names":false,"suffix":""},{"dropping-particle":"","family":"Atkinson","given":"Jeffrey","non-dropping-particle":"","parse-names":false,"suffix":""},{"dropping-particle":"","family":"Lepage","given":"Pierre","non-dropping-particle":"","parse-names":false,"suffix":""},{"dropping-particle":"","family":"Montpetit","given":"Alexandre","non-dropping-particle":"","parse-names":false,"suffix":""},{"dropping-particle":"","family":"Zakrzewska","given":"Magdalena","non-dropping-particle":"","parse-names":false,"suffix":""},{"dropping-particle":"","family":"Zakrzewski","given":"Krzystof","non-dropping-particle":"","parse-names":false,"suffix":""},{"dropping-particle":"","family":"Liberski","given":"Pawel P.","non-dropping-particle":"","parse-names":false,"suffix":""},{"dropping-particle":"","family":"Dong","given":"Zhifeng","non-dropping-particle":"","parse-names":false,"suffix":""},{"dropping-particle":"","family":"Siegel","given":"Peter","non-dropping-particle":"","parse-names":false,"suffix":""},{"dropping-particle":"","family":"Kulozik","given":"Andreas E.","non-dropping-particle":"","parse-names":false,"suffix":""},{"dropping-particle":"","family":"Zapatka","given":"Marc","non-dropping-particle":"","parse-names":false,"suffix":""},{"dropping-particle":"","family":"Guha","given":"Abhijit","non-dropping-particle":"","parse-names":false,"suffix":""},{"dropping-particle":"","family":"Malkin","given":"David","non-dropping-particle":"","parse-names":false,"suffix":""},{"dropping-particle":"","family":"Felsberg","given":"Jörg","non-dropping-particle":"","parse-names":false,"suffix":""},{"dropping-particle":"","family":"Reifenberger","given":"Guido","non-dropping-particle":"","parse-names":false,"suffix":""},{"dropping-particle":"","family":"Deimling","given":"Andreas","non-dropping-particle":"Von","parse-names":false,"suffix":""},{"dropping-particle":"","family":"Ichimura","given":"Koichi","non-dropping-particle":"","parse-names":false,"suffix":""},{"dropping-particle":"","family":"Collins","given":"V. Peter","non-dropping-particle":"","parse-names":false,"suffix":""},{"dropping-particle":"","family":"Witt","given":"Hendrik","non-dropping-particle":"","parse-names":false,"suffix":""},{"dropping-particle":"","family":"Milde","given":"Till","non-dropping-particle":"","parse-names":false,"suffix":""},{"dropping-particle":"","family":"Witt","given":"Olaf","non-dropping-particle":"","parse-names":false,"suffix":""},{"dropping-particle":"","family":"Zhang","given":"Cindy","non-dropping-particle":"","parse-names":false,"suffix":""},{"dropping-particle":"","family":"Castelo-Branco","given":"Pedro","non-dropping-particle":"","parse-names":false,"suffix":""},{"dropping-particle":"","family":"Lichter","given":"Peter","non-dropping-particle":"","parse-names":false,"suffix":""},{"dropping-particle":"","family":"Faury","given":"Damien","non-dropping-particle":"","parse-names":false,"suffix":""},{"dropping-particle":"","family":"Tabori","given":"Uri","non-dropping-particle":"","parse-names":false,"suffix":""},{"dropping-particle":"","family":"Plass","given":"Christoph","non-dropping-particle":"","parse-names":false,"suffix":""},{"dropping-particle":"","family":"Majewski","given":"Jacek","non-dropping-particle":"","parse-names":false,"suffix":""},{"dropping-particle":"","family":"Pfister","given":"Stefan M.","non-dropping-particle":"","parse-names":false,"suffix":""},{"dropping-particle":"","family":"Jabado","given":"Nada","non-dropping-particle":"","parse-names":false,"suffix":""}],"container-title":"Nature","id":"ITEM-1","issue":"7384","issued":{"date-parts":[["2012","2","9"]]},"page":"226-231","publisher":"Nature","title":"Driver mutations in histone H3.3 and chromatin remodelling genes in paediatric glioblastoma","type":"article-journal","volume":"482"},"uris":["http://www.mendeley.com/documents/?uuid=21a4cd04-18a0-3664-a1e5-355c8a019c55"]}],"mendeley":{"formattedCitation":"&lt;sup&gt;187&lt;/sup&gt;","plainTextFormattedCitation":"187","previouslyFormattedCitation":"&lt;sup&gt;187&lt;/sup&gt;"},"properties":{"noteIndex":0},"schema":"https://github.com/citation-style-language/schema/raw/master/csl-citation.json"}</w:instrText>
      </w:r>
      <w:r w:rsidRPr="006243FC">
        <w:fldChar w:fldCharType="separate"/>
      </w:r>
      <w:r w:rsidR="00A47FB6" w:rsidRPr="006243FC">
        <w:rPr>
          <w:noProof/>
          <w:vertAlign w:val="superscript"/>
        </w:rPr>
        <w:t>187</w:t>
      </w:r>
      <w:r w:rsidRPr="006243FC">
        <w:fldChar w:fldCharType="end"/>
      </w:r>
      <w:r w:rsidRPr="006243FC">
        <w:t>. Pacienti s tímto onemocněním mají špatnou prognózu, medián přežití je pouze 9-11 měsíců bez závislosti na lokalizaci a z tohoto důvodu je označen jako grade IV</w:t>
      </w:r>
      <w:r w:rsidR="00A9759C" w:rsidRPr="006243FC">
        <w:fldChar w:fldCharType="begin" w:fldLock="1"/>
      </w:r>
      <w:r w:rsidR="00D745ED" w:rsidRPr="006243FC">
        <w:instrText>ADDIN CSL_CITATION {"citationItems":[{"id":"ITEM-1","itemData":{"DOI":"10.3389/fonc.2019.01436","ISSN":"2234943X","abstract":"Diffuse gliomas with K27M histone mutations (H3K27M glioma) are generally characterized by a fatal prognosis, particularly affecting the pediatric population. Based on the molecular heterogeneity observed in this tumor type, personalized treatment is considered to substantially improve therapeutic options. Therefore, clinical evidence for therapy, guided by comprehensive molecular profiling, is urgently required. In this study, we analyzed feasibility and clinical outcomes in a cohort of 12 H3K27M glioma cases treated at two centers. Patients were subjected to personalized treatment either at primary diagnosis or disease progression and received backbone therapy including focal irradiation. Molecular analyses included whole-exome sequencing of tumor and germline DNA, RNA-sequencing, and transcriptomic profiling. Patients were monitored with regular clinical as well as radiological follow-up. In one case, liquid biopsy of cerebrospinal fluid (CSF) was used. Analyses could be completed in 83% (10/12) and subsequent personalized treatment for one or more additional pharmacological therapies could be recommended in 90% (9/10). Personalized treatment included inhibition of the PI3K/AKT/mTOR pathway (3/9), MAPK signaling (2/9), immunotherapy (2/9), receptor tyrosine kinase inhibition (2/9), and retinoic receptor agonist (1/9). The overall response rate within the cohort was 78% (7/9) including one complete remission, three partial responses, and three stable diseases. Sustained responses lasting for 28 to 150 weeks were observed for cases with PIK3CA mutations treated with either miltefosine or everolimus and additional treatment with trametinib/dabrafenib in a case with BRAFV600E mutation. Immune checkpoint inhibitor treatment of a case with increased tumor mutational burden (TMB) resulted in complete remission lasting 40 weeks. Median time to progression was 29 weeks. Median overall survival (OS) in the personalized treatment cohort was 16.5 months. Last, we compared OS to a control cohort (n = 9) showing a median OS of 17.5 months. No significant difference between the cohorts could be detected, but long-term survivors (&gt;2 years) were only present in the personalized treatment cohort. Taken together, we present the first evidence of clinical efficacy and an improved patient outcome through a personalized approach at least in selected cases of H3K27M glioma.","author":[{"dropping-particle":"","family":"Gojo","given":"Johannes","non-dropping-particle":"","parse-names":false,"suffix":""},{"dropping-particle":"","family":"Pavelka","given":"Zdenek","non-dropping-particle":"","parse-names":false,"suffix":""},{"dropping-particle":"","family":"Zapletalova","given":"Danica","non-dropping-particle":"","parse-names":false,"suffix":""},{"dropping-particle":"","family":"Schmook","given":"Maria T.","non-dropping-particle":"","parse-names":false,"suffix":""},{"dropping-particle":"","family":"Mayr","given":"Lisa","non-dropping-particle":"","parse-names":false,"suffix":""},{"dropping-particle":"","family":"Madlener","given":"Sibylle","non-dropping-particle":"","parse-names":false,"suffix":""},{"dropping-particle":"","family":"Kyr","given":"Michal","non-dropping-particle":"","parse-names":false,"suffix":""},{"dropping-particle":"","family":"Vejmelkova","given":"Klara","non-dropping-particle":"","parse-names":false,"suffix":""},{"dropping-particle":"","family":"Smrcka","given":"Martin","non-dropping-particle":"","parse-names":false,"suffix":""},{"dropping-particle":"","family":"Czech","given":"Thomas","non-dropping-particle":"","parse-names":false,"suffix":""},{"dropping-particle":"","family":"Dorfer","given":"Christian","non-dropping-particle":"","parse-names":false,"suffix":""},{"dropping-particle":"","family":"Skotakova","given":"Jarmila","non-dropping-particle":"","parse-names":false,"suffix":""},{"dropping-particle":"","family":"Azizi","given":"Amedeo A.","non-dropping-particle":"","parse-names":false,"suffix":""},{"dropping-particle":"","family":"Chocholous","given":"Monika","non-dropping-particle":"","parse-names":false,"suffix":""},{"dropping-particle":"","family":"Reisinger","given":"Dominik","non-dropping-particle":"","parse-names":false,"suffix":""},{"dropping-particle":"","family":"Lastovicka","given":"David","non-dropping-particle":"","parse-names":false,"suffix":""},{"dropping-particle":"","family":"Valik","given":"Dalibor","non-dropping-particle":"","parse-names":false,"suffix":""},{"dropping-particle":"","family":"Haberler","given":"Christine","non-dropping-particle":"","parse-names":false,"suffix":""},{"dropping-particle":"","family":"Peyrl","given":"Andreas","non-dropping-particle":"","parse-names":false,"suffix":""},{"dropping-particle":"","family":"Noskova","given":"Hana","non-dropping-particle":"","parse-names":false,"suffix":""},{"dropping-particle":"","family":"Pál","given":"Karol","non-dropping-particle":"","parse-names":false,"suffix":""},{"dropping-particle":"","family":"Jezova","given":"Marta","non-dropping-particle":"","parse-names":false,"suffix":""},{"dropping-particle":"","family":"Veselska","given":"Renata","non-dropping-particle":"","parse-names":false,"suffix":""},{"dropping-particle":"","family":"Kozakova","given":"Sarka","non-dropping-particle":"","parse-names":false,"suffix":""},{"dropping-particle":"","family":"Slaby","given":"Ondrej","non-dropping-particle":"","parse-names":false,"suffix":""},{"dropping-particle":"","family":"Slavc","given":"Irene","non-dropping-particle":"","parse-names":false,"suffix":""},{"dropping-particle":"","family":"Sterba","given":"Jaroslav","non-dropping-particle":"","parse-names":false,"suffix":""}],"container-title":"Frontiers in Oncology","id":"ITEM-1","issued":{"date-parts":[["2020","1","10"]]},"page":"1436","publisher":"Frontiers Media S.A.","title":"Personalized Treatment of H3K27M-Mutant Pediatric Diffuse Gliomas Provides Improved Therapeutic Opportunities","type":"article-journal","volume":"9"},"uris":["http://www.mendeley.com/documents/?uuid=dabbe0f1-9d67-34b8-b581-46e312e489ce"]}],"mendeley":{"formattedCitation":"&lt;sup&gt;188&lt;/sup&gt;","plainTextFormattedCitation":"188","previouslyFormattedCitation":"&lt;sup&gt;188&lt;/sup&gt;"},"properties":{"noteIndex":0},"schema":"https://github.com/citation-style-language/schema/raw/master/csl-citation.json"}</w:instrText>
      </w:r>
      <w:r w:rsidR="00A9759C" w:rsidRPr="006243FC">
        <w:fldChar w:fldCharType="separate"/>
      </w:r>
      <w:r w:rsidR="00A47FB6" w:rsidRPr="006243FC">
        <w:rPr>
          <w:noProof/>
          <w:vertAlign w:val="superscript"/>
        </w:rPr>
        <w:t>188</w:t>
      </w:r>
      <w:r w:rsidR="00A9759C" w:rsidRPr="006243FC">
        <w:fldChar w:fldCharType="end"/>
      </w:r>
      <w:r w:rsidRPr="006243FC">
        <w:t xml:space="preserve">. </w:t>
      </w:r>
    </w:p>
    <w:p w14:paraId="7D4741DC" w14:textId="77777777" w:rsidR="00C1347D" w:rsidRPr="006243FC" w:rsidRDefault="00C1347D" w:rsidP="00EC4DAF">
      <w:pPr>
        <w:pStyle w:val="Odstavecseseznamem"/>
        <w:ind w:left="0"/>
        <w:jc w:val="both"/>
      </w:pPr>
    </w:p>
    <w:p w14:paraId="753892A6" w14:textId="6EAC320F" w:rsidR="00C1347D" w:rsidRPr="006243FC" w:rsidRDefault="00C1347D" w:rsidP="00EC4DAF">
      <w:pPr>
        <w:pStyle w:val="Odstavecseseznamem"/>
        <w:ind w:left="0"/>
        <w:jc w:val="both"/>
      </w:pPr>
      <w:r w:rsidRPr="006243FC">
        <w:t xml:space="preserve">Zdá se však, že mutace </w:t>
      </w:r>
      <w:r w:rsidRPr="006243FC">
        <w:rPr>
          <w:i/>
          <w:iCs/>
        </w:rPr>
        <w:t>H3K27M</w:t>
      </w:r>
      <w:r w:rsidRPr="006243FC">
        <w:t xml:space="preserve"> se vyskytuje i u pacientů s glioblastomem</w:t>
      </w:r>
      <w:r w:rsidR="005A1DD0" w:rsidRPr="006243FC">
        <w:fldChar w:fldCharType="begin" w:fldLock="1"/>
      </w:r>
      <w:r w:rsidR="00D745ED" w:rsidRPr="006243FC">
        <w:instrText>ADDIN CSL_CITATION {"citationItems":[{"id":"ITEM-1","itemData":{"DOI":"10.5414/NP301104","ISSN":"07225091","PMID":"29809131","abstract":"Numerous molecular alterations have been described in supratentorial high-grade gliomas (1p19q co-deletion, IDH1/2, histone H3, hTERT promotor mutations, loss of ATRX) which have led to a new histomolecular classification of diffuse gliomas. We aimed at describing these alterations in a series of 19 adults with pure cerebellar high-grade gliomas. Systematic immunohistochemical analyses, including that of IDH1R132H, ATRX, p53, PTEN, EGFR, p16, FGFR3, BRAFV600E, mismatch repair proteins, H3K27me3, H3K36me3, and H3K27M; molecular analyses of IDH1/2, hTERT, BRAF, H3F3A, and HIST1H3B mutation hotspots; and EGFR, PTEN FISH were retrospectively performed in a multi-centric study. We histopathologically identified 14 glioblastomas, 4 grade III astrocytomas and 1 gliosarcoma. Two cases showed a H3F3A K27M mutation. Only one case harbored a classical profile of glioblastoma with hTERT mutation, EGFR gain and 10q loss. The most frequent alteration was the absence of p16 immunoexpression. We report a histomolecular analysis of pure cerebellar high grade gliomas. The histomolecular profile appears to be different from that of supratentorial gliomas, with no IDH1/2 gene mutations and only 1 case with a classic profile of de novo glioblastoma. In 2 cases, we identified H3F3A K27M mutation, classically described in pediatric midline gliomas.","author":[{"dropping-particle":"","family":"Tauziède-Espariat","given":"Arnault","non-dropping-particle":"","parse-names":false,"suffix":""},{"dropping-particle":"","family":"Saffroy","given":"Raphaël","non-dropping-particle":"","parse-names":false,"suffix":""},{"dropping-particle":"","family":"Pagès","given":"Mélanie","non-dropping-particle":"","parse-names":false,"suffix":""},{"dropping-particle":"","family":"Pallud","given":"Johan","non-dropping-particle":"","parse-names":false,"suffix":""},{"dropping-particle":"","family":"Legrand","given":"Laurence","non-dropping-particle":"","parse-names":false,"suffix":""},{"dropping-particle":"","family":"Besnard","given":"Aurore","non-dropping-particle":"","parse-names":false,"suffix":""},{"dropping-particle":"","family":"Lacombe","given":"Joëlle","non-dropping-particle":"","parse-names":false,"suffix":""},{"dropping-particle":"","family":"Lot","given":"Guillaume","non-dropping-particle":"","parse-names":false,"suffix":""},{"dropping-particle":"","family":"Borha","given":"Alin","non-dropping-particle":"","parse-names":false,"suffix":""},{"dropping-particle":"","family":"Tazi","given":"Sanaa","non-dropping-particle":"","parse-names":false,"suffix":""},{"dropping-particle":"","family":"Adle-Biassette","given":"Homa","non-dropping-particle":"","parse-names":false,"suffix":""},{"dropping-particle":"","family":"Polivka","given":"Marc","non-dropping-particle":"","parse-names":false,"suffix":""},{"dropping-particle":"","family":"Lechapt","given":"Emmanuèle","non-dropping-particle":"","parse-names":false,"suffix":""},{"dropping-particle":"","family":"Varlet","given":"Pascale","non-dropping-particle":"","parse-names":false,"suffix":""}],"container-title":"Clinical Neuropathology","id":"ITEM-1","issue":"5","issued":{"date-parts":[["2018","9","1"]]},"page":"209-216","publisher":"Dustri-Verlag Dr. Karl Feistle","title":"Cerebellar high-grade gliomas do not present the same molecular alterations as supratentorial high-grade gliomas and may show histone H3 gene mutations","type":"article-journal","volume":"37"},"uris":["http://www.mendeley.com/documents/?uuid=ac710fe6-a703-3c73-94da-d4ec960c51f9"]},{"id":"ITEM-2","itemData":{"DOI":"10.1007/s11060-017-2682-7","ISSN":"15737373","PMID":"29196927","abstract":"Adult cerebellar glioblastomas (cGBM) are rare and their characteristics remain to be fully described. We analyzed the characteristics of 17 adult patients with cGBM and compared them to a series of 103 patients presenting a supra-tentorial glioblastoma (stGBM). The mean age at GBMc diagnosis was 53.4 years (range 28–77). A history of neurofibromatosis type I was noted in 3 patients. cGBM were hemispheric in 10 patients (58.8%), only vermian in 4 patients (23.5%), and both vermian and hemispheric in 3 patients (17.7%). A H3 K27M mutation was identified in 3/14 patients, a TERT promoter mutation in 3/14 patients and a methylated MGMT promoter in 3/14 patients. None of the patients (0/14) harbored an EGFR amplification, an IDH or a BRAF mutation. Association with neurofibromatosis type I and H3K27M mutations were mutually exclusive. Compared with stGBM, cGBM occurred in younger patients (53.4 vs. 63.2, p = 0.02), were more frequently associated with neurofibromatosis type I (18 vs. 1%, p = 0.009) and with a H3 K27M mutation (21 vs. 3%, p = 0.02). They also tended to have a more frequent multifocal presentation at diagnosis (21 vs. 4.3%, p = 0.06), more frequently resulted in leptomeningeal or intra-axial metastasis (44.5 vs. 5%, p = 0.002) and were associated with a shorter median overall survival (5.9 vs. 14.2 months, p = 0.004). The present study suggests that adult cGBM differ from their supra-tentorial counterpart and constitute a heterogeneous group of IDH wild-type gliomas with at least two subgroups, one associated with H3K27M mutations and the other with neurofibromatosis type I.","author":[{"dropping-particle":"","family":"Picart","given":"Thiébaud","non-dropping-particle":"","parse-names":false,"suffix":""},{"dropping-particle":"","family":"Barritault","given":"Marc","non-dropping-particle":"","parse-names":false,"suffix":""},{"dropping-particle":"","family":"Berthillier","given":"Julien","non-dropping-particle":"","parse-names":false,"suffix":""},{"dropping-particle":"","family":"Meyronet","given":"David","non-dropping-particle":"","parse-names":false,"suffix":""},{"dropping-particle":"","family":"Vasiljevic","given":"Alexandre","non-dropping-particle":"","parse-names":false,"suffix":""},{"dropping-particle":"","family":"Frappaz","given":"Didier","non-dropping-particle":"","parse-names":false,"suffix":""},{"dropping-particle":"","family":"Honnorat","given":"Jérôme","non-dropping-particle":"","parse-names":false,"suffix":""},{"dropping-particle":"","family":"Jouanneau","given":"Emmanuel","non-dropping-particle":"","parse-names":false,"suffix":""},{"dropping-particle":"","family":"Poncet","given":"Delphine","non-dropping-particle":"","parse-names":false,"suffix":""},{"dropping-particle":"","family":"Ducray","given":"François","non-dropping-particle":"","parse-names":false,"suffix":""},{"dropping-particle":"","family":"Guyotat","given":"Jacques","non-dropping-particle":"","parse-names":false,"suffix":""}],"container-title":"Journal of Neuro-Oncology","id":"ITEM-2","issue":"3","issued":{"date-parts":[["2018","2","1"]]},"page":"555-563","publisher":"Springer New York LLC","title":"Characteristics of cerebellar glioblastomas in adults","type":"article-journal","volume":"136"},"uris":["http://www.mendeley.com/documents/?uuid=77a23800-dd73-3b13-9a91-a7806c853f81"]},{"id":"ITEM-3","itemData":{"DOI":"10.1007/s11060-019-03134-x","ISSN":"15737373","PMID":"30864101","abstract":"Purpose: H3 K27 mutations, most commonly in H3F3A, are common in diffuse midline glioma. The exact frequency of these mutations in adults with gliomas in the midline location is unknown. This study was conducted to define the incidence of H3 K27M mutations in this location and to compare clinicopathological features with those of patients who do not harbor this mutation. Methods: Consecutive glioma cases from 2007 to 2017 were screened for gliomas in the midline location. Immunohistochemistry was performed on all available tissue for mutations of H3 K27M, IDH1, and ARTX. Results: Of 850 gliomas screened, 163 cases had midline glioma on MRI. Sufficient FFPE tissue was available for 123 cases (75%). H3 K27M mutation was identified in 18 of 123 cases (15%). All except one H3 K27M-mutant tumors were WHO grade III or IV on histology, while non-mutant tumors encompassed all four grades. The most common midline locations for H3 K27M-mutated tumors were midbrain (2/3; 67%), pons (4/11; 36%), and cerebellum (6/24; 25%). As compared to H3 K27M-wildtype tumors, there were no differences in age at diagnosis, sex, tumor grade, contrast enhancement on MRI, extent of resection, or treatment received. In this cohort, median survival was longer for patients with H3 K27M-mutated tumors (n = 18; 17.6 months) compared with high-grade wildtype tumors (n = 74; 7.7 months, p = 0.03). Conclusions: H3 K27M mutations are common in midline gliomas in adults and can present in all midline locations. Survival comparison between H3 K27M-mutant and wildtype midline gliomas suggests that survival may be similar or possibly improved if the mutation is present.","author":[{"dropping-particle":"","family":"Schreck","given":"Karisa C.","non-dropping-particle":"","parse-names":false,"suffix":""},{"dropping-particle":"","family":"Ranjan","given":"Surabhi","non-dropping-particle":"","parse-names":false,"suffix":""},{"dropping-particle":"","family":"Skorupan","given":"Nebojša","non-dropping-particle":"","parse-names":false,"suffix":""},{"dropping-particle":"","family":"Bettegowda","given":"Chetan","non-dropping-particle":"","parse-names":false,"suffix":""},{"dropping-particle":"","family":"Eberhart","given":"Charles G.","non-dropping-particle":"","parse-names":false,"suffix":""},{"dropping-particle":"","family":"Ames","given":"Heather M.","non-dropping-particle":"","parse-names":false,"suffix":""},{"dropping-particle":"","family":"Holdhoff","given":"Matthias","non-dropping-particle":"","parse-names":false,"suffix":""}],"container-title":"Journal of Neuro-Oncology","id":"ITEM-3","issue":"1","issued":{"date-parts":[["2019"]]},"publisher":"Springer New York LLC","title":"Incidence and clinicopathologic features of H3 K27M mutations in adults with radiographically-determined midline gliomas","type":"article-journal","volume":"143"},"uris":["http://www.mendeley.com/documents/?uuid=77838f23-157f-3dfd-85b8-13e7807b552e"]}],"mendeley":{"formattedCitation":"&lt;sup&gt;189–191&lt;/sup&gt;","plainTextFormattedCitation":"189–191","previouslyFormattedCitation":"&lt;sup&gt;189–191&lt;/sup&gt;"},"properties":{"noteIndex":0},"schema":"https://github.com/citation-style-language/schema/raw/master/csl-citation.json"}</w:instrText>
      </w:r>
      <w:r w:rsidR="005A1DD0" w:rsidRPr="006243FC">
        <w:fldChar w:fldCharType="separate"/>
      </w:r>
      <w:r w:rsidR="00A47FB6" w:rsidRPr="006243FC">
        <w:rPr>
          <w:noProof/>
          <w:vertAlign w:val="superscript"/>
        </w:rPr>
        <w:t>189–191</w:t>
      </w:r>
      <w:r w:rsidR="005A1DD0" w:rsidRPr="006243FC">
        <w:fldChar w:fldCharType="end"/>
      </w:r>
      <w:r w:rsidR="005A1DD0" w:rsidRPr="006243FC">
        <w:t xml:space="preserve">. Všeobecně se tedy jedná o mutaci se špatnou prognózou, avšak vzhledem k tomu, že se jedná o nové informace, je potřeba zjistit vliv této mutace i na glioblastom. Uveřejněné studie tuto mutaci našly pouze u glioblastomů s IDH wild type. </w:t>
      </w:r>
    </w:p>
    <w:p w14:paraId="3DF25A00" w14:textId="15738267" w:rsidR="005A1DD0" w:rsidRPr="006243FC" w:rsidRDefault="005A1DD0" w:rsidP="00EC4DAF">
      <w:pPr>
        <w:pStyle w:val="Odstavecseseznamem"/>
        <w:ind w:left="0"/>
        <w:jc w:val="both"/>
      </w:pPr>
    </w:p>
    <w:p w14:paraId="0B5E5913" w14:textId="6FEB6C32" w:rsidR="005A1DD0" w:rsidRDefault="005A1DD0" w:rsidP="00EC4DAF">
      <w:pPr>
        <w:pStyle w:val="Odstavecseseznamem"/>
        <w:ind w:left="0"/>
        <w:jc w:val="both"/>
      </w:pPr>
      <w:r w:rsidRPr="006243FC">
        <w:t>Vzhledem k tomu, že se jedná o bodovou mutaci, je nejvhodnější vyšetření pomocí sekvenování</w:t>
      </w:r>
      <w:r w:rsidR="00A9759C" w:rsidRPr="006243FC">
        <w:t xml:space="preserve"> nebo pomocí imunohistochemických protilátek cílených na specifické mutace</w:t>
      </w:r>
      <w:r w:rsidR="00A9759C" w:rsidRPr="006243FC">
        <w:fldChar w:fldCharType="begin" w:fldLock="1"/>
      </w:r>
      <w:r w:rsidR="00D745ED" w:rsidRPr="006243FC">
        <w:instrText>ADDIN CSL_CITATION {"citationItems":[{"id":"ITEM-1","itemData":{"DOI":"10.1038/s41598-020-65272-x","ISSN":"20452322","PMID":"32433577","abstract":"Pediatric high-grade gliomas (HGG) are rare aggressive tumors that present a prognostic and therapeutic challenge. Diffuse midline glioma, H3K27M–mutant is a new entity introduced to HGG in the latest WHO classification. In this study we evaluated the presence of H3K27M mutation in 105 tumor samples histologically classified into low-grade gliomas (LGG) (n = 45), and HGG (n = 60). Samples were screened for the mutation in histone H3.3 and H3.1 variants to examine its prevalence, prognostic impact, and assess its potential clinical value in limited resource settings. H3K27M mutation was detected in 28 of 105 (26.7%) samples, and its distribution was significantly associated with midline locations (p-value &lt; 0.0001) and HGG (p-value = 0.003). Overall and event- free survival (OS and EFS, respectively) of patients with mutant tumors did not differ significantly, neither according to histologic grade (OS p-value = 0.736, EFS p-value = 0.75) nor across anatomical sites (OS p-value = 0.068, EFS p-value = 0.153). Detection of H3K27M mutation in pediatric gliomas provides more precise risk stratification compared to traditional histopathological techniques. Hence, mutation detection should be pursued in all pediatric gliomas. Meanwhile, focusing on midline LGG can be an alternative in lower-middle-income countries to maximally optimize patients’ treatment options.","author":[{"dropping-particle":"","family":"Mosaab","given":"Amal","non-dropping-particle":"","parse-names":false,"suffix":""},{"dropping-particle":"","family":"El-Ayadi","given":"Moatasem","non-dropping-particle":"","parse-names":false,"suffix":""},{"dropping-particle":"","family":"Khorshed","given":"Eman N.","non-dropping-particle":"","parse-names":false,"suffix":""},{"dropping-particle":"","family":"Amer","given":"Nada","non-dropping-particle":"","parse-names":false,"suffix":""},{"dropping-particle":"","family":"Refaat","given":"Amal","non-dropping-particle":"","parse-names":false,"suffix":""},{"dropping-particle":"","family":"El-Beltagy","given":"Mohamed","non-dropping-particle":"","parse-names":false,"suffix":""},{"dropping-particle":"","family":"Hassan","given":"Zeinab","non-dropping-particle":"","parse-names":false,"suffix":""},{"dropping-particle":"","family":"Soror","given":"Sameh H.","non-dropping-particle":"","parse-names":false,"suffix":""},{"dropping-particle":"","family":"Zaghloul","given":"Mohamed Saad","non-dropping-particle":"","parse-names":false,"suffix":""},{"dropping-particle":"","family":"El-Naggar","given":"Shahenda","non-dropping-particle":"","parse-names":false,"suffix":""}],"container-title":"Scientific Reports","id":"ITEM-1","issue":"1","issued":{"date-parts":[["2020","12","1"]]},"publisher":"Nature Research","title":"Histone H3K27M Mutation Overrides Histological Grading in Pediatric Gliomas","type":"article-journal","volume":"10"},"uris":["http://www.mendeley.com/documents/?uuid=91b3d0c3-8e9b-32a5-beb9-74660b2488b6"]},{"id":"ITEM-2","itemData":{"DOI":"10.18632/oncotarget.26430","ISSN":"19492553","abstract":"Pediatric diffuse midline glioma is a highly morbid glial neoplasm that may arise in the thalamus or brainstem (also known as diffuse intrinsic pontine glioma or DIPG). Because tumor anatomic location precludes surgical resection, diagnosis and treatment is based on MR imaging and analysis of biopsy specimens. Up to 80% of pediatric diffuse midline gliomas harbor a histone H3 mutation resulting in the replacement of lysine 27 with methionine (K27M) in genes encoding histone H3 variant H3.3 (H3F3A) or H3.1 (HIST1H3B). H3K27M mutant glioma responds more poorly to treatment and is associated with worse clinical outcome than wild-type tumors, so mutation detection is now diagnostic for a new clinical entity, diffuse midline glioma H3K27M mutant, as defined in the most recent WHO classification system. We previously reported patterns of histone H3 trimethylation (H3K27me3) and acetylation (H3K27Ac) associated with H3K27M mutation that impact transcription regulation and contribute to tumorigenesis. Given the clinical implications of the H3K27M mutation and these associated H3 post-translational modifications (PTMs), we set to determine whether they can be characterized via immunohistochemistry (IHC) in a cohort of pediatric glioma (n = 69) and normal brain tissue (n = 4) specimens. We observed 100% concordance between tissue IHC and molecular sequencing for detecting H3K27M mutation. In turn, H3K37M and H3K27me3 results, but not H3K27Ac staining patterns, were predictive of clinical outcomes. Our results demonstrate H3K27M and H3K27me3 staining of pediatric glioma tissue may be useful for diagnosis, stratification to epigenetic targeted therapies, and longitudinal monitoring of treatment response.","author":[{"dropping-particle":"","family":"Huang","given":"Tina","non-dropping-particle":"","parse-names":false,"suffix":""},{"dropping-particle":"","family":"Garcia","given":"Roxanna","non-dropping-particle":"","parse-names":false,"suffix":""},{"dropping-particle":"","family":"Qi","given":"Jin","non-dropping-particle":"","parse-names":false,"suffix":""},{"dropping-particle":"","family":"Lulla","given":"Rishi","non-dropping-particle":"","parse-names":false,"suffix":""},{"dropping-particle":"","family":"Horbinski","given":"Craig","non-dropping-particle":"","parse-names":false,"suffix":""},{"dropping-particle":"","family":"Behdad","given":"Amir","non-dropping-particle":"","parse-names":false,"suffix":""},{"dropping-particle":"","family":"Wadhwani","given":"Nitin","non-dropping-particle":"","parse-names":false,"suffix":""},{"dropping-particle":"","family":"Shilatifard","given":"Ali","non-dropping-particle":"","parse-names":false,"suffix":""},{"dropping-particle":"","family":"James","given":"Charles","non-dropping-particle":"","parse-names":false,"suffix":""},{"dropping-particle":"","family":"Saratsis","given":"Amanda","non-dropping-particle":"","parse-names":false,"suffix":""}],"container-title":"Oncotarget","id":"ITEM-2","issue":"98","issued":{"date-parts":[["2018","12","1"]]},"page":"37112-37124","publisher":"Impact Journals LLC","title":"Detection of histone H3 K27M mutation and post-translational modifications in pediatric diffuse midline glioma via tissue immunohistochemistry informs diagnosis and clinical outcomes","type":"article-journal","volume":"9"},"uris":["http://www.mendeley.com/documents/?uuid=f359162b-d323-3674-84f1-d366b049b025"]}],"mendeley":{"formattedCitation":"&lt;sup&gt;192,193&lt;/sup&gt;","plainTextFormattedCitation":"192,193","previouslyFormattedCitation":"&lt;sup&gt;192,193&lt;/sup&gt;"},"properties":{"noteIndex":0},"schema":"https://github.com/citation-style-language/schema/raw/master/csl-citation.json"}</w:instrText>
      </w:r>
      <w:r w:rsidR="00A9759C" w:rsidRPr="006243FC">
        <w:fldChar w:fldCharType="separate"/>
      </w:r>
      <w:r w:rsidR="00A47FB6" w:rsidRPr="006243FC">
        <w:rPr>
          <w:noProof/>
          <w:vertAlign w:val="superscript"/>
        </w:rPr>
        <w:t>192,193</w:t>
      </w:r>
      <w:r w:rsidR="00A9759C" w:rsidRPr="006243FC">
        <w:fldChar w:fldCharType="end"/>
      </w:r>
      <w:r w:rsidR="00A9759C" w:rsidRPr="006243FC">
        <w:t>.</w:t>
      </w:r>
    </w:p>
    <w:p w14:paraId="37A19D06" w14:textId="4E11C379" w:rsidR="000005BF" w:rsidRDefault="000005BF" w:rsidP="00EC4DAF">
      <w:pPr>
        <w:pStyle w:val="Odstavecseseznamem"/>
        <w:ind w:left="0"/>
        <w:jc w:val="both"/>
      </w:pPr>
    </w:p>
    <w:p w14:paraId="795DBEAD" w14:textId="78FD6F0D" w:rsidR="000005BF" w:rsidRDefault="000005BF" w:rsidP="00883E7C">
      <w:pPr>
        <w:pStyle w:val="Nadpis4"/>
      </w:pPr>
      <w:bookmarkStart w:id="55" w:name="_Toc88741480"/>
      <w:r w:rsidRPr="000005BF">
        <w:t>Další aberace</w:t>
      </w:r>
      <w:bookmarkEnd w:id="55"/>
    </w:p>
    <w:p w14:paraId="1A84E010" w14:textId="098C8DF6" w:rsidR="000005BF" w:rsidRDefault="000005BF" w:rsidP="00EC4DAF">
      <w:pPr>
        <w:pStyle w:val="Odstavecseseznamem"/>
        <w:ind w:left="0"/>
        <w:jc w:val="both"/>
      </w:pPr>
      <w:r w:rsidRPr="003B3359">
        <w:t>PI3K/Akt/mTOR</w:t>
      </w:r>
      <w:r>
        <w:t xml:space="preserve"> dráha je aktivována </w:t>
      </w:r>
      <w:r w:rsidR="001539D1">
        <w:t>u skoro 90 % glioblastomů</w:t>
      </w:r>
      <w:r w:rsidR="001539D1">
        <w:fldChar w:fldCharType="begin" w:fldLock="1"/>
      </w:r>
      <w:r w:rsidR="00D745ED">
        <w:instrText>ADDIN CSL_CITATION {"citationItems":[{"id":"ITEM-1","itemData":{"DOI":"10.1007/82_2010_67","abstract":"Gliomas represent the most common primary brain tumor and among the most aggressive of cancers. Patients with glioma typically relapse within a year of initial diagnosis. Recurrent glioma is associated with acquired therapeutic resistance. Although neurosurgical resection, radiation and chemotherapy provide clear benefit, survival remains disappointing. It is, therefore, critical that we identify effective medical therapies and appropriate tumor biomarkers in patients at initial presentation, to promote durable responses in glioma. Pathways linking receptor tyrosine kinases, PI3 kinase, Akt, and mTOR feature prominently in this disease and represent therapeutic targets. Small molecules that inhibit one or more of these kinases are now being introduced into the clinic and may have some activity. Disappointingly, however, preclinical studies demonstrate these agents to be primarily cytostatic rather than cytotoxic to glioma cells. Here, we detail activation of the EGFR-PI3K-Akt-mTOR signaling network in glioma, review class I PI3K inhibitors, discuss roles for Akt, PKC and mTOR, and the importance of biomarkers. We further delineate attempts to target both single and multiple components within the EGFR-PI3K-Akt-mTOR axes. Lastly, we discuss the need to combine targeted therapies with cytotoxic chemotherapy, radiation and with inhibitors of survival signaling to improve outcomes in glioma.","author":[{"dropping-particle":"","family":"Fan","given":"Qi-Wen","non-dropping-particle":"","parse-names":false,"suffix":""},{"dropping-particle":"","family":"Weiss","given":"William A.","non-dropping-particle":"","parse-names":false,"suffix":""}],"container-title":"Current topics in microbiology and immunology","id":"ITEM-1","issued":{"date-parts":[["2010"]]},"page":"279-296","publisher":"Curr Top Microbiol Immunol","title":"Targeting the RTK-PI3K-mTOR Axis in Malignant Glioma: Overcoming Resistance","type":"chapter","volume":"347"},"uris":["http://www.mendeley.com/documents/?uuid=b07160e9-c8c0-3e53-8e94-64b37bf88317"]},{"id":"ITEM-2","itemData":{"DOI":"10.1038/nature07385","ISSN":"00280836","PMID":"18772890","abstract":"Human cancer cells typically harbour multiple chromosomal aberrations, nucleotide substitutions and epigenetic modifications that drive malignant transformation. The Cancer Genome Atlas (TCGA) pilot project aims to assess the value of large-scale multi-dimensional analysis of these molecular characteristics in human cancer and to provide the data rapidly to the research community. Here we report the interim integrative analysis of DNA copy number, gene expression and DNA methylation aberrations in 206 glioblastomas - the most common type of adult brain cancer - and nucleotide sequence aberrations in 91 of the 206 glioblastomas. This analysis provides new insights into the roles of ERBB2, NF1 and TP53, uncovers frequent mutations of the phosphatidylinositol-3- OH kinase regulatory subunit gene PIK3R1, and provides a network view of the pathways altered in the development of glioblastoma. Furthermore, integration of mutation, DNA methylation and clinical treatment data reveals a link between MGMT promoter methylation and a hypermutator phenotype consequent to mismatch repair deficiency in treated glioblastomas, an observation with potential clinical implications. Together, these findings establish the feasibility and power of TCGA, demonstrating that it can rapidly expand knowledge of the molecular basis of cancer. ©2008 Macmillan Publishers Limited. All rights reserved.","author":[{"dropping-particle":"","family":"McLendon","given":"Roger","non-dropping-particle":"","parse-names":false,"suffix":""},{"dropping-particle":"","family":"Friedman","given":"Allan","non-dropping-particle":"","parse-names":false,"suffix":""},{"dropping-particle":"","family":"Bigner","given":"Darrell","non-dropping-particle":"","parse-names":false,"suffix":""},{"dropping-particle":"","family":"Meir","given":"Erwin G.","non-dropping-particle":"Van","parse-names":false,"suffix":""},{"dropping-particle":"","family":"Brat","given":"Daniel J.","non-dropping-particle":"","parse-names":false,"suffix":""},{"dropping-particle":"","family":"Mastrogianakis","given":"Gena M.","non-dropping-particle":"","parse-names":false,"suffix":""},{"dropping-particle":"","family":"Olson","given":"Jeffrey J.","non-dropping-particle":"","parse-names":false,"suffix":""},{"dropping-particle":"","family":"Mikkelsen","given":"Tom","non-dropping-particle":"","parse-names":false,"suffix":""},{"dropping-particle":"","family":"Lehman","given":"Norman","non-dropping-particle":"","parse-names":false,"suffix":""},{"dropping-particle":"","family":"Aldape","given":"Ken","non-dropping-particle":"","parse-names":false,"suffix":""},{"dropping-particle":"","family":"Yung","given":"W. K.Alfred","non-dropping-particle":"","parse-names":false,"suffix":""},{"dropping-particle":"","family":"Bogler","given":"Oliver","non-dropping-particle":"","parse-names":false,"suffix":""},{"dropping-particle":"","family":"Weinstein","given":"John N.","non-dropping-particle":"","parse-names":false,"suffix":""},{"dropping-particle":"","family":"VandenBerg","given":"Scott","non-dropping-particle":"","parse-names":false,"suffix":""},{"dropping-particle":"","family":"Berger","given":"Mitchel","non-dropping-particle":"","parse-names":false,"suffix":""},{"dropping-particle":"","family":"Prados","given":"Michael","non-dropping-particle":"","parse-names":false,"suffix":""},{"dropping-particle":"","family":"Muzny","given":"Donna","non-dropping-particle":"","parse-names":false,"suffix":""},{"dropping-particle":"","family":"Morgan","given":"Margaret","non-dropping-particle":"","parse-names":false,"suffix":""},{"dropping-particle":"","family":"Scherer","given":"Steve","non-dropping-particle":"","parse-names":false,"suffix":""},{"dropping-particle":"","family":"Sabo","given":"Aniko","non-dropping-particle":"","parse-names":false,"suffix":""},{"dropping-particle":"","family":"Nazareth","given":"Lynn","non-dropping-particle":"","parse-names":false,"suffix":""},{"dropping-particle":"","family":"Lewis","given":"Lora","non-dropping-particle":"","parse-names":false,"suffix":""},{"dropping-particle":"","family":"Hall","given":"Otis","non-dropping-particle":"","parse-names":false,"suffix":""},{"dropping-particle":"","family":"Zhu","given":"Yiming","non-dropping-particle":"","parse-names":false,"suffix":""},{"dropping-particle":"","family":"Ren","given":"Yanru","non-dropping-particle":"","parse-names":false,"suffix":""},{"dropping-particle":"","family":"Alvi","given":"Omar","non-dropping-particle":"","parse-names":false,"suffix":""},{"dropping-particle":"","family":"Yao","given":"Jiqiang","non-dropping-particle":"","parse-names":false,"suffix":""},{"dropping-particle":"","family":"Hawes","given":"Alicia","non-dropping-particle":"","parse-names":false,"suffix":""},{"dropping-particle":"","family":"Jhangiani","given":"Shalini","non-dropping-particle":"","parse-names":false,"suffix":""},{"dropping-particle":"","family":"Fowler","given":"Gerald","non-dropping-particle":"","parse-names":false,"suffix":""},{"dropping-particle":"","family":"San Lucas","given":"Anthony","non-dropping-particle":"","parse-names":false,"suffix":""},{"dropping-particle":"","family":"Kovar","given":"Christie","non-dropping-particle":"","parse-names":false,"suffix":""},{"dropping-particle":"","family":"Cree","given":"Andrew","non-dropping-particle":"","parse-names":false,"suffix":""},{"dropping-particle":"","family":"Dinh","given":"Huyen","non-dropping-particle":"","parse-names":false,"suffix":""},{"dropping-particle":"","family":"Santibanez","given":"Jireh","non-dropping-particle":"","parse-names":false,"suffix":""},{"dropping-particle":"","family":"Joshi","given":"Vandita","non-dropping-particle":"","parse-names":false,"suffix":""},{"dropping-particle":"","family":"Gonzalez-Garay","given":"Manuel L.","non-dropping-particle":"","parse-names":false,"suffix":""},{"dropping-particle":"","family":"Miller","given":"Christopher A.","non-dropping-particle":"","parse-names":false,"suffix":""},{"dropping-particle":"","family":"Milosavljevic","given":"Aleksandar","non-dropping-particle":"","parse-names":false,"suffix":""},{"dropping-particle":"","family":"Donehower","given":"Larry","non-dropping-particle":"","parse-names":false,"suffix":""},{"dropping-particle":"","family":"Wheeler","given":"David A.","non-dropping-particle":"","parse-names":false,"suffix":""},{"dropping-particle":"","family":"Gibbs","given":"Richard A.","non-dropping-particle":"","parse-names":false,"suffix":""},{"dropping-particle":"","family":"Cibulskis","given":"Kristian","non-dropping-particle":"","parse-names":false,"suffix":""},{"dropping-particle":"","family":"Sougnez","given":"Carrie","non-dropping-particle":"","parse-names":false,"suffix":""},{"dropping-particle":"","family":"Fennell","given":"Tim","non-dropping-particle":"","parse-names":false,"suffix":""},{"dropping-particle":"","family":"Mahan","given":"Scott","non-dropping-particle":"","parse-names":false,"suffix":""},{"dropping-particle":"","family":"Wilkinson","given":"Jane","non-dropping-particle":"","parse-names":false,"suffix":""},{"dropping-particle":"","family":"Ziaugra","given":"Liuda","non-dropping-particle":"","parse-names":false,"suffix":""},{"dropping-particle":"","family":"Onofrio","given":"Robert","non-dropping-particle":"","parse-names":false,"suffix":""},{"dropping-particle":"","family":"Bloom","given":"Toby","non-dropping-particle":"","parse-names":false,"suffix":""},{"dropping-particle":"","family":"Nicol","given":"Rob","non-dropping-particle":"","parse-names":false,"suffix":""},{"dropping-particle":"","family":"Ardlie","given":"Kristin","non-dropping-particle":"","parse-names":false,"suffix":""},{"dropping-particle":"","family":"Baldwin","given":"Jennifer","non-dropping-particle":"","parse-names":false,"suffix":""},{"dropping-particle":"","family":"Gabriel","given":"Stacey","non-dropping-particle":"","parse-names":false,"suffix":""},{"dropping-particle":"","family":"Lander","given":"Eric S.","non-dropping-particle":"","parse-names":false,"suffix":""},{"dropping-particle":"","family":"Ding","given":"Li","non-dropping-particle":"","parse-names":false,"suffix":""},{"dropping-particle":"","family":"Fulton","given":"Robert S.","non-dropping-particle":"","parse-names":false,"suffix":""},{"dropping-particle":"","family":"McLellan","given":"Michael D.","non-dropping-particle":"","parse-names":false,"suffix":""},{"dropping-particle":"","family":"Wallis","given":"John","non-dropping-particle":"","parse-names":false,"suffix":""},{"dropping-particle":"","family":"Larson","given":"David E.","non-dropping-particle":"","parse-names":false,"suffix":""},{"dropping-particle":"","family":"Shi","given":"Xiaoqi","non-dropping-particle":"","parse-names":false,"suffix":""},{"dropping-particle":"","family":"Abbott","given":"Rachel","non-dropping-particle":"","parse-names":false,"suffix":""},{"dropping-particle":"","family":"Fulton","given":"Lucinda","non-dropping-particle":"","parse-names":false,"suffix":""},{"dropping-particle":"","family":"Chen","given":"Ken","non-dropping-particle":"","parse-names":false,"suffix":""},{"dropping-particle":"","family":"Koboldt","given":"Daniel C.","non-dropping-particle":"","parse-names":false,"suffix":""},{"dropping-particle":"","family":"Wendl","given":"Michael C.","non-dropping-particle":"","parse-names":false,"suffix":""},{"dropping-particle":"","family":"Meyer","given":"Rick","non-dropping-particle":"","parse-names":false,"suffix":""},{"dropping-particle":"","family":"Tang","given":"Yuzhu","non-dropping-particle":"","parse-names":false,"suffix":""},{"dropping-particle":"","family":"Lin","given":"Ling","non-dropping-particle":"","parse-names":false,"suffix":""},{"dropping-particle":"","family":"Osborne","given":"John R.","non-dropping-particle":"","parse-names":false,"suffix":""},{"dropping-particle":"","family":"Dunford-Shore","given":"Brian H.","non-dropping-particle":"","parse-names":false,"suffix":""},{"dropping-particle":"","family":"Miner","given":"Tracie L.","non-dropping-particle":"","parse-names":false,"suffix":""},{"dropping-particle":"","family":"Delehaunty","given":"Kim","non-dropping-particle":"","parse-names":false,"suffix":""},{"dropping-particle":"","family":"Markovic","given":"Chris","non-dropping-particle":"","parse-names":false,"suffix":""},{"dropping-particle":"","family":"Swift","given":"Gary","non-dropping-particle":"","parse-names":false,"suffix":""},{"dropping-particle":"","family":"Courtney","given":"William","non-dropping-particle":"","parse-names":false,"suffix":""},{"dropping-particle":"","family":"Pohl","given":"Craig","non-dropping-particle":"","parse-names":false,"suffix":""},{"dropping-particle":"","family":"Abbott","given":"Scott","non-dropping-particle":"","parse-names":false,"suffix":""},{"dropping-particle":"","family":"Hawkins","given":"Amy","non-dropping-particle":"","parse-names":false,"suffix":""},{"dropping-particle":"","family":"Leong","given":"Shin","non-dropping-particle":"","parse-names":false,"suffix":""},{"dropping-particle":"","family":"Haipek","given":"Carrie","non-dropping-particle":"","parse-names":false,"suffix":""},{"dropping-particle":"","family":"Schmidt","given":"Heather","non-dropping-particle":"","parse-names":false,"suffix":""},{"dropping-particle":"","family":"Wiechert","given":"Maddy","non-dropping-particle":"","parse-names":false,"suffix":""},{"dropping-particle":"","family":"Vickery","given":"Tammi","non-dropping-particle":"","parse-names":false,"suffix":""},{"dropping-particle":"","family":"Scott","given":"Sacha","non-dropping-particle":"","parse-names":false,"suffix":""},{"dropping-particle":"","family":"Dooling","given":"David J.","non-dropping-particle":"","parse-names":false,"suffix":""},{"dropping-particle":"","family":"Chinwalla","given":"Asif","non-dropping-particle":"","parse-names":false,"suffix":""},{"dropping-particle":"","family":"Weinstock","given":"George M.","non-dropping-particle":"","parse-names":false,"suffix":""},{"dropping-particle":"","family":"Mardis","given":"Elaine R.","non-dropping-particle":"","parse-names":false,"suffix":""},{"dropping-particle":"","family":"Wilson","given":"Richard K.","non-dropping-particle":"","parse-names":false,"suffix":""},{"dropping-particle":"","family":"Getz","given":"Gad","non-dropping-particle":"","parse-names":false,"suffix":""},{"dropping-particle":"","family":"Winckler","given":"Wendy","non-dropping-particle":"","parse-names":false,"suffix":""},{"dropping-particle":"","family":"Verhaak","given":"Roel G.W.","non-dropping-particle":"","parse-names":false,"suffix":""},{"dropping-particle":"","family":"Lawrence","given":"Michael S.","non-dropping-particle":"","parse-names":false,"suffix":""},{"dropping-particle":"","family":"O'Kelly","given":"Michael","non-dropping-particle":"","parse-names":false,"suffix":""},{"dropping-particle":"","family":"Robinson","given":"Jim","non-dropping-particle":"","parse-names":false,"suffix":""},{"dropping-particle":"","family":"Alexe","given":"Gabriele","non-dropping-particle":"","parse-names":false,"suffix":""},{"dropping-particle":"","family":"Beroukhim","given":"Rameen","non-dropping-particle":"","parse-names":false,"suffix":""},{"dropping-particle":"","family":"Carter","given":"Scott","non-dropping-particle":"","parse-names":false,"suffix":""},{"dropping-particle":"","family":"Chiang","given":"Derek","non-dropping-particle":"","parse-names":false,"suffix":""},{"dropping-particle":"","family":"Gould","given":"Josh","non-dropping-particle":"","parse-names":false,"suffix":""},{"dropping-particle":"","family":"Gupta","given":"Supriya","non-dropping-particle":"","parse-names":false,"suffix":""},{"dropping-particle":"","family":"Korn","given":"Josh","non-dropping-particle":"","parse-names":false,"suffix":""},{"dropping-particle":"","family":"Mermel","given":"Craig","non-dropping-particle":"","parse-names":false,"suffix":""},{"dropping-particle":"","family":"Mesirov","given":"Jill","non-dropping-particle":"","parse-names":false,"suffix":""},{"dropping-particle":"","family":"Monti","given":"Stefano","non-dropping-particle":"","parse-names":false,"suffix":""},{"dropping-particle":"","family":"Nguyen","given":"Huy","non-dropping-particle":"","parse-names":false,"suffix":""},{"dropping-particle":"","family":"Parkin","given":"Melissa","non-dropping-particle":"","parse-names":false,"suffix":""},{"dropping-particle":"","family":"Reich","given":"Michael","non-dropping-particle":"","parse-names":false,"suffix":""},{"dropping-particle":"","family":"Stransky","given":"Nicolas","non-dropping-particle":"","parse-names":false,"suffix":""},{"dropping-particle":"","family":"Weir","given":"Barbara A.","non-dropping-particle":"","parse-names":false,"suffix":""},{"dropping-particle":"","family":"Garraway","given":"Levi","non-dropping-particle":"","parse-names":false,"suffix":""},{"dropping-particle":"","family":"Golub","given":"Todd","non-dropping-particle":"","parse-names":false,"suffix":""},{"dropping-particle":"","family":"Meyerson","given":"Matthew","non-dropping-particle":"","parse-names":false,"suffix":""},{"dropping-particle":"","family":"Chin","given":"Lynda","non-dropping-particle":"","parse-names":false,"suffix":""},{"dropping-particle":"","family":"Protopopov","given":"Alexei","non-dropping-particle":"","parse-names":false,"suffix":""},{"dropping-particle":"","family":"Zhang","given":"Jianhua","non-dropping-particle":"","parse-names":false,"suffix":""},{"dropping-particle":"","family":"Perna","given":"Ilana","non-dropping-particle":"","parse-names":false,"suffix":""},{"dropping-particle":"","family":"Aronson","given":"Sandy","non-dropping-particle":"","parse-names":false,"suffix":""},{"dropping-particle":"","family":"Sathiamoorthy","given":"Narayanan","non-dropping-particle":"","parse-names":false,"suffix":""},{"dropping-particle":"","family":"Ren","given":"Georgia","non-dropping-particle":"","parse-names":false,"suffix":""},{"dropping-particle":"","family":"Yao","given":"Jun","non-dropping-particle":"","parse-names":false,"suffix":""},{"dropping-particle":"","family":"Wiedemeyer","given":"W. Ruprecht","non-dropping-particle":"","parse-names":false,"suffix":""},{"dropping-particle":"","family":"Kim","given":"Hyunsoo","non-dropping-particle":"","parse-names":false,"suffix":""},{"dropping-particle":"","family":"Sek","given":"Won Kong","non-dropping-particle":"","parse-names":false,"suffix":""},{"dropping-particle":"","family":"Xiao","given":"Yonghong","non-dropping-particle":"","parse-names":false,"suffix":""},{"dropping-particle":"","family":"Kohane","given":"Isaac S.","non-dropping-particle":"","parse-names":false,"suffix":""},{"dropping-particle":"","family":"Seidman","given":"Jon","non-dropping-particle":"","parse-names":false,"suffix":""},{"dropping-particle":"","family":"Park","given":"Peter J.","non-dropping-particle":"","parse-names":false,"suffix":""},{"dropping-particle":"","family":"Kucherlapati","given":"Raju","non-dropping-particle":"","parse-names":false,"suffix":""},{"dropping-particle":"","family":"Laird","given":"Peter W.","non-dropping-particle":"","parse-names":false,"suffix":""},{"dropping-particle":"","family":"Cope","given":"Leslie","non-dropping-particle":"","parse-names":false,"suffix":""},{"dropping-particle":"","family":"Herman","given":"James G.","non-dropping-particle":"","parse-names":false,"suffix":""},{"dropping-particle":"","family":"Weisenberger","given":"Daniel J.","non-dropping-particle":"","parse-names":false,"suffix":""},{"dropping-particle":"","family":"Pan","given":"Fei","non-dropping-particle":"","parse-names":false,"suffix":""},{"dropping-particle":"","family":"Berg","given":"David","non-dropping-particle":"Van Den","parse-names":false,"suffix":""},{"dropping-particle":"","family":"Neste","given":"Leander","non-dropping-particle":"Van","parse-names":false,"suffix":""},{"dropping-particle":"","family":"Joo","given":"Mi Yi","non-dropping-particle":"","parse-names":false,"suffix":""},{"dropping-particle":"","family":"Schuebel","given":"Kornel E.","non-dropping-particle":"","parse-names":false,"suffix":""},{"dropping-particle":"","family":"Baylin","given":"Stephen B.","non-dropping-particle":"","parse-names":false,"suffix":""},{"dropping-particle":"","family":"Absher","given":"Devin M.","non-dropping-particle":"","parse-names":false,"suffix":""},{"dropping-particle":"","family":"Li","given":"Jun Z.","non-dropping-particle":"","parse-names":false,"suffix":""},{"dropping-particle":"","family":"Southwick","given":"Audrey","non-dropping-particle":"","parse-names":false,"suffix":""},{"dropping-particle":"","family":"Brady","given":"Shannon","non-dropping-particle":"","parse-names":false,"suffix":""},{"dropping-particle":"","family":"Aggarwal","given":"Amita","non-dropping-particle":"","parse-names":false,"suffix":""},{"dropping-particle":"","family":"Chung","given":"Tisha","non-dropping-particle":"","parse-names":false,"suffix":""},{"dropping-particle":"","family":"Sherlock","given":"Gavin","non-dropping-particle":"","parse-names":false,"suffix":""},{"dropping-particle":"","family":"Brooks","given":"James D.","non-dropping-particle":"","parse-names":false,"suffix":""},{"dropping-particle":"","family":"Myers","given":"Richard M.","non-dropping-particle":"","parse-names":false,"suffix":""},{"dropping-particle":"","family":"Spellman","given":"Paul T.","non-dropping-particle":"","parse-names":false,"suffix":""},{"dropping-particle":"","family":"Purdom","given":"Elizabeth","non-dropping-particle":"","parse-names":false,"suffix":""},{"dropping-particle":"","family":"Jakkula","given":"Lakshmi R.","non-dropping-particle":"","parse-names":false,"suffix":""},{"dropping-particle":"V.","family":"Lapuk","given":"Anna","non-dropping-particle":"","parse-names":false,"suffix":""},{"dropping-particle":"","family":"Marr","given":"Henry","non-dropping-particle":"","parse-names":false,"suffix":""},{"dropping-particle":"","family":"Dorton","given":"Shannon","non-dropping-particle":"","parse-names":false,"suffix":""},{"dropping-particle":"","family":"Yoon","given":"Gi Choi","non-dropping-particle":"","parse-names":false,"suffix":""},{"dropping-particle":"","family":"Han","given":"Ju","non-dropping-particle":"","parse-names":false,"suffix":""},{"dropping-particle":"","family":"Ray","given":"Amrita","non-dropping-particle":"","parse-names":false,"suffix":""},{"dropping-particle":"","family":"Wang","given":"Victoria","non-dropping-particle":"","parse-names":false,"suffix":""},{"dropping-particle":"","family":"Durinck","given":"Steffen","non-dropping-particle":"","parse-names":false,"suffix":""},{"dropping-particle":"","family":"Robinson","given":"Mark","non-dropping-particle":"","parse-names":false,"suffix":""},{"dropping-particle":"","family":"Wang","given":"Nicholas J.","non-dropping-particle":"","parse-names":false,"suffix":""},{"dropping-particle":"","family":"Vranizan","given":"Karen","non-dropping-particle":"","parse-names":false,"suffix":""},{"dropping-particle":"","family":"Peng","given":"Vivian","non-dropping-particle":"","parse-names":false,"suffix":""},{"dropping-particle":"","family":"Name","given":"Eric","non-dropping-particle":"Van","parse-names":false,"suffix":""},{"dropping-particle":"V.","family":"Fontenay","given":"Gerald","non-dropping-particle":"","parse-names":false,"suffix":""},{"dropping-particle":"","family":"Ngai","given":"John","non-dropping-particle":"","parse-names":false,"suffix":""},{"dropping-particle":"","family":"Conboy","given":"John G.","non-dropping-particle":"","parse-names":false,"suffix":""},{"dropping-particle":"","family":"Parvin","given":"Bahram","non-dropping-particle":"","parse-names":false,"suffix":""},{"dropping-particle":"","family":"Feiler","given":"Heidi S.","non-dropping-particle":"","parse-names":false,"suffix":""},{"dropping-particle":"","family":"Speed","given":"Terence P.","non-dropping-particle":"","parse-names":false,"suffix":""},{"dropping-particle":"","family":"Gray","given":"Joe W.","non-dropping-particle":"","parse-names":false,"suffix":""},{"dropping-particle":"","family":"Brennan","given":"Cameron","non-dropping-particle":"","parse-names":false,"suffix":""},{"dropping-particle":"","family":"Socci","given":"Nicholas D.","non-dropping-particle":"","parse-names":false,"suffix":""},{"dropping-particle":"","family":"Olshen","given":"Adam","non-dropping-particle":"","parse-names":false,"suffix":""},{"dropping-particle":"","family":"Taylor","given":"Barry S.","non-dropping-particle":"","parse-names":false,"suffix":""},{"dropping-particle":"","family":"Lash","given":"Alex","non-dropping-particle":"","parse-names":false,"suffix":""},{"dropping-particle":"","family":"Schultz","given":"Nikolaus","non-dropping-particle":"","parse-names":false,"suffix":""},{"dropping-particle":"","family":"Reva","given":"Boris","non-dropping-particle":"","parse-names":false,"suffix":""},{"dropping-particle":"","family":"Antipin","given":"Yevgeniy","non-dropping-particle":"","parse-names":false,"suffix":""},{"dropping-particle":"","family":"Stukalov","given":"Alexey","non-dropping-particle":"","parse-names":false,"suffix":""},{"dropping-particle":"","family":"Gross","given":"Benjamin","non-dropping-particle":"","parse-names":false,"suffix":""},{"dropping-particle":"","family":"Cerami","given":"Ethan","non-dropping-particle":"","parse-names":false,"suffix":""},{"dropping-particle":"","family":"Wei","given":"Qing Wang","non-dropping-particle":"","parse-names":false,"suffix":""},{"dropping-particle":"","family":"Qin","given":"Li Xuan","non-dropping-particle":"","parse-names":false,"suffix":""},{"dropping-particle":"","family":"Seshan","given":"Venkatraman E.","non-dropping-particle":"","parse-names":false,"suffix":""},{"dropping-particle":"","family":"Villafania","given":"Liliana","non-dropping-particle":"","parse-names":false,"suffix":""},{"dropping-particle":"","family":"Cavatore","given":"Magali","non-dropping-particle":"","parse-names":false,"suffix":""},{"dropping-particle":"","family":"Borsu","given":"Laetitia","non-dropping-particle":"","parse-names":false,"suffix":""},{"dropping-particle":"","family":"Viale","given":"Agnes","non-dropping-particle":"","parse-names":false,"suffix":""},{"dropping-particle":"","family":"Gerald","given":"William","non-dropping-particle":"","parse-names":false,"suffix":""},{"dropping-particle":"","family":"Sander","given":"Chris","non-dropping-particle":"","parse-names":false,"suffix":""},{"dropping-particle":"","family":"Ladanyi","given":"Marc","non-dropping-particle":"","parse-names":false,"suffix":""},{"dropping-particle":"","family":"Perou","given":"Charles M.","non-dropping-particle":"","parse-names":false,"suffix":""},{"dropping-particle":"","family":"Hayes","given":"D. Neil","non-dropping-particle":"","parse-names":false,"suffix":""},{"dropping-particle":"","family":"Topal","given":"Michael D.","non-dropping-particle":"","parse-names":false,"suffix":""},{"dropping-particle":"","family":"Hoadley","given":"Katherine A.","non-dropping-particle":"","parse-names":false,"suffix":""},{"dropping-particle":"","family":"Qi","given":"Yuan","non-dropping-particle":"","parse-names":false,"suffix":""},{"dropping-particle":"","family":"Balu","given":"Sai","non-dropping-particle":"","parse-names":false,"suffix":""},{"dropping-particle":"","family":"Shi","given":"Yan","non-dropping-particle":"","parse-names":false,"suffix":""},{"dropping-particle":"","family":"Wu","given":"Junyuan","non-dropping-particle":"","parse-names":false,"suffix":""},{"dropping-particle":"","family":"Penny","given":"Robert","non-dropping-particle":"","parse-names":false,"suffix":""},{"dropping-particle":"","family":"Bittner","given":"Michael","non-dropping-particle":"","parse-names":false,"suffix":""},{"dropping-particle":"","family":"Shelton","given":"Troy","non-dropping-particle":"","parse-names":false,"suffix":""},{"dropping-particle":"","family":"Lenkiewicz","given":"Elizabeth","non-dropping-particle":"","parse-names":false,"suffix":""},{"dropping-particle":"","family":"Morris","given":"Scott","non-dropping-particle":"","parse-names":false,"suffix":""},{"dropping-particle":"","family":"Beasley","given":"Debbie","non-dropping-particle":"","parse-names":false,"suffix":""},{"dropping-particle":"","family":"Sanders","given":"Sheri","non-dropping-particle":"","parse-names":false,"suffix":""},{"dropping-particle":"","family":"Kahn","given":"Ari","non-dropping-particle":"","parse-names":false,"suffix":""},{"dropping-particle":"","family":"Sfeir","given":"Robert","non-dropping-particle":"","parse-names":false,"suffix":""},{"dropping-particle":"","family":"Chen","given":"Jessica","non-dropping-particle":"","parse-names":false,"suffix":""},{"dropping-particle":"","family":"Nassau","given":"David","non-dropping-particle":"","parse-names":false,"suffix":""},{"dropping-particle":"","family":"Feng","given":"Larry","non-dropping-particle":"","parse-names":false,"suffix":""},{"dropping-particle":"","family":"Hickey","given":"Erin","non-dropping-particle":"","parse-names":false,"suffix":""},{"dropping-particle":"","family":"Barker","given":"Anna","non-dropping-particle":"","parse-names":false,"suffix":""},{"dropping-particle":"","family":"Gerhard","given":"Daniela S.","non-dropping-particle":"","parse-names":false,"suffix":""},{"dropping-particle":"","family":"Vockley","given":"Joseph","non-dropping-particle":"","parse-names":false,"suffix":""},{"dropping-particle":"","family":"Compton","given":"Carolyn","non-dropping-particle":"","parse-names":false,"suffix":""},{"dropping-particle":"","family":"Vaught","given":"Jim","non-dropping-particle":"","parse-names":false,"suffix":""},{"dropping-particle":"","family":"Fielding","given":"Peter","non-dropping-particle":"","parse-names":false,"suffix":""},{"dropping-particle":"","family":"Ferguson","given":"Martin L.","non-dropping-particle":"","parse-names":false,"suffix":""},{"dropping-particle":"","family":"Schaefer","given":"Carl","non-dropping-particle":"","parse-names":false,"suffix":""},{"dropping-particle":"","family":"Zhang","given":"Jinghui","non-dropping-particle":"","parse-names":false,"suffix":""},{"dropping-particle":"","family":"Madhavan","given":"Subhashree","non-dropping-particle":"","parse-names":false,"suffix":""},{"dropping-particle":"","family":"Buetow","given":"Kenneth H.","non-dropping-particle":"","parse-names":false,"suffix":""},{"dropping-particle":"","family":"Collins","given":"Francis","non-dropping-particle":"","parse-names":false,"suffix":""},{"dropping-particle":"","family":"Good","given":"Peter","non-dropping-particle":"","parse-names":false,"suffix":""},{"dropping-particle":"","family":"Guyer","given":"Mark","non-dropping-particle":"","parse-names":false,"suffix":""},{"dropping-particle":"","family":"Ozenberger","given":"Brad","non-dropping-particle":"","parse-names":false,"suffix":""},{"dropping-particle":"","family":"Peterson","given":"Jane","non-dropping-particle":"","parse-names":false,"suffix":""},{"dropping-particle":"","family":"Thomson","given":"Elizabeth","non-dropping-particle":"","parse-names":false,"suffix":""}],"container-title":"Nature","id":"ITEM-2","issue":"7216","issued":{"date-parts":[["2008","10","23"]]},"page":"1061-1068","publisher":"Nature Publishing Group","title":"Comprehensive genomic characterization defines human glioblastoma genes and core pathways","type":"article-journal","volume":"455"},"uris":["http://www.mendeley.com/documents/?uuid=e72230c9-e558-36ac-91e4-89367c1b4887"]}],"mendeley":{"formattedCitation":"&lt;sup&gt;132,194&lt;/sup&gt;","plainTextFormattedCitation":"132,194","previouslyFormattedCitation":"&lt;sup&gt;132,194&lt;/sup&gt;"},"properties":{"noteIndex":0},"schema":"https://github.com/citation-style-language/schema/raw/master/csl-citation.json"}</w:instrText>
      </w:r>
      <w:r w:rsidR="001539D1">
        <w:fldChar w:fldCharType="separate"/>
      </w:r>
      <w:r w:rsidR="00A47FB6" w:rsidRPr="00A47FB6">
        <w:rPr>
          <w:noProof/>
          <w:vertAlign w:val="superscript"/>
        </w:rPr>
        <w:t>132,194</w:t>
      </w:r>
      <w:r w:rsidR="001539D1">
        <w:fldChar w:fldCharType="end"/>
      </w:r>
      <w:r w:rsidR="001539D1">
        <w:t xml:space="preserve">. </w:t>
      </w:r>
      <w:r w:rsidR="00C4668D">
        <w:t xml:space="preserve">PI3K dráha je velmi komplexní kaskáda, která řídí velké množství buněčných pochodů jako je </w:t>
      </w:r>
      <w:r w:rsidR="00FF252A">
        <w:t>migrace</w:t>
      </w:r>
      <w:r w:rsidR="00C4668D">
        <w:t>, přežití a proliferace</w:t>
      </w:r>
      <w:r w:rsidR="00C4668D">
        <w:fldChar w:fldCharType="begin" w:fldLock="1"/>
      </w:r>
      <w:r w:rsidR="00D745ED">
        <w:instrText>ADDIN CSL_CITATION {"citationItems":[{"id":"ITEM-1","itemData":{"DOI":"10.1186/2052-8426-2-32","ISSN":"2052-8426","abstract":"Members of the PI3K/Akt/mTor signaling cascade are among the most frequently altered proteins in cancer, yet the therapeutic application of pharmacological inhibitors of this signaling network, either as monotherapy or in combination therapy (CT) has so far not been particularly successful. In this review we will focus on the role of PI3K/Akt/mTOR in two distinct tumors, Glioblastoma multiforme (GBM), an adult brain tumor which frequently exhibits PTEN inactivation, and Neuroblastoma (NB), a childhood malignancy that affects the central nervous system and does not harbor any classic alterations in PI3K/Akt signaling. We will argue that inhibitors of PI3K/Akt signaling can be components for potentially promising new CTs in both tumor entities, but further understanding of the signal cascade's complexity is essential for successful implementation of these CTs. Importantly, failure to do this might lead to severe adverse effects, such as treatment failure and enhanced therapy resistance.","author":[{"dropping-particle":"","family":"Westhoff","given":"Mike-Andrew","non-dropping-particle":"","parse-names":false,"suffix":""},{"dropping-particle":"","family":"Karpel-Massler","given":"Georg","non-dropping-particle":"","parse-names":false,"suffix":""},{"dropping-particle":"","family":"Brühl","given":"Oliver","non-dropping-particle":"","parse-names":false,"suffix":""},{"dropping-particle":"","family":"Enzenmüller","given":"Stefanie","non-dropping-particle":"","parse-names":false,"suffix":""},{"dropping-particle":"","family":"Ferla-Brühl","given":"Katia","non-dropping-particle":"La","parse-names":false,"suffix":""},{"dropping-particle":"","family":"Siegelin","given":"Markus D","non-dropping-particle":"","parse-names":false,"suffix":""},{"dropping-particle":"","family":"Nonnenmacher","given":"Lisa","non-dropping-particle":"","parse-names":false,"suffix":""},{"dropping-particle":"","family":"Debatin","given":"Klaus-Michael","non-dropping-particle":"","parse-names":false,"suffix":""}],"container-title":"Molecular and Cellular Therapies","id":"ITEM-1","issue":"1","issued":{"date-parts":[["2014"]]},"page":"32","publisher":"River Publishers","title":"A critical evaluation of PI3K inhibition in Glioblastoma and Neuroblastoma therapy","type":"article-journal","volume":"2"},"uris":["http://www.mendeley.com/documents/?uuid=096f7339-9b74-3731-96d1-75ab6629f53c"]}],"mendeley":{"formattedCitation":"&lt;sup&gt;195&lt;/sup&gt;","plainTextFormattedCitation":"195","previouslyFormattedCitation":"&lt;sup&gt;195&lt;/sup&gt;"},"properties":{"noteIndex":0},"schema":"https://github.com/citation-style-language/schema/raw/master/csl-citation.json"}</w:instrText>
      </w:r>
      <w:r w:rsidR="00C4668D">
        <w:fldChar w:fldCharType="separate"/>
      </w:r>
      <w:r w:rsidR="00A47FB6" w:rsidRPr="00A47FB6">
        <w:rPr>
          <w:noProof/>
          <w:vertAlign w:val="superscript"/>
        </w:rPr>
        <w:t>195</w:t>
      </w:r>
      <w:r w:rsidR="00C4668D">
        <w:fldChar w:fldCharType="end"/>
      </w:r>
      <w:r w:rsidR="00C4668D">
        <w:t xml:space="preserve">. </w:t>
      </w:r>
      <w:r w:rsidR="00FF252A">
        <w:t xml:space="preserve">tato dráha je nejčastěji aktivována skrze mutaci </w:t>
      </w:r>
      <w:r w:rsidR="00E71CE3">
        <w:t>v PTEN, který funguje jako negativní regulátor</w:t>
      </w:r>
      <w:r w:rsidR="00E71CE3">
        <w:fldChar w:fldCharType="begin" w:fldLock="1"/>
      </w:r>
      <w:r w:rsidR="00D745ED">
        <w:instrText>ADDIN CSL_CITATION {"citationItems":[{"id":"ITEM-1","itemData":{"DOI":"10.1016/j.cell.2013.09.034","ISSN":"10974172","PMID":"24120142","abstract":"We describe the landscape of somatic genomic alterations based on multidimensional and comprehensive characterization of more than 500 glioblastoma tumors (GBMs). We identify several novel mutated genes as well as complex rearrangements of signature receptors, including EGFR and PDGFRA. TERT promoter mutations areshown tocorrelate with elevated mRNA expression, supporting a role in telomerase reactivation. Correlative analyses confirm that the survival advantage of the proneural subtype is conferred by the G-CIMP phenotype, and MGMT DNA methylation may be a predictive biomarker for treatment response only in classical subtype GBM. Integrative analysis of genomic and proteomic profiles challenges the notion of therapeutic inhibition of a pathway as an alternative to inhibition of the target itself. These data will facilitate the discovery of therapeutic and diagnostic target candidates, the validation of research and clinical observations and the generation of unanticipated hypotheses that can advance our molecular understanding of this lethal cancer.","author":[{"dropping-particle":"","family":"Brennan","given":"Cameron W.","non-dropping-particle":"","parse-names":false,"suffix":""},{"dropping-particle":"","family":"Verhaak","given":"Roel G.W.","non-dropping-particle":"","parse-names":false,"suffix":""},{"dropping-particle":"","family":"McKenna","given":"Aaron","non-dropping-particle":"","parse-names":false,"suffix":""},{"dropping-particle":"","family":"Campos","given":"Benito","non-dropping-particle":"","parse-names":false,"suffix":""},{"dropping-particle":"","family":"Noushmehr","given":"Houtan","non-dropping-particle":"","parse-names":false,"suffix":""},{"dropping-particle":"","family":"Salama","given":"Sofie R.","non-dropping-particle":"","parse-names":false,"suffix":""},{"dropping-particle":"","family":"Zheng","given":"Siyuan","non-dropping-particle":"","parse-names":false,"suffix":""},{"dropping-particle":"","family":"Chakravarty","given":"Debyani","non-dropping-particle":"","parse-names":false,"suffix":""},{"dropping-particle":"","family":"Sanborn","given":"J. Zachary","non-dropping-particle":"","parse-names":false,"suffix":""},{"dropping-particle":"","family":"Berman","given":"Samuel H.","non-dropping-particle":"","parse-names":false,"suffix":""},{"dropping-particle":"","family":"Beroukhim","given":"Rameen","non-dropping-particle":"","parse-names":false,"suffix":""},{"dropping-particle":"","family":"Bernard","given":"Brady","non-dropping-particle":"","parse-names":false,"suffix":""},{"dropping-particle":"","family":"Wu","given":"Chang Jiun","non-dropping-particle":"","parse-names":false,"suffix":""},{"dropping-particle":"","family":"Genovese","given":"Giannicola","non-dropping-particle":"","parse-names":false,"suffix":""},{"dropping-particle":"","family":"Shmulevich","given":"Ilya","non-dropping-particle":"","parse-names":false,"suffix":""},{"dropping-particle":"","family":"Barnholtz-Sloan","given":"Jill","non-dropping-particle":"","parse-names":false,"suffix":""},{"dropping-particle":"","family":"Zou","given":"Lihua","non-dropping-particle":"","parse-names":false,"suffix":""},{"dropping-particle":"","family":"Vegesna","given":"Rahulsimham","non-dropping-particle":"","parse-names":false,"suffix":""},{"dropping-particle":"","family":"Shukla","given":"Sachet A.","non-dropping-particle":"","parse-names":false,"suffix":""},{"dropping-particle":"","family":"Ciriello","given":"Giovanni","non-dropping-particle":"","parse-names":false,"suffix":""},{"dropping-particle":"","family":"Yung","given":"W. K.","non-dropping-particle":"","parse-names":false,"suffix":""},{"dropping-particle":"","family":"Zhang","given":"Wei","non-dropping-particle":"","parse-names":false,"suffix":""},{"dropping-particle":"","family":"Sougnez","given":"Carrie","non-dropping-particle":"","parse-names":false,"suffix":""},{"dropping-particle":"","family":"Mikkelsen","given":"Tom","non-dropping-particle":"","parse-names":false,"suffix":""},{"dropping-particle":"","family":"Aldape","given":"Kenneth","non-dropping-particle":"","parse-names":false,"suffix":""},{"dropping-particle":"","family":"Bigner","given":"Darell D.","non-dropping-particle":"","parse-names":false,"suffix":""},{"dropping-particle":"","family":"Meir","given":"Erwin G.","non-dropping-particle":"Van","parse-names":false,"suffix":""},{"dropping-particle":"","family":"Prados","given":"Michael","non-dropping-particle":"","parse-names":false,"suffix":""},{"dropping-particle":"","family":"Sloan","given":"Andrew","non-dropping-particle":"","parse-names":false,"suffix":""},{"dropping-particle":"","family":"Black","given":"Keith L.","non-dropping-particle":"","parse-names":false,"suffix":""},{"dropping-particle":"","family":"Eschbacher","given":"Jennifer","non-dropping-particle":"","parse-names":false,"suffix":""},{"dropping-particle":"","family":"Finocchiaro","given":"Gaetano","non-dropping-particle":"","parse-names":false,"suffix":""},{"dropping-particle":"","family":"Friedman","given":"William","non-dropping-particle":"","parse-names":false,"suffix":""},{"dropping-particle":"","family":"Andrews","given":"David W.","non-dropping-particle":"","parse-names":false,"suffix":""},{"dropping-particle":"","family":"Guha","given":"Abhijit","non-dropping-particle":"","parse-names":false,"suffix":""},{"dropping-particle":"","family":"Iacocca","given":"Mary","non-dropping-particle":"","parse-names":false,"suffix":""},{"dropping-particle":"","family":"O'Neill","given":"Brian P.","non-dropping-particle":"","parse-names":false,"suffix":""},{"dropping-particle":"","family":"Foltz","given":"Greg","non-dropping-particle":"","parse-names":false,"suffix":""},{"dropping-particle":"","family":"Myers","given":"Jerome","non-dropping-particle":"","parse-names":false,"suffix":""},{"dropping-particle":"","family":"Weisenberger","given":"Daniel J.","non-dropping-particle":"","parse-names":false,"suffix":""},{"dropping-particle":"","family":"Penny","given":"Robert","non-dropping-particle":"","parse-names":false,"suffix":""},{"dropping-particle":"","family":"Kucherlapati","given":"Raju","non-dropping-particle":"","parse-names":false,"suffix":""},{"dropping-particle":"","family":"Perou","given":"Charles M.","non-dropping-particle":"","parse-names":false,"suffix":""},{"dropping-particle":"","family":"Hayes","given":"D. Neil","non-dropping-particle":"","parse-names":false,"suffix":""},{"dropping-particle":"","family":"Gibbs","given":"Richard","non-dropping-particle":"","parse-names":false,"suffix":""},{"dropping-particle":"","family":"Marra","given":"Marco","non-dropping-particle":"","parse-names":false,"suffix":""},{"dropping-particle":"","family":"Mills","given":"Gordon B.","non-dropping-particle":"","parse-names":false,"suffix":""},{"dropping-particle":"","family":"Lander","given":"Eric S.","non-dropping-particle":"","parse-names":false,"suffix":""},{"dropping-particle":"","family":"Spellman","given":"Paul","non-dropping-particle":"","parse-names":false,"suffix":""},{"dropping-particle":"","family":"Wilson","given":"Richard","non-dropping-particle":"","parse-names":false,"suffix":""},{"dropping-particle":"","family":"Sander","given":"Chris","non-dropping-particle":"","parse-names":false,"suffix":""},{"dropping-particle":"","family":"Weinstein","given":"John","non-dropping-particle":"","parse-names":false,"suffix":""},{"dropping-particle":"","family":"Meyerson","given":"Matthew","non-dropping-particle":"","parse-names":false,"suffix":""},{"dropping-particle":"","family":"Gabriel","given":"Stacey","non-dropping-particle":"","parse-names":false,"suffix":""},{"dropping-particle":"","family":"Laird","given":"Peter W.","non-dropping-particle":"","parse-names":false,"suffix":""},{"dropping-particle":"","family":"Haussler","given":"David","non-dropping-particle":"","parse-names":false,"suffix":""},{"dropping-particle":"","family":"Getz","given":"Gad","non-dropping-particle":"","parse-names":false,"suffix":""},{"dropping-particle":"","family":"Chin","given":"Lynda","non-dropping-particle":"","parse-names":false,"suffix":""},{"dropping-particle":"","family":"Benz","given":"Christopher","non-dropping-particle":"","parse-names":false,"suffix":""},{"dropping-particle":"","family":"Barrett","given":"Wendi","non-dropping-particle":"","parse-names":false,"suffix":""},{"dropping-particle":"","family":"Ostrom","given":"Quinn","non-dropping-particle":"","parse-names":false,"suffix":""},{"dropping-particle":"","family":"Wolinsky","given":"Yingli","non-dropping-particle":"","parse-names":false,"suffix":""},{"dropping-particle":"","family":"Bose","given":"Bikash","non-dropping-particle":"","parse-names":false,"suffix":""},{"dropping-particle":"","family":"Boulos","given":"Paul T.","non-dropping-particle":"","parse-names":false,"suffix":""},{"dropping-particle":"","family":"Boulos","given":"Madgy","non-dropping-particle":"","parse-names":false,"suffix":""},{"dropping-particle":"","family":"Brown","given":"Jenn","non-dropping-particle":"","parse-names":false,"suffix":""},{"dropping-particle":"","family":"Czerinski","given":"Christine","non-dropping-particle":"","parse-names":false,"suffix":""},{"dropping-particle":"","family":"Eppley","given":"Matthew","non-dropping-particle":"","parse-names":false,"suffix":""},{"dropping-particle":"","family":"Kempista","given":"Thelma","non-dropping-particle":"","parse-names":false,"suffix":""},{"dropping-particle":"","family":"Kitko","given":"Teresa","non-dropping-particle":"","parse-names":false,"suffix":""},{"dropping-particle":"","family":"Koyfman","given":"Yakov","non-dropping-particle":"","parse-names":false,"suffix":""},{"dropping-particle":"","family":"Rabeno","given":"Brenda","non-dropping-particle":"","parse-names":false,"suffix":""},{"dropping-particle":"","family":"Rastogi","given":"Pawan","non-dropping-particle":"","parse-names":false,"suffix":""},{"dropping-particle":"","family":"Sugarman","given":"Michael","non-dropping-particle":"","parse-names":false,"suffix":""},{"dropping-particle":"","family":"Swanson","given":"Patricia","non-dropping-particle":"","parse-names":false,"suffix":""},{"dropping-particle":"","family":"Yalamanchii","given":"Kennedy","non-dropping-particle":"","parse-names":false,"suffix":""},{"dropping-particle":"","family":"Otey","given":"Ilana P.","non-dropping-particle":"","parse-names":false,"suffix":""},{"dropping-particle":"","family":"Liu","given":"Yingchun Spring","non-dropping-particle":"","parse-names":false,"suffix":""},{"dropping-particle":"","family":"Xiao","given":"Yonghong","non-dropping-particle":"","parse-names":false,"suffix":""},{"dropping-particle":"","family":"Auman","given":"J. Todd","non-dropping-particle":"","parse-names":false,"suffix":""},{"dropping-particle":"","family":"Chen","given":"Peng Chieh","non-dropping-particle":"","parse-names":false,"suffix":""},{"dropping-particle":"","family":"Hadjipanayis","given":"Angela","non-dropping-particle":"","parse-names":false,"suffix":""},{"dropping-particle":"","family":"Lee","given":"Eunjung","non-dropping-particle":"","parse-names":false,"suffix":""},{"dropping-particle":"","family":"Lee","given":"Semin","non-dropping-particle":"","parse-names":false,"suffix":""},{"dropping-particle":"","family":"Park","given":"Peter J.","non-dropping-particle":"","parse-names":false,"suffix":""},{"dropping-particle":"","family":"Seidman","given":"Jonathan","non-dropping-particle":"","parse-names":false,"suffix":""},{"dropping-particle":"","family":"Yang","given":"Lixing","non-dropping-particle":"","parse-names":false,"suffix":""},{"dropping-particle":"","family":"Kalkanis","given":"Steven","non-dropping-particle":"","parse-names":false,"suffix":""},{"dropping-particle":"","family":"Poisson","given":"Laila M.","non-dropping-particle":"","parse-names":false,"suffix":""},{"dropping-particle":"","family":"Raghunathan","given":"Aditya","non-dropping-particle":"","parse-names":false,"suffix":""},{"dropping-particle":"","family":"Scarpace","given":"Lisa","non-dropping-particle":"","parse-names":false,"suffix":""},{"dropping-particle":"","family":"Bressler","given":"Ryan","non-dropping-particle":"","parse-names":false,"suffix":""},{"dropping-particle":"","family":"Eakin","given":"Andrea","non-dropping-particle":"","parse-names":false,"suffix":""},{"dropping-particle":"","family":"Iype","given":"Lisa","non-dropping-particle":"","parse-names":false,"suffix":""},{"dropping-particle":"","family":"Kreisberg","given":"Richard B.","non-dropping-particle":"","parse-names":false,"suffix":""},{"dropping-particle":"","family":"Leinonen","given":"Kalle","non-dropping-particle":"","parse-names":false,"suffix":""},{"dropping-particle":"","family":"Reynolds","given":"Sheila","non-dropping-particle":"","parse-names":false,"suffix":""},{"dropping-particle":"","family":"Rovira","given":"Hector","non-dropping-particle":"","parse-names":false,"suffix":""},{"dropping-particle":"","family":"Thorsson","given":"Vesteinn","non-dropping-particle":"","parse-names":false,"suffix":""},{"dropping-particle":"","family":"Annala","given":"Matti J.","non-dropping-particle":"","parse-names":false,"suffix":""},{"dropping-particle":"","family":"Paulauskis","given":"Joseph","non-dropping-particle":"","parse-names":false,"suffix":""},{"dropping-particle":"","family":"Curley","given":"Erin","non-dropping-particle":"","parse-names":false,"suffix":""},{"dropping-particle":"","family":"Hatfield","given":"Martha","non-dropping-particle":"","parse-names":false,"suffix":""},{"dropping-particle":"","family":"Mallery","given":"David","non-dropping-particle":"","parse-names":false,"suffix":""},{"dropping-particle":"","family":"Morris","given":"Scott","non-dropping-particle":"","parse-names":false,"suffix":""},{"dropping-particle":"","family":"Shelton","given":"Troy","non-dropping-particle":"","parse-names":false,"suffix":""},{"dropping-particle":"","family":"Shelton","given":"Candace","non-dropping-particle":"","parse-names":false,"suffix":""},{"dropping-particle":"","family":"Sherman","given":"Mark","non-dropping-particle":"","parse-names":false,"suffix":""},{"dropping-particle":"","family":"Yena","given":"Peggy","non-dropping-particle":"","parse-names":false,"suffix":""},{"dropping-particle":"","family":"Cuppini","given":"Lucia","non-dropping-particle":"","parse-names":false,"suffix":""},{"dropping-particle":"","family":"DiMeco","given":"Francesco","non-dropping-particle":"","parse-names":false,"suffix":""},{"dropping-particle":"","family":"Eoli","given":"Marica","non-dropping-particle":"","parse-names":false,"suffix":""},{"dropping-particle":"","family":"Maderna","given":"Emanuela","non-dropping-particle":"","parse-names":false,"suffix":""},{"dropping-particle":"","family":"Pollo","given":"Bianca","non-dropping-particle":"","parse-names":false,"suffix":""},{"dropping-particle":"","family":"Saini","given":"Marco","non-dropping-particle":"","parse-names":false,"suffix":""},{"dropping-particle":"","family":"Balu","given":"Saianand","non-dropping-particle":"","parse-names":false,"suffix":""},{"dropping-particle":"","family":"Hoadley","given":"Katherine A.","non-dropping-particle":"","parse-names":false,"suffix":""},{"dropping-particle":"","family":"Li","given":"Ling","non-dropping-particle":"","parse-names":false,"suffix":""},{"dropping-particle":"","family":"Miller","given":"C. Ryan","non-dropping-particle":"","parse-names":false,"suffix":""},{"dropping-particle":"","family":"Shi","given":"Yan","non-dropping-particle":"","parse-names":false,"suffix":""},{"dropping-particle":"","family":"Topal","given":"Michael D.","non-dropping-particle":"","parse-names":false,"suffix":""},{"dropping-particle":"","family":"Wu","given":"Junyuan","non-dropping-particle":"","parse-names":false,"suffix":""},{"dropping-particle":"","family":"Dunn","given":"Gavin","non-dropping-particle":"","parse-names":false,"suffix":""},{"dropping-particle":"","family":"Giannini","given":"Caterina","non-dropping-particle":"","parse-names":false,"suffix":""},{"dropping-particle":"","family":"Aksoy","given":"B. Arman","non-dropping-particle":"","parse-names":false,"suffix":""},{"dropping-particle":"","family":"Antipin","given":"Yevgeniy","non-dropping-particle":"","parse-names":false,"suffix":""},{"dropping-particle":"","family":"Borsu","given":"Laetitia","non-dropping-particle":"","parse-names":false,"suffix":""},{"dropping-particle":"","family":"Cerami","given":"Ethan","non-dropping-particle":"","parse-names":false,"suffix":""},{"dropping-particle":"","family":"Gao","given":"Jianjiong","non-dropping-particle":"","parse-names":false,"suffix":""},{"dropping-particle":"","family":"Gross","given":"Benjamin","non-dropping-particle":"","parse-names":false,"suffix":""},{"dropping-particle":"","family":"Jacobsen","given":"Anders","non-dropping-particle":"","parse-names":false,"suffix":""},{"dropping-particle":"","family":"Ladanyi","given":"Marc","non-dropping-particle":"","parse-names":false,"suffix":""},{"dropping-particle":"","family":"Lash","given":"Alex","non-dropping-particle":"","parse-names":false,"suffix":""},{"dropping-particle":"","family":"Liang","given":"Yupu","non-dropping-particle":"","parse-names":false,"suffix":""},{"dropping-particle":"","family":"Reva","given":"Boris","non-dropping-particle":"","parse-names":false,"suffix":""},{"dropping-particle":"","family":"Schultz","given":"Nikolaus","non-dropping-particle":"","parse-names":false,"suffix":""},{"dropping-particle":"","family":"Shen","given":"Ronglai","non-dropping-particle":"","parse-names":false,"suffix":""},{"dropping-particle":"","family":"Socci","given":"Nicholas D.","non-dropping-particle":"","parse-names":false,"suffix":""},{"dropping-particle":"","family":"Viale","given":"Agnes","non-dropping-particle":"","parse-names":false,"suffix":""},{"dropping-particle":"","family":"Ferguson","given":"Martin L.","non-dropping-particle":"","parse-names":false,"suffix":""},{"dropping-particle":"","family":"Chen","given":"Qing Rong","non-dropping-particle":"","parse-names":false,"suffix":""},{"dropping-particle":"","family":"Demchok","given":"John A.","non-dropping-particle":"","parse-names":false,"suffix":""},{"dropping-particle":"","family":"Dillon","given":"Laura A.L.","non-dropping-particle":"","parse-names":false,"suffix":""},{"dropping-particle":"","family":"Mills Shaw","given":"Kenna R.","non-dropping-particle":"","parse-names":false,"suffix":""},{"dropping-particle":"","family":"Sheth","given":"Margi","non-dropping-particle":"","parse-names":false,"suffix":""},{"dropping-particle":"","family":"Tarnuzzer","given":"Roy","non-dropping-particle":"","parse-names":false,"suffix":""},{"dropping-particle":"","family":"Wang","given":"Zhining","non-dropping-particle":"","parse-names":false,"suffix":""},{"dropping-particle":"","family":"Yang","given":"Liming","non-dropping-particle":"","parse-names":false,"suffix":""},{"dropping-particle":"","family":"Davidsen","given":"Tanja","non-dropping-particle":"","parse-names":false,"suffix":""},{"dropping-particle":"","family":"Guyer","given":"Mark S.","non-dropping-particle":"","parse-names":false,"suffix":""},{"dropping-particle":"","family":"Ozenberger","given":"Bradley A.","non-dropping-particle":"","parse-names":false,"suffix":""},{"dropping-particle":"","family":"Sofia","given":"Heidi J.","non-dropping-particle":"","parse-names":false,"suffix":""},{"dropping-particle":"","family":"Bergsten","given":"Julie","non-dropping-particle":"","parse-names":false,"suffix":""},{"dropping-particle":"","family":"Eckman","given":"John","non-dropping-particle":"","parse-names":false,"suffix":""},{"dropping-particle":"","family":"Harr","given":"Jodi","non-dropping-particle":"","parse-names":false,"suffix":""},{"dropping-particle":"","family":"Smith","given":"Christine","non-dropping-particle":"","parse-names":false,"suffix":""},{"dropping-particle":"","family":"Tucker","given":"Kelly","non-dropping-particle":"","parse-names":false,"suffix":""},{"dropping-particle":"","family":"Winemiller","given":"Cindy","non-dropping-particle":"","parse-names":false,"suffix":""},{"dropping-particle":"","family":"Zach","given":"Leigh Anne","non-dropping-particle":"","parse-names":false,"suffix":""},{"dropping-particle":"","family":"Ljubimova","given":"Julia Y.","non-dropping-particle":"","parse-names":false,"suffix":""},{"dropping-particle":"","family":"Eley","given":"Greg","non-dropping-particle":"","parse-names":false,"suffix":""},{"dropping-particle":"","family":"Ayala","given":"Brenda","non-dropping-particle":"","parse-names":false,"suffix":""},{"dropping-particle":"","family":"Jensen","given":"Mark A.","non-dropping-particle":"","parse-names":false,"suffix":""},{"dropping-particle":"","family":"Kahn","given":"Ari","non-dropping-particle":"","parse-names":false,"suffix":""},{"dropping-particle":"","family":"Pihl","given":"Todd D.","non-dropping-particle":"","parse-names":false,"suffix":""},{"dropping-particle":"","family":"Pot","given":"David A.","non-dropping-particle":"","parse-names":false,"suffix":""},{"dropping-particle":"","family":"Wan","given":"Yunhu","non-dropping-particle":"","parse-names":false,"suffix":""},{"dropping-particle":"","family":"Hansen","given":"Nathan","non-dropping-particle":"","parse-names":false,"suffix":""},{"dropping-particle":"","family":"Hothi","given":"Parvi","non-dropping-particle":"","parse-names":false,"suffix":""},{"dropping-particle":"","family":"Lin","given":"Biaoyang","non-dropping-particle":"","parse-names":false,"suffix":""},{"dropping-particle":"","family":"Shah","given":"Nameeta","non-dropping-particle":"","parse-names":false,"suffix":""},{"dropping-particle":"","family":"Yoon","given":"Jae Geun","non-dropping-particle":"","parse-names":false,"suffix":""},{"dropping-particle":"","family":"Lau","given":"Ching","non-dropping-particle":"","parse-names":false,"suffix":""},{"dropping-particle":"","family":"Berens","given":"Michael","non-dropping-particle":"","parse-names":false,"suffix":""},{"dropping-particle":"","family":"Ardlie","given":"Kristin","non-dropping-particle":"","parse-names":false,"suffix":""},{"dropping-particle":"","family":"Carter","given":"Scott L.","non-dropping-particle":"","parse-names":false,"suffix":""},{"dropping-particle":"","family":"Cherniack","given":"Andrew D.","non-dropping-particle":"","parse-names":false,"suffix":""},{"dropping-particle":"","family":"Noble","given":"Mike","non-dropping-particle":"","parse-names":false,"suffix":""},{"dropping-particle":"","family":"Cho","given":"Juok","non-dropping-particle":"","parse-names":false,"suffix":""},{"dropping-particle":"","family":"Cibulskis","given":"Kristian","non-dropping-particle":"","parse-names":false,"suffix":""},{"dropping-particle":"","family":"DiCara","given":"Daniel","non-dropping-particle":"","parse-names":false,"suffix":""},{"dropping-particle":"","family":"Frazer","given":"Scott","non-dropping-particle":"","parse-names":false,"suffix":""},{"dropping-particle":"","family":"Gabriel","given":"Stacey B.","non-dropping-particle":"","parse-names":false,"suffix":""},{"dropping-particle":"","family":"Gehlenborg","given":"Nils","non-dropping-particle":"","parse-names":false,"suffix":""},{"dropping-particle":"","family":"Gentry","given":"Jeff","non-dropping-particle":"","parse-names":false,"suffix":""},{"dropping-particle":"","family":"Heiman","given":"David","non-dropping-particle":"","parse-names":false,"suffix":""},{"dropping-particle":"","family":"Kim","given":"Jaegil","non-dropping-particle":"","parse-names":false,"suffix":""},{"dropping-particle":"","family":"Jing","given":"Rui","non-dropping-particle":"","parse-names":false,"suffix":""},{"dropping-particle":"","family":"Lawrence","given":"Michael","non-dropping-particle":"","parse-names":false,"suffix":""},{"dropping-particle":"","family":"Lin","given":"Pei","non-dropping-particle":"","parse-names":false,"suffix":""},{"dropping-particle":"","family":"Mallard","given":"Will","non-dropping-particle":"","parse-names":false,"suffix":""},{"dropping-particle":"","family":"Onofrio","given":"Robert C.","non-dropping-particle":"","parse-names":false,"suffix":""},{"dropping-particle":"","family":"Saksena","given":"Gordon","non-dropping-particle":"","parse-names":false,"suffix":""},{"dropping-particle":"","family":"Schumacher","given":"Steve","non-dropping-particle":"","parse-names":false,"suffix":""},{"dropping-particle":"","family":"Stojanov","given":"Petar","non-dropping-particle":"","parse-names":false,"suffix":""},{"dropping-particle":"","family":"Tabak","given":"Barbara","non-dropping-particle":"","parse-names":false,"suffix":""},{"dropping-particle":"","family":"Voet","given":"Doug","non-dropping-particle":"","parse-names":false,"suffix":""},{"dropping-particle":"","family":"Zhang","given":"Hailei","non-dropping-particle":"","parse-names":false,"suffix":""},{"dropping-particle":"","family":"Dees","given":"Nathan N.","non-dropping-particle":"","parse-names":false,"suffix":""},{"dropping-particle":"","family":"Ding","given":"Li","non-dropping-particle":"","parse-names":false,"suffix":""},{"dropping-particle":"","family":"Fulton","given":"Lucinda L.","non-dropping-particle":"","parse-names":false,"suffix":""},{"dropping-particle":"","family":"Fulton","given":"Robert S.","non-dropping-particle":"","parse-names":false,"suffix":""},{"dropping-particle":"","family":"Kanchi","given":"Krishna Latha","non-dropping-particle":"","parse-names":false,"suffix":""},{"dropping-particle":"","family":"Mardis","given":"Elaine R.","non-dropping-particle":"","parse-names":false,"suffix":""},{"dropping-particle":"","family":"Wilson","given":"Richard K.","non-dropping-particle":"","parse-names":false,"suffix":""},{"dropping-particle":"","family":"Baylin","given":"Stephen B.","non-dropping-particle":"","parse-names":false,"suffix":""},{"dropping-particle":"","family":"Harshyne","given":"Larry","non-dropping-particle":"","parse-names":false,"suffix":""},{"dropping-particle":"","family":"Cohen","given":"Mark L.","non-dropping-particle":"","parse-names":false,"suffix":""},{"dropping-particle":"","family":"Devine","given":"Karen","non-dropping-particle":"","parse-names":false,"suffix":""},{"dropping-particle":"","family":"Sloan","given":"Andrew E.","non-dropping-particle":"","parse-names":false,"suffix":""},{"dropping-particle":"","family":"Berg","given":"Scott R.","non-dropping-particle":"Van Den","parse-names":false,"suffix":""},{"dropping-particle":"","family":"Berger","given":"Mitchel S.","non-dropping-particle":"","parse-names":false,"suffix":""},{"dropping-particle":"","family":"Carlin","given":"Daniel","non-dropping-particle":"","parse-names":false,"suffix":""},{"dropping-particle":"","family":"Craft","given":"Brian","non-dropping-particle":"","parse-names":false,"suffix":""},{"dropping-particle":"","family":"Ellrott","given":"Kyle","non-dropping-particle":"","parse-names":false,"suffix":""},{"dropping-particle":"","family":"Goldman","given":"Mary","non-dropping-particle":"","parse-names":false,"suffix":""},{"dropping-particle":"","family":"Goldstein","given":"Theodore","non-dropping-particle":"","parse-names":false,"suffix":""},{"dropping-particle":"","family":"Grifford","given":"Mia","non-dropping-particle":"","parse-names":false,"suffix":""},{"dropping-particle":"","family":"Ma","given":"Singer","non-dropping-particle":"","parse-names":false,"suffix":""},{"dropping-particle":"","family":"Ng","given":"Sam","non-dropping-particle":"","parse-names":false,"suffix":""},{"dropping-particle":"","family":"Stuart","given":"Joshua","non-dropping-particle":"","parse-names":false,"suffix":""},{"dropping-particle":"","family":"Swatloski","given":"Teresa","non-dropping-particle":"","parse-names":false,"suffix":""},{"dropping-particle":"","family":"Waltman","given":"Peter","non-dropping-particle":"","parse-names":false,"suffix":""},{"dropping-particle":"","family":"Zhu","given":"Jing","non-dropping-particle":"","parse-names":false,"suffix":""},{"dropping-particle":"","family":"Foss","given":"Robin","non-dropping-particle":"","parse-names":false,"suffix":""},{"dropping-particle":"","family":"Frentzen","given":"Barbara","non-dropping-particle":"","parse-names":false,"suffix":""},{"dropping-particle":"","family":"McTiernan","given":"Raquel","non-dropping-particle":"","parse-names":false,"suffix":""},{"dropping-particle":"","family":"Yachnis","given":"Anthony","non-dropping-particle":"","parse-names":false,"suffix":""},{"dropping-particle":"","family":"Mao","given":"Yong","non-dropping-particle":"","parse-names":false,"suffix":""},{"dropping-particle":"","family":"Akbani","given":"Rehan","non-dropping-particle":"","parse-names":false,"suffix":""},{"dropping-particle":"","family":"Bogler","given":"Oliver","non-dropping-particle":"","parse-names":false,"suffix":""},{"dropping-particle":"","family":"Fuller","given":"Gregory N.","non-dropping-particle":"","parse-names":false,"suffix":""},{"dropping-particle":"","family":"Liu","given":"Wenbin","non-dropping-particle":"","parse-names":false,"suffix":""},{"dropping-particle":"","family":"Liu","given":"Yuexin","non-dropping-particle":"","parse-names":false,"suffix":""},{"dropping-particle":"","family":"Lu","given":"Yiling","non-dropping-particle":"","parse-names":false,"suffix":""},{"dropping-particle":"","family":"Protopopov","given":"Alexei","non-dropping-particle":"","parse-names":false,"suffix":""},{"dropping-particle":"","family":"Ren","given":"Xiaojia","non-dropping-particle":"","parse-names":false,"suffix":""},{"dropping-particle":"","family":"Sun","given":"Youting","non-dropping-particle":"","parse-names":false,"suffix":""},{"dropping-particle":"","family":"Yung","given":"W. K.Alfred","non-dropping-particle":"","parse-names":false,"suffix":""},{"dropping-particle":"","family":"Zhang","given":"Jianhua","non-dropping-particle":"","parse-names":false,"suffix":""},{"dropping-particle":"","family":"Chen","given":"Ken","non-dropping-particle":"","parse-names":false,"suffix":""},{"dropping-particle":"","family":"Weinstein","given":"John N.","non-dropping-particle":"","parse-names":false,"suffix":""},{"dropping-particle":"","family":"Bootwalla","given":"Moiz S.","non-dropping-particle":"","parse-names":false,"suffix":""},{"dropping-particle":"","family":"Lai","given":"Phillip H.","non-dropping-particle":"","parse-names":false,"suffix":""},{"dropping-particle":"","family":"Triche","given":"Timothy J.","non-dropping-particle":"","parse-names":false,"suffix":""},{"dropping-particle":"","family":"Berg","given":"David J.","non-dropping-particle":"Van Den","parse-names":false,"suffix":""},{"dropping-particle":"","family":"Gutmann","given":"David H.","non-dropping-particle":"","parse-names":false,"suffix":""},{"dropping-particle":"","family":"Lehman","given":"Norman L.","non-dropping-particle":"","parse-names":false,"suffix":""},{"dropping-particle":"","family":"Brat","given":"Daniel","non-dropping-particle":"","parse-names":false,"suffix":""},{"dropping-particle":"","family":"Olson","given":"Jeffrey J.","non-dropping-particle":"","parse-names":false,"suffix":""},{"dropping-particle":"","family":"Mastrogianakis","given":"Gena M.","non-dropping-particle":"","parse-names":false,"suffix":""},{"dropping-particle":"","family":"Devi","given":"Narra S.","non-dropping-particle":"","parse-names":false,"suffix":""},{"dropping-particle":"","family":"Zhang","given":"Zhaobin","non-dropping-particle":"","parse-names":false,"suffix":""},{"dropping-particle":"","family":"Lipp","given":"Eric","non-dropping-particle":"","parse-names":false,"suffix":""},{"dropping-particle":"","family":"McLendon","given":"Roger","non-dropping-particle":"","parse-names":false,"suffix":""}],"container-title":"Cell","id":"ITEM-1","issue":"2","issued":{"date-parts":[["2013","10","10"]]},"page":"462","publisher":"Cell Press","title":"The somatic genomic landscape of glioblastoma","type":"article-journal","volume":"155"},"uris":["http://www.mendeley.com/documents/?uuid=7934a658-3437-333f-9dd9-6d686ba002f0"]}],"mendeley":{"formattedCitation":"&lt;sup&gt;145&lt;/sup&gt;","plainTextFormattedCitation":"145","previouslyFormattedCitation":"&lt;sup&gt;145&lt;/sup&gt;"},"properties":{"noteIndex":0},"schema":"https://github.com/citation-style-language/schema/raw/master/csl-citation.json"}</w:instrText>
      </w:r>
      <w:r w:rsidR="00E71CE3">
        <w:fldChar w:fldCharType="separate"/>
      </w:r>
      <w:r w:rsidR="00A47FB6" w:rsidRPr="00A47FB6">
        <w:rPr>
          <w:noProof/>
          <w:vertAlign w:val="superscript"/>
        </w:rPr>
        <w:t>145</w:t>
      </w:r>
      <w:r w:rsidR="00E71CE3">
        <w:fldChar w:fldCharType="end"/>
      </w:r>
      <w:r w:rsidR="00E71CE3">
        <w:t xml:space="preserve">. </w:t>
      </w:r>
      <w:r w:rsidR="001539D1">
        <w:t xml:space="preserve">Tato dráha hraje roli </w:t>
      </w:r>
      <w:r w:rsidR="00C4668D">
        <w:t xml:space="preserve">i </w:t>
      </w:r>
      <w:r w:rsidR="001539D1">
        <w:t xml:space="preserve">v motilitě buněk glioblastomu a </w:t>
      </w:r>
      <w:r w:rsidR="00C4668D">
        <w:t xml:space="preserve">cílená terapie </w:t>
      </w:r>
      <w:r w:rsidR="00BA5E18">
        <w:t>je doposud ve fázi testování</w:t>
      </w:r>
      <w:r w:rsidR="00C4668D">
        <w:fldChar w:fldCharType="begin" w:fldLock="1"/>
      </w:r>
      <w:r w:rsidR="00D745ED">
        <w:instrText>ADDIN CSL_CITATION {"citationItems":[{"id":"ITEM-1","itemData":{"DOI":"10.1371/journal.pone.0131670","ISSN":"1932-6203","abstract":"Glioblastoma multiforme (GBM) is the most common primary brain tumor and among the most difficult to treat malignancies per se. In almost 90% of all GBM alterations in the PI3K/Akt/mTOR have been found, making this survival cascade a promising therapeutic target, particular for combination therapy that combines an apoptosis sensitizer, such as a pharmacological inhibitor of PI3K, with an apoptosis inducer, such as radio- or chemotherapy. However, while in vitro data focusing mainly on established cell lines has appeared rather promising, this has not translated well to a clinical setting. In this study, we analyze the effects of the dual kinase inhibitor PI-103, which blocks PI3K and mTOR activity, on three matched pairs of GBM stem cells/differentiated cells. While blocking PI3K-mediated signaling has a profound effect on cellular proliferation, in contrast to data presented on two GBM cell lines (A172 and U87) PI-103 actually counteracts the effect of chemotherapy. While we found no indications for a potential role of the PI3K signaling cascade in differentiation, we saw a clear and strong contribution to cellular motility and, by extension, invasion. While blocking PI3K-mediated signaling concurrently with application of chemotherapy does not appear to be a valid treatment option, pharmacological inhibitors, such as PI-103, nevertheless have an important place in future therapeutic approaches.","author":[{"dropping-particle":"","family":"Ströbele","given":"Stephanie","non-dropping-particle":"","parse-names":false,"suffix":""},{"dropping-particle":"","family":"Schneider","given":"Matthias","non-dropping-particle":"","parse-names":false,"suffix":""},{"dropping-particle":"","family":"Schneele","given":"Lukas","non-dropping-particle":"","parse-names":false,"suffix":""},{"dropping-particle":"","family":"Siegelin","given":"Markus D.","non-dropping-particle":"","parse-names":false,"suffix":""},{"dropping-particle":"","family":"Nonnenmacher","given":"Lisa","non-dropping-particle":"","parse-names":false,"suffix":""},{"dropping-particle":"","family":"Zhou","given":"Shaoxia","non-dropping-particle":"","parse-names":false,"suffix":""},{"dropping-particle":"","family":"Karpel-Massle","given":"Georg","non-dropping-particle":"","parse-names":false,"suffix":""},{"dropping-particle":"","family":"Westhoff","given":"Mike-Andrew","non-dropping-particle":"","parse-names":false,"suffix":""},{"dropping-particle":"","family":"Halatsch","given":"Marc-Eric","non-dropping-particle":"","parse-names":false,"suffix":""},{"dropping-particle":"","family":"Debatin","given":"Klaus-Michael","non-dropping-particle":"","parse-names":false,"suffix":""}],"container-title":"PLOS ONE","editor":[{"dropping-particle":"","family":"Castresana","given":"Javier S","non-dropping-particle":"","parse-names":false,"suffix":""}],"id":"ITEM-1","issue":"6","issued":{"date-parts":[["2015","6","29"]]},"page":"e0131670","publisher":"Public Library of Science","title":"A Potential Role for the Inhibition of PI3K Signaling in Glioblastoma Therapy","type":"article-journal","volume":"10"},"uris":["http://www.mendeley.com/documents/?uuid=480e59ca-1581-396c-a7bf-c955d6ca2d24"]},{"id":"ITEM-2","itemData":{"DOI":"10.1038/s41389-017-0004-8","ISSN":"21579024","abstract":"The PI3K/Akt/mTOR signalling network is activated in almost 90% of all glioblastoma, the most common primary brain tumour, which is almost invariably lethal within 15 months of diagnosis. Despite intensive research, modulation of this signalling cascade has so far yielded little therapeutic benefit, suggesting that the role of the PI3K network as a pro-survival factor in glioblastoma and therefore a potential target in combination therapy should be re-evaluated. Therefore, we used two distinct pharmacological inhibitors that block signalling at different points of the cascade, namely, GDC-0941 (Pictilisib), a direct inhibitor of the near apical PI3K, and Rapamycin which blocks the side arm of the network that is regulated by mTOR complex 1. While both substances, at concentrations where they inhibit their primary target, have similar effects on proliferation and sensitisation for temozolomide-induced apoptosis, GDC-0941 appears to have a stronger effect on cellular motility than Rapamycin. In vivo GDC-0941 effectively retards growth of orthotopic transplanted human tumours in murine brains and significantly prolongs mouse survival. However, when looking at genetically identical cell populations that are in alternative states of differentiation, i.e. stem cell-like cells and their differentiated progeny, a more complex picture regarding the PI3K/Akt/mTOR pathway emerges. The pathway is differently regulated in the alternative cell populations and, while it contributes to the increased chemo-resistance of stem cell-like cells compared to differentiated cells, it only contributes to the motility of the latter. Our findings are the first to suggest that within a glioblastoma tumour the PI3K network can have distinct, cell-specific functions. These have to be carefully considered when incorporating inhibition of PI3K-mediated signals into complex combination therapies.","author":[{"dropping-particle":"","family":"Langhans","given":"Julia","non-dropping-particle":"","parse-names":false,"suffix":""},{"dropping-particle":"","family":"Schneele","given":"Lukas","non-dropping-particle":"","parse-names":false,"suffix":""},{"dropping-particle":"","family":"Trenkler","given":"Nancy","non-dropping-particle":"","parse-names":false,"suffix":""},{"dropping-particle":"","family":"Bandemer","given":"Hélène","non-dropping-particle":"Von","parse-names":false,"suffix":""},{"dropping-particle":"","family":"Nonnenmacher","given":"Lisa","non-dropping-particle":"","parse-names":false,"suffix":""},{"dropping-particle":"","family":"Karpel-Massler","given":"Georg","non-dropping-particle":"","parse-names":false,"suffix":""},{"dropping-particle":"","family":"Siegelin","given":"Markus D.","non-dropping-particle":"","parse-names":false,"suffix":""},{"dropping-particle":"","family":"Zhou","given":"Shaoxia","non-dropping-particle":"","parse-names":false,"suffix":""},{"dropping-particle":"","family":"Halatsch","given":"Marc Eric","non-dropping-particle":"","parse-names":false,"suffix":""},{"dropping-particle":"","family":"Debatin","given":"Klaus Michael","non-dropping-particle":"","parse-names":false,"suffix":""},{"dropping-particle":"","family":"Westhoff","given":"Mike Andrew","non-dropping-particle":"","parse-names":false,"suffix":""}],"container-title":"Oncogenesis","id":"ITEM-2","issue":"11","issued":{"date-parts":[["2017","11","1"]]},"publisher":"Nature Publishing Group","title":"The effects of PI3K-mediated signalling on glioblastoma cell behaviour","type":"article-journal","volume":"6"},"uris":["http://www.mendeley.com/documents/?uuid=f59643ae-b2c2-3339-97bc-510a36744cc4"]},{"id":"ITEM-3","itemData":{"DOI":"10.1186/s12943-017-0670-3","ISSN":"14764598","PMID":"28592260","abstract":"Glioblastoma multiforme (GBM) is the most common and aggressive malignant primary tumor in the central nervous system. One of the most widely used chemotherapeutic drugs for GBM is temozolomide, which is a DNA-alkylating agent and its efficacy is dependent on MGMT methylation status. Little progress in improving the prognosis of GBM patients has been made in the past ten years, urging the development of more effective molecular targeted therapies. Hyper-activation of the phosphatidylinositol 3-kinase (PI3K)/Akt pathway is frequently found in a variety of cancers including GBM, and it plays a central role in the regulation of tumor cell survival, growth, motility, angiogenesis and metabolism. Numerous PI3K inhibitors including pan-PI3K, isoform-selective and dual PI3K/mammalian target of rapamycin (mTOR) inhibitors have exhibited favorable preclinical results and entered clinical trials in a range of hematologic malignancies and solid tumors. Furthermore, combination of inhibitors targeting PI3K and other related pathways may exert synergism on suppressing tumor growth and improving patients' prognosis. Currently, only a handful of PI3K inhibitors are in phase I/II clinical trials for GBM treatment. In this review, we focus on the importance of PI3K/Akt pathway in GBM, and summarize the current development of PI3K inhibitors alone or in combination with other inhibitors for GBM treatment from preclinical to clinical studies.","author":[{"dropping-particle":"","family":"Zhao","given":"Hua fu","non-dropping-particle":"","parse-names":false,"suffix":""},{"dropping-particle":"","family":"Wang","given":"Jing","non-dropping-particle":"","parse-names":false,"suffix":""},{"dropping-particle":"","family":"Shao","given":"Wei","non-dropping-particle":"","parse-names":false,"suffix":""},{"dropping-particle":"","family":"Wu","given":"Chang peng","non-dropping-particle":"","parse-names":false,"suffix":""},{"dropping-particle":"","family":"Chen","given":"Zhong ping","non-dropping-particle":"","parse-names":false,"suffix":""},{"dropping-particle":"","family":"To","given":"Shing shun Tony","non-dropping-particle":"","parse-names":false,"suffix":""},{"dropping-particle":"","family":"Li","given":"Wei ping","non-dropping-particle":"","parse-names":false,"suffix":""}],"container-title":"Molecular Cancer","id":"ITEM-3","issue":"1","issued":{"date-parts":[["2017","6","7"]]},"page":"1-16","publisher":"BioMed Central Ltd.","title":"Recent advances in the use of PI3K inhibitors for glioblastoma multiforme: Current preclinical and clinical development","type":"article","volume":"16"},"uris":["http://www.mendeley.com/documents/?uuid=7f713d78-6e8f-3089-ac58-f4fe0a2fc7d7"]}],"mendeley":{"formattedCitation":"&lt;sup&gt;196–198&lt;/sup&gt;","plainTextFormattedCitation":"196–198","previouslyFormattedCitation":"&lt;sup&gt;196–198&lt;/sup&gt;"},"properties":{"noteIndex":0},"schema":"https://github.com/citation-style-language/schema/raw/master/csl-citation.json"}</w:instrText>
      </w:r>
      <w:r w:rsidR="00C4668D">
        <w:fldChar w:fldCharType="separate"/>
      </w:r>
      <w:r w:rsidR="00A47FB6" w:rsidRPr="00A47FB6">
        <w:rPr>
          <w:noProof/>
          <w:vertAlign w:val="superscript"/>
        </w:rPr>
        <w:t>196–198</w:t>
      </w:r>
      <w:r w:rsidR="00C4668D">
        <w:fldChar w:fldCharType="end"/>
      </w:r>
      <w:r w:rsidR="00C4668D">
        <w:t xml:space="preserve">. </w:t>
      </w:r>
    </w:p>
    <w:p w14:paraId="2007FCEC" w14:textId="6D7E9EDB" w:rsidR="00E71CE3" w:rsidRDefault="00E71CE3" w:rsidP="00EC4DAF">
      <w:pPr>
        <w:pStyle w:val="Odstavecseseznamem"/>
        <w:ind w:left="0"/>
        <w:jc w:val="both"/>
      </w:pPr>
    </w:p>
    <w:p w14:paraId="0A21328B" w14:textId="72C4F766" w:rsidR="00910F9B" w:rsidRDefault="00E71CE3" w:rsidP="00EC4DAF">
      <w:pPr>
        <w:pStyle w:val="Odstavecseseznamem"/>
        <w:ind w:left="0"/>
        <w:jc w:val="both"/>
      </w:pPr>
      <w:r>
        <w:t>Neovaskularizace je znakem gliálních nádorů vyššího gradu a práv</w:t>
      </w:r>
      <w:r w:rsidR="00FF2E44">
        <w:t>ě</w:t>
      </w:r>
      <w:r>
        <w:t xml:space="preserve"> angiogenní faktory hrají důležitou roli v malignitě nádoru. Právě </w:t>
      </w:r>
      <w:r w:rsidRPr="003B3359">
        <w:t>VEGFR</w:t>
      </w:r>
      <w:r>
        <w:t xml:space="preserve"> (receptor vaskulárního endoteliálního růstového faktoru) je hlavním faktorem angiogeneze a je sledován </w:t>
      </w:r>
      <w:r w:rsidR="006243FC">
        <w:t>u</w:t>
      </w:r>
      <w:r w:rsidR="00037E2D">
        <w:t> </w:t>
      </w:r>
      <w:r>
        <w:t>64 % glioblastomů</w:t>
      </w:r>
      <w:r w:rsidR="00037E2D">
        <w:t xml:space="preserve">. </w:t>
      </w:r>
      <w:r w:rsidR="00983F83">
        <w:t xml:space="preserve">VEGFR se jeví jako potencionální prognostický faktor, kdy byla nalezena silná korelace mezi </w:t>
      </w:r>
      <w:r w:rsidR="006243FC">
        <w:t xml:space="preserve">expresí </w:t>
      </w:r>
      <w:r w:rsidR="00983F83">
        <w:t>VEGFR a přežitím</w:t>
      </w:r>
      <w:r w:rsidR="00983F83">
        <w:fldChar w:fldCharType="begin" w:fldLock="1"/>
      </w:r>
      <w:r w:rsidR="00D745ED">
        <w:instrText>ADDIN CSL_CITATION {"citationItems":[{"id":"ITEM-1","itemData":{"DOI":"10.3892/or.2020.7553","ISSN":"17912431","PMID":"32236632","abstract":"The anti-vascular endothelial growth factor-A (VEGF-A) monoclonal antibody (mAb) bevacizumab is an FDA-approved monotherapy for the treatment of recurrent glioblastoma (GB), a highly angiogenic and infiltrative tumour. However, bevacizumab does not increase overall survival and blockade of VEGF-A/VEGF receptor (VEGFR)-2 signal transduction is associated with severe adverse effects due to inhibition of physiological angiogenesis. Conversely, VEGFR-1 does not play a relevant role in physiological angiogenesis in the adult. VEGFR-1 is activated by both VEGF-A and placenta growth factor (PlGF), a protein involved in tumour growth and progression. In previous studies, it was demonstrated that inhibition of VEGFR-1 using a specific mAb developed in our laboratories reduced angiogenesis and GB cell chemotaxis and increased the survival of tumour-bearing mice. Failure of treatments directed toward the VEGF-A/VEGFR-2 axis could in part be due to inefficient targeting of the tumour microenvironment. In the present study, VEGFR-1 expression was investigated in GB-associated microglia/macrophages (GAMs) by analysing surgical specimens collected from 42 patients with GB. Data obtained from The Cancer Genome Atlas (TCGA) database revealed that upregulation of the VEGFR-1 ligands VEGF-A and PlGF was associated with a significant reduction in overall survival for patients with GB, highlighting the potential relevance of this receptor in the aggressiveness of GB. Immunohistochemical analysis indicated that VEGFR-1 is expressed not only in GB tissue but also in GAMs. Furthermore, the percentage of VEGFR-1-positive GAMs was significantly higher in the tumour region compared with that noted in the surrounding parenchyma. Thus, VEGFR-1 represents a potential therapeutic target for the treatment of GB, being present not only in GB and endothelial cells, but also in GAMs that are involved in tumour progression.","author":[{"dropping-particle":"","family":"Lisi","given":"Lucia","non-dropping-particle":"","parse-names":false,"suffix":""},{"dropping-particle":"","family":"Ciotti","given":"Gabriella Maria Pia","non-dropping-particle":"","parse-names":false,"suffix":""},{"dropping-particle":"","family":"Chiavari","given":"Marta","non-dropping-particle":"","parse-names":false,"suffix":""},{"dropping-particle":"","family":"Ruffini","given":"Federica","non-dropping-particle":"","parse-names":false,"suffix":""},{"dropping-particle":"","family":"Lacal","given":"Pedro M.","non-dropping-particle":"","parse-names":false,"suffix":""},{"dropping-particle":"","family":"Graziani","given":"Grazia","non-dropping-particle":"","parse-names":false,"suffix":""},{"dropping-particle":"","family":"Navarra","given":"Pierluigi","non-dropping-particle":"","parse-names":false,"suffix":""}],"container-title":"Oncology Reports","id":"ITEM-1","issue":"6","issued":{"date-parts":[["2020","6","1"]]},"page":"2083-2092","publisher":"Spandidos Publications","title":"Vascular endothelial growth factor receptor 1 in glioblastoma-associated microglia/macrophages","type":"article-journal","volume":"43"},"uris":["http://www.mendeley.com/documents/?uuid=715e0cc1-b9ef-316f-b879-57db8fc41619"]}],"mendeley":{"formattedCitation":"&lt;sup&gt;199&lt;/sup&gt;","plainTextFormattedCitation":"199","previouslyFormattedCitation":"&lt;sup&gt;199&lt;/sup&gt;"},"properties":{"noteIndex":0},"schema":"https://github.com/citation-style-language/schema/raw/master/csl-citation.json"}</w:instrText>
      </w:r>
      <w:r w:rsidR="00983F83">
        <w:fldChar w:fldCharType="separate"/>
      </w:r>
      <w:r w:rsidR="00A47FB6" w:rsidRPr="00A47FB6">
        <w:rPr>
          <w:noProof/>
          <w:vertAlign w:val="superscript"/>
        </w:rPr>
        <w:t>199</w:t>
      </w:r>
      <w:r w:rsidR="00983F83">
        <w:fldChar w:fldCharType="end"/>
      </w:r>
      <w:r w:rsidR="00910F9B">
        <w:t>.</w:t>
      </w:r>
    </w:p>
    <w:p w14:paraId="32A4034E" w14:textId="77777777" w:rsidR="00910F9B" w:rsidRDefault="00910F9B" w:rsidP="00EC4DAF">
      <w:pPr>
        <w:pStyle w:val="Odstavecseseznamem"/>
        <w:ind w:left="0"/>
        <w:jc w:val="both"/>
      </w:pPr>
    </w:p>
    <w:p w14:paraId="716105F7" w14:textId="0953EA7C" w:rsidR="00BA5E18" w:rsidRDefault="00910F9B" w:rsidP="00EC4DAF">
      <w:pPr>
        <w:pStyle w:val="Odstavecseseznamem"/>
        <w:ind w:left="0"/>
        <w:jc w:val="both"/>
      </w:pPr>
      <w:r>
        <w:t>BRAF je serin/threonin kináza, která je označena jako proto onkogen a skrz dráhu MAPK (mitogen activated protein)</w:t>
      </w:r>
      <w:r w:rsidRPr="008A71DD">
        <w:t xml:space="preserve"> </w:t>
      </w:r>
      <w:r>
        <w:t>kináz hraje roli v tumorigenezi velkého množství nádorů včetně gliomů</w:t>
      </w:r>
      <w:r>
        <w:fldChar w:fldCharType="begin" w:fldLock="1"/>
      </w:r>
      <w:r w:rsidR="00D745ED">
        <w:instrText>ADDIN CSL_CITATION {"citationItems":[{"id":"ITEM-1","itemData":{"DOI":"10.1093/neuonc/not146","ISSN":"15228517","PMID":"24311634","author":[{"dropping-particle":"","family":"Dahiya","given":"Sonika","non-dropping-particle":"","parse-names":false,"suffix":""},{"dropping-particle":"","family":"Emnett","given":"Ryan J.","non-dropping-particle":"","parse-names":false,"suffix":""},{"dropping-particle":"","family":"Haydon","given":"Devon H.","non-dropping-particle":"","parse-names":false,"suffix":""},{"dropping-particle":"","family":"Leonard","given":"Jeffrey R.","non-dropping-particle":"","parse-names":false,"suffix":""},{"dropping-particle":"","family":"Phillips","given":"Joanna J.","non-dropping-particle":"","parse-names":false,"suffix":""},{"dropping-particle":"","family":"Perry","given":"Arie","non-dropping-particle":"","parse-names":false,"suffix":""},{"dropping-particle":"","family":"Gutmann","given":"David H.","non-dropping-particle":"","parse-names":false,"suffix":""}],"container-title":"Neuro-Oncology","id":"ITEM-1","issue":"2","issued":{"date-parts":[["2014","1"]]},"page":"318-319","publisher":"Neuro Oncol","title":"BRAF-V600E mutation in pediatric and adult glioblastoma","type":"article","volume":"16"},"uris":["http://www.mendeley.com/documents/?uuid=092928fc-a88a-323f-a64e-25e8bc4d8783"]}],"mendeley":{"formattedCitation":"&lt;sup&gt;200&lt;/sup&gt;","plainTextFormattedCitation":"200","previouslyFormattedCitation":"&lt;sup&gt;200&lt;/sup&gt;"},"properties":{"noteIndex":0},"schema":"https://github.com/citation-style-language/schema/raw/master/csl-citation.json"}</w:instrText>
      </w:r>
      <w:r>
        <w:fldChar w:fldCharType="separate"/>
      </w:r>
      <w:r w:rsidR="00A47FB6" w:rsidRPr="00A47FB6">
        <w:rPr>
          <w:noProof/>
          <w:vertAlign w:val="superscript"/>
        </w:rPr>
        <w:t>200</w:t>
      </w:r>
      <w:r>
        <w:fldChar w:fldCharType="end"/>
      </w:r>
      <w:r>
        <w:t xml:space="preserve">. </w:t>
      </w:r>
      <w:r w:rsidR="00F11876" w:rsidRPr="003B3359">
        <w:t xml:space="preserve">Mutace </w:t>
      </w:r>
      <w:r w:rsidR="00F11876" w:rsidRPr="003B3359">
        <w:rPr>
          <w:i/>
          <w:iCs/>
        </w:rPr>
        <w:t xml:space="preserve">BRAF </w:t>
      </w:r>
      <w:r w:rsidR="00F11876" w:rsidRPr="003B3359">
        <w:t>V600E</w:t>
      </w:r>
      <w:r w:rsidR="00F11876">
        <w:t xml:space="preserve"> bodová mutace s v</w:t>
      </w:r>
      <w:r w:rsidR="00FF2E44">
        <w:t>ý</w:t>
      </w:r>
      <w:r w:rsidR="00F11876">
        <w:t>skyt</w:t>
      </w:r>
      <w:r w:rsidR="00FF2E44">
        <w:t>em</w:t>
      </w:r>
      <w:r w:rsidR="00F11876">
        <w:t xml:space="preserve"> napříč gliálními nádory</w:t>
      </w:r>
      <w:r w:rsidR="00F11876">
        <w:fldChar w:fldCharType="begin" w:fldLock="1"/>
      </w:r>
      <w:r w:rsidR="00D745ED">
        <w:instrText>ADDIN CSL_CITATION {"citationItems":[{"id":"ITEM-1","itemData":{"DOI":"10.1093/neuonc/noq007","ISSN":"15228517","PMID":"20156809","abstract":"In the present study, DNA from 27 grade I and grade II pediatric gliomas, including ganglioglioma, desmoplastic infantile ganglioglioma, dysembryoplastic neuroepithelial tumor, and pleomorphic xanthoastrocytoma was analyzed using the Illumina 610K Beadchip SNPbased oligonucleotide array. Several consistent abnormalities, including gain of chromosome 7 and loss of 9p21 were observed. Based on our previous studies, in which we demonstrated BRAF mutations in 3 gangliogliomas, 31 tumors were screened for activating mutations in exons 11 and 15 of the BRAF oncogene or a KIAA1549-BRAF fusion product. There were no cases with a KIAA1549-BRAF fusion. A BRAF V600E mutation was detected in 14 of 31 tumors, which was not correlated with any consistent pattern of aberrations detected by the SNP array analysis. Tumors were also screened for mutations in codon 132 in exon 4 of IDH1, exons 2 and 3 of KRAS, and exons 2-9 of TP53. No mutations in KRAS or TP53 were identified in any of the samples, and there was only 1 IDH1 R132H mutation detected among the sample set. BRAF mutations constitute a major genetic alteration in this histologic group of pediatric brain tumors and may serve as a molecular target for biologically based inhibitors. © The Author(s) 2010.","author":[{"dropping-particle":"","family":"Dougherty","given":"Margaret J.","non-dropping-particle":"","parse-names":false,"suffix":""},{"dropping-particle":"","family":"Santi","given":"Mariarita","non-dropping-particle":"","parse-names":false,"suffix":""},{"dropping-particle":"","family":"Brose","given":"Marcia S.","non-dropping-particle":"","parse-names":false,"suffix":""},{"dropping-particle":"","family":"Ma","given":"Changqing","non-dropping-particle":"","parse-names":false,"suffix":""},{"dropping-particle":"","family":"Resnick","given":"Adam C.","non-dropping-particle":"","parse-names":false,"suffix":""},{"dropping-particle":"","family":"Sievert","given":"Angela J.","non-dropping-particle":"","parse-names":false,"suffix":""},{"dropping-particle":"","family":"Storm","given":"Phillip B.","non-dropping-particle":"","parse-names":false,"suffix":""},{"dropping-particle":"","family":"Biegel","given":"Jaclyn A.","non-dropping-particle":"","parse-names":false,"suffix":""}],"container-title":"Neuro-Oncology","id":"ITEM-1","issue":"7","issued":{"date-parts":[["2010","7"]]},"page":"621-630","publisher":"Neuro Oncol","title":"Activating mutations in BRAF characterize a spectrum of pediatric low-grade gliomas","type":"article-journal","volume":"12"},"uris":["http://www.mendeley.com/documents/?uuid=f613da3b-5fe2-3eb9-b5ae-3bd477d5232a"]},{"id":"ITEM-2","itemData":{"DOI":"10.1007/s00401-011-0802-6","ISSN":"00016322","PMID":"21274720","abstract":"Missense mutations of the V600E type constitute the vast majority of tumor-associated somatic alterations in the v-RAF murine sarcoma viral oncogene homolog B1 (BRAF) gene. Initially described in melanoma, colon and papillary thyroid carcinoma, these alterations have also been observed in primary nervous system tumors albeit at a low frequency. We analyzed exon 15 of BRAF spanning the V600 locus by direct sequencing in 1,320 adult and pediatric tumors of the nervous system including various types of glial, embryonal, neuronal and glioneuro-nal, meningeal, adenohypophyseal/sellar, and peripheral nervous system tumors. A total of 96 BRAF mutations were detected; 93 of the V600E type and 3 cases with a three base pair insertion between codons 599 and 600. The highest frequencies of BRAFV600E mutations were found in WHO grade II pleomorphic xanthoastrocytomas (42/64; 66%) and pleomorphic xanthoastrocytomas with anaplasia (15/23; 65%), as well as WHO grade I gangliogliomas (14/77; 18%), WHO grade III anaplastic gangliogliomas (3/6) and pilocytic astrocytomas (9/97; 9%). In pilocytic astrocyto-mas BRAFV600E mutation was strongly associated with extra-cerebellar location (p = 0.009) and was most frequent in diencephalic tumors (4/12; 33%). Glioblastomas and other gliomas were characterized by a low frequency or absence of mutations. No mutations were detected in non-glial tumors, including embryonal tumors, meningiomas, nerve sheath tumors and pituitary adenomas. The high mutation frequencies in pleomorphic xanthoastrocytomas, gangliogliomas and extra-cerebellar pilocytic astrocytomas implicate BRAFV600E mutation as a valuable diagnostic marker for these rare tumor entities. Future clinical trials should address whether BRAFV600E mutant brain tumor patients will benefit from BRAFV600E-directed targeted therapies. © Springer-Verlag 2011.","author":[{"dropping-particle":"","family":"Schindler","given":"Genevieve","non-dropping-particle":"","parse-names":false,"suffix":""},{"dropping-particle":"","family":"Capper","given":"David","non-dropping-particle":"","parse-names":false,"suffix":""},{"dropping-particle":"","family":"Meyer","given":"Jochen","non-dropping-particle":"","parse-names":false,"suffix":""},{"dropping-particle":"","family":"Janzarik","given":"Wibke","non-dropping-particle":"","parse-names":false,"suffix":""},{"dropping-particle":"","family":"Omran","given":"Heymut","non-dropping-particle":"","parse-names":false,"suffix":""},{"dropping-particle":"","family":"Herold-Mende","given":"Christel","non-dropping-particle":"","parse-names":false,"suffix":""},{"dropping-particle":"","family":"Schmieder","given":"Kirsten","non-dropping-particle":"","parse-names":false,"suffix":""},{"dropping-particle":"","family":"Wesseling","given":"Pieter","non-dropping-particle":"","parse-names":false,"suffix":""},{"dropping-particle":"","family":"Mawrin","given":"Christian","non-dropping-particle":"","parse-names":false,"suffix":""},{"dropping-particle":"","family":"Hasselblatt","given":"Martin","non-dropping-particle":"","parse-names":false,"suffix":""},{"dropping-particle":"","family":"Louis","given":"David N.","non-dropping-particle":"","parse-names":false,"suffix":""},{"dropping-particle":"","family":"Korshunov","given":"Andrey","non-dropping-particle":"","parse-names":false,"suffix":""},{"dropping-particle":"","family":"Pfister","given":"Stefan","non-dropping-particle":"","parse-names":false,"suffix":""},{"dropping-particle":"","family":"Hartmann","given":"Christian","non-dropping-particle":"","parse-names":false,"suffix":""},{"dropping-particle":"","family":"Paulus","given":"Werner","non-dropping-particle":"","parse-names":false,"suffix":""},{"dropping-particle":"","family":"Reifenberger","given":"Guido","non-dropping-particle":"","parse-names":false,"suffix":""},{"dropping-particle":"","family":"Deimling","given":"Andreas","non-dropping-particle":"Von","parse-names":false,"suffix":""}],"container-title":"Acta Neuropathologica","id":"ITEM-2","issue":"3","issued":{"date-parts":[["2011","3"]]},"page":"397-405","publisher":"Acta Neuropathol","title":"Analysis of BRAF V600E mutation in 1,320 nervous system tumors reveals high mutation frequencies in pleomorphic xanthoastrocytoma, ganglioglioma and extra-cerebellar pilocytic astrocytoma","type":"article-journal","volume":"121"},"uris":["http://www.mendeley.com/documents/?uuid=7fcc072f-287f-3e93-aad4-8d7938f50fec"]}],"mendeley":{"formattedCitation":"&lt;sup&gt;201,202&lt;/sup&gt;","plainTextFormattedCitation":"201,202","previouslyFormattedCitation":"&lt;sup&gt;201,202&lt;/sup&gt;"},"properties":{"noteIndex":0},"schema":"https://github.com/citation-style-language/schema/raw/master/csl-citation.json"}</w:instrText>
      </w:r>
      <w:r w:rsidR="00F11876">
        <w:fldChar w:fldCharType="separate"/>
      </w:r>
      <w:r w:rsidR="00A47FB6" w:rsidRPr="00A47FB6">
        <w:rPr>
          <w:noProof/>
          <w:vertAlign w:val="superscript"/>
        </w:rPr>
        <w:t>201,202</w:t>
      </w:r>
      <w:r w:rsidR="00F11876">
        <w:fldChar w:fldCharType="end"/>
      </w:r>
      <w:r w:rsidR="00F11876">
        <w:t>. U pediatrických nádorů je spojován s rekurencí po standardní terapii</w:t>
      </w:r>
      <w:r w:rsidR="00F11876">
        <w:fldChar w:fldCharType="begin" w:fldLock="1"/>
      </w:r>
      <w:r w:rsidR="00D745ED">
        <w:instrText>ADDIN CSL_CITATION {"citationItems":[{"id":"ITEM-1","itemData":{"DOI":"10.1200/JCO.2016.71.8726","ISSN":"15277755","PMID":"28727518","abstract":"Purpose: BRAF V600E is a potentially highly targetable mutation detected in a subset of pediatric low-grade gliomas (PLGGs). Its biologic and clinical effect within this diverse group of tumors remains unknown. Patients and Methods: A combined clinical and genetic institutional study of patients with PLGGs with long-term follow-up was performed (N = 510). Clinical and treatment data of patients with BRAF V600E mutated PLGG (n = 99) were compared with a large international independent cohort of patients with BRAF V600E mutated-PLGG (n = 180). Results: BRAF V600E mutation was detected in 69 of 405 patients (17%) with PLGG across a broad spectrum of histologies and sites, including midline locations, which are not often routinely biopsied in clinical practice. Patients with BRAF V600E PLGG exhibited poor outcomes after chemotherapy and radiation therapies that resulted in a 10-year progression-free survival of 27% (95% CI, 12.1% to 41.9%) and 60.2% (95% CI, 53.3% to 67.1%) for BRAF V600E and wild-type PLGG, respectively (P &lt; .001). Additional multivariable clinical and molecular stratification revealed that the extent of resection and CDKN2A deletion contributed independently to poor outcome in BRAF V600E PLGG. A similar independent role for CDKN2A and resection on outcome were observed in the independent cohort. Quantitative imaging analysis revealed progressive disease and a lack of response to conventional chemotherapy in most patients with BRAF V600E PLGG. Conclusion: BRAF V600E PLGG constitutes a distinct entity with poor prognosis when treated with current adjuvant therapy.","author":[{"dropping-particle":"","family":"Lassaletta","given":"Alvaro","non-dropping-particle":"","parse-names":false,"suffix":""},{"dropping-particle":"","family":"Zapotocky","given":"Michal","non-dropping-particle":"","parse-names":false,"suffix":""},{"dropping-particle":"","family":"Mistry","given":"Matthew","non-dropping-particle":"","parse-names":false,"suffix":""},{"dropping-particle":"","family":"Ramaswamy","given":"Vijay","non-dropping-particle":"","parse-names":false,"suffix":""},{"dropping-particle":"","family":"Honnorat","given":"Marion","non-dropping-particle":"","parse-names":false,"suffix":""},{"dropping-particle":"","family":"Krishnatry","given":"Rahul","non-dropping-particle":"","parse-names":false,"suffix":""},{"dropping-particle":"","family":"Stucklin","given":"Ana Guerreiro","non-dropping-particle":"","parse-names":false,"suffix":""},{"dropping-particle":"","family":"Zhukova","given":"Nataliya","non-dropping-particle":"","parse-names":false,"suffix":""},{"dropping-particle":"","family":"Arnoldo","given":"Anthony","non-dropping-particle":"","parse-names":false,"suffix":""},{"dropping-particle":"","family":"Ryall","given":"Scott","non-dropping-particle":"","parse-names":false,"suffix":""},{"dropping-particle":"","family":"Ling","given":"Catriona","non-dropping-particle":"","parse-names":false,"suffix":""},{"dropping-particle":"","family":"McKeown","given":"Tara","non-dropping-particle":"","parse-names":false,"suffix":""},{"dropping-particle":"","family":"Loukides","given":"Jim","non-dropping-particle":"","parse-names":false,"suffix":""},{"dropping-particle":"","family":"Cruz","given":"Ofelia","non-dropping-particle":"","parse-names":false,"suffix":""},{"dropping-particle":"","family":"Torres","given":"Carmen","non-dropping-particle":"De","parse-names":false,"suffix":""},{"dropping-particle":"","family":"Ho","given":"Cheng Ying","non-dropping-particle":"","parse-names":false,"suffix":""},{"dropping-particle":"","family":"Packer","given":"Roger J.","non-dropping-particle":"","parse-names":false,"suffix":""},{"dropping-particle":"","family":"Tatevossian","given":"Ruth","non-dropping-particle":"","parse-names":false,"suffix":""},{"dropping-particle":"","family":"Qaddoumi","given":"Ibrahim","non-dropping-particle":"","parse-names":false,"suffix":""},{"dropping-particle":"","family":"Harreld","given":"Julie H.","non-dropping-particle":"","parse-names":false,"suffix":""},{"dropping-particle":"","family":"Dalton","given":"James D.","non-dropping-particle":"","parse-names":false,"suffix":""},{"dropping-particle":"","family":"Mulcahy-Levy","given":"Jean","non-dropping-particle":"","parse-names":false,"suffix":""},{"dropping-particle":"","family":"Foreman","given":"Nicholas","non-dropping-particle":"","parse-names":false,"suffix":""},{"dropping-particle":"","family":"Karajannis","given":"Matthias A.","non-dropping-particle":"","parse-names":false,"suffix":""},{"dropping-particle":"","family":"Wang","given":"Shiyang","non-dropping-particle":"","parse-names":false,"suffix":""},{"dropping-particle":"","family":"Snuderl","given":"Matija","non-dropping-particle":"","parse-names":false,"suffix":""},{"dropping-particle":"","family":"Rao","given":"Amulya Nageswara","non-dropping-particle":"","parse-names":false,"suffix":""},{"dropping-particle":"","family":"Giannini","given":"Caterina","non-dropping-particle":"","parse-names":false,"suffix":""},{"dropping-particle":"","family":"Kieran","given":"Mark","non-dropping-particle":"","parse-names":false,"suffix":""},{"dropping-particle":"","family":"Ligon","given":"Keith L.","non-dropping-particle":"","parse-names":false,"suffix":""},{"dropping-particle":"","family":"Garre","given":"Maria Luisa","non-dropping-particle":"","parse-names":false,"suffix":""},{"dropping-particle":"","family":"Nozza","given":"Paolo","non-dropping-particle":"","parse-names":false,"suffix":""},{"dropping-particle":"","family":"Mascelli","given":"Samantha","non-dropping-particle":"","parse-names":false,"suffix":""},{"dropping-particle":"","family":"Raso","given":"Alessandro","non-dropping-particle":"","parse-names":false,"suffix":""},{"dropping-particle":"","family":"Mueller","given":"Sabine","non-dropping-particle":"","parse-names":false,"suffix":""},{"dropping-particle":"","family":"Nicolaides","given":"Theodore","non-dropping-particle":"","parse-names":false,"suffix":""},{"dropping-particle":"","family":"Silva","given":"Karen","non-dropping-particle":"","parse-names":false,"suffix":""},{"dropping-particle":"","family":"Perbet","given":"Romain","non-dropping-particle":"","parse-names":false,"suffix":""},{"dropping-particle":"","family":"Vasiljevic","given":"Alexandre","non-dropping-particle":"","parse-names":false,"suffix":""},{"dropping-particle":"","family":"Conter","given":"Cécile Faure","non-dropping-particle":"","parse-names":false,"suffix":""},{"dropping-particle":"","family":"Frappaz","given":"Didier","non-dropping-particle":"","parse-names":false,"suffix":""},{"dropping-particle":"","family":"Leary","given":"Sarah","non-dropping-particle":"","parse-names":false,"suffix":""},{"dropping-particle":"","family":"Crane","given":"Courtney","non-dropping-particle":"","parse-names":false,"suffix":""},{"dropping-particle":"","family":"Chan","given":"Aden","non-dropping-particle":"","parse-names":false,"suffix":""},{"dropping-particle":"","family":"Ng","given":"Ho Keung","non-dropping-particle":"","parse-names":false,"suffix":""},{"dropping-particle":"","family":"Shi","given":"Zhi Feng","non-dropping-particle":"","parse-names":false,"suffix":""},{"dropping-particle":"","family":"Mao","given":"Ying","non-dropping-particle":"","parse-names":false,"suffix":""},{"dropping-particle":"","family":"Finch","given":"Elizabeth","non-dropping-particle":"","parse-names":false,"suffix":""},{"dropping-particle":"","family":"Eisenstat","given":"David","non-dropping-particle":"","parse-names":false,"suffix":""},{"dropping-particle":"","family":"Wilson","given":"Bev","non-dropping-particle":"","parse-names":false,"suffix":""},{"dropping-particle":"","family":"Carret","given":"Anne Sophie","non-dropping-particle":"","parse-names":false,"suffix":""},{"dropping-particle":"","family":"Hauser","given":"Peter","non-dropping-particle":"","parse-names":false,"suffix":""},{"dropping-particle":"","family":"Sumerauer","given":"David","non-dropping-particle":"","parse-names":false,"suffix":""},{"dropping-particle":"","family":"Krskova","given":"Lenka","non-dropping-particle":"","parse-names":false,"suffix":""},{"dropping-particle":"","family":"Larouche","given":"Valerie","non-dropping-particle":"","parse-names":false,"suffix":""},{"dropping-particle":"","family":"Fleming","given":"Adam","non-dropping-particle":"","parse-names":false,"suffix":""},{"dropping-particle":"","family":"Zelcer","given":"Shayna","non-dropping-particle":"","parse-names":false,"suffix":""},{"dropping-particle":"","family":"Jabado","given":"Nada","non-dropping-particle":"","parse-names":false,"suffix":""},{"dropping-particle":"","family":"Rutka","given":"James T.","non-dropping-particle":"","parse-names":false,"suffix":""},{"dropping-particle":"","family":"Dirks","given":"Peter","non-dropping-particle":"","parse-names":false,"suffix":""},{"dropping-particle":"","family":"Taylor","given":"Michael D.","non-dropping-particle":"","parse-names":false,"suffix":""},{"dropping-particle":"","family":"Chen","given":"Shiyi","non-dropping-particle":"","parse-names":false,"suffix":""},{"dropping-particle":"","family":"Bartels","given":"Ute","non-dropping-particle":"","parse-names":false,"suffix":""},{"dropping-particle":"","family":"Huang","given":"Annie","non-dropping-particle":"","parse-names":false,"suffix":""},{"dropping-particle":"","family":"Ellison","given":"David W.","non-dropping-particle":"","parse-names":false,"suffix":""},{"dropping-particle":"","family":"Bouffet","given":"Eric","non-dropping-particle":"","parse-names":false,"suffix":""},{"dropping-particle":"","family":"Hawkins","given":"Cynthia","non-dropping-particle":"","parse-names":false,"suffix":""},{"dropping-particle":"","family":"Tabori","given":"Uri","non-dropping-particle":"","parse-names":false,"suffix":""}],"container-title":"Journal of Clinical Oncology","id":"ITEM-1","issue":"25","issued":{"date-parts":[["2017","9","1"]]},"page":"2934-2941","publisher":"American Society of Clinical Oncology","title":"Therapeutic and prognostic implications of BRAF V600E in pediatric low-grade gliomas","type":"article-journal","volume":"35"},"uris":["http://www.mendeley.com/documents/?uuid=91b2bc88-29ba-3d21-a603-6cfe5aa9e30a"]}],"mendeley":{"formattedCitation":"&lt;sup&gt;203&lt;/sup&gt;","plainTextFormattedCitation":"203","previouslyFormattedCitation":"&lt;sup&gt;203&lt;/sup&gt;"},"properties":{"noteIndex":0},"schema":"https://github.com/citation-style-language/schema/raw/master/csl-citation.json"}</w:instrText>
      </w:r>
      <w:r w:rsidR="00F11876">
        <w:fldChar w:fldCharType="separate"/>
      </w:r>
      <w:r w:rsidR="00A47FB6" w:rsidRPr="00A47FB6">
        <w:rPr>
          <w:noProof/>
          <w:vertAlign w:val="superscript"/>
        </w:rPr>
        <w:t>203</w:t>
      </w:r>
      <w:r w:rsidR="00F11876">
        <w:fldChar w:fldCharType="end"/>
      </w:r>
      <w:r w:rsidR="00FF2E44">
        <w:t xml:space="preserve">. Další známá aberace </w:t>
      </w:r>
      <w:r w:rsidR="00FF2E44" w:rsidRPr="006243FC">
        <w:rPr>
          <w:i/>
          <w:iCs/>
        </w:rPr>
        <w:t>BRAF</w:t>
      </w:r>
      <w:r w:rsidR="00FF2E44">
        <w:t xml:space="preserve"> je vznik fúzního genu s </w:t>
      </w:r>
      <w:r w:rsidR="00FF2E44" w:rsidRPr="00FF2E44">
        <w:rPr>
          <w:i/>
          <w:iCs/>
        </w:rPr>
        <w:t>KIAA1549</w:t>
      </w:r>
      <w:r w:rsidR="00FF2E44">
        <w:t>, který je pozorován u 60-80 % sporadického pilocytárního astrocytomu</w:t>
      </w:r>
      <w:r w:rsidR="00FF2E44">
        <w:fldChar w:fldCharType="begin" w:fldLock="1"/>
      </w:r>
      <w:r w:rsidR="00D745ED">
        <w:instrText xml:space="preserve">ADDIN CSL_CITATION {"citationItems":[{"id":"ITEM-1","itemData":{"DOI":"10.1158/0008-5472.CAN-08-2097","ISSN":"00085472","PMID":"18974108","abstract":"Brain tumors are the most common solid tumors of childhood, and pilocytic astrocytomas (PA) are the most common central nervous system tumor in 5 to 19 year olds. Little is known about the genetic alterations underlying their development. Here, we describe a tandem duplication of </w:instrText>
      </w:r>
      <w:r w:rsidR="00D745ED">
        <w:rPr>
          <w:rFonts w:ascii="Cambria Math" w:hAnsi="Cambria Math" w:cs="Cambria Math"/>
        </w:rPr>
        <w:instrText>∼</w:instrText>
      </w:r>
      <w:r w:rsidR="00D745ED">
        <w:instrText>2 Mbat 7q34 occurring in 66% of PAs. This rearrangement, which was not observed in a series of 244 higher-grade astrocytomas, results in an in-frame fusion gene incorporating the kinase domain of the BRAF oncogene. We further show that the resulting fusion protein has constitutive BRAF kinase activity and is able to transform NIH3T3 cells. This is the first report of BRAF activation through rearrangement as a frequent feature in a sporadic tumor. The frequency and specificity of this change underline its potential both as a therapeutic target and as a diagnostic tool. ©2008 American Association for Cancer Research.","author":[{"dropping-particle":"","family":"Jones","given":"David T.W.","non-dropping-particle":"","parse-names":false,"suffix":""},{"dropping-particle":"","family":"Kocialkowski","given":"Sylvia","non-dropping-particle":"","parse-names":false,"suffix":""},{"dropping-particle":"","family":"Liu","given":"Lu","non-dropping-particle":"","parse-names":false,"suffix":""},{"dropping-particle":"","family":"Pearson","given":"Danita M.","non-dropping-particle":"","parse-names":false,"suffix":""},{"dropping-particle":"","family":"Bäcklund","given":"L. Magnus","non-dropping-particle":"","parse-names":false,"suffix":""},{"dropping-particle":"","family":"Ichimura","given":"Koichi","non-dropping-particle":"","parse-names":false,"suffix":""},{"dropping-particle":"","family":"Collins","given":"V. Peter","non-dropping-particle":"","parse-names":false,"suffix":""}],"container-title":"Cancer Research","id":"ITEM-1","issue":"21","issued":{"date-parts":[["2008","11","1"]]},"page":"8673-8677","publisher":"Europe PMC Funders","title":"Tandem duplication producing a novel oncogenic BRAF fusion gene defines the majority of pilocytic astrocytomas","type":"article-journal","volume":"68"},"uris":["http://www.mendeley.com/documents/?uuid=153b2cee-2210-37d4-97e1-742eba5932cd"]}],"mendeley":{"formattedCitation":"&lt;sup&gt;204&lt;/sup&gt;","plainTextFormattedCitation":"204","previouslyFormattedCitation":"&lt;sup&gt;204&lt;/sup&gt;"},"properties":{"noteIndex":0},"schema":"https://github.com/citation-style-language/schema/raw/master/csl-citation.json"}</w:instrText>
      </w:r>
      <w:r w:rsidR="00FF2E44">
        <w:fldChar w:fldCharType="separate"/>
      </w:r>
      <w:r w:rsidR="00A47FB6" w:rsidRPr="00A47FB6">
        <w:rPr>
          <w:noProof/>
          <w:vertAlign w:val="superscript"/>
        </w:rPr>
        <w:t>204</w:t>
      </w:r>
      <w:r w:rsidR="00FF2E44">
        <w:fldChar w:fldCharType="end"/>
      </w:r>
      <w:r w:rsidR="00FF2E44">
        <w:t xml:space="preserve">. </w:t>
      </w:r>
    </w:p>
    <w:p w14:paraId="65033715" w14:textId="77777777" w:rsidR="003752BF" w:rsidRDefault="003752BF" w:rsidP="00EC4DAF">
      <w:pPr>
        <w:pStyle w:val="Odstavecseseznamem"/>
        <w:ind w:left="0"/>
        <w:jc w:val="both"/>
        <w:rPr>
          <w:highlight w:val="yellow"/>
        </w:rPr>
      </w:pPr>
    </w:p>
    <w:p w14:paraId="4A4F52BE" w14:textId="0F5335B8" w:rsidR="00D42048" w:rsidRDefault="00547406" w:rsidP="00EC4DAF">
      <w:pPr>
        <w:pStyle w:val="Odstavecseseznamem"/>
        <w:ind w:left="0"/>
        <w:jc w:val="both"/>
      </w:pPr>
      <w:r>
        <w:t>Signalizace</w:t>
      </w:r>
      <w:r w:rsidR="00B86036">
        <w:t xml:space="preserve"> tyrozin kinázového receptoru </w:t>
      </w:r>
      <w:r>
        <w:t xml:space="preserve"> </w:t>
      </w:r>
      <w:r w:rsidR="001F2782" w:rsidRPr="00547406">
        <w:t>PDGFRA</w:t>
      </w:r>
      <w:r w:rsidR="00B86036">
        <w:t xml:space="preserve"> </w:t>
      </w:r>
      <w:r w:rsidR="001E77FF">
        <w:t>(Platelet Derived Factor R</w:t>
      </w:r>
      <w:r>
        <w:t xml:space="preserve">eceptor </w:t>
      </w:r>
      <w:r w:rsidR="001E77FF">
        <w:t>A</w:t>
      </w:r>
      <w:r>
        <w:t>lpha)</w:t>
      </w:r>
      <w:r w:rsidR="00B86036">
        <w:t xml:space="preserve"> je spojována s normálním vývojem CNS</w:t>
      </w:r>
      <w:r w:rsidR="00B73B16">
        <w:t>,</w:t>
      </w:r>
      <w:r w:rsidR="00B86036">
        <w:t xml:space="preserve"> regulací gliální proliferace a oligodendrocytární diferenciac</w:t>
      </w:r>
      <w:r w:rsidR="009B582C">
        <w:t>í</w:t>
      </w:r>
      <w:r w:rsidR="00B86036">
        <w:fldChar w:fldCharType="begin" w:fldLock="1"/>
      </w:r>
      <w:r w:rsidR="00D745ED">
        <w:instrText>ADDIN CSL_CITATION {"citationItems":[{"id":"ITEM-1","itemData":{"DOI":"10.1016/0092-8674(88)90392-3","ISSN":"00928674","PMID":"2834067","abstract":"The bipotential progenitor cells (O-2A progenitors) that produce oligodendrocytes and type-2 astrocytes in the developing rat optic nerve are induced to proliferate in culture by type-1 astrocytes. Here, we show that the astrocyte-derived mitogen is platelet-derived growth factor (PDGF). PDGF is potent mitogen for O-2A progenitor cells in vitro. Mitogenic activity in astrocyte-conditioned medium comigrates with PDGF on a size-exclusion column, competes with PDGF for receptors, and is neutralized by antibodies to PDGF. PDGF dimers can be immunoprecipitated from astrocyte-conditioned medium, and mRNA encoding PDGF is present in rat brain throughout gliogenesis. We propose that astrocyte-derived PDGF is crucial for the control of myelination in the developing central nervous system. © 1988.","author":[{"dropping-particle":"","family":"Richardson","given":"William D.","non-dropping-particle":"","parse-names":false,"suffix":""},{"dropping-particle":"","family":"Pringle","given":"Nigel","non-dropping-particle":"","parse-names":false,"suffix":""},{"dropping-particle":"","family":"Mosley","given":"Michael J.","non-dropping-particle":"","parse-names":false,"suffix":""},{"dropping-particle":"","family":"Westermark","given":"Bengt","non-dropping-particle":"","parse-names":false,"suffix":""},{"dropping-particle":"","family":"Dubois-Dalcg","given":"Monique","non-dropping-particle":"","parse-names":false,"suffix":""}],"container-title":"Cell","id":"ITEM-1","issue":"2","issued":{"date-parts":[["1988","4","22"]]},"page":"309-319","publisher":"Cell","title":"A role for platelet-derived growth factor in normal gliogenesis in the central nervous system","type":"article-journal","volume":"53"},"uris":["http://www.mendeley.com/documents/?uuid=5287814d-35c6-34aa-aad5-c5b523eb6236"]}],"mendeley":{"formattedCitation":"&lt;sup&gt;205&lt;/sup&gt;","plainTextFormattedCitation":"205","previouslyFormattedCitation":"&lt;sup&gt;205&lt;/sup&gt;"},"properties":{"noteIndex":0},"schema":"https://github.com/citation-style-language/schema/raw/master/csl-citation.json"}</w:instrText>
      </w:r>
      <w:r w:rsidR="00B86036">
        <w:fldChar w:fldCharType="separate"/>
      </w:r>
      <w:r w:rsidR="00A47FB6" w:rsidRPr="00A47FB6">
        <w:rPr>
          <w:noProof/>
          <w:vertAlign w:val="superscript"/>
        </w:rPr>
        <w:t>205</w:t>
      </w:r>
      <w:r w:rsidR="00B86036">
        <w:fldChar w:fldCharType="end"/>
      </w:r>
      <w:r w:rsidR="00B86036">
        <w:t xml:space="preserve">. </w:t>
      </w:r>
      <w:r w:rsidR="006243FC">
        <w:t xml:space="preserve"> </w:t>
      </w:r>
      <w:r w:rsidR="00B86036">
        <w:t>O</w:t>
      </w:r>
      <w:r>
        <w:t xml:space="preserve">verexprese </w:t>
      </w:r>
      <w:r w:rsidR="00B86036">
        <w:t xml:space="preserve">proteinu </w:t>
      </w:r>
      <w:r>
        <w:t xml:space="preserve">PDGFRA je přítomna u 30 % gliomů a amplifikace byla </w:t>
      </w:r>
      <w:r w:rsidR="00B86036">
        <w:t>nalezena</w:t>
      </w:r>
      <w:r>
        <w:t xml:space="preserve"> </w:t>
      </w:r>
      <w:r w:rsidR="00B86036">
        <w:t xml:space="preserve">pouze </w:t>
      </w:r>
      <w:r>
        <w:t>u 20 % gliomů</w:t>
      </w:r>
      <w:r w:rsidR="00B73B16">
        <w:t>. Aberace</w:t>
      </w:r>
      <w:r w:rsidR="00B73B16" w:rsidRPr="000503E8">
        <w:rPr>
          <w:i/>
          <w:iCs/>
        </w:rPr>
        <w:t xml:space="preserve"> PDGFRA</w:t>
      </w:r>
      <w:r w:rsidR="00B86036">
        <w:t xml:space="preserve"> hraj</w:t>
      </w:r>
      <w:r w:rsidR="00B73B16">
        <w:t>í</w:t>
      </w:r>
      <w:r w:rsidR="00B86036">
        <w:t xml:space="preserve"> klíčovou roli v gliomagenezi a její progresi</w:t>
      </w:r>
      <w:r>
        <w:fldChar w:fldCharType="begin" w:fldLock="1"/>
      </w:r>
      <w:r w:rsidR="00D745ED">
        <w:instrText>ADDIN CSL_CITATION {"citationItems":[{"id":"ITEM-1","itemData":{"DOI":"10.1038/sj.bjc.6605225","ISSN":"00070920","PMID":"19707201","abstract":"Background:Malignant gliomas are the most prevalent type of primary brain tumours but the therapeutic armamentarium for these tumours is limited. Platelet-derived growth factor (PDGF) signalling has been shown to be a key regulator of glioma development. Clinical trials evaluating the efficacy of anti-PDGFRA therapies on gliomas are ongoing. In this study, we intended to analyse the expression of PDGFA and its receptor PDGFRA, as well as the underlying genetic (mutations and amplification) mechanisms driving their expression in a large series of human gliomas.Methods:PDGFA and PDGFRA expression was evaluated by immunohistochemistry in a series of 160 gliomas of distinct World Health Organization (WHO) malignancy grade. PDGFRA-activating gene mutations (exons 12, 18 and 23) were assessed in a subset of 86 cases by PCRsingle-strand conformational polymorphism (PCR-SSCP), followed by direct sequencing. PDGFRA gene amplification analysis was performed in 57 cases by quantitative real-time PCR (QPCR) and further validated in a subset of cases by chromogenic in situ hybridisation (CISH) and microarray-based comparative genomic hybridisation (aCGH).Results:PDGFA and PDGFRA expression was found in 81.2% (130 out of 160) and 29.6% (48 out of 160) of gliomas, respectively. Its expression was significantly correlated with histological type of the tumours; however, no significant association between the expression of the ligand and its receptor was observed. The absence of PDGFA expression was significantly associated with the age of patients and with poor prognosis. Although PDGFRA gene-activating mutations were not found, PDGFRA gene amplification was observed in 21.1% (12 out of 57) of gliomas. No association was found between the presence of PDGFRA gene amplification and expression, excepting for grade II diffuse astrocytomas.Conclusion:The concurrent expression of PDGFA and PDGFRA in different subtypes of gliomas, reinforce the recognised significance of this signalling pathway in gliomas. PDGFRA gene amplification rather than gene mutation may be the underlying genetic mechanism driving PDGFRA overexpression in a portion of gliomas. Taken together, our results could provide in the future a molecular basis for PDGFRA-targeted therapies in gliomas. © 2009 Cancer Research UK.","author":[{"dropping-particle":"","family":"Martinho","given":"O.","non-dropping-particle":"","parse-names":false,"suffix":""},{"dropping-particle":"","family":"Longatto-Filho","given":"A.","non-dropping-particle":"","parse-names":false,"suffix":""},{"dropping-particle":"","family":"Lambros","given":"M. B.K.","non-dropping-particle":"","parse-names":false,"suffix":""},{"dropping-particle":"","family":"Martins","given":"A.","non-dropping-particle":"","parse-names":false,"suffix":""},{"dropping-particle":"","family":"Pinheiro","given":"C.","non-dropping-particle":"","parse-names":false,"suffix":""},{"dropping-particle":"","family":"Silva","given":"A.","non-dropping-particle":"","parse-names":false,"suffix":""},{"dropping-particle":"","family":"Pardal","given":"F.","non-dropping-particle":"","parse-names":false,"suffix":""},{"dropping-particle":"","family":"Amorim","given":"J.","non-dropping-particle":"","parse-names":false,"suffix":""},{"dropping-particle":"","family":"MacKay","given":"A.","non-dropping-particle":"","parse-names":false,"suffix":""},{"dropping-particle":"","family":"Milanezi","given":"F.","non-dropping-particle":"","parse-names":false,"suffix":""},{"dropping-particle":"","family":"Tamber","given":"N.","non-dropping-particle":"","parse-names":false,"suffix":""},{"dropping-particle":"","family":"Fenwick","given":"K.","non-dropping-particle":"","parse-names":false,"suffix":""},{"dropping-particle":"","family":"Ashworth","given":"A.","non-dropping-particle":"","parse-names":false,"suffix":""},{"dropping-particle":"","family":"Reis-Filho","given":"J. S.","non-dropping-particle":"","parse-names":false,"suffix":""},{"dropping-particle":"","family":"Lopes","given":"J. M.","non-dropping-particle":"","parse-names":false,"suffix":""},{"dropping-particle":"","family":"Reis","given":"R. M.","non-dropping-particle":"","parse-names":false,"suffix":""}],"container-title":"British Journal of Cancer","id":"ITEM-1","issue":"6","issued":{"date-parts":[["2009","9","15"]]},"page":"973-982","publisher":"Nature Publishing Group","title":"Expression, mutation and copy number analysis of platelet-derived growth factor receptor A (PDGFRA) and its ligand PDGFA in gliomas","type":"article-journal","volume":"101"},"uris":["http://www.mendeley.com/documents/?uuid=1b03df3c-449a-3775-8324-77b14ff8a30a"]}],"mendeley":{"formattedCitation":"&lt;sup&gt;206&lt;/sup&gt;","plainTextFormattedCitation":"206","previouslyFormattedCitation":"&lt;sup&gt;206&lt;/sup&gt;"},"properties":{"noteIndex":0},"schema":"https://github.com/citation-style-language/schema/raw/master/csl-citation.json"}</w:instrText>
      </w:r>
      <w:r>
        <w:fldChar w:fldCharType="separate"/>
      </w:r>
      <w:r w:rsidR="00A47FB6" w:rsidRPr="00A47FB6">
        <w:rPr>
          <w:noProof/>
          <w:vertAlign w:val="superscript"/>
        </w:rPr>
        <w:t>206</w:t>
      </w:r>
      <w:r>
        <w:fldChar w:fldCharType="end"/>
      </w:r>
      <w:r>
        <w:t xml:space="preserve">. </w:t>
      </w:r>
      <w:r w:rsidR="00B86036">
        <w:t>Kromě těchto ab</w:t>
      </w:r>
      <w:r w:rsidR="006243FC">
        <w:t>e</w:t>
      </w:r>
      <w:r w:rsidR="00B86036">
        <w:t>r</w:t>
      </w:r>
      <w:r w:rsidR="006243FC">
        <w:t>a</w:t>
      </w:r>
      <w:r w:rsidR="00B86036">
        <w:t xml:space="preserve">cí byly v menším počtu </w:t>
      </w:r>
      <w:r w:rsidR="000C0B60">
        <w:t>prokázány</w:t>
      </w:r>
      <w:r w:rsidR="00B86036">
        <w:t xml:space="preserve"> i delece, bodové mutace a přestavby</w:t>
      </w:r>
      <w:r w:rsidR="00B73B16">
        <w:fldChar w:fldCharType="begin" w:fldLock="1"/>
      </w:r>
      <w:r w:rsidR="00D745ED">
        <w:instrText>ADDIN CSL_CITATION {"citationItems":[{"id":"ITEM-1","itemData":{"DOI":"10.1093/neuonc/nos217","ISSN":"15235866","PMID":"23074200","abstract":"PDGFRA is a critical gene in glioma biology. Similar to EGFR, PDGFRA has been shown to be overexpressed, amplified, mutated, or truncated in gliomas, particularly glioblastomas. In addition, PDGFRA has been recently shown to be rearranged in glioblastoma. However, the frequency, cooccurrence, and clinical value of PDGFRA abnormalities in diffuse gliomas remain unclear. We investigated PDGFRA abnormalities and their clinical impact on 619 primary diffuse gliomas, including 167 grade II, 168 grade III, and 284 grade IV gliomas, with use of BAC-aCGH and validated our findings by quantitative polymerase chain reaction (PCR). We studied PDGFRA expression using reverse-transcription quantitative PCR in 84 gliomas and 12 non-tumor samples. In 138 samples, we also screened PDGFRA point mutations in exons 5, 7, 8, 9, 10, 11, and 23; presence of KDR-PDGFRA fusion gene; and PDGFRA truncation. PDGFRA was amplified and gained in 5.2 and 1.9 of samples, respectively. In addition PDGFRA was point-mutated, rearranged, and truncated in 2.9, 0, and 0.7 of cases, respectively. PDGFRA point mutations were observed exclusively in grade IV gliomas and in 12.5 of PDGFRA-amplified tumors. High-level PDGFRA amplification was associated with PDGFRA overexpression, high malignancy grade, and older patient age. Of interest, high-level PDGFRA amplification has an independent negative prognostic value for progression-free survival and overall survival among patients with grade III tumors. PDGFRA is altered through various genetic mechanisms in a subset of high-grade gliomas in patients who might be ideal candidates for PDGFRA inhibitor treatment, and PDGFRA gene amplification could be used as a prognostic biomarker in anaplastic gliomas. © 2012 The Author(s).","author":[{"dropping-particle":"","family":"Alentorn","given":"Agustí","non-dropping-particle":"","parse-names":false,"suffix":""},{"dropping-particle":"","family":"Marie","given":"Yannick","non-dropping-particle":"","parse-names":false,"suffix":""},{"dropping-particle":"","family":"Carpentier","given":"Catherine","non-dropping-particle":"","parse-names":false,"suffix":""},{"dropping-particle":"","family":"Boisselier","given":"Blandine","non-dropping-particle":"","parse-names":false,"suffix":""},{"dropping-particle":"","family":"Giry","given":"Marine","non-dropping-particle":"","parse-names":false,"suffix":""},{"dropping-particle":"","family":"Labussière","given":"Marianne","non-dropping-particle":"","parse-names":false,"suffix":""},{"dropping-particle":"","family":"Mokhtari","given":"Karima","non-dropping-particle":"","parse-names":false,"suffix":""},{"dropping-particle":"","family":"Hoang-Xuan","given":"Khê","non-dropping-particle":"","parse-names":false,"suffix":""},{"dropping-particle":"","family":"Sanson","given":"Marc","non-dropping-particle":"","parse-names":false,"suffix":""},{"dropping-particle":"","family":"Delattre","given":"Jean Yves","non-dropping-particle":"","parse-names":false,"suffix":""},{"dropping-particle":"","family":"Idbaih","given":"Ahmed","non-dropping-particle":"","parse-names":false,"suffix":""}],"container-title":"Neuro-Oncology","id":"ITEM-1","issue":"11","issued":{"date-parts":[["2012"]]},"page":"1393-1403","publisher":"Oxford University Press","title":"Prevalence, clinico-pathological value, and co-occurrence of PDGFRA abnormalities in diffuse gliomas","type":"article-journal","volume":"14"},"uris":["http://www.mendeley.com/documents/?uuid=f276a180-a28c-307e-9f55-e8e3ef300638"]}],"mendeley":{"formattedCitation":"&lt;sup&gt;207&lt;/sup&gt;","plainTextFormattedCitation":"207","previouslyFormattedCitation":"&lt;sup&gt;207&lt;/sup&gt;"},"properties":{"noteIndex":0},"schema":"https://github.com/citation-style-language/schema/raw/master/csl-citation.json"}</w:instrText>
      </w:r>
      <w:r w:rsidR="00B73B16">
        <w:fldChar w:fldCharType="separate"/>
      </w:r>
      <w:r w:rsidR="00A47FB6" w:rsidRPr="00A47FB6">
        <w:rPr>
          <w:noProof/>
          <w:vertAlign w:val="superscript"/>
        </w:rPr>
        <w:t>207</w:t>
      </w:r>
      <w:r w:rsidR="00B73B16">
        <w:fldChar w:fldCharType="end"/>
      </w:r>
      <w:r w:rsidR="00B86036">
        <w:t xml:space="preserve">. </w:t>
      </w:r>
    </w:p>
    <w:p w14:paraId="7A2D47DA" w14:textId="77777777" w:rsidR="00B14AB7" w:rsidRDefault="00B14AB7" w:rsidP="00EC4DAF">
      <w:pPr>
        <w:pStyle w:val="Odstavecseseznamem"/>
        <w:ind w:left="0"/>
        <w:jc w:val="both"/>
      </w:pPr>
    </w:p>
    <w:p w14:paraId="32420F8B" w14:textId="4D424F2A" w:rsidR="00D42048" w:rsidRDefault="00EF1645" w:rsidP="00EA79DA">
      <w:pPr>
        <w:pStyle w:val="Nadpis3"/>
      </w:pPr>
      <w:r>
        <w:t xml:space="preserve">  </w:t>
      </w:r>
      <w:bookmarkStart w:id="56" w:name="_Toc88741481"/>
      <w:r w:rsidR="00B14AB7">
        <w:t>Cílená léčba</w:t>
      </w:r>
      <w:bookmarkEnd w:id="56"/>
    </w:p>
    <w:p w14:paraId="7F9DB6FD" w14:textId="5233FE2D" w:rsidR="00F90F1D" w:rsidRDefault="00F90F1D" w:rsidP="00EC4DAF">
      <w:pPr>
        <w:pStyle w:val="Odstavecseseznamem"/>
        <w:ind w:left="0"/>
        <w:jc w:val="both"/>
      </w:pPr>
      <w:r>
        <w:t xml:space="preserve">Cílená léčba si našla uplatnění u solidních nádorů jako jsou plíce, prsa, kolorekta atp. Bohužel co se týče gliálních nádorů, </w:t>
      </w:r>
      <w:r w:rsidR="00B14AB7">
        <w:t>většina studií končí neúspěchem ve fázi</w:t>
      </w:r>
      <w:r w:rsidR="001E77FF" w:rsidRPr="001E77FF">
        <w:t xml:space="preserve"> </w:t>
      </w:r>
      <w:r w:rsidR="001E77FF">
        <w:t>III</w:t>
      </w:r>
      <w:r w:rsidR="00B14AB7">
        <w:t xml:space="preserve">. Hlavní příčinou se jeví hematoencefalická bariéra, klonální evoluce nádorových buněk, nádorová heterogenita spolu s difuzním růstem gliálních nádorů. </w:t>
      </w:r>
    </w:p>
    <w:p w14:paraId="747FAF27" w14:textId="77777777" w:rsidR="00B14AB7" w:rsidRDefault="00B14AB7" w:rsidP="00EC4DAF">
      <w:pPr>
        <w:pStyle w:val="Odstavecseseznamem"/>
        <w:ind w:left="0"/>
        <w:jc w:val="both"/>
      </w:pPr>
    </w:p>
    <w:p w14:paraId="3826959A" w14:textId="4AF6F83A" w:rsidR="00D82551" w:rsidRDefault="00421C7D" w:rsidP="00EC4DAF">
      <w:pPr>
        <w:pStyle w:val="Odstavecseseznamem"/>
        <w:ind w:left="0"/>
        <w:jc w:val="both"/>
      </w:pPr>
      <w:r>
        <w:t xml:space="preserve">Bevacizumab je protilátka cílící VEGFR a inhibuje vaskularizaci. V roce 2009 </w:t>
      </w:r>
      <w:r w:rsidR="00CB0011">
        <w:t xml:space="preserve">v USA </w:t>
      </w:r>
      <w:r>
        <w:t xml:space="preserve">byl schválen </w:t>
      </w:r>
      <w:r w:rsidR="00CB0011">
        <w:t xml:space="preserve">samostatně nebo v kombinaci s irinotekanem </w:t>
      </w:r>
      <w:r>
        <w:t>jako léčba pacientů s</w:t>
      </w:r>
      <w:r w:rsidR="00CB0011">
        <w:t> rekurentním glioblastomem</w:t>
      </w:r>
      <w:r w:rsidR="00BE0E32">
        <w:t>, avšak efekt je stále diskutabilní</w:t>
      </w:r>
      <w:r w:rsidR="00CB0011">
        <w:fldChar w:fldCharType="begin" w:fldLock="1"/>
      </w:r>
      <w:r w:rsidR="00F90F1D">
        <w:instrText>ADDIN CSL_CITATION {"citationItems":[{"id":"ITEM-1","itemData":{"DOI":"10.1007/s11060-017-2477-x","ISSN":"15737373","PMID":"28527008","abstract":"Bevacizumab has been used in patients with GBM as a salvage therapy since its approval in the United States for recurrent GBM in 2009. In order to review the therapeutic effect of bevacizumab in the primary and recurrent clinical setting we have performed a systematic analysis of data from the published literature. Weighted median progression free survival and overall survival were calculated and compared to standard therapy or other experimental therapies. A qualitative analysis of the limited studies on health related quality of life and effects on steroid requirements was also undertaken. We found that the available literature supports the use of bevacizumab for prolonging PFS and OS in the recurrent setting either alone or in combination with a cytotoxic agent (P &lt; 0.05), but does not support its use in the primary setting (P &gt; 0.05). The survival advantage of bevacizumab compared to experimental therapy at recurrence is limited to 4 months. There is no additional benefit reported to date in health-related quality of life with the use of bevacizumab, although it may reduce steroid requirements. On average there is one side-effect event per patient and 74% of these events are grade 3 toxicity or higher. Further studies investigating the role of bevacizumab in combination with cytotoxic agents at recurrence are awaited.","author":[{"dropping-particle":"","family":"Diaz","given":"Roberto Jose","non-dropping-particle":"","parse-names":false,"suffix":""},{"dropping-particle":"","family":"Ali","given":"Sheikh","non-dropping-particle":"","parse-names":false,"suffix":""},{"dropping-particle":"","family":"Qadir","given":"Mehreen Gull","non-dropping-particle":"","parse-names":false,"suffix":""},{"dropping-particle":"","family":"La Fuente","given":"Macarena I.","non-dropping-particle":"De","parse-names":false,"suffix":""},{"dropping-particle":"","family":"Ivan","given":"Michael E.","non-dropping-particle":"","parse-names":false,"suffix":""},{"dropping-particle":"","family":"Komotar","given":"Ricardo J.","non-dropping-particle":"","parse-names":false,"suffix":""}],"container-title":"Journal of Neuro-Oncology","id":"ITEM-1","issue":"3","issued":{"date-parts":[["2017","7","1"]]},"page":"455-467","publisher":"Springer New York LLC","title":"The role of bevacizumab in the treatment of glioblastoma","type":"article","volume":"133"},"uris":["http://www.mendeley.com/documents/?uuid=263a4fba-6049-3604-980d-36574e3d0f47"]}],"mendeley":{"formattedCitation":"&lt;sup&gt;208&lt;/sup&gt;","plainTextFormattedCitation":"208","previouslyFormattedCitation":"&lt;sup&gt;208&lt;/sup&gt;"},"properties":{"noteIndex":0},"schema":"https://github.com/citation-style-language/schema/raw/master/csl-citation.json"}</w:instrText>
      </w:r>
      <w:r w:rsidR="00CB0011">
        <w:fldChar w:fldCharType="separate"/>
      </w:r>
      <w:r w:rsidR="00CB0011" w:rsidRPr="00CB0011">
        <w:rPr>
          <w:noProof/>
          <w:vertAlign w:val="superscript"/>
        </w:rPr>
        <w:t>208</w:t>
      </w:r>
      <w:r w:rsidR="00CB0011">
        <w:fldChar w:fldCharType="end"/>
      </w:r>
      <w:r w:rsidR="00CB0011">
        <w:t>. Nejznámější protilátka proti EG</w:t>
      </w:r>
      <w:r w:rsidR="00BE0E32">
        <w:t>F</w:t>
      </w:r>
      <w:r w:rsidR="00CB0011">
        <w:t>R je cetuximab</w:t>
      </w:r>
      <w:r w:rsidR="00BE0E32">
        <w:t xml:space="preserve">, ten byl </w:t>
      </w:r>
      <w:r w:rsidR="00F90F1D">
        <w:t xml:space="preserve">však </w:t>
      </w:r>
      <w:r w:rsidR="00BE0E32">
        <w:t xml:space="preserve">bezúspěšně testován u pacientům s rekurentním glioblastomem. </w:t>
      </w:r>
    </w:p>
    <w:p w14:paraId="20DD3572" w14:textId="1EFCD307" w:rsidR="00BE0E32" w:rsidRDefault="00BE0E32" w:rsidP="00EC4DAF">
      <w:pPr>
        <w:pStyle w:val="Odstavecseseznamem"/>
        <w:ind w:left="0"/>
        <w:jc w:val="both"/>
      </w:pPr>
    </w:p>
    <w:p w14:paraId="64386DD6" w14:textId="7145FD58" w:rsidR="00BE0E32" w:rsidRDefault="00BE0E32" w:rsidP="00EC4DAF">
      <w:pPr>
        <w:pStyle w:val="Odstavecseseznamem"/>
        <w:ind w:left="0"/>
        <w:jc w:val="both"/>
      </w:pPr>
      <w:r>
        <w:t xml:space="preserve">Dalším </w:t>
      </w:r>
      <w:r w:rsidR="00F90F1D">
        <w:t xml:space="preserve">velmi </w:t>
      </w:r>
      <w:r>
        <w:t>diskut</w:t>
      </w:r>
      <w:r w:rsidR="00F90F1D">
        <w:t>ovaným</w:t>
      </w:r>
      <w:r>
        <w:t xml:space="preserve"> směrem léčby jsou vakcíny založené na purifikovan</w:t>
      </w:r>
      <w:r w:rsidR="00F90F1D">
        <w:t>ých tumor specifických antigenech</w:t>
      </w:r>
      <w:r w:rsidR="00B14AB7">
        <w:t xml:space="preserve"> </w:t>
      </w:r>
      <w:r w:rsidR="00F90F1D">
        <w:t>popřípadě extraktech derivované z resekovaného nádoru. Takzvaná DCVax vakcína dendritických buněk je schválena ve Švýcarsku pro léčbu glioblastomu a koreluje s prodlouženým celkovým přežitím a přežitím bez progrese</w:t>
      </w:r>
      <w:r w:rsidR="00F90F1D">
        <w:fldChar w:fldCharType="begin" w:fldLock="1"/>
      </w:r>
      <w:r w:rsidR="00A60111">
        <w:instrText>ADDIN CSL_CITATION {"citationItems":[{"id":"ITEM-1","itemData":{"DOI":"10.1007/s00262-012-1319-0","ISSN":"03407004","PMID":"22847020","abstract":"Background: This study evaluated the safety and immune responses to an autologous dendritic cell vaccine pulsed with class I peptides from tumor-associated antigens (TAA) expressed on gliomas and overexpressed in their cancer stem cell population (ICT-107). Methods: TAA epitopes included HER2, TRP-2, gp100, MAGE-1, IL13Rα2, and AIM-2. HLA-A1- and/or HLA-A2-positive patients with glioblastoma (GBM) were eligible. Mononuclear cells from leukapheresis were differentiated into dendritic cells, pulsed with TAA peptides, and administered intradermally three times at two-week intervals. Results: Twenty-one patients were enrolled with 17 newly diagnosed (ND-GBM) and three recurrent GBM patients and one brainstem glioma. Immune response data on 15 newly diagnosed patients showed 33 % responders. TAA expression by qRT-PCR from fresh-frozen tumor samples showed all patient tumors expressed at least three TAA, with 75 % expressing all six. Correlations of increased PFS and OS with quantitative expression of MAGE1 and AIM-2 were observed, and a trend for longer survival was observed with gp100 and HER2 antigens. Target antigens gp100, HER1, and IL13Rα2 were downregulated in recurrent tumors from 4 HLA-A2+ patients. A decrease in or absence of CD133 expression was seen in five patients who underwent a second resection. At a median follow-up of 40.1 months, six of 16 ND-GBM patients showed no evidence of tumor recurrence. Median PFS in newly diagnosed patients was 16.9 months, and median OS was 38.4 months. Conclusions: Expression of four ICT-107 targeted antigens in the pre-vaccine tumors correlated with prolonged overall survival and PFS in ND-GBM patients. The goal of targeting tumor antigens highly expressed on glioblastoma cancer stem cells is supported by the observation of decreased or absent CD133 expression in the recurrent areas of gadolinium-enhanced tumors. © 2012 The Author(s).","author":[{"dropping-particle":"","family":"Phuphanich","given":"Surasak","non-dropping-particle":"","parse-names":false,"suffix":""},{"dropping-particle":"","family":"Wheeler","given":"Christopher J.","non-dropping-particle":"","parse-names":false,"suffix":""},{"dropping-particle":"","family":"Rudnick","given":"Jeremy D.","non-dropping-particle":"","parse-names":false,"suffix":""},{"dropping-particle":"","family":"Mazer","given":"Mia","non-dropping-particle":"","parse-names":false,"suffix":""},{"dropping-particle":"","family":"Wang","given":"Hongqian","non-dropping-particle":"","parse-names":false,"suffix":""},{"dropping-particle":"","family":"Nuño","given":"Miriam A.","non-dropping-particle":"","parse-names":false,"suffix":""},{"dropping-particle":"","family":"Richardson","given":"Jaime E.","non-dropping-particle":"","parse-names":false,"suffix":""},{"dropping-particle":"","family":"Fan","given":"Xuemo","non-dropping-particle":"","parse-names":false,"suffix":""},{"dropping-particle":"","family":"Ji","given":"Jianfei","non-dropping-particle":"","parse-names":false,"suffix":""},{"dropping-particle":"","family":"Chu","given":"Ray M.","non-dropping-particle":"","parse-names":false,"suffix":""},{"dropping-particle":"","family":"Bender","given":"James G.","non-dropping-particle":"","parse-names":false,"suffix":""},{"dropping-particle":"","family":"Hawkins","given":"Elma S.","non-dropping-particle":"","parse-names":false,"suffix":""},{"dropping-particle":"","family":"Patil","given":"Chirag G.","non-dropping-particle":"","parse-names":false,"suffix":""},{"dropping-particle":"","family":"Black","given":"Keith L.","non-dropping-particle":"","parse-names":false,"suffix":""},{"dropping-particle":"","family":"Yu","given":"John S.","non-dropping-particle":"","parse-names":false,"suffix":""}],"container-title":"Cancer Immunology, Immunotherapy","id":"ITEM-1","issue":"1","issued":{"date-parts":[["2013","1"]]},"page":"125-135","publisher":"Cancer Immunol Immunother","title":"Phase i trial of a multi-epitope-pulsed dendritic cell vaccine for patients with newly diagnosed glioblastoma","type":"article-journal","volume":"62"},"uris":["http://www.mendeley.com/documents/?uuid=29c4aded-ee00-30de-b7cc-e7cb96a280b4"]}],"mendeley":{"formattedCitation":"&lt;sup&gt;209&lt;/sup&gt;","plainTextFormattedCitation":"209","previouslyFormattedCitation":"&lt;sup&gt;209&lt;/sup&gt;"},"properties":{"noteIndex":0},"schema":"https://github.com/citation-style-language/schema/raw/master/csl-citation.json"}</w:instrText>
      </w:r>
      <w:r w:rsidR="00F90F1D">
        <w:fldChar w:fldCharType="separate"/>
      </w:r>
      <w:r w:rsidR="00F90F1D" w:rsidRPr="00F90F1D">
        <w:rPr>
          <w:noProof/>
          <w:vertAlign w:val="superscript"/>
        </w:rPr>
        <w:t>209</w:t>
      </w:r>
      <w:r w:rsidR="00F90F1D">
        <w:fldChar w:fldCharType="end"/>
      </w:r>
      <w:r w:rsidR="00F90F1D">
        <w:t xml:space="preserve">. </w:t>
      </w:r>
    </w:p>
    <w:p w14:paraId="0875CD63" w14:textId="17B0703A" w:rsidR="00EF1645" w:rsidRDefault="00EF1645" w:rsidP="00EC4DAF">
      <w:pPr>
        <w:pStyle w:val="Odstavecseseznamem"/>
        <w:ind w:left="0"/>
        <w:jc w:val="both"/>
      </w:pPr>
    </w:p>
    <w:p w14:paraId="66CE17EA" w14:textId="47D0C310" w:rsidR="00EF1645" w:rsidRDefault="00EF1645" w:rsidP="00EC4DAF">
      <w:pPr>
        <w:pStyle w:val="Odstavecseseznamem"/>
        <w:ind w:left="0"/>
        <w:jc w:val="both"/>
      </w:pPr>
      <w:r>
        <w:t xml:space="preserve">Kromě této imunoterapie stojí za zmínku u checkpointové blokátory, monoklonální protilátka rindopeptimud proti EGFRvIII, vakcína s heat shock proteiny nebo léčba rekombinantními polioviry. Na závěry z těchto studií si však musíme ještě počkat. </w:t>
      </w:r>
      <w:r w:rsidR="00A60111">
        <w:t>Z důvodu obtížné</w:t>
      </w:r>
      <w:r>
        <w:t xml:space="preserve"> administrace léčiva skrz hematoencefalickou bariéru </w:t>
      </w:r>
      <w:r w:rsidR="00A60111">
        <w:t>do míst nádoru, jsou testovány i inovativní přístupy. Ve fázi testování jsou micely s léčivem nebo nanočástice</w:t>
      </w:r>
      <w:r w:rsidR="00A60111">
        <w:fldChar w:fldCharType="begin" w:fldLock="1"/>
      </w:r>
      <w:r w:rsidR="00E37F7E">
        <w:instrText>ADDIN CSL_CITATION {"citationItems":[{"id":"ITEM-1","itemData":{"DOI":"10.3389/fonc.2018.00419","ISSN":"2234943X","abstract":"Over the past century, treatment of malignant tumors of the brain has remained a challenge. Refinements in neurosurgical techniques, discovery of powerful chemotherapeutic agents, advances in radiotherapy, applications of biotechnology, and improvements in methods of targeted delivery have led to some extension of length of survival of glioblastoma patients. Refinements in surgery are mentioned because most of the patients with glioblastoma undergo surgery and many of the other innovative therapies are combined with surgery. However, cure of glioblastoma has remained elusive because it requires complete destruction of the tumor. Radical surgical ablation is not possible in the brain and even a small residual tumor leads to rapid recurrence that eventually kills the patient. Blood-brain barrier (BBB) comprising brain endothelial cells lining the cerebral microvasculature, limits delivery of drugs to the brain. Even though opening of the BBB in tumor core occurs locally, BBB limits systemic chemotherapy especially at the tumor periphery, where tumor cells invade normal brain structure comprising intact BBB. Comprehensive approaches are necessary to gain maximally from promising targeted therapies. Common methods used for critical evaluation of targeted therapies for glioblastoma include: (1) novel methods for targeted delivery of chemotherapy; (2) strategies for delivery through BBB and blood-tumor barriers; (3) innovations in radiotherapy for selective destruction of tumor; (4) techniques for local destruction of tumor; (5) tumor growth inhibitors; (6) immunotherapy; and (7) cell/gene therapies. Suggestions for improvements in glioblastoma therapy include: (1) controlled targeted delivery of anticancer therapy to glioblastoma through the BBB using nanoparticles and monoclonal antibodies; (2) direct introduction of genetically modified bacteria that selectively destroy cancer cells but spare the normal brain into the remaining tumor after resection; (3) use of better animal models for preclinical testing; and (4) personalized/precision medicine approaches to therapy in clinical trials and translation into practice of neurosurgery and neurooncology. Advances in these techniques suggest optimism for the future management of glioblastoma.","author":[{"dropping-particle":"","family":"Jain","given":"Kewal K.","non-dropping-particle":"","parse-names":false,"suffix":""}],"container-title":"Frontiers in Oncology","id":"ITEM-1","issue":"OCT","issued":{"date-parts":[["2018","10","15"]]},"page":"419","publisher":"Frontiers Media S.A.","title":"A critical overview of targeted therapies for glioblastoma","type":"article","volume":"8"},"uris":["http://www.mendeley.com/documents/?uuid=f41ba081-4b29-336a-991f-dca616b632a1"]}],"mendeley":{"formattedCitation":"&lt;sup&gt;36&lt;/sup&gt;","plainTextFormattedCitation":"36","previouslyFormattedCitation":"&lt;sup&gt;36&lt;/sup&gt;"},"properties":{"noteIndex":0},"schema":"https://github.com/citation-style-language/schema/raw/master/csl-citation.json"}</w:instrText>
      </w:r>
      <w:r w:rsidR="00A60111">
        <w:fldChar w:fldCharType="separate"/>
      </w:r>
      <w:r w:rsidR="00A60111" w:rsidRPr="00A60111">
        <w:rPr>
          <w:noProof/>
          <w:vertAlign w:val="superscript"/>
        </w:rPr>
        <w:t>36</w:t>
      </w:r>
      <w:r w:rsidR="00A60111">
        <w:fldChar w:fldCharType="end"/>
      </w:r>
      <w:r w:rsidR="00A60111">
        <w:t>.</w:t>
      </w:r>
    </w:p>
    <w:p w14:paraId="1FBE4FD4" w14:textId="63092EC9" w:rsidR="00EF1645" w:rsidRDefault="00EF1645" w:rsidP="00EC4DAF">
      <w:pPr>
        <w:pStyle w:val="Odstavecseseznamem"/>
        <w:ind w:left="0"/>
        <w:jc w:val="both"/>
      </w:pPr>
    </w:p>
    <w:p w14:paraId="63C76CAB" w14:textId="10F6F378" w:rsidR="00D42048" w:rsidRDefault="00D82551" w:rsidP="00EC4DAF">
      <w:pPr>
        <w:pStyle w:val="Nadpis3"/>
        <w:ind w:left="0" w:firstLine="0"/>
      </w:pPr>
      <w:bookmarkStart w:id="57" w:name="_Toc88741482"/>
      <w:r>
        <w:t>S</w:t>
      </w:r>
      <w:r w:rsidR="00D42048" w:rsidRPr="00BD449B">
        <w:t>ouhrn kapitoly</w:t>
      </w:r>
      <w:bookmarkEnd w:id="57"/>
    </w:p>
    <w:p w14:paraId="30D1A7CA" w14:textId="77777777" w:rsidR="00D977AC" w:rsidRDefault="00D977AC" w:rsidP="00EC4DAF">
      <w:pPr>
        <w:pStyle w:val="Odstavecseseznamem"/>
        <w:ind w:left="0"/>
        <w:jc w:val="both"/>
      </w:pPr>
    </w:p>
    <w:p w14:paraId="51B20F47" w14:textId="0118955B" w:rsidR="00D977AC" w:rsidRDefault="00D42048" w:rsidP="00EC4DAF">
      <w:pPr>
        <w:pStyle w:val="Odstavecseseznamem"/>
        <w:ind w:left="0"/>
        <w:jc w:val="both"/>
      </w:pPr>
      <w:r>
        <w:t>S rozvojem sekvenování, čipových technologií a dalších hight throughput screeningových metod, lze postupnými kroky odkrývat molekulární pozadí veškerých nádorových onemocnění včetně glliálních nádorů, které jsou doposud zřejmě největší výzvou</w:t>
      </w:r>
      <w:r w:rsidR="00637739">
        <w:t xml:space="preserve"> vzhledem k agresivní povaze onemocnění</w:t>
      </w:r>
      <w:r>
        <w:t xml:space="preserve">. </w:t>
      </w:r>
      <w:r w:rsidR="00D977AC">
        <w:t xml:space="preserve">Díky zařazení těchto metod a algoritmů do klinické praxe, lze co nejpřesněji stavit </w:t>
      </w:r>
      <w:r w:rsidR="00D977AC" w:rsidRPr="00637739">
        <w:t>přesnou diagnózu. Kombinace aktualizace klasifikace dle WHO 2016 a charakteristických aberací je uvedena v </w:t>
      </w:r>
      <w:r w:rsidR="00637739" w:rsidRPr="00637739">
        <w:t>T</w:t>
      </w:r>
      <w:r w:rsidR="00D977AC" w:rsidRPr="00637739">
        <w:t xml:space="preserve">abulce </w:t>
      </w:r>
      <w:r w:rsidR="00AD2D8A">
        <w:t>3</w:t>
      </w:r>
      <w:r w:rsidR="00D977AC" w:rsidRPr="00637739">
        <w:t>.</w:t>
      </w:r>
      <w:r w:rsidR="00D977AC">
        <w:t xml:space="preserve"> </w:t>
      </w:r>
    </w:p>
    <w:p w14:paraId="0C8E71CF" w14:textId="3DDA2817" w:rsidR="00AB48A2" w:rsidRDefault="00AB48A2" w:rsidP="00EC4DAF">
      <w:pPr>
        <w:pStyle w:val="Odstavecseseznamem"/>
        <w:ind w:left="0"/>
        <w:jc w:val="both"/>
      </w:pPr>
    </w:p>
    <w:p w14:paraId="7540CE0C" w14:textId="23AC63C4" w:rsidR="00261AD4" w:rsidRDefault="00261AD4" w:rsidP="00EC4DAF">
      <w:pPr>
        <w:pStyle w:val="Odstavecseseznamem"/>
        <w:ind w:left="0"/>
        <w:jc w:val="both"/>
      </w:pPr>
      <w:r w:rsidRPr="00261AD4">
        <w:t>Postup přesné klasifikace zatím nevychází z analýzy všech molekulárních markerů uvedených výše, avšak myšlenka vytvoření tzv. vrstvené integrované diagnózy zahrnující základní markery, byla naznačena již v roce 2014</w:t>
      </w:r>
      <w:r w:rsidRPr="006357AA">
        <w:rPr>
          <w:vertAlign w:val="superscript"/>
        </w:rPr>
        <w:t>211</w:t>
      </w:r>
      <w:r w:rsidRPr="00261AD4">
        <w:t>. Tento princip zahrnuje 4 vrstvy, které se doplní v přesné stanovení diagnózy: molekulární informace, WHO grade, histologická klasifikace a poslední vrstva je integrovaná diagnóza.</w:t>
      </w:r>
    </w:p>
    <w:p w14:paraId="3B242719" w14:textId="74FCBFF2" w:rsidR="00261AD4" w:rsidRDefault="00261AD4" w:rsidP="00EC4DAF">
      <w:pPr>
        <w:pStyle w:val="Odstavecseseznamem"/>
        <w:ind w:left="0"/>
        <w:jc w:val="both"/>
      </w:pPr>
    </w:p>
    <w:p w14:paraId="1F5CAD43" w14:textId="003F8F3E" w:rsidR="00261AD4" w:rsidRDefault="00261AD4" w:rsidP="00EC4DAF">
      <w:pPr>
        <w:pStyle w:val="Odstavecseseznamem"/>
        <w:ind w:left="0"/>
        <w:jc w:val="both"/>
      </w:pPr>
    </w:p>
    <w:p w14:paraId="2166E756" w14:textId="03C58F5C" w:rsidR="00883E7C" w:rsidRDefault="00883E7C" w:rsidP="00EC4DAF">
      <w:pPr>
        <w:pStyle w:val="Odstavecseseznamem"/>
        <w:ind w:left="0"/>
        <w:jc w:val="both"/>
      </w:pPr>
    </w:p>
    <w:p w14:paraId="4D19785D" w14:textId="2E598202" w:rsidR="00883E7C" w:rsidRDefault="00883E7C" w:rsidP="00EC4DAF">
      <w:pPr>
        <w:pStyle w:val="Odstavecseseznamem"/>
        <w:ind w:left="0"/>
        <w:jc w:val="both"/>
      </w:pPr>
    </w:p>
    <w:p w14:paraId="3ADD442B" w14:textId="7179A995" w:rsidR="00883E7C" w:rsidRDefault="00883E7C" w:rsidP="00EC4DAF">
      <w:pPr>
        <w:pStyle w:val="Odstavecseseznamem"/>
        <w:ind w:left="0"/>
        <w:jc w:val="both"/>
      </w:pPr>
    </w:p>
    <w:p w14:paraId="636BA33A" w14:textId="6030D671" w:rsidR="00883E7C" w:rsidRDefault="00883E7C" w:rsidP="00EC4DAF">
      <w:pPr>
        <w:pStyle w:val="Odstavecseseznamem"/>
        <w:ind w:left="0"/>
        <w:jc w:val="both"/>
      </w:pPr>
    </w:p>
    <w:p w14:paraId="4C9FA23D" w14:textId="08675811" w:rsidR="00883E7C" w:rsidRDefault="00883E7C" w:rsidP="00EC4DAF">
      <w:pPr>
        <w:pStyle w:val="Odstavecseseznamem"/>
        <w:ind w:left="0"/>
        <w:jc w:val="both"/>
      </w:pPr>
    </w:p>
    <w:p w14:paraId="7FAA3C85" w14:textId="77777777" w:rsidR="00883E7C" w:rsidRDefault="00883E7C" w:rsidP="00EC4DAF">
      <w:pPr>
        <w:pStyle w:val="Odstavecseseznamem"/>
        <w:ind w:left="0"/>
        <w:jc w:val="both"/>
      </w:pPr>
    </w:p>
    <w:p w14:paraId="203145F6" w14:textId="57C24E66" w:rsidR="00D977AC" w:rsidRPr="00DD7677" w:rsidRDefault="00306B65" w:rsidP="00EC4DAF">
      <w:pPr>
        <w:pStyle w:val="Odstavecseseznamem"/>
        <w:ind w:left="0"/>
        <w:jc w:val="both"/>
        <w:rPr>
          <w:sz w:val="20"/>
          <w:szCs w:val="20"/>
        </w:rPr>
      </w:pPr>
      <w:bookmarkStart w:id="58" w:name="_Toc67162701"/>
      <w:r w:rsidRPr="00306B65">
        <w:rPr>
          <w:b/>
          <w:bCs/>
          <w:sz w:val="20"/>
          <w:szCs w:val="20"/>
        </w:rPr>
        <w:t xml:space="preserve">Tabulka </w:t>
      </w:r>
      <w:r w:rsidRPr="00306B65">
        <w:rPr>
          <w:b/>
          <w:bCs/>
          <w:sz w:val="20"/>
          <w:szCs w:val="20"/>
        </w:rPr>
        <w:fldChar w:fldCharType="begin"/>
      </w:r>
      <w:r w:rsidRPr="00306B65">
        <w:rPr>
          <w:b/>
          <w:bCs/>
          <w:sz w:val="20"/>
          <w:szCs w:val="20"/>
        </w:rPr>
        <w:instrText xml:space="preserve"> SEQ Tabulka \* ARABIC </w:instrText>
      </w:r>
      <w:r w:rsidRPr="00306B65">
        <w:rPr>
          <w:b/>
          <w:bCs/>
          <w:sz w:val="20"/>
          <w:szCs w:val="20"/>
        </w:rPr>
        <w:fldChar w:fldCharType="separate"/>
      </w:r>
      <w:r w:rsidR="00C43719">
        <w:rPr>
          <w:b/>
          <w:bCs/>
          <w:noProof/>
          <w:sz w:val="20"/>
          <w:szCs w:val="20"/>
        </w:rPr>
        <w:t>3</w:t>
      </w:r>
      <w:r w:rsidRPr="00306B65">
        <w:rPr>
          <w:b/>
          <w:bCs/>
          <w:sz w:val="20"/>
          <w:szCs w:val="20"/>
        </w:rPr>
        <w:fldChar w:fldCharType="end"/>
      </w:r>
      <w:r w:rsidRPr="00306B65">
        <w:rPr>
          <w:b/>
          <w:bCs/>
          <w:sz w:val="20"/>
          <w:szCs w:val="20"/>
        </w:rPr>
        <w:t xml:space="preserve">: </w:t>
      </w:r>
      <w:r w:rsidR="00D977AC" w:rsidRPr="00C22FC4">
        <w:rPr>
          <w:sz w:val="20"/>
          <w:szCs w:val="20"/>
        </w:rPr>
        <w:t xml:space="preserve">Nejčastější nalezené změny u jednotlivých subtypů </w:t>
      </w:r>
      <w:r w:rsidR="00383DDD" w:rsidRPr="00C22FC4">
        <w:rPr>
          <w:sz w:val="20"/>
          <w:szCs w:val="20"/>
        </w:rPr>
        <w:t xml:space="preserve">difuzních astrocytárních a oligodendrogliálních  </w:t>
      </w:r>
      <w:r w:rsidR="00D977AC" w:rsidRPr="00C22FC4">
        <w:rPr>
          <w:sz w:val="20"/>
          <w:szCs w:val="20"/>
        </w:rPr>
        <w:t xml:space="preserve"> nádorů dle WHO 2016</w:t>
      </w:r>
      <w:r w:rsidR="00C22FC4">
        <w:rPr>
          <w:sz w:val="20"/>
          <w:szCs w:val="20"/>
        </w:rPr>
        <w:t xml:space="preserve"> klasifikace</w:t>
      </w:r>
      <w:r w:rsidR="00D977AC" w:rsidRPr="00C22FC4">
        <w:rPr>
          <w:sz w:val="20"/>
          <w:szCs w:val="20"/>
        </w:rPr>
        <w:t>. Upraveno dle</w:t>
      </w:r>
      <w:r w:rsidR="00D977AC" w:rsidRPr="00DD7677">
        <w:rPr>
          <w:sz w:val="20"/>
          <w:szCs w:val="20"/>
        </w:rPr>
        <w:t xml:space="preserve"> </w:t>
      </w:r>
      <w:r w:rsidR="00D977AC">
        <w:rPr>
          <w:sz w:val="20"/>
          <w:szCs w:val="20"/>
        </w:rPr>
        <w:fldChar w:fldCharType="begin" w:fldLock="1"/>
      </w:r>
      <w:r w:rsidR="00A60111">
        <w:rPr>
          <w:sz w:val="20"/>
          <w:szCs w:val="20"/>
        </w:rPr>
        <w:instrText>ADDIN CSL_CITATION {"citationItems":[{"id":"ITEM-1","itemData":{"DOI":"10.1038/s41582-019-0220-2","ISSN":"17594766","PMID":"31227792","abstract":"The WHO 2007 glioma classification system (based primarily on tumour histology) resulted in considerable interobserver variability and substantial variation in patient survival within grades. Furthermore, few risk factors for glioma were known. Discoveries over the past decade have deepened our understanding of the molecular alterations underlying glioma and have led to the identification of numerous genetic risk factors. The advances in molecular characterization of glioma have reframed our understanding of its biology and led to the development of a new classification system for glioma. The WHO 2016 classification system comprises five glioma subtypes, categorized by both tumour morphology and molecular genetic information, which led to reduced misclassification and improved consistency of outcomes within glioma subtypes. To date, 25 risk loci for glioma have been identified and several rare inherited mutations that might cause glioma in some families have been discovered. This Review focuses on the two dominant trends in glioma science: the characterization of diagnostic and prognostic tumour markers and the identification of genetic and other risk factors. An overview of the many challenges still facing glioma researchers is also included.","author":[{"dropping-particle":"","family":"Molinaro","given":"Annette M.","non-dropping-particle":"","parse-names":false,"suffix":""},{"dropping-particle":"","family":"Taylor","given":"Jennie W.","non-dropping-particle":"","parse-names":false,"suffix":""},{"dropping-particle":"","family":"Wiencke","given":"John K.","non-dropping-particle":"","parse-names":false,"suffix":""},{"dropping-particle":"","family":"Wrensch","given":"Margaret R.","non-dropping-particle":"","parse-names":false,"suffix":""}],"container-title":"Nature Reviews Neurology","id":"ITEM-1","issue":"7","issued":{"date-parts":[["2019","7","1"]]},"page":"405-417","publisher":"Nature Publishing Group","title":"Genetic and molecular epidemiology of adult diffuse glioma","type":"article","volume":"15"},"uris":["http://www.mendeley.com/documents/?uuid=21308f60-a43b-3a1e-9fde-0838f5f499a8"]}],"mendeley":{"formattedCitation":"&lt;sup&gt;210&lt;/sup&gt;","plainTextFormattedCitation":"210","previouslyFormattedCitation":"&lt;sup&gt;210&lt;/sup&gt;"},"properties":{"noteIndex":0},"schema":"https://github.com/citation-style-language/schema/raw/master/csl-citation.json"}</w:instrText>
      </w:r>
      <w:r w:rsidR="00D977AC">
        <w:rPr>
          <w:sz w:val="20"/>
          <w:szCs w:val="20"/>
        </w:rPr>
        <w:fldChar w:fldCharType="separate"/>
      </w:r>
      <w:r w:rsidR="00F90F1D" w:rsidRPr="00F90F1D">
        <w:rPr>
          <w:noProof/>
          <w:sz w:val="20"/>
          <w:szCs w:val="20"/>
          <w:vertAlign w:val="superscript"/>
        </w:rPr>
        <w:t>210</w:t>
      </w:r>
      <w:r w:rsidR="00D977AC">
        <w:rPr>
          <w:sz w:val="20"/>
          <w:szCs w:val="20"/>
        </w:rPr>
        <w:fldChar w:fldCharType="end"/>
      </w:r>
      <w:r w:rsidR="00D977AC">
        <w:rPr>
          <w:sz w:val="20"/>
          <w:szCs w:val="20"/>
        </w:rPr>
        <w:t>.</w:t>
      </w:r>
      <w:bookmarkEnd w:id="58"/>
    </w:p>
    <w:tbl>
      <w:tblPr>
        <w:tblW w:w="9639" w:type="dxa"/>
        <w:tblCellMar>
          <w:left w:w="70" w:type="dxa"/>
          <w:right w:w="70" w:type="dxa"/>
        </w:tblCellMar>
        <w:tblLook w:val="04A0" w:firstRow="1" w:lastRow="0" w:firstColumn="1" w:lastColumn="0" w:noHBand="0" w:noVBand="1"/>
      </w:tblPr>
      <w:tblGrid>
        <w:gridCol w:w="142"/>
        <w:gridCol w:w="1701"/>
        <w:gridCol w:w="2693"/>
        <w:gridCol w:w="1985"/>
        <w:gridCol w:w="2693"/>
        <w:gridCol w:w="425"/>
      </w:tblGrid>
      <w:tr w:rsidR="00D977AC" w:rsidRPr="00DD7677" w14:paraId="727E3FE3" w14:textId="77777777" w:rsidTr="00C22FC4">
        <w:trPr>
          <w:gridBefore w:val="1"/>
          <w:gridAfter w:val="1"/>
          <w:wBefore w:w="142" w:type="dxa"/>
          <w:wAfter w:w="425" w:type="dxa"/>
          <w:trHeight w:val="300"/>
        </w:trPr>
        <w:tc>
          <w:tcPr>
            <w:tcW w:w="1701" w:type="dxa"/>
            <w:tcBorders>
              <w:top w:val="nil"/>
              <w:left w:val="nil"/>
              <w:bottom w:val="single" w:sz="4" w:space="0" w:color="auto"/>
              <w:right w:val="nil"/>
            </w:tcBorders>
            <w:shd w:val="clear" w:color="auto" w:fill="auto"/>
            <w:noWrap/>
            <w:vAlign w:val="bottom"/>
            <w:hideMark/>
          </w:tcPr>
          <w:p w14:paraId="1D559F00" w14:textId="6F5B3BE3" w:rsidR="00D977AC" w:rsidRPr="00DD7677" w:rsidRDefault="00D977AC" w:rsidP="00EC4DAF">
            <w:pPr>
              <w:spacing w:after="0" w:line="240" w:lineRule="auto"/>
              <w:rPr>
                <w:rFonts w:ascii="Calibri" w:eastAsia="Times New Roman" w:hAnsi="Calibri" w:cs="Calibri"/>
                <w:color w:val="000000"/>
                <w:sz w:val="20"/>
                <w:szCs w:val="20"/>
              </w:rPr>
            </w:pPr>
            <w:r>
              <w:t xml:space="preserve"> </w:t>
            </w:r>
            <w:r w:rsidRPr="00DD7677">
              <w:rPr>
                <w:rFonts w:ascii="Calibri" w:eastAsia="Times New Roman" w:hAnsi="Calibri" w:cs="Calibri"/>
                <w:color w:val="000000"/>
                <w:sz w:val="20"/>
                <w:szCs w:val="20"/>
              </w:rPr>
              <w:t xml:space="preserve">WHO 2016 </w:t>
            </w:r>
          </w:p>
        </w:tc>
        <w:tc>
          <w:tcPr>
            <w:tcW w:w="2693" w:type="dxa"/>
            <w:tcBorders>
              <w:top w:val="nil"/>
              <w:left w:val="nil"/>
              <w:bottom w:val="single" w:sz="4" w:space="0" w:color="auto"/>
              <w:right w:val="double" w:sz="6" w:space="0" w:color="auto"/>
            </w:tcBorders>
            <w:shd w:val="clear" w:color="auto" w:fill="auto"/>
            <w:noWrap/>
            <w:vAlign w:val="bottom"/>
            <w:hideMark/>
          </w:tcPr>
          <w:p w14:paraId="78C1720D"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časté molekulární aberace</w:t>
            </w:r>
          </w:p>
        </w:tc>
        <w:tc>
          <w:tcPr>
            <w:tcW w:w="1985" w:type="dxa"/>
            <w:tcBorders>
              <w:top w:val="nil"/>
              <w:left w:val="nil"/>
              <w:bottom w:val="single" w:sz="4" w:space="0" w:color="auto"/>
              <w:right w:val="nil"/>
            </w:tcBorders>
            <w:shd w:val="clear" w:color="auto" w:fill="auto"/>
            <w:noWrap/>
            <w:vAlign w:val="bottom"/>
            <w:hideMark/>
          </w:tcPr>
          <w:p w14:paraId="30415FA0" w14:textId="1A1559AB"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WHO 2016</w:t>
            </w:r>
          </w:p>
        </w:tc>
        <w:tc>
          <w:tcPr>
            <w:tcW w:w="2693" w:type="dxa"/>
            <w:tcBorders>
              <w:top w:val="nil"/>
              <w:left w:val="nil"/>
              <w:bottom w:val="single" w:sz="4" w:space="0" w:color="auto"/>
              <w:right w:val="nil"/>
            </w:tcBorders>
            <w:shd w:val="clear" w:color="auto" w:fill="auto"/>
            <w:noWrap/>
            <w:vAlign w:val="bottom"/>
            <w:hideMark/>
          </w:tcPr>
          <w:p w14:paraId="56FE3D30"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časté molekulární aberace</w:t>
            </w:r>
          </w:p>
        </w:tc>
      </w:tr>
      <w:tr w:rsidR="00D977AC" w:rsidRPr="00DD7677" w14:paraId="6155BB53"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7065E56B" w14:textId="28DF2BB8"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GBM, </w:t>
            </w:r>
            <w:r w:rsidRPr="000503E8">
              <w:rPr>
                <w:rFonts w:ascii="Calibri" w:eastAsia="Times New Roman" w:hAnsi="Calibri" w:cs="Calibri"/>
                <w:i/>
                <w:iCs/>
                <w:color w:val="000000"/>
                <w:sz w:val="20"/>
                <w:szCs w:val="20"/>
              </w:rPr>
              <w:t>IDH</w:t>
            </w:r>
            <w:r w:rsidRPr="00DD7677">
              <w:rPr>
                <w:rFonts w:ascii="Calibri" w:eastAsia="Times New Roman" w:hAnsi="Calibri" w:cs="Calibri"/>
                <w:color w:val="000000"/>
                <w:sz w:val="20"/>
                <w:szCs w:val="20"/>
              </w:rPr>
              <w:t>wt</w:t>
            </w:r>
          </w:p>
        </w:tc>
        <w:tc>
          <w:tcPr>
            <w:tcW w:w="2693" w:type="dxa"/>
            <w:tcBorders>
              <w:top w:val="nil"/>
              <w:left w:val="nil"/>
              <w:bottom w:val="nil"/>
              <w:right w:val="double" w:sz="6" w:space="0" w:color="auto"/>
            </w:tcBorders>
            <w:shd w:val="clear" w:color="auto" w:fill="auto"/>
            <w:noWrap/>
            <w:vAlign w:val="bottom"/>
            <w:hideMark/>
          </w:tcPr>
          <w:p w14:paraId="101F20C0" w14:textId="77777777" w:rsidR="00D977AC" w:rsidRPr="00DD7677" w:rsidRDefault="00D977AC" w:rsidP="00EC4DAF">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mutace </w:t>
            </w:r>
            <w:r w:rsidRPr="00D977AC">
              <w:rPr>
                <w:rFonts w:ascii="Calibri" w:eastAsia="Times New Roman" w:hAnsi="Calibri" w:cs="Calibri"/>
                <w:i/>
                <w:iCs/>
                <w:color w:val="000000"/>
                <w:sz w:val="20"/>
                <w:szCs w:val="20"/>
              </w:rPr>
              <w:t xml:space="preserve">TP53 </w:t>
            </w:r>
          </w:p>
        </w:tc>
        <w:tc>
          <w:tcPr>
            <w:tcW w:w="1985" w:type="dxa"/>
            <w:tcBorders>
              <w:top w:val="nil"/>
              <w:left w:val="nil"/>
              <w:bottom w:val="nil"/>
              <w:right w:val="nil"/>
            </w:tcBorders>
            <w:shd w:val="clear" w:color="auto" w:fill="auto"/>
            <w:noWrap/>
            <w:vAlign w:val="bottom"/>
            <w:hideMark/>
          </w:tcPr>
          <w:p w14:paraId="1538285D"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GBM, </w:t>
            </w:r>
            <w:r w:rsidRPr="000503E8">
              <w:rPr>
                <w:rFonts w:ascii="Calibri" w:eastAsia="Times New Roman" w:hAnsi="Calibri" w:cs="Calibri"/>
                <w:i/>
                <w:iCs/>
                <w:color w:val="000000"/>
                <w:sz w:val="20"/>
                <w:szCs w:val="20"/>
              </w:rPr>
              <w:t>IDH</w:t>
            </w:r>
            <w:r w:rsidRPr="00DD7677">
              <w:rPr>
                <w:rFonts w:ascii="Calibri" w:eastAsia="Times New Roman" w:hAnsi="Calibri" w:cs="Calibri"/>
                <w:color w:val="000000"/>
                <w:sz w:val="20"/>
                <w:szCs w:val="20"/>
              </w:rPr>
              <w:t>mut</w:t>
            </w:r>
          </w:p>
        </w:tc>
        <w:tc>
          <w:tcPr>
            <w:tcW w:w="2693" w:type="dxa"/>
            <w:tcBorders>
              <w:top w:val="nil"/>
              <w:left w:val="nil"/>
              <w:bottom w:val="nil"/>
              <w:right w:val="nil"/>
            </w:tcBorders>
            <w:shd w:val="clear" w:color="auto" w:fill="auto"/>
            <w:noWrap/>
            <w:vAlign w:val="bottom"/>
            <w:hideMark/>
          </w:tcPr>
          <w:p w14:paraId="26713D9F"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mutace </w:t>
            </w:r>
            <w:r w:rsidRPr="00D977AC">
              <w:rPr>
                <w:rFonts w:ascii="Calibri" w:eastAsia="Times New Roman" w:hAnsi="Calibri" w:cs="Calibri"/>
                <w:i/>
                <w:iCs/>
                <w:color w:val="000000"/>
                <w:sz w:val="20"/>
                <w:szCs w:val="20"/>
              </w:rPr>
              <w:t>TP53</w:t>
            </w:r>
          </w:p>
        </w:tc>
      </w:tr>
      <w:tr w:rsidR="00D977AC" w:rsidRPr="00DD7677" w14:paraId="08B197A2"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310052B1"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74712D95"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ztráta chromozomu 10</w:t>
            </w:r>
          </w:p>
        </w:tc>
        <w:tc>
          <w:tcPr>
            <w:tcW w:w="1985" w:type="dxa"/>
            <w:tcBorders>
              <w:top w:val="nil"/>
              <w:left w:val="nil"/>
              <w:bottom w:val="nil"/>
              <w:right w:val="nil"/>
            </w:tcBorders>
            <w:shd w:val="clear" w:color="auto" w:fill="auto"/>
            <w:noWrap/>
            <w:vAlign w:val="bottom"/>
            <w:hideMark/>
          </w:tcPr>
          <w:p w14:paraId="34EEB2CD"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nil"/>
            </w:tcBorders>
            <w:shd w:val="clear" w:color="auto" w:fill="auto"/>
            <w:noWrap/>
            <w:vAlign w:val="bottom"/>
            <w:hideMark/>
          </w:tcPr>
          <w:p w14:paraId="444E3E1C"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ztráta chromozomu 10</w:t>
            </w:r>
          </w:p>
        </w:tc>
      </w:tr>
      <w:tr w:rsidR="00D977AC" w:rsidRPr="00DD7677" w14:paraId="07F9EFC5"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2012E511"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0FEA6E08"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delece </w:t>
            </w:r>
            <w:r w:rsidRPr="00D977AC">
              <w:rPr>
                <w:rFonts w:ascii="Calibri" w:eastAsia="Times New Roman" w:hAnsi="Calibri" w:cs="Calibri"/>
                <w:i/>
                <w:iCs/>
                <w:color w:val="000000"/>
                <w:sz w:val="20"/>
                <w:szCs w:val="20"/>
              </w:rPr>
              <w:t>CDKN2A</w:t>
            </w:r>
            <w:r w:rsidRPr="00DD7677">
              <w:rPr>
                <w:rFonts w:ascii="Calibri" w:eastAsia="Times New Roman" w:hAnsi="Calibri" w:cs="Calibri"/>
                <w:color w:val="000000"/>
                <w:sz w:val="20"/>
                <w:szCs w:val="20"/>
              </w:rPr>
              <w:t xml:space="preserve"> nebo </w:t>
            </w:r>
            <w:r w:rsidRPr="00D977AC">
              <w:rPr>
                <w:rFonts w:ascii="Calibri" w:eastAsia="Times New Roman" w:hAnsi="Calibri" w:cs="Calibri"/>
                <w:i/>
                <w:iCs/>
                <w:color w:val="000000"/>
                <w:sz w:val="20"/>
                <w:szCs w:val="20"/>
              </w:rPr>
              <w:t>CDKN2B</w:t>
            </w:r>
            <w:r w:rsidRPr="00DD7677">
              <w:rPr>
                <w:rFonts w:ascii="Calibri" w:eastAsia="Times New Roman" w:hAnsi="Calibri" w:cs="Calibri"/>
                <w:color w:val="000000"/>
                <w:sz w:val="20"/>
                <w:szCs w:val="20"/>
              </w:rPr>
              <w:t xml:space="preserve"> </w:t>
            </w:r>
          </w:p>
        </w:tc>
        <w:tc>
          <w:tcPr>
            <w:tcW w:w="1985" w:type="dxa"/>
            <w:tcBorders>
              <w:top w:val="nil"/>
              <w:left w:val="nil"/>
              <w:bottom w:val="nil"/>
              <w:right w:val="nil"/>
            </w:tcBorders>
            <w:shd w:val="clear" w:color="auto" w:fill="auto"/>
            <w:noWrap/>
            <w:vAlign w:val="bottom"/>
            <w:hideMark/>
          </w:tcPr>
          <w:p w14:paraId="2F8BECDE"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nil"/>
            </w:tcBorders>
            <w:shd w:val="clear" w:color="auto" w:fill="auto"/>
            <w:noWrap/>
            <w:vAlign w:val="bottom"/>
            <w:hideMark/>
          </w:tcPr>
          <w:p w14:paraId="260AD0D3"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delece </w:t>
            </w:r>
            <w:r w:rsidRPr="00D977AC">
              <w:rPr>
                <w:rFonts w:ascii="Calibri" w:eastAsia="Times New Roman" w:hAnsi="Calibri" w:cs="Calibri"/>
                <w:i/>
                <w:iCs/>
                <w:color w:val="000000"/>
                <w:sz w:val="20"/>
                <w:szCs w:val="20"/>
              </w:rPr>
              <w:t xml:space="preserve">CDKN2A </w:t>
            </w:r>
            <w:r w:rsidRPr="00DD7677">
              <w:rPr>
                <w:rFonts w:ascii="Calibri" w:eastAsia="Times New Roman" w:hAnsi="Calibri" w:cs="Calibri"/>
                <w:color w:val="000000"/>
                <w:sz w:val="20"/>
                <w:szCs w:val="20"/>
              </w:rPr>
              <w:t xml:space="preserve">nebo </w:t>
            </w:r>
            <w:r w:rsidRPr="00D977AC">
              <w:rPr>
                <w:rFonts w:ascii="Calibri" w:eastAsia="Times New Roman" w:hAnsi="Calibri" w:cs="Calibri"/>
                <w:i/>
                <w:iCs/>
                <w:color w:val="000000"/>
                <w:sz w:val="20"/>
                <w:szCs w:val="20"/>
              </w:rPr>
              <w:t xml:space="preserve">CDKN2B </w:t>
            </w:r>
          </w:p>
        </w:tc>
      </w:tr>
      <w:tr w:rsidR="00D977AC" w:rsidRPr="00DD7677" w14:paraId="4DE41A9A"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1A700620"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56A7BDE2"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amplifikace </w:t>
            </w:r>
            <w:r w:rsidRPr="00D977AC">
              <w:rPr>
                <w:rFonts w:ascii="Calibri" w:eastAsia="Times New Roman" w:hAnsi="Calibri" w:cs="Calibri"/>
                <w:i/>
                <w:iCs/>
                <w:color w:val="000000"/>
                <w:sz w:val="20"/>
                <w:szCs w:val="20"/>
              </w:rPr>
              <w:t>EGFR</w:t>
            </w:r>
            <w:r w:rsidRPr="00DD7677">
              <w:rPr>
                <w:rFonts w:ascii="Calibri" w:eastAsia="Times New Roman" w:hAnsi="Calibri" w:cs="Calibri"/>
                <w:color w:val="000000"/>
                <w:sz w:val="20"/>
                <w:szCs w:val="20"/>
              </w:rPr>
              <w:t xml:space="preserve"> </w:t>
            </w:r>
          </w:p>
        </w:tc>
        <w:tc>
          <w:tcPr>
            <w:tcW w:w="1985" w:type="dxa"/>
            <w:tcBorders>
              <w:top w:val="nil"/>
              <w:left w:val="nil"/>
              <w:bottom w:val="single" w:sz="4" w:space="0" w:color="auto"/>
              <w:right w:val="nil"/>
            </w:tcBorders>
            <w:shd w:val="clear" w:color="auto" w:fill="auto"/>
            <w:noWrap/>
            <w:vAlign w:val="bottom"/>
            <w:hideMark/>
          </w:tcPr>
          <w:p w14:paraId="7C2C7325"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w:t>
            </w:r>
          </w:p>
        </w:tc>
        <w:tc>
          <w:tcPr>
            <w:tcW w:w="2693" w:type="dxa"/>
            <w:tcBorders>
              <w:top w:val="nil"/>
              <w:left w:val="nil"/>
              <w:bottom w:val="single" w:sz="4" w:space="0" w:color="auto"/>
              <w:right w:val="nil"/>
            </w:tcBorders>
            <w:shd w:val="clear" w:color="auto" w:fill="auto"/>
            <w:noWrap/>
            <w:vAlign w:val="bottom"/>
            <w:hideMark/>
          </w:tcPr>
          <w:p w14:paraId="504A4FCC"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metylace </w:t>
            </w:r>
            <w:r w:rsidRPr="00D977AC">
              <w:rPr>
                <w:rFonts w:ascii="Calibri" w:eastAsia="Times New Roman" w:hAnsi="Calibri" w:cs="Calibri"/>
                <w:i/>
                <w:iCs/>
                <w:color w:val="000000"/>
                <w:sz w:val="20"/>
                <w:szCs w:val="20"/>
              </w:rPr>
              <w:t>MGMT</w:t>
            </w:r>
            <w:r w:rsidRPr="00DD7677">
              <w:rPr>
                <w:rFonts w:ascii="Calibri" w:eastAsia="Times New Roman" w:hAnsi="Calibri" w:cs="Calibri"/>
                <w:color w:val="000000"/>
                <w:sz w:val="20"/>
                <w:szCs w:val="20"/>
              </w:rPr>
              <w:t xml:space="preserve"> 90 %</w:t>
            </w:r>
          </w:p>
        </w:tc>
      </w:tr>
      <w:tr w:rsidR="00D977AC" w:rsidRPr="00DD7677" w14:paraId="5545E765"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42DD6973"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43234302" w14:textId="1131BADC" w:rsidR="00D977AC" w:rsidRPr="00DD7677" w:rsidRDefault="00D977AC" w:rsidP="00EC4DAF">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mutac</w:t>
            </w:r>
            <w:r w:rsidRPr="00A3741B">
              <w:rPr>
                <w:rFonts w:ascii="Calibri" w:eastAsia="Times New Roman" w:hAnsi="Calibri" w:cs="Calibri"/>
                <w:color w:val="000000"/>
                <w:sz w:val="20"/>
                <w:szCs w:val="20"/>
              </w:rPr>
              <w:t xml:space="preserve">e </w:t>
            </w:r>
            <w:r w:rsidRPr="00A3741B">
              <w:rPr>
                <w:rFonts w:ascii="Calibri" w:eastAsia="Times New Roman" w:hAnsi="Calibri" w:cs="Calibri"/>
                <w:i/>
                <w:iCs/>
                <w:color w:val="000000"/>
                <w:sz w:val="20"/>
                <w:szCs w:val="20"/>
              </w:rPr>
              <w:t>PDGFRA</w:t>
            </w:r>
            <w:r w:rsidRPr="00DD7677">
              <w:rPr>
                <w:rFonts w:ascii="Calibri" w:eastAsia="Times New Roman" w:hAnsi="Calibri" w:cs="Calibri"/>
                <w:color w:val="000000"/>
                <w:sz w:val="20"/>
                <w:szCs w:val="20"/>
              </w:rPr>
              <w:t xml:space="preserve"> </w:t>
            </w:r>
          </w:p>
        </w:tc>
        <w:tc>
          <w:tcPr>
            <w:tcW w:w="1985" w:type="dxa"/>
            <w:tcBorders>
              <w:top w:val="nil"/>
              <w:left w:val="nil"/>
              <w:bottom w:val="nil"/>
              <w:right w:val="nil"/>
            </w:tcBorders>
            <w:shd w:val="clear" w:color="auto" w:fill="auto"/>
            <w:noWrap/>
            <w:vAlign w:val="bottom"/>
            <w:hideMark/>
          </w:tcPr>
          <w:p w14:paraId="3ACE8296"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oligodendrogliom, </w:t>
            </w:r>
          </w:p>
        </w:tc>
        <w:tc>
          <w:tcPr>
            <w:tcW w:w="2693" w:type="dxa"/>
            <w:tcBorders>
              <w:top w:val="nil"/>
              <w:left w:val="nil"/>
              <w:bottom w:val="nil"/>
              <w:right w:val="nil"/>
            </w:tcBorders>
            <w:shd w:val="clear" w:color="auto" w:fill="auto"/>
            <w:noWrap/>
            <w:vAlign w:val="bottom"/>
            <w:hideMark/>
          </w:tcPr>
          <w:p w14:paraId="1F748CAF" w14:textId="77777777" w:rsidR="00D977AC" w:rsidRPr="001F2782" w:rsidRDefault="00D977AC" w:rsidP="00EC4DAF">
            <w:pPr>
              <w:spacing w:after="0" w:line="240" w:lineRule="auto"/>
              <w:rPr>
                <w:rFonts w:ascii="Calibri" w:eastAsia="Times New Roman" w:hAnsi="Calibri" w:cs="Calibri"/>
                <w:color w:val="000000"/>
                <w:sz w:val="20"/>
                <w:szCs w:val="20"/>
              </w:rPr>
            </w:pPr>
            <w:r w:rsidRPr="001F2782">
              <w:rPr>
                <w:rFonts w:ascii="Calibri" w:eastAsia="Times New Roman" w:hAnsi="Calibri" w:cs="Calibri"/>
                <w:color w:val="000000"/>
                <w:sz w:val="20"/>
                <w:szCs w:val="20"/>
              </w:rPr>
              <w:t xml:space="preserve">mutace </w:t>
            </w:r>
            <w:r w:rsidRPr="001F2782">
              <w:rPr>
                <w:rFonts w:ascii="Calibri" w:eastAsia="Times New Roman" w:hAnsi="Calibri" w:cs="Calibri"/>
                <w:i/>
                <w:iCs/>
                <w:color w:val="000000"/>
                <w:sz w:val="20"/>
                <w:szCs w:val="20"/>
              </w:rPr>
              <w:t>CIC</w:t>
            </w:r>
          </w:p>
        </w:tc>
      </w:tr>
      <w:tr w:rsidR="00D977AC" w:rsidRPr="00DD7677" w14:paraId="68C74EED"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75CAF504"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062686CE"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mutace</w:t>
            </w:r>
            <w:r>
              <w:rPr>
                <w:rFonts w:ascii="Calibri" w:eastAsia="Times New Roman" w:hAnsi="Calibri" w:cs="Calibri"/>
                <w:color w:val="000000"/>
                <w:sz w:val="20"/>
                <w:szCs w:val="20"/>
              </w:rPr>
              <w:t xml:space="preserve"> </w:t>
            </w:r>
            <w:r w:rsidRPr="00D977AC">
              <w:rPr>
                <w:rFonts w:ascii="Calibri" w:eastAsia="Times New Roman" w:hAnsi="Calibri" w:cs="Calibri"/>
                <w:i/>
                <w:iCs/>
                <w:color w:val="000000"/>
                <w:sz w:val="20"/>
                <w:szCs w:val="20"/>
              </w:rPr>
              <w:t>NF1</w:t>
            </w:r>
          </w:p>
        </w:tc>
        <w:tc>
          <w:tcPr>
            <w:tcW w:w="1985" w:type="dxa"/>
            <w:tcBorders>
              <w:top w:val="nil"/>
              <w:left w:val="nil"/>
              <w:bottom w:val="nil"/>
              <w:right w:val="nil"/>
            </w:tcBorders>
            <w:shd w:val="clear" w:color="auto" w:fill="auto"/>
            <w:noWrap/>
            <w:vAlign w:val="bottom"/>
            <w:hideMark/>
          </w:tcPr>
          <w:p w14:paraId="0F0E3321" w14:textId="77777777" w:rsidR="00D977AC" w:rsidRPr="00DD7677" w:rsidRDefault="00D977AC" w:rsidP="00EC4DAF">
            <w:pPr>
              <w:spacing w:after="0" w:line="240" w:lineRule="auto"/>
              <w:rPr>
                <w:rFonts w:ascii="Calibri" w:eastAsia="Times New Roman" w:hAnsi="Calibri" w:cs="Calibri"/>
                <w:color w:val="000000"/>
                <w:sz w:val="20"/>
                <w:szCs w:val="20"/>
              </w:rPr>
            </w:pPr>
            <w:r w:rsidRPr="000503E8">
              <w:rPr>
                <w:rFonts w:ascii="Calibri" w:eastAsia="Times New Roman" w:hAnsi="Calibri" w:cs="Calibri"/>
                <w:i/>
                <w:iCs/>
                <w:color w:val="000000"/>
                <w:sz w:val="20"/>
                <w:szCs w:val="20"/>
              </w:rPr>
              <w:t>IDH</w:t>
            </w:r>
            <w:r w:rsidRPr="00DD7677">
              <w:rPr>
                <w:rFonts w:ascii="Calibri" w:eastAsia="Times New Roman" w:hAnsi="Calibri" w:cs="Calibri"/>
                <w:color w:val="000000"/>
                <w:sz w:val="20"/>
                <w:szCs w:val="20"/>
              </w:rPr>
              <w:t>mut</w:t>
            </w:r>
          </w:p>
        </w:tc>
        <w:tc>
          <w:tcPr>
            <w:tcW w:w="2693" w:type="dxa"/>
            <w:tcBorders>
              <w:top w:val="nil"/>
              <w:left w:val="nil"/>
              <w:bottom w:val="nil"/>
              <w:right w:val="nil"/>
            </w:tcBorders>
            <w:shd w:val="clear" w:color="auto" w:fill="auto"/>
            <w:noWrap/>
            <w:vAlign w:val="bottom"/>
            <w:hideMark/>
          </w:tcPr>
          <w:p w14:paraId="2ECC257F" w14:textId="77777777" w:rsidR="00D977AC" w:rsidRPr="001F2782" w:rsidRDefault="00D977AC" w:rsidP="00EC4DAF">
            <w:pPr>
              <w:spacing w:after="0" w:line="240" w:lineRule="auto"/>
              <w:rPr>
                <w:rFonts w:ascii="Calibri" w:eastAsia="Times New Roman" w:hAnsi="Calibri" w:cs="Calibri"/>
                <w:color w:val="000000"/>
                <w:sz w:val="20"/>
                <w:szCs w:val="20"/>
              </w:rPr>
            </w:pPr>
            <w:r w:rsidRPr="001F2782">
              <w:rPr>
                <w:rFonts w:ascii="Calibri" w:eastAsia="Times New Roman" w:hAnsi="Calibri" w:cs="Calibri"/>
                <w:color w:val="000000"/>
                <w:sz w:val="20"/>
                <w:szCs w:val="20"/>
              </w:rPr>
              <w:t xml:space="preserve">mutace </w:t>
            </w:r>
            <w:r w:rsidRPr="001F2782">
              <w:rPr>
                <w:rFonts w:ascii="Calibri" w:eastAsia="Times New Roman" w:hAnsi="Calibri" w:cs="Calibri"/>
                <w:i/>
                <w:iCs/>
                <w:color w:val="000000"/>
                <w:sz w:val="20"/>
                <w:szCs w:val="20"/>
              </w:rPr>
              <w:t>FUBP1</w:t>
            </w:r>
            <w:r w:rsidRPr="001F2782">
              <w:rPr>
                <w:rFonts w:ascii="Calibri" w:eastAsia="Times New Roman" w:hAnsi="Calibri" w:cs="Calibri"/>
                <w:color w:val="000000"/>
                <w:sz w:val="20"/>
                <w:szCs w:val="20"/>
              </w:rPr>
              <w:t xml:space="preserve"> </w:t>
            </w:r>
          </w:p>
        </w:tc>
      </w:tr>
      <w:tr w:rsidR="00D977AC" w:rsidRPr="00DD7677" w14:paraId="592D4180"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412BD97A"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4A42EF11"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navýšení chromozomu 7</w:t>
            </w:r>
          </w:p>
        </w:tc>
        <w:tc>
          <w:tcPr>
            <w:tcW w:w="1985" w:type="dxa"/>
            <w:tcBorders>
              <w:top w:val="nil"/>
              <w:left w:val="nil"/>
              <w:bottom w:val="nil"/>
              <w:right w:val="nil"/>
            </w:tcBorders>
            <w:shd w:val="clear" w:color="auto" w:fill="auto"/>
            <w:noWrap/>
            <w:vAlign w:val="bottom"/>
            <w:hideMark/>
          </w:tcPr>
          <w:p w14:paraId="04DA3F8A"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1p/19q kodeletovaný</w:t>
            </w:r>
          </w:p>
        </w:tc>
        <w:tc>
          <w:tcPr>
            <w:tcW w:w="2693" w:type="dxa"/>
            <w:tcBorders>
              <w:top w:val="nil"/>
              <w:left w:val="nil"/>
              <w:bottom w:val="nil"/>
              <w:right w:val="nil"/>
            </w:tcBorders>
            <w:shd w:val="clear" w:color="auto" w:fill="auto"/>
            <w:noWrap/>
            <w:vAlign w:val="bottom"/>
            <w:hideMark/>
          </w:tcPr>
          <w:p w14:paraId="43C434E0"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 xml:space="preserve">mutace </w:t>
            </w:r>
            <w:r w:rsidRPr="00A3741B">
              <w:rPr>
                <w:rFonts w:ascii="Calibri" w:eastAsia="Times New Roman" w:hAnsi="Calibri" w:cs="Calibri"/>
                <w:i/>
                <w:iCs/>
                <w:color w:val="000000"/>
                <w:sz w:val="20"/>
                <w:szCs w:val="20"/>
              </w:rPr>
              <w:t>NOTCH1</w:t>
            </w:r>
          </w:p>
        </w:tc>
      </w:tr>
      <w:tr w:rsidR="00D977AC" w:rsidRPr="00DD7677" w14:paraId="3FC2DB0B"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3836BA52"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2696A811"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mutace </w:t>
            </w:r>
            <w:r w:rsidRPr="00D977AC">
              <w:rPr>
                <w:rFonts w:ascii="Calibri" w:eastAsia="Times New Roman" w:hAnsi="Calibri" w:cs="Calibri"/>
                <w:i/>
                <w:iCs/>
                <w:color w:val="000000"/>
                <w:sz w:val="20"/>
                <w:szCs w:val="20"/>
              </w:rPr>
              <w:t>PTEN</w:t>
            </w:r>
          </w:p>
        </w:tc>
        <w:tc>
          <w:tcPr>
            <w:tcW w:w="1985" w:type="dxa"/>
            <w:tcBorders>
              <w:top w:val="nil"/>
              <w:left w:val="nil"/>
              <w:bottom w:val="nil"/>
              <w:right w:val="nil"/>
            </w:tcBorders>
            <w:shd w:val="clear" w:color="auto" w:fill="auto"/>
            <w:noWrap/>
            <w:vAlign w:val="bottom"/>
            <w:hideMark/>
          </w:tcPr>
          <w:p w14:paraId="7CBA6A91"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nil"/>
            </w:tcBorders>
            <w:shd w:val="clear" w:color="auto" w:fill="auto"/>
            <w:noWrap/>
            <w:vAlign w:val="bottom"/>
            <w:hideMark/>
          </w:tcPr>
          <w:p w14:paraId="16972714"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 xml:space="preserve">mutace </w:t>
            </w:r>
            <w:r w:rsidRPr="00A3741B">
              <w:rPr>
                <w:rFonts w:ascii="Calibri" w:eastAsia="Times New Roman" w:hAnsi="Calibri" w:cs="Calibri"/>
                <w:i/>
                <w:iCs/>
                <w:color w:val="000000"/>
                <w:sz w:val="20"/>
                <w:szCs w:val="20"/>
              </w:rPr>
              <w:t xml:space="preserve">PI3K </w:t>
            </w:r>
          </w:p>
        </w:tc>
      </w:tr>
      <w:tr w:rsidR="00D977AC" w:rsidRPr="00DD7677" w14:paraId="465D5D45"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315A185A"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686508FD"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amplifikace </w:t>
            </w:r>
            <w:r w:rsidRPr="00D977AC">
              <w:rPr>
                <w:rFonts w:ascii="Calibri" w:eastAsia="Times New Roman" w:hAnsi="Calibri" w:cs="Calibri"/>
                <w:i/>
                <w:iCs/>
                <w:color w:val="000000"/>
                <w:sz w:val="20"/>
                <w:szCs w:val="20"/>
              </w:rPr>
              <w:t>MDM2</w:t>
            </w:r>
          </w:p>
        </w:tc>
        <w:tc>
          <w:tcPr>
            <w:tcW w:w="1985" w:type="dxa"/>
            <w:tcBorders>
              <w:top w:val="nil"/>
              <w:left w:val="nil"/>
              <w:bottom w:val="nil"/>
              <w:right w:val="nil"/>
            </w:tcBorders>
            <w:shd w:val="clear" w:color="auto" w:fill="auto"/>
            <w:noWrap/>
            <w:vAlign w:val="bottom"/>
            <w:hideMark/>
          </w:tcPr>
          <w:p w14:paraId="0716B904"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nil"/>
            </w:tcBorders>
            <w:shd w:val="clear" w:color="auto" w:fill="auto"/>
            <w:noWrap/>
            <w:vAlign w:val="bottom"/>
            <w:hideMark/>
          </w:tcPr>
          <w:p w14:paraId="0DC47F89"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 xml:space="preserve">delece </w:t>
            </w:r>
            <w:r w:rsidRPr="00A3741B">
              <w:rPr>
                <w:rFonts w:ascii="Calibri" w:eastAsia="Times New Roman" w:hAnsi="Calibri" w:cs="Calibri"/>
                <w:i/>
                <w:iCs/>
                <w:color w:val="000000"/>
                <w:sz w:val="20"/>
                <w:szCs w:val="20"/>
              </w:rPr>
              <w:t>CDKN2A</w:t>
            </w:r>
            <w:r w:rsidRPr="00A3741B">
              <w:rPr>
                <w:rFonts w:ascii="Calibri" w:eastAsia="Times New Roman" w:hAnsi="Calibri" w:cs="Calibri"/>
                <w:color w:val="000000"/>
                <w:sz w:val="20"/>
                <w:szCs w:val="20"/>
              </w:rPr>
              <w:t xml:space="preserve"> nebo </w:t>
            </w:r>
            <w:r w:rsidRPr="00A3741B">
              <w:rPr>
                <w:rFonts w:ascii="Calibri" w:eastAsia="Times New Roman" w:hAnsi="Calibri" w:cs="Calibri"/>
                <w:i/>
                <w:iCs/>
                <w:color w:val="000000"/>
                <w:sz w:val="20"/>
                <w:szCs w:val="20"/>
              </w:rPr>
              <w:t>CDKN2B</w:t>
            </w:r>
            <w:r w:rsidRPr="00A3741B">
              <w:rPr>
                <w:rFonts w:ascii="Calibri" w:eastAsia="Times New Roman" w:hAnsi="Calibri" w:cs="Calibri"/>
                <w:color w:val="000000"/>
                <w:sz w:val="20"/>
                <w:szCs w:val="20"/>
              </w:rPr>
              <w:t xml:space="preserve"> </w:t>
            </w:r>
          </w:p>
        </w:tc>
      </w:tr>
      <w:tr w:rsidR="00D977AC" w:rsidRPr="00DD7677" w14:paraId="73A5F36A" w14:textId="77777777" w:rsidTr="00C22FC4">
        <w:trPr>
          <w:gridBefore w:val="1"/>
          <w:gridAfter w:val="1"/>
          <w:wBefore w:w="142" w:type="dxa"/>
          <w:wAfter w:w="425" w:type="dxa"/>
          <w:trHeight w:val="300"/>
        </w:trPr>
        <w:tc>
          <w:tcPr>
            <w:tcW w:w="1701" w:type="dxa"/>
            <w:tcBorders>
              <w:top w:val="nil"/>
              <w:left w:val="nil"/>
              <w:bottom w:val="single" w:sz="4" w:space="0" w:color="auto"/>
              <w:right w:val="nil"/>
            </w:tcBorders>
            <w:shd w:val="clear" w:color="auto" w:fill="auto"/>
            <w:noWrap/>
            <w:vAlign w:val="bottom"/>
            <w:hideMark/>
          </w:tcPr>
          <w:p w14:paraId="06D00A3E"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w:t>
            </w:r>
          </w:p>
        </w:tc>
        <w:tc>
          <w:tcPr>
            <w:tcW w:w="2693" w:type="dxa"/>
            <w:tcBorders>
              <w:top w:val="nil"/>
              <w:left w:val="nil"/>
              <w:bottom w:val="single" w:sz="4" w:space="0" w:color="auto"/>
              <w:right w:val="double" w:sz="6" w:space="0" w:color="auto"/>
            </w:tcBorders>
            <w:shd w:val="clear" w:color="auto" w:fill="auto"/>
            <w:noWrap/>
            <w:vAlign w:val="bottom"/>
            <w:hideMark/>
          </w:tcPr>
          <w:p w14:paraId="7625AEC2"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metylace </w:t>
            </w:r>
            <w:r w:rsidRPr="00D977AC">
              <w:rPr>
                <w:rFonts w:ascii="Calibri" w:eastAsia="Times New Roman" w:hAnsi="Calibri" w:cs="Calibri"/>
                <w:i/>
                <w:iCs/>
                <w:color w:val="000000"/>
                <w:sz w:val="20"/>
                <w:szCs w:val="20"/>
              </w:rPr>
              <w:t>MGMT</w:t>
            </w:r>
            <w:r w:rsidRPr="00DD7677">
              <w:rPr>
                <w:rFonts w:ascii="Calibri" w:eastAsia="Times New Roman" w:hAnsi="Calibri" w:cs="Calibri"/>
                <w:color w:val="000000"/>
                <w:sz w:val="20"/>
                <w:szCs w:val="20"/>
              </w:rPr>
              <w:t xml:space="preserve"> 40 %</w:t>
            </w:r>
          </w:p>
        </w:tc>
        <w:tc>
          <w:tcPr>
            <w:tcW w:w="1985" w:type="dxa"/>
            <w:tcBorders>
              <w:top w:val="nil"/>
              <w:left w:val="nil"/>
              <w:bottom w:val="single" w:sz="4" w:space="0" w:color="auto"/>
              <w:right w:val="nil"/>
            </w:tcBorders>
            <w:shd w:val="clear" w:color="auto" w:fill="auto"/>
            <w:noWrap/>
            <w:vAlign w:val="bottom"/>
            <w:hideMark/>
          </w:tcPr>
          <w:p w14:paraId="1EAE3832"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w:t>
            </w:r>
          </w:p>
        </w:tc>
        <w:tc>
          <w:tcPr>
            <w:tcW w:w="2693" w:type="dxa"/>
            <w:tcBorders>
              <w:top w:val="nil"/>
              <w:left w:val="nil"/>
              <w:bottom w:val="single" w:sz="4" w:space="0" w:color="auto"/>
              <w:right w:val="nil"/>
            </w:tcBorders>
            <w:shd w:val="clear" w:color="auto" w:fill="auto"/>
            <w:noWrap/>
            <w:vAlign w:val="bottom"/>
            <w:hideMark/>
          </w:tcPr>
          <w:p w14:paraId="1CAEA969"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 xml:space="preserve">metylace </w:t>
            </w:r>
            <w:r w:rsidRPr="00A3741B">
              <w:rPr>
                <w:rFonts w:ascii="Calibri" w:eastAsia="Times New Roman" w:hAnsi="Calibri" w:cs="Calibri"/>
                <w:i/>
                <w:iCs/>
                <w:color w:val="000000"/>
                <w:sz w:val="20"/>
                <w:szCs w:val="20"/>
              </w:rPr>
              <w:t>MGMT</w:t>
            </w:r>
            <w:r w:rsidRPr="00A3741B">
              <w:rPr>
                <w:rFonts w:ascii="Calibri" w:eastAsia="Times New Roman" w:hAnsi="Calibri" w:cs="Calibri"/>
                <w:color w:val="000000"/>
                <w:sz w:val="20"/>
                <w:szCs w:val="20"/>
              </w:rPr>
              <w:t xml:space="preserve"> 65-100 %</w:t>
            </w:r>
          </w:p>
        </w:tc>
      </w:tr>
      <w:tr w:rsidR="00D977AC" w:rsidRPr="00DD7677" w14:paraId="58924AF4"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40781448"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astrocytom, </w:t>
            </w:r>
            <w:r w:rsidRPr="000503E8">
              <w:rPr>
                <w:rFonts w:ascii="Calibri" w:eastAsia="Times New Roman" w:hAnsi="Calibri" w:cs="Calibri"/>
                <w:i/>
                <w:iCs/>
                <w:color w:val="000000"/>
                <w:sz w:val="20"/>
                <w:szCs w:val="20"/>
              </w:rPr>
              <w:t>IDH</w:t>
            </w:r>
            <w:r w:rsidRPr="00DD7677">
              <w:rPr>
                <w:rFonts w:ascii="Calibri" w:eastAsia="Times New Roman" w:hAnsi="Calibri" w:cs="Calibri"/>
                <w:color w:val="000000"/>
                <w:sz w:val="20"/>
                <w:szCs w:val="20"/>
              </w:rPr>
              <w:t>wt</w:t>
            </w:r>
          </w:p>
        </w:tc>
        <w:tc>
          <w:tcPr>
            <w:tcW w:w="2693" w:type="dxa"/>
            <w:tcBorders>
              <w:top w:val="nil"/>
              <w:left w:val="nil"/>
              <w:bottom w:val="nil"/>
              <w:right w:val="double" w:sz="6" w:space="0" w:color="auto"/>
            </w:tcBorders>
            <w:shd w:val="clear" w:color="auto" w:fill="auto"/>
            <w:noWrap/>
            <w:vAlign w:val="bottom"/>
            <w:hideMark/>
          </w:tcPr>
          <w:p w14:paraId="59AEE1DA"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ztráta </w:t>
            </w:r>
            <w:r w:rsidRPr="00D977AC">
              <w:rPr>
                <w:rFonts w:ascii="Calibri" w:eastAsia="Times New Roman" w:hAnsi="Calibri" w:cs="Calibri"/>
                <w:i/>
                <w:iCs/>
                <w:color w:val="000000"/>
                <w:sz w:val="20"/>
                <w:szCs w:val="20"/>
              </w:rPr>
              <w:t>PTEN</w:t>
            </w:r>
          </w:p>
        </w:tc>
        <w:tc>
          <w:tcPr>
            <w:tcW w:w="1985" w:type="dxa"/>
            <w:tcBorders>
              <w:top w:val="nil"/>
              <w:left w:val="nil"/>
              <w:bottom w:val="nil"/>
              <w:right w:val="nil"/>
            </w:tcBorders>
            <w:shd w:val="clear" w:color="auto" w:fill="auto"/>
            <w:noWrap/>
            <w:vAlign w:val="bottom"/>
            <w:hideMark/>
          </w:tcPr>
          <w:p w14:paraId="251B3DEA"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astrocytom, </w:t>
            </w:r>
            <w:r w:rsidRPr="000503E8">
              <w:rPr>
                <w:rFonts w:ascii="Calibri" w:eastAsia="Times New Roman" w:hAnsi="Calibri" w:cs="Calibri"/>
                <w:i/>
                <w:iCs/>
                <w:color w:val="000000"/>
                <w:sz w:val="20"/>
                <w:szCs w:val="20"/>
              </w:rPr>
              <w:t>IDH</w:t>
            </w:r>
            <w:r w:rsidRPr="00DD7677">
              <w:rPr>
                <w:rFonts w:ascii="Calibri" w:eastAsia="Times New Roman" w:hAnsi="Calibri" w:cs="Calibri"/>
                <w:color w:val="000000"/>
                <w:sz w:val="20"/>
                <w:szCs w:val="20"/>
              </w:rPr>
              <w:t>mut</w:t>
            </w:r>
          </w:p>
        </w:tc>
        <w:tc>
          <w:tcPr>
            <w:tcW w:w="2693" w:type="dxa"/>
            <w:tcBorders>
              <w:top w:val="nil"/>
              <w:left w:val="nil"/>
              <w:bottom w:val="nil"/>
              <w:right w:val="nil"/>
            </w:tcBorders>
            <w:shd w:val="clear" w:color="auto" w:fill="auto"/>
            <w:noWrap/>
            <w:vAlign w:val="bottom"/>
            <w:hideMark/>
          </w:tcPr>
          <w:p w14:paraId="21230C0E"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 xml:space="preserve">mutace </w:t>
            </w:r>
            <w:r w:rsidRPr="00A3741B">
              <w:rPr>
                <w:rFonts w:ascii="Calibri" w:eastAsia="Times New Roman" w:hAnsi="Calibri" w:cs="Calibri"/>
                <w:i/>
                <w:iCs/>
                <w:color w:val="000000"/>
                <w:sz w:val="20"/>
                <w:szCs w:val="20"/>
              </w:rPr>
              <w:t>TP53</w:t>
            </w:r>
          </w:p>
        </w:tc>
      </w:tr>
      <w:tr w:rsidR="00D977AC" w:rsidRPr="00DD7677" w14:paraId="23AF3860"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7F52529F"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143891C1"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amplifikace </w:t>
            </w:r>
            <w:r w:rsidRPr="00D977AC">
              <w:rPr>
                <w:rFonts w:ascii="Calibri" w:eastAsia="Times New Roman" w:hAnsi="Calibri" w:cs="Calibri"/>
                <w:i/>
                <w:iCs/>
                <w:color w:val="000000"/>
                <w:sz w:val="20"/>
                <w:szCs w:val="20"/>
              </w:rPr>
              <w:t>EGFR</w:t>
            </w:r>
          </w:p>
        </w:tc>
        <w:tc>
          <w:tcPr>
            <w:tcW w:w="1985" w:type="dxa"/>
            <w:tcBorders>
              <w:top w:val="nil"/>
              <w:left w:val="nil"/>
              <w:bottom w:val="nil"/>
              <w:right w:val="nil"/>
            </w:tcBorders>
            <w:shd w:val="clear" w:color="auto" w:fill="auto"/>
            <w:noWrap/>
            <w:vAlign w:val="bottom"/>
            <w:hideMark/>
          </w:tcPr>
          <w:p w14:paraId="593C537B"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nil"/>
            </w:tcBorders>
            <w:shd w:val="clear" w:color="auto" w:fill="auto"/>
            <w:noWrap/>
            <w:vAlign w:val="bottom"/>
            <w:hideMark/>
          </w:tcPr>
          <w:p w14:paraId="7A5B82A0"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 xml:space="preserve">delece </w:t>
            </w:r>
            <w:r w:rsidRPr="00A3741B">
              <w:rPr>
                <w:rFonts w:ascii="Calibri" w:eastAsia="Times New Roman" w:hAnsi="Calibri" w:cs="Calibri"/>
                <w:i/>
                <w:iCs/>
                <w:color w:val="000000"/>
                <w:sz w:val="20"/>
                <w:szCs w:val="20"/>
              </w:rPr>
              <w:t>CDKN2A</w:t>
            </w:r>
            <w:r w:rsidRPr="00A3741B">
              <w:rPr>
                <w:rFonts w:ascii="Calibri" w:eastAsia="Times New Roman" w:hAnsi="Calibri" w:cs="Calibri"/>
                <w:color w:val="000000"/>
                <w:sz w:val="20"/>
                <w:szCs w:val="20"/>
              </w:rPr>
              <w:t xml:space="preserve"> nebo </w:t>
            </w:r>
            <w:r w:rsidRPr="00A3741B">
              <w:rPr>
                <w:rFonts w:ascii="Calibri" w:eastAsia="Times New Roman" w:hAnsi="Calibri" w:cs="Calibri"/>
                <w:i/>
                <w:iCs/>
                <w:color w:val="000000"/>
                <w:sz w:val="20"/>
                <w:szCs w:val="20"/>
              </w:rPr>
              <w:t>CDKN2B</w:t>
            </w:r>
            <w:r w:rsidRPr="00A3741B">
              <w:rPr>
                <w:rFonts w:ascii="Calibri" w:eastAsia="Times New Roman" w:hAnsi="Calibri" w:cs="Calibri"/>
                <w:color w:val="000000"/>
                <w:sz w:val="20"/>
                <w:szCs w:val="20"/>
              </w:rPr>
              <w:t xml:space="preserve"> </w:t>
            </w:r>
          </w:p>
        </w:tc>
      </w:tr>
      <w:tr w:rsidR="00D977AC" w:rsidRPr="00DD7677" w14:paraId="42480B16"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14128548"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258FDCCC"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mutace </w:t>
            </w:r>
            <w:r w:rsidRPr="00D977AC">
              <w:rPr>
                <w:rFonts w:ascii="Calibri" w:eastAsia="Times New Roman" w:hAnsi="Calibri" w:cs="Calibri"/>
                <w:i/>
                <w:iCs/>
                <w:color w:val="000000"/>
                <w:sz w:val="20"/>
                <w:szCs w:val="20"/>
              </w:rPr>
              <w:t>TP53</w:t>
            </w:r>
          </w:p>
        </w:tc>
        <w:tc>
          <w:tcPr>
            <w:tcW w:w="1985" w:type="dxa"/>
            <w:tcBorders>
              <w:top w:val="nil"/>
              <w:left w:val="nil"/>
              <w:bottom w:val="nil"/>
              <w:right w:val="nil"/>
            </w:tcBorders>
            <w:shd w:val="clear" w:color="auto" w:fill="auto"/>
            <w:noWrap/>
            <w:vAlign w:val="bottom"/>
            <w:hideMark/>
          </w:tcPr>
          <w:p w14:paraId="1B163615"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nil"/>
            </w:tcBorders>
            <w:shd w:val="clear" w:color="auto" w:fill="auto"/>
            <w:noWrap/>
            <w:vAlign w:val="bottom"/>
            <w:hideMark/>
          </w:tcPr>
          <w:p w14:paraId="3E259168"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 xml:space="preserve">amplifikace </w:t>
            </w:r>
            <w:r w:rsidRPr="00A3741B">
              <w:rPr>
                <w:rFonts w:ascii="Calibri" w:eastAsia="Times New Roman" w:hAnsi="Calibri" w:cs="Calibri"/>
                <w:i/>
                <w:iCs/>
                <w:color w:val="000000"/>
                <w:sz w:val="20"/>
                <w:szCs w:val="20"/>
              </w:rPr>
              <w:t>MYC</w:t>
            </w:r>
          </w:p>
        </w:tc>
      </w:tr>
      <w:tr w:rsidR="00D977AC" w:rsidRPr="00DD7677" w14:paraId="54BC102C" w14:textId="77777777" w:rsidTr="00C22FC4">
        <w:trPr>
          <w:gridBefore w:val="1"/>
          <w:gridAfter w:val="1"/>
          <w:wBefore w:w="142" w:type="dxa"/>
          <w:wAfter w:w="425" w:type="dxa"/>
          <w:trHeight w:val="300"/>
        </w:trPr>
        <w:tc>
          <w:tcPr>
            <w:tcW w:w="1701" w:type="dxa"/>
            <w:tcBorders>
              <w:top w:val="nil"/>
              <w:left w:val="nil"/>
              <w:bottom w:val="nil"/>
              <w:right w:val="nil"/>
            </w:tcBorders>
            <w:shd w:val="clear" w:color="auto" w:fill="auto"/>
            <w:noWrap/>
            <w:vAlign w:val="bottom"/>
            <w:hideMark/>
          </w:tcPr>
          <w:p w14:paraId="60DE2FB2"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46D89E4C" w14:textId="7FA557DA" w:rsidR="00D977AC" w:rsidRPr="00DD7677" w:rsidRDefault="00D977AC" w:rsidP="00EC4DAF">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 xml:space="preserve">mutace </w:t>
            </w:r>
            <w:r w:rsidRPr="00D977AC">
              <w:rPr>
                <w:rFonts w:ascii="Calibri" w:eastAsia="Times New Roman" w:hAnsi="Calibri" w:cs="Calibri"/>
                <w:i/>
                <w:iCs/>
                <w:color w:val="000000"/>
                <w:sz w:val="20"/>
                <w:szCs w:val="20"/>
              </w:rPr>
              <w:t>PIK3CA</w:t>
            </w:r>
            <w:r w:rsidRPr="00DD7677">
              <w:rPr>
                <w:rFonts w:ascii="Calibri" w:eastAsia="Times New Roman" w:hAnsi="Calibri" w:cs="Calibri"/>
                <w:color w:val="000000"/>
                <w:sz w:val="20"/>
                <w:szCs w:val="20"/>
              </w:rPr>
              <w:t xml:space="preserve"> </w:t>
            </w:r>
          </w:p>
        </w:tc>
        <w:tc>
          <w:tcPr>
            <w:tcW w:w="1985" w:type="dxa"/>
            <w:tcBorders>
              <w:top w:val="nil"/>
              <w:left w:val="nil"/>
              <w:bottom w:val="nil"/>
              <w:right w:val="nil"/>
            </w:tcBorders>
            <w:shd w:val="clear" w:color="auto" w:fill="auto"/>
            <w:noWrap/>
            <w:vAlign w:val="bottom"/>
            <w:hideMark/>
          </w:tcPr>
          <w:p w14:paraId="7F3DB341"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nil"/>
            </w:tcBorders>
            <w:shd w:val="clear" w:color="auto" w:fill="auto"/>
            <w:noWrap/>
            <w:vAlign w:val="bottom"/>
            <w:hideMark/>
          </w:tcPr>
          <w:p w14:paraId="7D12C928" w14:textId="77777777" w:rsidR="00D977AC" w:rsidRPr="00A3741B" w:rsidRDefault="00D977AC" w:rsidP="00EC4DAF">
            <w:pPr>
              <w:spacing w:after="0" w:line="240" w:lineRule="auto"/>
              <w:rPr>
                <w:rFonts w:ascii="Calibri" w:eastAsia="Times New Roman" w:hAnsi="Calibri" w:cs="Calibri"/>
                <w:color w:val="000000"/>
                <w:sz w:val="20"/>
                <w:szCs w:val="20"/>
              </w:rPr>
            </w:pPr>
            <w:r w:rsidRPr="00A3741B">
              <w:rPr>
                <w:rFonts w:ascii="Calibri" w:eastAsia="Times New Roman" w:hAnsi="Calibri" w:cs="Calibri"/>
                <w:color w:val="000000"/>
                <w:sz w:val="20"/>
                <w:szCs w:val="20"/>
              </w:rPr>
              <w:t>mutace</w:t>
            </w:r>
            <w:r w:rsidRPr="00A3741B">
              <w:rPr>
                <w:rFonts w:ascii="Calibri" w:eastAsia="Times New Roman" w:hAnsi="Calibri" w:cs="Calibri"/>
                <w:i/>
                <w:iCs/>
                <w:color w:val="000000"/>
                <w:sz w:val="20"/>
                <w:szCs w:val="20"/>
              </w:rPr>
              <w:t xml:space="preserve"> RTK </w:t>
            </w:r>
            <w:r w:rsidRPr="00A3741B">
              <w:rPr>
                <w:rFonts w:ascii="Calibri" w:eastAsia="Times New Roman" w:hAnsi="Calibri" w:cs="Calibri"/>
                <w:color w:val="000000"/>
                <w:sz w:val="20"/>
                <w:szCs w:val="20"/>
              </w:rPr>
              <w:t xml:space="preserve">nebo </w:t>
            </w:r>
            <w:r w:rsidRPr="00A3741B">
              <w:rPr>
                <w:rFonts w:ascii="Calibri" w:eastAsia="Times New Roman" w:hAnsi="Calibri" w:cs="Calibri"/>
                <w:i/>
                <w:iCs/>
                <w:color w:val="000000"/>
                <w:sz w:val="20"/>
                <w:szCs w:val="20"/>
              </w:rPr>
              <w:t>RIS</w:t>
            </w:r>
          </w:p>
        </w:tc>
      </w:tr>
      <w:tr w:rsidR="00D977AC" w:rsidRPr="00DD7677" w14:paraId="20E1B3E4" w14:textId="77777777" w:rsidTr="00C22FC4">
        <w:trPr>
          <w:trHeight w:val="300"/>
        </w:trPr>
        <w:tc>
          <w:tcPr>
            <w:tcW w:w="1843" w:type="dxa"/>
            <w:gridSpan w:val="2"/>
            <w:tcBorders>
              <w:top w:val="nil"/>
              <w:left w:val="nil"/>
              <w:bottom w:val="nil"/>
              <w:right w:val="nil"/>
            </w:tcBorders>
            <w:shd w:val="clear" w:color="auto" w:fill="auto"/>
            <w:noWrap/>
            <w:vAlign w:val="bottom"/>
            <w:hideMark/>
          </w:tcPr>
          <w:p w14:paraId="4DC53F93" w14:textId="77777777" w:rsidR="00D977AC" w:rsidRPr="00DD7677" w:rsidRDefault="00D977AC" w:rsidP="00EC4DAF">
            <w:pPr>
              <w:spacing w:after="0" w:line="240" w:lineRule="auto"/>
              <w:rPr>
                <w:rFonts w:ascii="Calibri" w:eastAsia="Times New Roman" w:hAnsi="Calibri" w:cs="Calibri"/>
                <w:color w:val="000000"/>
                <w:sz w:val="20"/>
                <w:szCs w:val="20"/>
              </w:rPr>
            </w:pPr>
          </w:p>
        </w:tc>
        <w:tc>
          <w:tcPr>
            <w:tcW w:w="2693" w:type="dxa"/>
            <w:tcBorders>
              <w:top w:val="nil"/>
              <w:left w:val="nil"/>
              <w:bottom w:val="nil"/>
              <w:right w:val="double" w:sz="6" w:space="0" w:color="auto"/>
            </w:tcBorders>
            <w:shd w:val="clear" w:color="auto" w:fill="auto"/>
            <w:noWrap/>
            <w:vAlign w:val="bottom"/>
            <w:hideMark/>
          </w:tcPr>
          <w:p w14:paraId="2324D135" w14:textId="1EBAF3A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metylace </w:t>
            </w:r>
            <w:r w:rsidRPr="00D977AC">
              <w:rPr>
                <w:rFonts w:ascii="Calibri" w:eastAsia="Times New Roman" w:hAnsi="Calibri" w:cs="Calibri"/>
                <w:i/>
                <w:iCs/>
                <w:color w:val="000000"/>
                <w:sz w:val="20"/>
                <w:szCs w:val="20"/>
              </w:rPr>
              <w:t>MGMT</w:t>
            </w:r>
            <w:r w:rsidRPr="00DD7677">
              <w:rPr>
                <w:rFonts w:ascii="Calibri" w:eastAsia="Times New Roman" w:hAnsi="Calibri" w:cs="Calibri"/>
                <w:color w:val="000000"/>
                <w:sz w:val="20"/>
                <w:szCs w:val="20"/>
              </w:rPr>
              <w:t xml:space="preserve"> 55 %</w:t>
            </w:r>
          </w:p>
        </w:tc>
        <w:tc>
          <w:tcPr>
            <w:tcW w:w="1985" w:type="dxa"/>
            <w:tcBorders>
              <w:top w:val="nil"/>
              <w:left w:val="nil"/>
              <w:bottom w:val="nil"/>
              <w:right w:val="nil"/>
            </w:tcBorders>
            <w:shd w:val="clear" w:color="auto" w:fill="auto"/>
            <w:noWrap/>
            <w:vAlign w:val="bottom"/>
            <w:hideMark/>
          </w:tcPr>
          <w:p w14:paraId="567A99D2" w14:textId="77777777"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w:t>
            </w:r>
          </w:p>
        </w:tc>
        <w:tc>
          <w:tcPr>
            <w:tcW w:w="3118" w:type="dxa"/>
            <w:gridSpan w:val="2"/>
            <w:tcBorders>
              <w:top w:val="nil"/>
              <w:left w:val="nil"/>
              <w:bottom w:val="nil"/>
              <w:right w:val="nil"/>
            </w:tcBorders>
            <w:shd w:val="clear" w:color="auto" w:fill="auto"/>
            <w:noWrap/>
            <w:vAlign w:val="bottom"/>
            <w:hideMark/>
          </w:tcPr>
          <w:p w14:paraId="386BF6A4" w14:textId="34870ACD" w:rsidR="00D977AC" w:rsidRPr="00DD7677" w:rsidRDefault="00D977AC" w:rsidP="00EC4DAF">
            <w:pPr>
              <w:spacing w:after="0" w:line="240" w:lineRule="auto"/>
              <w:rPr>
                <w:rFonts w:ascii="Calibri" w:eastAsia="Times New Roman" w:hAnsi="Calibri" w:cs="Calibri"/>
                <w:color w:val="000000"/>
                <w:sz w:val="20"/>
                <w:szCs w:val="20"/>
              </w:rPr>
            </w:pPr>
            <w:r w:rsidRPr="00DD7677">
              <w:rPr>
                <w:rFonts w:ascii="Calibri" w:eastAsia="Times New Roman" w:hAnsi="Calibri" w:cs="Calibri"/>
                <w:color w:val="000000"/>
                <w:sz w:val="20"/>
                <w:szCs w:val="20"/>
              </w:rPr>
              <w:t xml:space="preserve">metylace </w:t>
            </w:r>
            <w:r w:rsidRPr="00D977AC">
              <w:rPr>
                <w:rFonts w:ascii="Calibri" w:eastAsia="Times New Roman" w:hAnsi="Calibri" w:cs="Calibri"/>
                <w:i/>
                <w:iCs/>
                <w:color w:val="000000"/>
                <w:sz w:val="20"/>
                <w:szCs w:val="20"/>
              </w:rPr>
              <w:t>MGMT</w:t>
            </w:r>
            <w:r w:rsidRPr="00DD7677">
              <w:rPr>
                <w:rFonts w:ascii="Calibri" w:eastAsia="Times New Roman" w:hAnsi="Calibri" w:cs="Calibri"/>
                <w:color w:val="000000"/>
                <w:sz w:val="20"/>
                <w:szCs w:val="20"/>
              </w:rPr>
              <w:t xml:space="preserve"> 85 %</w:t>
            </w:r>
          </w:p>
        </w:tc>
      </w:tr>
    </w:tbl>
    <w:p w14:paraId="0DBF0228" w14:textId="77777777" w:rsidR="00D977AC" w:rsidRDefault="00D977AC" w:rsidP="00EC4DAF">
      <w:pPr>
        <w:pStyle w:val="Odstavecseseznamem"/>
        <w:ind w:left="0"/>
        <w:jc w:val="both"/>
      </w:pPr>
    </w:p>
    <w:p w14:paraId="1F324774" w14:textId="77777777" w:rsidR="00E35A17" w:rsidRDefault="00E35A17" w:rsidP="00261AD4">
      <w:pPr>
        <w:pStyle w:val="Odstavecseseznamem"/>
        <w:ind w:left="0"/>
        <w:jc w:val="both"/>
      </w:pPr>
    </w:p>
    <w:p w14:paraId="4EB667B6" w14:textId="29C519C0" w:rsidR="00261AD4" w:rsidRDefault="00261AD4" w:rsidP="00261AD4">
      <w:pPr>
        <w:pStyle w:val="Odstavecseseznamem"/>
        <w:ind w:left="0"/>
        <w:jc w:val="both"/>
      </w:pPr>
      <w:r>
        <w:t>Objev molekulárních markerů a jejich integrace do klinické praxe a cílené léčby se uplatnil napříč celým spektrem solidních nádorů. To bohužel ale neplatí pro gliální nádory.</w:t>
      </w:r>
      <w:r w:rsidR="00E35A17">
        <w:t xml:space="preserve"> </w:t>
      </w:r>
      <w:r>
        <w:t xml:space="preserve">I přes velký počet studií zaměřených na cílenou terapii, končí většina neúspěšně již ve fázi </w:t>
      </w:r>
      <w:r w:rsidR="001E77FF">
        <w:t xml:space="preserve">tři </w:t>
      </w:r>
      <w:r>
        <w:t xml:space="preserve">klinického testování a </w:t>
      </w:r>
      <w:r w:rsidR="00E35A17">
        <w:t>pouze ojedinělé případy terapeutik jsou schváleny pro glioblastom.</w:t>
      </w:r>
    </w:p>
    <w:p w14:paraId="44F086C7" w14:textId="77777777" w:rsidR="00447CBE" w:rsidRPr="00261AD4" w:rsidRDefault="00447CBE" w:rsidP="00261AD4">
      <w:pPr>
        <w:pStyle w:val="Odstavecseseznamem"/>
        <w:ind w:left="0"/>
        <w:jc w:val="both"/>
      </w:pPr>
    </w:p>
    <w:p w14:paraId="359E3130" w14:textId="7FA439F2" w:rsidR="008B7AE5" w:rsidRDefault="008B7AE5" w:rsidP="00EC4DAF">
      <w:pPr>
        <w:pStyle w:val="Odstavecseseznamem"/>
        <w:ind w:left="0"/>
        <w:jc w:val="both"/>
        <w:rPr>
          <w:noProof/>
        </w:rPr>
      </w:pPr>
    </w:p>
    <w:p w14:paraId="5FAC7708" w14:textId="77777777" w:rsidR="00447CBE" w:rsidRDefault="00447CBE" w:rsidP="00EC4DAF">
      <w:pPr>
        <w:pStyle w:val="Odstavecseseznamem"/>
        <w:ind w:left="0"/>
        <w:jc w:val="both"/>
        <w:rPr>
          <w:noProof/>
        </w:rPr>
        <w:sectPr w:rsidR="00447CBE">
          <w:pgSz w:w="11906" w:h="16838"/>
          <w:pgMar w:top="1417" w:right="1417" w:bottom="1417" w:left="1417" w:header="708" w:footer="708" w:gutter="0"/>
          <w:cols w:space="708"/>
          <w:docGrid w:linePitch="360"/>
        </w:sectPr>
      </w:pPr>
    </w:p>
    <w:p w14:paraId="4FCCA486" w14:textId="69ECBFE9" w:rsidR="00E93FFD" w:rsidRDefault="0045050A" w:rsidP="00883E7C">
      <w:pPr>
        <w:pStyle w:val="Nadpis1"/>
      </w:pPr>
      <w:bookmarkStart w:id="59" w:name="_Toc88741483"/>
      <w:r w:rsidRPr="00883E7C">
        <w:t>Experimentální</w:t>
      </w:r>
      <w:r w:rsidRPr="001F2782">
        <w:t xml:space="preserve"> část</w:t>
      </w:r>
      <w:bookmarkEnd w:id="59"/>
      <w:r w:rsidRPr="001F2782">
        <w:t xml:space="preserve"> </w:t>
      </w:r>
    </w:p>
    <w:p w14:paraId="0BF680C2" w14:textId="5C529F82" w:rsidR="00C60D5F" w:rsidRDefault="00C60D5F" w:rsidP="00883E7C">
      <w:pPr>
        <w:pStyle w:val="Nadpis2"/>
      </w:pPr>
      <w:bookmarkStart w:id="60" w:name="_Toc88741484"/>
      <w:r w:rsidRPr="00E93FFD">
        <w:t>Cíle práce</w:t>
      </w:r>
      <w:bookmarkEnd w:id="60"/>
      <w:r w:rsidRPr="00E93FFD">
        <w:t xml:space="preserve"> </w:t>
      </w:r>
    </w:p>
    <w:p w14:paraId="3B95E693" w14:textId="7B3D3B27" w:rsidR="006357AA" w:rsidRDefault="006357AA" w:rsidP="005E0021">
      <w:pPr>
        <w:tabs>
          <w:tab w:val="left" w:pos="975"/>
        </w:tabs>
        <w:jc w:val="both"/>
      </w:pPr>
      <w:r>
        <w:t xml:space="preserve">Vzhledem k nové klasifikaci nádorů CNS, kde jsou u </w:t>
      </w:r>
      <w:r w:rsidRPr="006357AA">
        <w:t>difúzní</w:t>
      </w:r>
      <w:r>
        <w:t>ch</w:t>
      </w:r>
      <w:r w:rsidRPr="006357AA">
        <w:t xml:space="preserve"> astrocytární</w:t>
      </w:r>
      <w:r>
        <w:t xml:space="preserve">ch </w:t>
      </w:r>
      <w:r w:rsidRPr="006357AA">
        <w:t>a oligodendrogliální</w:t>
      </w:r>
      <w:r>
        <w:t>ch</w:t>
      </w:r>
      <w:r w:rsidRPr="006357AA">
        <w:t xml:space="preserve"> nádor</w:t>
      </w:r>
      <w:r>
        <w:t xml:space="preserve">ů posuzovány nejen histologické parametry, ale nově je k nim přiřazen i klíčový status </w:t>
      </w:r>
      <w:r w:rsidRPr="00B02B33">
        <w:rPr>
          <w:i/>
          <w:iCs/>
        </w:rPr>
        <w:t>IDH</w:t>
      </w:r>
      <w:r>
        <w:t xml:space="preserve"> a kodelece 1p/19q. Pro přesnou klasifikaci je důležité se řídit takzvanou vrstvenou klasifikaci založenou na m</w:t>
      </w:r>
      <w:r w:rsidRPr="00261AD4">
        <w:t>olekulární informac</w:t>
      </w:r>
      <w:r>
        <w:t>i</w:t>
      </w:r>
      <w:r w:rsidRPr="00261AD4">
        <w:t>, WHO grad</w:t>
      </w:r>
      <w:r>
        <w:t>u</w:t>
      </w:r>
      <w:r w:rsidRPr="00261AD4">
        <w:t>, histologic</w:t>
      </w:r>
      <w:r>
        <w:t>ké</w:t>
      </w:r>
      <w:r w:rsidRPr="00261AD4">
        <w:t xml:space="preserve"> klasifikace a poslední vrstv</w:t>
      </w:r>
      <w:r w:rsidR="00B02B33">
        <w:t>ou</w:t>
      </w:r>
      <w:r w:rsidRPr="00261AD4">
        <w:t xml:space="preserve"> je integrovaná diagnóza.</w:t>
      </w:r>
      <w:r w:rsidR="00B02B33">
        <w:t xml:space="preserve"> Klíčovým parametrem pro posuzování prognózy a léčebného směru pacientů s gliálním nádorem je v současné době wild type/mutovaný </w:t>
      </w:r>
      <w:r w:rsidR="00B02B33" w:rsidRPr="00B02B33">
        <w:rPr>
          <w:i/>
          <w:iCs/>
        </w:rPr>
        <w:t>IDH</w:t>
      </w:r>
      <w:r w:rsidR="00B02B33">
        <w:rPr>
          <w:i/>
          <w:iCs/>
        </w:rPr>
        <w:t xml:space="preserve"> </w:t>
      </w:r>
      <w:r w:rsidR="00B02B33" w:rsidRPr="00B02B33">
        <w:t>gen</w:t>
      </w:r>
      <w:r w:rsidR="00B02B33">
        <w:t xml:space="preserve">. </w:t>
      </w:r>
    </w:p>
    <w:p w14:paraId="2AE1851F" w14:textId="047E1F2C" w:rsidR="00B02B33" w:rsidRDefault="00B02B33" w:rsidP="005E0021">
      <w:pPr>
        <w:tabs>
          <w:tab w:val="left" w:pos="975"/>
        </w:tabs>
        <w:jc w:val="both"/>
      </w:pPr>
      <w:r>
        <w:t xml:space="preserve">Dle WHO je doporučováno imunohistochemické stanovení varianty </w:t>
      </w:r>
      <w:r w:rsidRPr="00B02B33">
        <w:rPr>
          <w:i/>
          <w:iCs/>
        </w:rPr>
        <w:t>IDH1</w:t>
      </w:r>
      <w:r>
        <w:t xml:space="preserve"> R132H u všech pacientů a následně, pokud se jedná o pacienty IHC R132H negativní a mladší 55 let, využít sekvenování pro méně časté varianty. Odůvodněním je 90 % přítomnost této varianty u gliálních nádorů a pouze v 10 % případů se jedná o raritní varianty</w:t>
      </w:r>
      <w:r w:rsidR="00F151EB">
        <w:t xml:space="preserve"> </w:t>
      </w:r>
      <w:r w:rsidR="00F151EB" w:rsidRPr="00F151EB">
        <w:rPr>
          <w:i/>
          <w:iCs/>
        </w:rPr>
        <w:t>IDH</w:t>
      </w:r>
      <w:r>
        <w:t xml:space="preserve">. Vzhledem k tomu, že se nyní jedná o nejdůležitější molekulární marker, je </w:t>
      </w:r>
      <w:r w:rsidR="005E64FB">
        <w:t>v</w:t>
      </w:r>
      <w:r w:rsidR="00E413BA">
        <w:t> </w:t>
      </w:r>
      <w:r w:rsidR="005E64FB">
        <w:t>zájmu</w:t>
      </w:r>
      <w:r w:rsidR="00E413BA">
        <w:t xml:space="preserve"> dobré</w:t>
      </w:r>
      <w:r w:rsidR="005E64FB">
        <w:t xml:space="preserve"> klinické praxe jeho přesné stanovení. </w:t>
      </w:r>
    </w:p>
    <w:p w14:paraId="28715B7B" w14:textId="31C490D4" w:rsidR="00B02B33" w:rsidRDefault="005E64FB" w:rsidP="005E0021">
      <w:pPr>
        <w:tabs>
          <w:tab w:val="left" w:pos="975"/>
        </w:tabs>
        <w:jc w:val="both"/>
      </w:pPr>
      <w:r>
        <w:t>Jak již bylo zmíněno</w:t>
      </w:r>
      <w:r w:rsidR="00E413BA">
        <w:t xml:space="preserve">, </w:t>
      </w:r>
      <w:r w:rsidR="00E413BA" w:rsidRPr="00E413BA">
        <w:rPr>
          <w:i/>
          <w:iCs/>
        </w:rPr>
        <w:t>IDH</w:t>
      </w:r>
      <w:r w:rsidR="00E413BA">
        <w:t xml:space="preserve"> status je označen jako prognosticko prediktivní marker a odlišení pacientů s wild type nebo mutovanou variantou je nutností. To je však s ohledem na velké množství získaných informací o molekulárně cytogenetické podstatě tohoto onemocnění</w:t>
      </w:r>
      <w:r w:rsidR="00E954C5">
        <w:t xml:space="preserve"> stále pouze špičkou ledovce. V rámci podskupin definovaných dle statusu </w:t>
      </w:r>
      <w:r w:rsidR="00E954C5" w:rsidRPr="00E954C5">
        <w:rPr>
          <w:i/>
          <w:iCs/>
        </w:rPr>
        <w:t>IDH</w:t>
      </w:r>
      <w:r w:rsidR="00E954C5">
        <w:rPr>
          <w:i/>
          <w:iCs/>
        </w:rPr>
        <w:t xml:space="preserve"> </w:t>
      </w:r>
      <w:r w:rsidR="00E954C5" w:rsidRPr="00E954C5">
        <w:t xml:space="preserve">zůstává </w:t>
      </w:r>
      <w:r w:rsidR="00E954C5">
        <w:t xml:space="preserve">ještě velký prostor pro další rozdělení na základě </w:t>
      </w:r>
      <w:r w:rsidR="00F151EB">
        <w:t xml:space="preserve">přesnější </w:t>
      </w:r>
      <w:r w:rsidR="00E954C5">
        <w:t>molekulární</w:t>
      </w:r>
      <w:r w:rsidR="00F151EB">
        <w:t xml:space="preserve"> charakteristiky.</w:t>
      </w:r>
    </w:p>
    <w:p w14:paraId="08F61A88" w14:textId="77777777" w:rsidR="005E0021" w:rsidRDefault="005E0021" w:rsidP="005E0021">
      <w:pPr>
        <w:tabs>
          <w:tab w:val="left" w:pos="975"/>
        </w:tabs>
        <w:jc w:val="both"/>
      </w:pPr>
    </w:p>
    <w:p w14:paraId="11F16F68" w14:textId="44B83996" w:rsidR="005E0021" w:rsidRDefault="005E0021" w:rsidP="005E0021">
      <w:pPr>
        <w:tabs>
          <w:tab w:val="left" w:pos="975"/>
        </w:tabs>
        <w:jc w:val="both"/>
      </w:pPr>
      <w:r>
        <w:t xml:space="preserve">Cílem předkládané doktorské práce bylo studium molekulárně genetických alterací u gliálních nádorů v souvislosti s jejich klinickými charakteristikami se zaměřením na </w:t>
      </w:r>
      <w:r w:rsidR="003852D8">
        <w:t xml:space="preserve">přesnou </w:t>
      </w:r>
      <w:r>
        <w:t xml:space="preserve">diagnostiku mutací </w:t>
      </w:r>
      <w:r w:rsidRPr="003852D8">
        <w:rPr>
          <w:i/>
          <w:iCs/>
        </w:rPr>
        <w:t>IDH1/2</w:t>
      </w:r>
      <w:r w:rsidR="003852D8">
        <w:t>:</w:t>
      </w:r>
    </w:p>
    <w:p w14:paraId="0FD8311E" w14:textId="302524F7" w:rsidR="00562F69" w:rsidRDefault="005E0021" w:rsidP="007C510A">
      <w:pPr>
        <w:pStyle w:val="Odstavecseseznamem"/>
        <w:numPr>
          <w:ilvl w:val="0"/>
          <w:numId w:val="7"/>
        </w:numPr>
        <w:tabs>
          <w:tab w:val="left" w:pos="975"/>
        </w:tabs>
        <w:ind w:left="360"/>
        <w:jc w:val="both"/>
      </w:pPr>
      <w:r>
        <w:t xml:space="preserve">Provedení porovnávací metodické studie </w:t>
      </w:r>
      <w:r w:rsidR="003852D8">
        <w:t>sekvenačních metod pro přesné</w:t>
      </w:r>
      <w:r>
        <w:t xml:space="preserve"> stanovení mutací</w:t>
      </w:r>
      <w:r w:rsidR="003852D8">
        <w:t xml:space="preserve"> </w:t>
      </w:r>
      <w:r w:rsidR="003852D8" w:rsidRPr="003852D8">
        <w:rPr>
          <w:i/>
          <w:iCs/>
        </w:rPr>
        <w:t>IDH1/2</w:t>
      </w:r>
      <w:r w:rsidR="003852D8">
        <w:t>.</w:t>
      </w:r>
    </w:p>
    <w:p w14:paraId="03AADEAD" w14:textId="0F20FC87" w:rsidR="003852D8" w:rsidRDefault="003852D8" w:rsidP="007C510A">
      <w:pPr>
        <w:pStyle w:val="Odstavecseseznamem"/>
        <w:numPr>
          <w:ilvl w:val="0"/>
          <w:numId w:val="7"/>
        </w:numPr>
        <w:tabs>
          <w:tab w:val="left" w:pos="975"/>
        </w:tabs>
        <w:ind w:left="360"/>
        <w:jc w:val="both"/>
      </w:pPr>
      <w:r>
        <w:t xml:space="preserve">Provedení molekulárně genetické analýzy vzorků glioblastomů po selekci pouze na </w:t>
      </w:r>
      <w:r w:rsidRPr="003852D8">
        <w:rPr>
          <w:i/>
          <w:iCs/>
        </w:rPr>
        <w:t>IDH</w:t>
      </w:r>
      <w:r>
        <w:t xml:space="preserve"> wild type a stanovení prognostické role vyšetřovaných biomarkerů u této skupiny.</w:t>
      </w:r>
    </w:p>
    <w:p w14:paraId="7F8484DB" w14:textId="77777777" w:rsidR="00ED3409" w:rsidRDefault="00ED3409" w:rsidP="00ED3409">
      <w:pPr>
        <w:tabs>
          <w:tab w:val="left" w:pos="975"/>
        </w:tabs>
        <w:jc w:val="both"/>
      </w:pPr>
    </w:p>
    <w:p w14:paraId="3A3FF2C3" w14:textId="77777777" w:rsidR="00447CBE" w:rsidRDefault="00447CBE" w:rsidP="005712FF">
      <w:pPr>
        <w:tabs>
          <w:tab w:val="left" w:pos="975"/>
        </w:tabs>
        <w:sectPr w:rsidR="00447CBE">
          <w:pgSz w:w="11906" w:h="16838"/>
          <w:pgMar w:top="1417" w:right="1417" w:bottom="1417" w:left="1417" w:header="708" w:footer="708" w:gutter="0"/>
          <w:cols w:space="708"/>
          <w:docGrid w:linePitch="360"/>
        </w:sectPr>
      </w:pPr>
    </w:p>
    <w:p w14:paraId="56BE294C" w14:textId="64D2ABE1" w:rsidR="00ED3409" w:rsidRDefault="00ED3409" w:rsidP="00C406A1">
      <w:pPr>
        <w:pStyle w:val="Nadpis2"/>
        <w:spacing w:before="0" w:after="240" w:line="240" w:lineRule="auto"/>
        <w:ind w:left="794" w:hanging="794"/>
      </w:pPr>
      <w:bookmarkStart w:id="61" w:name="_Toc88741485"/>
      <w:r>
        <w:t>Mutace IDH1/2 u českých pacientů s difuzním gliomem: retrospektivní masivně paralelní analýza z jednoho centra</w:t>
      </w:r>
      <w:bookmarkEnd w:id="61"/>
    </w:p>
    <w:p w14:paraId="38C29EE6" w14:textId="27A1D6B9" w:rsidR="00ED3409" w:rsidRDefault="00ED3409" w:rsidP="00C406A1">
      <w:pPr>
        <w:pStyle w:val="Nadpis3"/>
        <w:ind w:left="505" w:hanging="505"/>
      </w:pPr>
      <w:bookmarkStart w:id="62" w:name="_Toc66472641"/>
      <w:bookmarkStart w:id="63" w:name="_Toc66472726"/>
      <w:bookmarkStart w:id="64" w:name="_Toc67127778"/>
      <w:bookmarkStart w:id="65" w:name="_Toc66472643"/>
      <w:bookmarkStart w:id="66" w:name="_Toc66472728"/>
      <w:bookmarkStart w:id="67" w:name="_Toc67127780"/>
      <w:bookmarkStart w:id="68" w:name="_Toc67129089"/>
      <w:bookmarkStart w:id="69" w:name="_Toc67129091"/>
      <w:bookmarkStart w:id="70" w:name="_Toc88741486"/>
      <w:bookmarkEnd w:id="62"/>
      <w:bookmarkEnd w:id="63"/>
      <w:bookmarkEnd w:id="64"/>
      <w:bookmarkEnd w:id="65"/>
      <w:bookmarkEnd w:id="66"/>
      <w:bookmarkEnd w:id="67"/>
      <w:bookmarkEnd w:id="68"/>
      <w:bookmarkEnd w:id="69"/>
      <w:r>
        <w:t>Úvod</w:t>
      </w:r>
      <w:bookmarkEnd w:id="70"/>
    </w:p>
    <w:p w14:paraId="06B7395F" w14:textId="77777777" w:rsidR="00C406A1" w:rsidRPr="00C406A1" w:rsidRDefault="00C406A1" w:rsidP="00C406A1"/>
    <w:p w14:paraId="46DEFDBD" w14:textId="5D527623" w:rsidR="00562F69" w:rsidRDefault="00562F69" w:rsidP="00B1659A">
      <w:pPr>
        <w:jc w:val="both"/>
      </w:pPr>
      <w:r>
        <w:t xml:space="preserve">Světová zdravotnická organizace donedávna klasifikovala nádory centrálního nervového systému </w:t>
      </w:r>
      <w:r w:rsidR="00E35A17">
        <w:t xml:space="preserve">pouze </w:t>
      </w:r>
      <w:r>
        <w:t xml:space="preserve">podle histologické charakteristiky. V roce 2016 </w:t>
      </w:r>
      <w:r w:rsidR="00B1659A">
        <w:t xml:space="preserve">byla tato charakteristika rozšířena o molekulární </w:t>
      </w:r>
      <w:r w:rsidR="00B1659A" w:rsidRPr="00236F72">
        <w:t>parametry</w:t>
      </w:r>
      <w:r w:rsidR="00236F72">
        <w:fldChar w:fldCharType="begin" w:fldLock="1"/>
      </w:r>
      <w:r w:rsidR="00AD61B7">
        <w:instrText>ADDIN CSL_CITATION {"citationItems":[{"id":"ITEM-1","itemData":{"DOI":"10.1007/s10014-016-0266-4","ISSN":"1433-7398","PMID":"27295314","author":[{"dropping-particle":"","family":"Perry","given":"Arie","non-dropping-particle":"","parse-names":false,"suffix":""}],"container-title":"Brain Tumor Pathology","id":"ITEM-1","issue":"3","issued":{"date-parts":[["2016","7","13"]]},"page":"157-160","title":"WHO’s arrived in 2016! An updated weather forecast for integrated brain tumor diagnosis","type":"article-journal","volume":"33"},"uris":["http://www.mendeley.com/documents/?uuid=45b17f05-95c0-3fb9-8b2b-802e3c936242"]},{"id":"ITEM-2","itemData":{"DOI":"10.1007/s00401-016-1545-1","ISSN":"0001-6322","PMID":"27157931","abstract":"The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Neuropathologica","id":"ITEM-2","issue":"6","issued":{"date-parts":[["2016","6","9"]]},"page":"803-820","title":"The 2016 World Health Organization Classification of Tumors of the Central Nervous System: a summary","type":"article-journal","volume":"131"},"uris":["http://www.mendeley.com/documents/?uuid=8af243f0-550f-447e-814c-6fb570c155aa"]},{"id":"ITEM-3","itemData":{"DOI":"10.1111/nan.12432","ISSN":"13652990","PMID":"28815663","abstract":"Gliomas are the most frequent intrinsic tumours of the central nervous system and encompass two principle subgroups: diffuse gliomas and gliomas showing a more circumscribed growth pattern (‘nondiffuse gliomas’). In the revised fourth edition of the WHO Classification of CNS tumours published in 2016, classification of especially diffuse gliomas has fundamentally changed: for the first time, a large subset of these tumours is now defined based on presence/absence of IDH mutation and 1p/19q codeletion. Following this approach, the diagnosis of (anaplastic) oligoastrocytoma can be expected to largely disappear. Furthermore, in the WHO 2016 Classification gliomatosis cerebri is not an entity anymore but is now considered as a growth pattern. The most important changes in the very diverse group of ‘nondiffuse’ gliomas and neuronal-glial tumours are the introduction of anaplastic pleomorphic xanthoastrocytoma, of diffuse leptomeningeal glioneuronal tumour and of RELA fusion-positive ependymoma as entities. In the last part of this review, after very briefly touching upon classification of neuronal, choroid plexus and pineal region tumours, some practical implications and challenges associated with the WHO 2016 Classification of gliomas are discussed.","author":[{"dropping-particle":"","family":"Wesseling","given":"P.","non-dropping-particle":"","parse-names":false,"suffix":""},{"dropping-particle":"","family":"Capper","given":"D.","non-dropping-particle":"","parse-names":false,"suffix":""}],"container-title":"Neuropathology and Applied Neurobiology","id":"ITEM-3","issue":"2","issued":{"date-parts":[["2018","2","1"]]},"page":"139-150","publisher":"Blackwell Publishing Ltd","title":"WHO 2016 Classification of gliomas","type":"article","volume":"44"},"uris":["http://www.mendeley.com/documents/?uuid=eea6f6c3-5211-33a9-a9b7-cec75d1b2f65"]}],"mendeley":{"formattedCitation":"&lt;sup&gt;12,211,212&lt;/sup&gt;","plainTextFormattedCitation":"12,211,212","previouslyFormattedCitation":"&lt;sup&gt;12,211,212&lt;/sup&gt;"},"properties":{"noteIndex":0},"schema":"https://github.com/citation-style-language/schema/raw/master/csl-citation.json"}</w:instrText>
      </w:r>
      <w:r w:rsidR="00236F72">
        <w:fldChar w:fldCharType="separate"/>
      </w:r>
      <w:r w:rsidR="00B2369D" w:rsidRPr="00B2369D">
        <w:rPr>
          <w:noProof/>
          <w:vertAlign w:val="superscript"/>
        </w:rPr>
        <w:t>12,211,212</w:t>
      </w:r>
      <w:r w:rsidR="00236F72">
        <w:fldChar w:fldCharType="end"/>
      </w:r>
      <w:r w:rsidR="00B1659A">
        <w:t xml:space="preserve"> z důvodu zlepšení diagnózy a léčby pacientů. Zejména genetické markery (</w:t>
      </w:r>
      <w:r w:rsidR="00B1659A" w:rsidRPr="00E413BA">
        <w:rPr>
          <w:i/>
          <w:iCs/>
        </w:rPr>
        <w:t>IDH1/2</w:t>
      </w:r>
      <w:r w:rsidR="00B1659A">
        <w:t xml:space="preserve">, </w:t>
      </w:r>
      <w:r w:rsidR="00B1659A" w:rsidRPr="00E413BA">
        <w:rPr>
          <w:i/>
          <w:iCs/>
        </w:rPr>
        <w:t>ATRX</w:t>
      </w:r>
      <w:r w:rsidR="00B1659A">
        <w:t xml:space="preserve">, </w:t>
      </w:r>
      <w:r w:rsidR="00B1659A" w:rsidRPr="00E413BA">
        <w:rPr>
          <w:i/>
          <w:iCs/>
        </w:rPr>
        <w:t>TP53</w:t>
      </w:r>
      <w:r w:rsidR="00B1659A">
        <w:t xml:space="preserve"> a kodelece 1p/19) sloužící jako diagnostické nástroje vedly k vývoj</w:t>
      </w:r>
      <w:r w:rsidR="006153D3">
        <w:t>i</w:t>
      </w:r>
      <w:r w:rsidR="00B1659A">
        <w:t xml:space="preserve"> robustních a reprodukovatelných algoritmů, které </w:t>
      </w:r>
      <w:r w:rsidR="00E35A17">
        <w:t xml:space="preserve">v porovnání se samotnou histologií </w:t>
      </w:r>
      <w:r w:rsidR="00B1659A">
        <w:t>přesněji predikují přežití pacientů</w:t>
      </w:r>
      <w:r w:rsidR="00E35A17">
        <w:t>.</w:t>
      </w:r>
    </w:p>
    <w:p w14:paraId="46DADB56" w14:textId="394EAA4B" w:rsidR="00391932" w:rsidRDefault="00B1659A" w:rsidP="00FF1143">
      <w:pPr>
        <w:jc w:val="both"/>
      </w:pPr>
      <w:r>
        <w:t xml:space="preserve">Exomové sekvenování glioblastomů z roku 2008 </w:t>
      </w:r>
      <w:r w:rsidR="00E35A17">
        <w:t>odhalilo</w:t>
      </w:r>
      <w:r>
        <w:t xml:space="preserve"> missense mutace </w:t>
      </w:r>
      <w:r w:rsidRPr="0001786F">
        <w:t>isocitrát</w:t>
      </w:r>
      <w:r w:rsidR="00E35A17">
        <w:t xml:space="preserve"> </w:t>
      </w:r>
      <w:r w:rsidRPr="0001786F">
        <w:t>dehydrogenázy 1</w:t>
      </w:r>
      <w:r w:rsidR="0001786F">
        <w:fldChar w:fldCharType="begin" w:fldLock="1"/>
      </w:r>
      <w:r w:rsidR="0001786F">
        <w:instrText>ADDIN CSL_CITATION {"citationItems":[{"id":"ITEM-1","itemData":{"DOI":"10.1126/science.1164382","ISSN":"0036-8075","PMID":"18772396","abstract":"Glioblastoma multiforme (GBM) is the most common and lethal type of brain cancer. To identify the genetic alterations in GBMs, we sequenced 20,661 protein coding genes, determined the presence of amplifications and deletions using high-density oligonucleotide arrays, and performed gene expression analyses using next-generation sequencing technologies in 22 human tumor samples. This comprehensive analysis led to the discovery of a variety of genes that were not known to be altered in GBMs. Most notably, we found recurrent mutations in the active site of isocitrate dehydrogenase 1 (IDH1) in 12% of GBM patients. Mutations in IDH1 occurred in a large fraction of young patients and in most patients with secondary GBMs and were associated with an increase in overall survival. These studies demonstrate the value of unbiased genomic analyses in the characterization of human brain cancer and identify a potentially useful genetic alteration for the classification and targeted therapy of GBMs.","author":[{"dropping-particle":"","family":"Parsons","given":"D. W.","non-dropping-particle":"","parse-names":false,"suffix":""},{"dropping-particle":"","family":"Jones","given":"S.","non-dropping-particle":"","parse-names":false,"suffix":""},{"dropping-particle":"","family":"Zhang","given":"X.","non-dropping-particle":"","parse-names":false,"suffix":""},{"dropping-particle":"","family":"Lin","given":"J. C.-H.","non-dropping-particle":"","parse-names":false,"suffix":""},{"dropping-particle":"","family":"Leary","given":"R. J.","non-dropping-particle":"","parse-names":false,"suffix":""},{"dropping-particle":"","family":"Angenendt","given":"P.","non-dropping-particle":"","parse-names":false,"suffix":""},{"dropping-particle":"","family":"Mankoo","given":"P.","non-dropping-particle":"","parse-names":false,"suffix":""},{"dropping-particle":"","family":"Carter","given":"H.","non-dropping-particle":"","parse-names":false,"suffix":""},{"dropping-particle":"","family":"Siu","given":"I-M.","non-dropping-particle":"","parse-names":false,"suffix":""},{"dropping-particle":"","family":"Gallia","given":"G. L.","non-dropping-particle":"","parse-names":false,"suffix":""},{"dropping-particle":"","family":"Olivi","given":"A.","non-dropping-particle":"","parse-names":false,"suffix":""},{"dropping-particle":"","family":"McLendon","given":"R.","non-dropping-particle":"","parse-names":false,"suffix":""},{"dropping-particle":"","family":"Rasheed","given":"B. A.","non-dropping-particle":"","parse-names":false,"suffix":""},{"dropping-particle":"","family":"Keir","given":"S.","non-dropping-particle":"","parse-names":false,"suffix":""},{"dropping-particle":"","family":"Nikolskaya","given":"T.","non-dropping-particle":"","parse-names":false,"suffix":""},{"dropping-particle":"","family":"Nikolsky","given":"Y.","non-dropping-particle":"","parse-names":false,"suffix":""},{"dropping-particle":"","family":"Busam","given":"D. A.","non-dropping-particle":"","parse-names":false,"suffix":""},{"dropping-particle":"","family":"Tekleab","given":"H.","non-dropping-particle":"","parse-names":false,"suffix":""},{"dropping-particle":"","family":"Diaz","given":"L. A.","non-dropping-particle":"","parse-names":false,"suffix":""},{"dropping-particle":"","family":"Hartigan","given":"J.","non-dropping-particle":"","parse-names":false,"suffix":""},{"dropping-particle":"","family":"Smith","given":"D. R.","non-dropping-particle":"","parse-names":false,"suffix":""},{"dropping-particle":"","family":"Strausberg","given":"R. L.","non-dropping-particle":"","parse-names":false,"suffix":""},{"dropping-particle":"","family":"Marie","given":"S. K. N.","non-dropping-particle":"","parse-names":false,"suffix":""},{"dropping-particle":"","family":"Shinjo","given":"S. M. O.","non-dropping-particle":"","parse-names":false,"suffix":""},{"dropping-particle":"","family":"Yan","given":"H.","non-dropping-particle":"","parse-names":false,"suffix":""},{"dropping-particle":"","family":"Riggins","given":"G. J.","non-dropping-particle":"","parse-names":false,"suffix":""},{"dropping-particle":"","family":"Bigner","given":"D. D.","non-dropping-particle":"","parse-names":false,"suffix":""},{"dropping-particle":"","family":"Karchin","given":"R.","non-dropping-particle":"","parse-names":false,"suffix":""},{"dropping-particle":"","family":"Papadopoulos","given":"N.","non-dropping-particle":"","parse-names":false,"suffix":""},{"dropping-particle":"","family":"Parmigiani","given":"G.","non-dropping-particle":"","parse-names":false,"suffix":""},{"dropping-particle":"","family":"Vogelstein","given":"B.","non-dropping-particle":"","parse-names":false,"suffix":""},{"dropping-particle":"","family":"Velculescu","given":"V. E.","non-dropping-particle":"","parse-names":false,"suffix":""},{"dropping-particle":"","family":"Kinzler","given":"K. W.","non-dropping-particle":"","parse-names":false,"suffix":""}],"container-title":"Science","id":"ITEM-1","issue":"5897","issued":{"date-parts":[["2008","9","26"]]},"page":"1807-1812","title":"An Integrated Genomic Analysis of Human Glioblastoma Multiforme","type":"article-journal","volume":"321"},"uris":["http://www.mendeley.com/documents/?uuid=3055003b-7c76-3609-8bb1-174f87a52852"]}],"mendeley":{"formattedCitation":"&lt;sup&gt;7&lt;/sup&gt;","plainTextFormattedCitation":"7","previouslyFormattedCitation":"&lt;sup&gt;7&lt;/sup&gt;"},"properties":{"noteIndex":0},"schema":"https://github.com/citation-style-language/schema/raw/master/csl-citation.json"}</w:instrText>
      </w:r>
      <w:r w:rsidR="0001786F">
        <w:fldChar w:fldCharType="separate"/>
      </w:r>
      <w:r w:rsidR="0001786F" w:rsidRPr="0001786F">
        <w:rPr>
          <w:noProof/>
          <w:vertAlign w:val="superscript"/>
        </w:rPr>
        <w:t>7</w:t>
      </w:r>
      <w:r w:rsidR="0001786F">
        <w:fldChar w:fldCharType="end"/>
      </w:r>
      <w:r w:rsidR="00E35A17">
        <w:t xml:space="preserve">, </w:t>
      </w:r>
      <w:r>
        <w:t xml:space="preserve">což je gen </w:t>
      </w:r>
      <w:r w:rsidR="00391932">
        <w:t xml:space="preserve">zapojený do Krebsova cyklu.  To vedlo k objasnění častých genetických změn během časné fáze </w:t>
      </w:r>
      <w:r w:rsidR="00E35A17">
        <w:t>vzniku</w:t>
      </w:r>
      <w:r w:rsidR="00391932">
        <w:t xml:space="preserve"> gliom</w:t>
      </w:r>
      <w:r w:rsidR="00E35A17">
        <w:t>ů</w:t>
      </w:r>
      <w:r w:rsidR="00391932">
        <w:t xml:space="preserve"> a sekundárního glioblastomu, což značně pomohlo k pochopení gli</w:t>
      </w:r>
      <w:r w:rsidR="00E35A17">
        <w:t>álních nádorů</w:t>
      </w:r>
      <w:r w:rsidR="00391932">
        <w:t xml:space="preserve"> a zlepšení jejich klasifikace. </w:t>
      </w:r>
      <w:r w:rsidR="00391932" w:rsidRPr="00E35A17">
        <w:rPr>
          <w:i/>
          <w:iCs/>
        </w:rPr>
        <w:t>IDH1</w:t>
      </w:r>
      <w:r w:rsidR="00391932">
        <w:t xml:space="preserve"> a </w:t>
      </w:r>
      <w:r w:rsidR="00E35A17" w:rsidRPr="00E35A17">
        <w:rPr>
          <w:i/>
          <w:iCs/>
        </w:rPr>
        <w:t>IDH</w:t>
      </w:r>
      <w:r w:rsidR="00391932" w:rsidRPr="00E35A17">
        <w:rPr>
          <w:i/>
          <w:iCs/>
        </w:rPr>
        <w:t>2</w:t>
      </w:r>
      <w:r w:rsidR="00391932">
        <w:t xml:space="preserve"> se uplatňuj</w:t>
      </w:r>
      <w:r w:rsidR="00E35A17">
        <w:t>í</w:t>
      </w:r>
      <w:r w:rsidR="00391932">
        <w:t xml:space="preserve"> v buněčných procesech jak</w:t>
      </w:r>
      <w:r w:rsidR="00E35A17">
        <w:t>ými jsou</w:t>
      </w:r>
      <w:r w:rsidR="00391932">
        <w:t xml:space="preserve"> odpověď na glukózový metabolizmus, lipogenez</w:t>
      </w:r>
      <w:r w:rsidR="00E35A17">
        <w:t xml:space="preserve">e </w:t>
      </w:r>
      <w:r w:rsidR="00391932">
        <w:t>a regulac</w:t>
      </w:r>
      <w:r w:rsidR="00E35A17">
        <w:t>e</w:t>
      </w:r>
      <w:r w:rsidR="00391932">
        <w:t xml:space="preserve"> </w:t>
      </w:r>
      <w:r w:rsidR="00391932" w:rsidRPr="0001786F">
        <w:t>redoxního stavu</w:t>
      </w:r>
      <w:r w:rsidR="0001786F" w:rsidRPr="0001786F">
        <w:fldChar w:fldCharType="begin" w:fldLock="1"/>
      </w:r>
      <w:r w:rsidR="00AD61B7">
        <w:instrText>ADDIN CSL_CITATION {"citationItems":[{"id":"ITEM-1","itemData":{"DOI":"10.1093/jnci/djq187","ISSN":"1460-2105","PMID":"20513808","abstract":"Dysregulation of metabolism is a common phenomenon in cancer cells. The NADP(+)-dependent isocitrate dehydrogenases 1 and 2 (IDH1 and IDH2) function at a crossroads of cellular metabolism in lipid synthesis, cellular defense against oxidative stress, oxidative respiration, and oxygen-sensing signal transduction. We review the normal functions of the encoded enzymes, frequent mutations of IDH1 and IDH2 recently found in human cancers, and possible roles for the mutated enzymes in human disease. IDH1 and IDH2 mutations occur frequently in some types of World Health Organization grades 2-4 gliomas and in acute myeloid leukemias with normal karyotype. IDH1 and IDH2 mutations are remarkably specific to codons that encode conserved functionally important arginines in the active site of each enzyme. To date, all IDH1 mutations have been identified at the Arg132 codon. Mutations in IDH2 have been identified at the Arg140 codon, as well as at Arg172, which is aligned with IDH1 Arg132. IDH1 and IDH2 mutations are usually heterozygous in cancer, and they appear to confer a neomorphic enzyme activity for the enzymes to catalyze the production of D-2-hydroxyglutarate. Study of alterations in these metabolic enzymes may provide insights into the metabolism of cancer cells and uncover novel avenues for development of anticancer therapeutics.","author":[{"dropping-particle":"","family":"Reitman","given":"Zachary J","non-dropping-particle":"","parse-names":false,"suffix":""},{"dropping-particle":"","family":"Yan","given":"Hai","non-dropping-particle":"","parse-names":false,"suffix":""}],"container-title":"Journal of the National Cancer Institute","id":"ITEM-1","issue":"13","issued":{"date-parts":[["2010","7","7"]]},"page":"932-41","title":"Isocitrate dehydrogenase 1 and 2 mutations in cancer: alterations at a crossroads of cellular metabolism.","type":"article-journal","volume":"102"},"uris":["http://www.mendeley.com/documents/?uuid=2385faf2-a953-3c70-8b6a-663a7ec370db"]}],"mendeley":{"formattedCitation":"&lt;sup&gt;213&lt;/sup&gt;","plainTextFormattedCitation":"213","previouslyFormattedCitation":"&lt;sup&gt;213&lt;/sup&gt;"},"properties":{"noteIndex":0},"schema":"https://github.com/citation-style-language/schema/raw/master/csl-citation.json"}</w:instrText>
      </w:r>
      <w:r w:rsidR="0001786F" w:rsidRPr="0001786F">
        <w:fldChar w:fldCharType="separate"/>
      </w:r>
      <w:r w:rsidR="00B2369D" w:rsidRPr="00B2369D">
        <w:rPr>
          <w:noProof/>
          <w:vertAlign w:val="superscript"/>
        </w:rPr>
        <w:t>213</w:t>
      </w:r>
      <w:r w:rsidR="0001786F" w:rsidRPr="0001786F">
        <w:fldChar w:fldCharType="end"/>
      </w:r>
      <w:r w:rsidR="00391932" w:rsidRPr="0001786F">
        <w:t>. Za</w:t>
      </w:r>
      <w:r w:rsidR="00391932">
        <w:t xml:space="preserve"> normálních okolností katalyzuje enzym IDH konverzi isocitrátu na </w:t>
      </w:r>
      <w:r w:rsidR="00391932" w:rsidRPr="00391932">
        <w:t>α-ketoglutar</w:t>
      </w:r>
      <w:r w:rsidR="00391932">
        <w:t>át pomocí dekarboxylace. Nejčastější aberace gliomů jsou mutace</w:t>
      </w:r>
      <w:r w:rsidR="00FF1143">
        <w:t xml:space="preserve"> v aminokyselinových</w:t>
      </w:r>
      <w:r w:rsidR="00391932">
        <w:t xml:space="preserve"> zbyt</w:t>
      </w:r>
      <w:r w:rsidR="00FF1143">
        <w:t>cích</w:t>
      </w:r>
      <w:r w:rsidR="00391932">
        <w:t xml:space="preserve"> </w:t>
      </w:r>
      <w:r w:rsidR="00391932" w:rsidRPr="00E35A17">
        <w:rPr>
          <w:i/>
          <w:iCs/>
        </w:rPr>
        <w:t>IDH1</w:t>
      </w:r>
      <w:r w:rsidR="00391932">
        <w:t xml:space="preserve"> a </w:t>
      </w:r>
      <w:r w:rsidR="00391932" w:rsidRPr="00E35A17">
        <w:rPr>
          <w:i/>
          <w:iCs/>
        </w:rPr>
        <w:t>IDH2</w:t>
      </w:r>
      <w:r w:rsidR="00391932">
        <w:t>, přesněji Arg132 a Arg</w:t>
      </w:r>
      <w:r w:rsidR="00435634">
        <w:t xml:space="preserve">172. </w:t>
      </w:r>
      <w:r w:rsidR="00FF1143">
        <w:t xml:space="preserve">Tyto mutace indukují neomorfickou enzymovou aktivitu: místo wild type aktivity katalyzují mutované proteiny redukci </w:t>
      </w:r>
      <w:r w:rsidR="00FF1143" w:rsidRPr="00391932">
        <w:t>α-ketoglutar</w:t>
      </w:r>
      <w:r w:rsidR="00FF1143">
        <w:t xml:space="preserve">átu na onkometabolit </w:t>
      </w:r>
      <w:r w:rsidR="00FF1143" w:rsidRPr="00FF1143">
        <w:t>D-2-hydroxygluta</w:t>
      </w:r>
      <w:r w:rsidR="00FF1143">
        <w:t>r</w:t>
      </w:r>
      <w:r w:rsidR="00E35A17">
        <w:t>át</w:t>
      </w:r>
      <w:r w:rsidR="00FF1143">
        <w:t xml:space="preserve"> vedoucí k maligní transformaci zahrnující epigenetické změny a </w:t>
      </w:r>
      <w:r w:rsidR="00FF1143" w:rsidRPr="0001786F">
        <w:t>aberantní diferenciaci</w:t>
      </w:r>
      <w:r w:rsidR="0001786F" w:rsidRPr="0001786F">
        <w:fldChar w:fldCharType="begin" w:fldLock="1"/>
      </w:r>
      <w:r w:rsidR="0001786F">
        <w:instrText>ADDIN CSL_CITATION {"citationItems":[{"id":"ITEM-1","itemData":{"DOI":"10.1038/nature08617","ISSN":"0028-0836","PMID":"19935646","abstract":"Mutations in the enzyme cytosolic isocitrate dehydrogenase 1 (IDH1) are a common feature of a major subset of primary human brain cancers. These mutations occur at a single amino acid residue of the IDH1 active site, resulting in loss of the enzyme's ability to catalyse conversion of isocitrate to alpha-ketoglutarate. However, only a single copy of the gene is mutated in tumours, raising the possibility that the mutations do not result in a simple loss of function. Here we show that cancer-associated IDH1 mutations result in a new ability of the enzyme to catalyse the NADPH-dependent reduction of alpha-ketoglutarate to R(-)-2-hydroxyglutarate (2HG). Structural studies demonstrate that when arginine 132 is mutated to histidine, residues in the active site are shifted to produce structural changes consistent with reduced oxidative decarboxylation of isocitrate and acquisition of the ability to convert alpha-ketoglutarate to 2HG. Excess accumulation of 2HG has been shown to lead to an elevated risk of malignant brain tumours in patients with inborn errors of 2HG metabolism. Similarly, in human malignant gliomas harbouring IDH1 mutations, we find markedly elevated levels of 2HG. These data demonstrate that the IDH1 mutations result in production of the onco-metabolite 2HG, and indicate that the excess 2HG which accumulates in vivo contributes to the formation and malignant progression of gliomas.","author":[{"dropping-particle":"","family":"Dang","given":"Lenny","non-dropping-particle":"","parse-names":false,"suffix":""},{"dropping-particle":"","family":"White","given":"David W.","non-dropping-particle":"","parse-names":false,"suffix":""},{"dropping-particle":"","family":"Gross","given":"Stefan","non-dropping-particle":"","parse-names":false,"suffix":""},{"dropping-particle":"","family":"Bennett","given":"Bryson D.","non-dropping-particle":"","parse-names":false,"suffix":""},{"dropping-particle":"","family":"Bittinger","given":"Mark A.","non-dropping-particle":"","parse-names":false,"suffix":""},{"dropping-particle":"","family":"Driggers","given":"Edward M.","non-dropping-particle":"","parse-names":false,"suffix":""},{"dropping-particle":"","family":"Fantin","given":"Valeria R.","non-dropping-particle":"","parse-names":false,"suffix":""},{"dropping-particle":"","family":"Jang","given":"Hyun Gyung","non-dropping-particle":"","parse-names":false,"suffix":""},{"dropping-particle":"","family":"Jin","given":"Shengfang","non-dropping-particle":"","parse-names":false,"suffix":""},{"dropping-particle":"","family":"Keenan","given":"Marie C.","non-dropping-particle":"","parse-names":false,"suffix":""},{"dropping-particle":"","family":"Marks","given":"Kevin M.","non-dropping-particle":"","parse-names":false,"suffix":""},{"dropping-particle":"","family":"Prins","given":"Robert M.","non-dropping-particle":"","parse-names":false,"suffix":""},{"dropping-particle":"","family":"Ward","given":"Patrick S.","non-dropping-particle":"","parse-names":false,"suffix":""},{"dropping-particle":"","family":"Yen","given":"Katharine E.","non-dropping-particle":"","parse-names":false,"suffix":""},{"dropping-particle":"","family":"Liau","given":"Linda M.","non-dropping-particle":"","parse-names":false,"suffix":""},{"dropping-particle":"","family":"Rabinowitz","given":"Joshua D.","non-dropping-particle":"","parse-names":false,"suffix":""},{"dropping-particle":"","family":"Cantley","given":"Lewis C.","non-dropping-particle":"","parse-names":false,"suffix":""},{"dropping-particle":"","family":"Thompson","given":"Craig B.","non-dropping-particle":"","parse-names":false,"suffix":""},{"dropping-particle":"","family":"Heiden","given":"Matthew G.","non-dropping-particle":"Vander","parse-names":false,"suffix":""},{"dropping-particle":"","family":"Su","given":"Shinsan M.","non-dropping-particle":"","parse-names":false,"suffix":""}],"container-title":"Nature","id":"ITEM-1","issue":"7274","issued":{"date-parts":[["2009","12","22"]]},"page":"739-744","title":"Cancer-associated IDH1 mutations produce 2-hydroxyglutarate","type":"article-journal","volume":"462"},"uris":["http://www.mendeley.com/documents/?uuid=cc059b9c-deb4-3726-a772-ff18463de235"]}],"mendeley":{"formattedCitation":"&lt;sup&gt;72&lt;/sup&gt;","plainTextFormattedCitation":"72","previouslyFormattedCitation":"&lt;sup&gt;72&lt;/sup&gt;"},"properties":{"noteIndex":0},"schema":"https://github.com/citation-style-language/schema/raw/master/csl-citation.json"}</w:instrText>
      </w:r>
      <w:r w:rsidR="0001786F" w:rsidRPr="0001786F">
        <w:fldChar w:fldCharType="separate"/>
      </w:r>
      <w:r w:rsidR="0001786F" w:rsidRPr="0001786F">
        <w:rPr>
          <w:noProof/>
          <w:vertAlign w:val="superscript"/>
        </w:rPr>
        <w:t>72</w:t>
      </w:r>
      <w:r w:rsidR="0001786F" w:rsidRPr="0001786F">
        <w:fldChar w:fldCharType="end"/>
      </w:r>
      <w:r w:rsidR="00FF1143" w:rsidRPr="0001786F">
        <w:t>.</w:t>
      </w:r>
      <w:r w:rsidR="00FF1143">
        <w:t xml:space="preserve"> Mutace </w:t>
      </w:r>
      <w:r w:rsidR="00FF1143" w:rsidRPr="00E35A17">
        <w:rPr>
          <w:i/>
          <w:iCs/>
        </w:rPr>
        <w:t>IDH1/2</w:t>
      </w:r>
      <w:r w:rsidR="00FF1143">
        <w:t xml:space="preserve"> byly identifikovány jako </w:t>
      </w:r>
      <w:r w:rsidR="00FF1143" w:rsidRPr="0001786F">
        <w:t>markery přežití</w:t>
      </w:r>
      <w:r w:rsidR="0001786F" w:rsidRPr="0001786F">
        <w:fldChar w:fldCharType="begin" w:fldLock="1"/>
      </w:r>
      <w:r w:rsidR="00AD61B7">
        <w:instrText>ADDIN CSL_CITATION {"citationItems":[{"id":"ITEM-1","itemData":{"DOI":"10.1097/MD.0000000000002583","ISSN":"1536-5964","PMID":"26945349","abstract":"The purpose of this study was to perform a meta-analysis examining the association of isocitrate dehydrogenase (IDH)1/2 mutations with overall survival (OS) and progression-free survival (PFS) in patients with glioblastomas. Medline, Cochrane, EMBASE, and Google Scholar were searched from inception to January 28, 2015, using combinations of the following keywords: IDH mutation, brain tumor, glioma, glioblastoma, oligodendroglioma, prognosis. Randomized controlled trials, and prospective and retrospective studies of patients with glioblastomas that provided IDH mutation and survival data were included. OS and PFS were used to evaluate the association of IDH1 and IDH1/2 mutations and prognosis. Hazard ratios (HRs) with corresponding 95% confidence intervals (CIs) for OS and PFS were calculated and compared between patients with and without mutations. Of 165 studies that were identified, 136 nonrelevant studies were excluded. Twenty-nine full-text articles were assessed, and of these, 5 were excluded as they did not provide a quantitative outcome. Therefore, 24 studies were included in the qualitative synthesis. The pooled HR of 0.358 (95% CI 0.264-0.487, P &lt; 0.001) indicated that IDH mutations were associated with better OS. Similarly, the pooled HR of 0.322 (95% CI 0.24200.455, P &lt; 0.001) indicated that IDH mutations were associated with better PFS. When patients were stratified by surgery versus no surgery or IDH1 versus IDH1/2 mutations, the results also indicated that the presence of IDH mutations was associated with better OS and PFS. The IDH mutations are associated with improved survival in patients with glioblastomas.","author":[{"dropping-particle":"","family":"Chen","given":"Jun-Rui","non-dropping-particle":"","parse-names":false,"suffix":""},{"dropping-particle":"","family":"Yao","given":"Yu","non-dropping-particle":"","parse-names":false,"suffix":""},{"dropping-particle":"","family":"Xu","given":"Hong-Zhi","non-dropping-particle":"","parse-names":false,"suffix":""},{"dropping-particle":"","family":"Qin","given":"Zhi-Yong","non-dropping-particle":"","parse-names":false,"suffix":""}],"container-title":"Medicine","id":"ITEM-1","issue":"9","issued":{"date-parts":[["2016","3"]]},"page":"e2583","publisher":"Wolters Kluwer Health","title":"Isocitrate Dehydrogenase (IDH)1/2 Mutations as Prognostic Markers in Patients With Glioblastomas.","type":"article-journal","volume":"95"},"uris":["http://www.mendeley.com/documents/?uuid=76ba15fa-a3af-39d3-816d-10cac9e6a0bb"]},{"id":"ITEM-2","itemData":{"DOI":"10.3892/ijo.2012.1564","ISSN":"1791-2423","PMID":"22825915","abstract":"Reliable prognostic biomarkers of grade II gliomas remain unclear. This study aimed to examine the role of mutations of isocitrate dehydrogenase (IDH1/2), 1p/19q co-deletion, and clinicopathological factors in patients with grade II glioma who were primarily treated with radiotherapy or chemoradiotherapy after surgery. Seventy-two consecutive patients, including 49 cases of diffuse astrocytomas (DA), 4 oligodendrogliomas (OL) and 19 oligoastrocytomas (OA), who underwent treatment from 1991 to 2010 at a single institution were examined. The overall survival (OS) of the DA patients (8.3 years) was significantly shorter than that of the OL and OA patients (11.7 years). IDH1/2 mutations were found in 46.9% of the DA patients and 82.6% of the OL and OA patients. The progression-free survival (PFS) and OS of the patients with IDH1/2 mutations (8.4 and 16.3 years) were significantly longer than those of the patients without IDH1/2 mutations (3.3 and 4.5 years). Among the patients with IDH1/2 mutations, those who were initially treated with chemoradiotherapy including nimustine hydrochloride (ACNU), had significantly longer PFS than those treated with radiotherapy alone, whereas no significant difference in PFS was observed between the chemoradiotherapy and radiotherapy groups in the patients without IDH1/2 mutations. Oligodendroglial tumors, age &lt;40 years, initial Karnofsky performance status (KPS) ≥80, and IDH1/2 mutations were favorable prognostic factors regarding PFS and OS. IDH1/2 mutation was a predictive factor of response to chemoradiotherapy in grade II gliomas. Patients with IDH1/2 mutations may benefit more from chemoraiotherapy than those without IDH1/2 mutations.","author":[{"dropping-particle":"","family":"Okita","given":"Yoshiko","non-dropping-particle":"","parse-names":false,"suffix":""},{"dropping-particle":"","family":"Narita","given":"Yoshitaka","non-dropping-particle":"","parse-names":false,"suffix":""},{"dropping-particle":"","family":"Miyakita","given":"Yasuji","non-dropping-particle":"","parse-names":false,"suffix":""},{"dropping-particle":"","family":"Ohno","given":"Makoto","non-dropping-particle":"","parse-names":false,"suffix":""},{"dropping-particle":"","family":"Matsushita","given":"Yuko","non-dropping-particle":"","parse-names":false,"suffix":""},{"dropping-particle":"","family":"Fukushima","given":"Shintaro","non-dropping-particle":"","parse-names":false,"suffix":""},{"dropping-particle":"","family":"Sumi","given":"Minako","non-dropping-particle":"","parse-names":false,"suffix":""},{"dropping-particle":"","family":"Ichimura","given":"Koichi","non-dropping-particle":"","parse-names":false,"suffix":""},{"dropping-particle":"","family":"Kayama","given":"Takamasa","non-dropping-particle":"","parse-names":false,"suffix":""},{"dropping-particle":"","family":"Shibui","given":"Soichiro","non-dropping-particle":"","parse-names":false,"suffix":""}],"container-title":"International journal of oncology","id":"ITEM-2","issue":"4","issued":{"date-parts":[["2012","10"]]},"page":"1325-36","title":"IDH1/2 mutation is a prognostic marker for survival and predicts response to chemotherapy for grade II gliomas concomitantly treated with radiation therapy.","type":"article-journal","volume":"41"},"uris":["http://www.mendeley.com/documents/?uuid=6e33b996-23d5-3111-9cb3-f343800d7760"]}],"mendeley":{"formattedCitation":"&lt;sup&gt;214,215&lt;/sup&gt;","plainTextFormattedCitation":"214,215","previouslyFormattedCitation":"&lt;sup&gt;214,215&lt;/sup&gt;"},"properties":{"noteIndex":0},"schema":"https://github.com/citation-style-language/schema/raw/master/csl-citation.json"}</w:instrText>
      </w:r>
      <w:r w:rsidR="0001786F" w:rsidRPr="0001786F">
        <w:fldChar w:fldCharType="separate"/>
      </w:r>
      <w:r w:rsidR="00B2369D" w:rsidRPr="00B2369D">
        <w:rPr>
          <w:noProof/>
          <w:vertAlign w:val="superscript"/>
        </w:rPr>
        <w:t>214,215</w:t>
      </w:r>
      <w:r w:rsidR="0001786F" w:rsidRPr="0001786F">
        <w:fldChar w:fldCharType="end"/>
      </w:r>
      <w:r w:rsidR="00FF1143">
        <w:t xml:space="preserve"> a právě tyto mutace se staly zásadními diagnostickými nástroji používanými v klinické praxi </w:t>
      </w:r>
      <w:r w:rsidR="00E35A17">
        <w:t xml:space="preserve">u </w:t>
      </w:r>
      <w:r w:rsidR="00FF1143">
        <w:t>g</w:t>
      </w:r>
      <w:r w:rsidR="00FF1143" w:rsidRPr="0001786F">
        <w:t>li</w:t>
      </w:r>
      <w:r w:rsidR="00E35A17">
        <w:t>álních nádorů</w:t>
      </w:r>
      <w:r w:rsidR="0001786F" w:rsidRPr="0001786F">
        <w:fldChar w:fldCharType="begin" w:fldLock="1"/>
      </w:r>
      <w:r w:rsidR="0001786F">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01786F" w:rsidRPr="0001786F">
        <w:fldChar w:fldCharType="separate"/>
      </w:r>
      <w:r w:rsidR="0001786F" w:rsidRPr="0001786F">
        <w:rPr>
          <w:noProof/>
          <w:vertAlign w:val="superscript"/>
        </w:rPr>
        <w:t>12</w:t>
      </w:r>
      <w:r w:rsidR="0001786F" w:rsidRPr="0001786F">
        <w:fldChar w:fldCharType="end"/>
      </w:r>
      <w:r w:rsidR="00FF1143" w:rsidRPr="0001786F">
        <w:t>.</w:t>
      </w:r>
    </w:p>
    <w:p w14:paraId="289C9662" w14:textId="087360B3" w:rsidR="00FF1143" w:rsidRDefault="00FF1143" w:rsidP="00FF1143">
      <w:pPr>
        <w:jc w:val="both"/>
      </w:pPr>
      <w:r>
        <w:t xml:space="preserve">Incidence mutací </w:t>
      </w:r>
      <w:r w:rsidRPr="00E35A17">
        <w:rPr>
          <w:i/>
          <w:iCs/>
        </w:rPr>
        <w:t xml:space="preserve">IDH1 </w:t>
      </w:r>
      <w:r>
        <w:t xml:space="preserve">je u </w:t>
      </w:r>
      <w:r w:rsidRPr="0001786F">
        <w:t>glioblastomu okolo 12 %</w:t>
      </w:r>
      <w:r w:rsidR="0001786F" w:rsidRPr="0001786F">
        <w:fldChar w:fldCharType="begin" w:fldLock="1"/>
      </w:r>
      <w:r w:rsidR="0001786F" w:rsidRPr="0001786F">
        <w:instrText>ADDIN CSL_CITATION {"citationItems":[{"id":"ITEM-1","itemData":{"DOI":"10.1126/science.1164382","ISSN":"0036-8075","PMID":"18772396","abstract":"Glioblastoma multiforme (GBM) is the most common and lethal type of brain cancer. To identify the genetic alterations in GBMs, we sequenced 20,661 protein coding genes, determined the presence of amplifications and deletions using high-density oligonucleotide arrays, and performed gene expression analyses using next-generation sequencing technologies in 22 human tumor samples. This comprehensive analysis led to the discovery of a variety of genes that were not known to be altered in GBMs. Most notably, we found recurrent mutations in the active site of isocitrate dehydrogenase 1 (IDH1) in 12% of GBM patients. Mutations in IDH1 occurred in a large fraction of young patients and in most patients with secondary GBMs and were associated with an increase in overall survival. These studies demonstrate the value of unbiased genomic analyses in the characterization of human brain cancer and identify a potentially useful genetic alteration for the classification and targeted therapy of GBMs.","author":[{"dropping-particle":"","family":"Parsons","given":"D. W.","non-dropping-particle":"","parse-names":false,"suffix":""},{"dropping-particle":"","family":"Jones","given":"S.","non-dropping-particle":"","parse-names":false,"suffix":""},{"dropping-particle":"","family":"Zhang","given":"X.","non-dropping-particle":"","parse-names":false,"suffix":""},{"dropping-particle":"","family":"Lin","given":"J. C.-H.","non-dropping-particle":"","parse-names":false,"suffix":""},{"dropping-particle":"","family":"Leary","given":"R. J.","non-dropping-particle":"","parse-names":false,"suffix":""},{"dropping-particle":"","family":"Angenendt","given":"P.","non-dropping-particle":"","parse-names":false,"suffix":""},{"dropping-particle":"","family":"Mankoo","given":"P.","non-dropping-particle":"","parse-names":false,"suffix":""},{"dropping-particle":"","family":"Carter","given":"H.","non-dropping-particle":"","parse-names":false,"suffix":""},{"dropping-particle":"","family":"Siu","given":"I-M.","non-dropping-particle":"","parse-names":false,"suffix":""},{"dropping-particle":"","family":"Gallia","given":"G. L.","non-dropping-particle":"","parse-names":false,"suffix":""},{"dropping-particle":"","family":"Olivi","given":"A.","non-dropping-particle":"","parse-names":false,"suffix":""},{"dropping-particle":"","family":"McLendon","given":"R.","non-dropping-particle":"","parse-names":false,"suffix":""},{"dropping-particle":"","family":"Rasheed","given":"B. A.","non-dropping-particle":"","parse-names":false,"suffix":""},{"dropping-particle":"","family":"Keir","given":"S.","non-dropping-particle":"","parse-names":false,"suffix":""},{"dropping-particle":"","family":"Nikolskaya","given":"T.","non-dropping-particle":"","parse-names":false,"suffix":""},{"dropping-particle":"","family":"Nikolsky","given":"Y.","non-dropping-particle":"","parse-names":false,"suffix":""},{"dropping-particle":"","family":"Busam","given":"D. A.","non-dropping-particle":"","parse-names":false,"suffix":""},{"dropping-particle":"","family":"Tekleab","given":"H.","non-dropping-particle":"","parse-names":false,"suffix":""},{"dropping-particle":"","family":"Diaz","given":"L. A.","non-dropping-particle":"","parse-names":false,"suffix":""},{"dropping-particle":"","family":"Hartigan","given":"J.","non-dropping-particle":"","parse-names":false,"suffix":""},{"dropping-particle":"","family":"Smith","given":"D. R.","non-dropping-particle":"","parse-names":false,"suffix":""},{"dropping-particle":"","family":"Strausberg","given":"R. L.","non-dropping-particle":"","parse-names":false,"suffix":""},{"dropping-particle":"","family":"Marie","given":"S. K. N.","non-dropping-particle":"","parse-names":false,"suffix":""},{"dropping-particle":"","family":"Shinjo","given":"S. M. O.","non-dropping-particle":"","parse-names":false,"suffix":""},{"dropping-particle":"","family":"Yan","given":"H.","non-dropping-particle":"","parse-names":false,"suffix":""},{"dropping-particle":"","family":"Riggins","given":"G. J.","non-dropping-particle":"","parse-names":false,"suffix":""},{"dropping-particle":"","family":"Bigner","given":"D. D.","non-dropping-particle":"","parse-names":false,"suffix":""},{"dropping-particle":"","family":"Karchin","given":"R.","non-dropping-particle":"","parse-names":false,"suffix":""},{"dropping-particle":"","family":"Papadopoulos","given":"N.","non-dropping-particle":"","parse-names":false,"suffix":""},{"dropping-particle":"","family":"Parmigiani","given":"G.","non-dropping-particle":"","parse-names":false,"suffix":""},{"dropping-particle":"","family":"Vogelstein","given":"B.","non-dropping-particle":"","parse-names":false,"suffix":""},{"dropping-particle":"","family":"Velculescu","given":"V. E.","non-dropping-particle":"","parse-names":false,"suffix":""},{"dropping-particle":"","family":"Kinzler","given":"K. W.","non-dropping-particle":"","parse-names":false,"suffix":""}],"container-title":"Science","id":"ITEM-1","issue":"5897","issued":{"date-parts":[["2008","9","26"]]},"page":"1807-1812","title":"An Integrated Genomic Analysis of Human Glioblastoma Multiforme","type":"article-journal","volume":"321"},"uris":["http://www.mendeley.com/documents/?uuid=3055003b-7c76-3609-8bb1-174f87a52852"]}],"mendeley":{"formattedCitation":"&lt;sup&gt;7&lt;/sup&gt;","plainTextFormattedCitation":"7","previouslyFormattedCitation":"&lt;sup&gt;7&lt;/sup&gt;"},"properties":{"noteIndex":0},"schema":"https://github.com/citation-style-language/schema/raw/master/csl-citation.json"}</w:instrText>
      </w:r>
      <w:r w:rsidR="0001786F" w:rsidRPr="0001786F">
        <w:fldChar w:fldCharType="separate"/>
      </w:r>
      <w:r w:rsidR="0001786F" w:rsidRPr="0001786F">
        <w:rPr>
          <w:noProof/>
          <w:vertAlign w:val="superscript"/>
        </w:rPr>
        <w:t>7</w:t>
      </w:r>
      <w:r w:rsidR="0001786F" w:rsidRPr="0001786F">
        <w:fldChar w:fldCharType="end"/>
      </w:r>
      <w:r w:rsidRPr="0001786F">
        <w:t>, v případě gliomů grade II-II a sekundárních glioblastomů byly mutace nalezeny přibližně u 80 % vzorků</w:t>
      </w:r>
      <w:r w:rsidR="0001786F" w:rsidRPr="0001786F">
        <w:fldChar w:fldCharType="begin" w:fldLock="1"/>
      </w:r>
      <w:r w:rsidR="00AD61B7">
        <w:instrText>ADDIN CSL_CITATION {"citationItems":[{"id":"ITEM-1","itemData":{"DOI":"10.1007/s00401-008-0455-2","ISSN":"0001-6322","PMID":"18985363","abstract":"A recent study reported on mutations in the active site of the isocitrate dehydrogenase (IDH1) gene in 12% of glioblastomas. All mutations detected resulted in an amino acid exchange in position 132. We analyzed the genomic region spanning wild type R132 of IDH1 by direct sequencing in 685 brain tumors including 41 pilocytic astrocytomas, 12 subependymal giant cell astrocytomas, 7 pleomorphic xanthoastrocytomas, 93 diffuse astrocytomas, 120 adult glioblastomas, 14 pediatric glioblastomas, 105 oligodendrogliomas, 83 oligoastrocytomas, 31 ependymomas, 58 medulloblastomas, 9 supratentorial primitive neuroectodermal tumors, 17 schwannomas, 72 meningiomas and 23 pituitary adenomas. A total of 221 somatic IDH1 mutations were detected and the highest frequencies occurred in diffuse astrocytomas (68%), oligodendrogliomas (69%), oligoastrocytomas (78%) and secondary glioblastomas (88%). Primary glioblastomas and other entities were characterized by a low frequency or absence of mutations in amino acid position 132 of IDH1. The very high frequency of IDH1 mutations in WHO grade II astrocytic and oligodendroglial gliomas suggests a role in early tumor development.","author":[{"dropping-particle":"","family":"Balss","given":"Jörg","non-dropping-particle":"","parse-names":false,"suffix":""},{"dropping-particle":"","family":"Meyer","given":"Jochen","non-dropping-particle":"","parse-names":false,"suffix":""},{"dropping-particle":"","family":"Mueller","given":"Wolf","non-dropping-particle":"","parse-names":false,"suffix":""},{"dropping-particle":"","family":"Korshunov","given":"Andrey","non-dropping-particle":"","parse-names":false,"suffix":""},{"dropping-particle":"","family":"Hartmann","given":"Christian","non-dropping-particle":"","parse-names":false,"suffix":""},{"dropping-particle":"","family":"Deimling","given":"Andreas","non-dropping-particle":"von","parse-names":false,"suffix":""}],"container-title":"Acta Neuropathologica","id":"ITEM-1","issue":"6","issued":{"date-parts":[["2008","12","5"]]},"page":"597-602","title":"Analysis of the IDH1 codon 132 mutation in brain tumors","type":"article-journal","volume":"116"},"uris":["http://www.mendeley.com/documents/?uuid=10c5ad5b-9030-32a8-a955-9d1e5eaca09b"]},{"id":"ITEM-2","itemData":{"DOI":"10.1002/humu.20937","ISSN":"10597794","PMID":"19117336","abstract":"Systematic sequence profiling of the Glioblastoma Multiforme (GBM) genome has recently led to the identification of somatic mutations in the isocitrate dehydrogenase 1 (IDH1) gene. Interestingly, only the evolutionarily conserved residue R132 located in the substrate binding site of IDH1 was found mutated in GBM. At present, the occurrence and the relevance of p.R132 (IDH1(R132)) variants in tumors other than GBMs is largely unknown. We searched for mutations at position R132 of the IDH1 gene in a panel of 672 tumor samples. These included high-grade glioma, gastrointestinal stromal tumors (GIST), melanoma, bladder, breast, colorectal, lung, ovarian, pancreas, prostate, and thyroid carcinoma specimens. In addition, we assessed a panel of 84 cell lines from different tumor lineages. Somatic mutations affecting the IDH1(R132) residue were detected in 20% (23 of 113) high-grade glioma samples. In addition to the previously reported p.R132H and p.R132S alleles, we identified three novel somatic mutations (p.R132C, p.R132G, and p.R132L) affecting residue IDH1(R132) in GBM. Strikingly, no IDH1 mutations were detected in the other tumor types. These data indicate that cancer mutations affecting IDH1(R132) are tissue-specific, and suggest that it plays a unique role in the development of high-grade gliomas.","author":[{"dropping-particle":"","family":"Bleeker","given":"Fonnet E.","non-dropping-particle":"","parse-names":false,"suffix":""},{"dropping-particle":"","family":"Lamba","given":"Simona","non-dropping-particle":"","parse-names":false,"suffix":""},{"dropping-particle":"","family":"Leenstra","given":"Sieger","non-dropping-particle":"","parse-names":false,"suffix":""},{"dropping-particle":"","family":"Troost","given":"Dirk","non-dropping-particle":"","parse-names":false,"suffix":""},{"dropping-particle":"","family":"Hulsebos","given":"Theo","non-dropping-particle":"","parse-names":false,"suffix":""},{"dropping-particle":"","family":"Vandertop","given":"W. Peter","non-dropping-particle":"","parse-names":false,"suffix":""},{"dropping-particle":"","family":"Frattini","given":"Milo","non-dropping-particle":"","parse-names":false,"suffix":""},{"dropping-particle":"","family":"Molinari","given":"Francesca","non-dropping-particle":"","parse-names":false,"suffix":""},{"dropping-particle":"","family":"Knowles","given":"Margaret","non-dropping-particle":"","parse-names":false,"suffix":""},{"dropping-particle":"","family":"Cerrato","given":"Aniello","non-dropping-particle":"","parse-names":false,"suffix":""},{"dropping-particle":"","family":"Rodolfo","given":"Monica","non-dropping-particle":"","parse-names":false,"suffix":""},{"dropping-particle":"","family":"Scarpa","given":"Aldo","non-dropping-particle":"","parse-names":false,"suffix":""},{"dropping-particle":"","family":"Felicioni","given":"Lara","non-dropping-particle":"","parse-names":false,"suffix":""},{"dropping-particle":"","family":"Buttitta","given":"Fiamma","non-dropping-particle":"","parse-names":false,"suffix":""},{"dropping-particle":"","family":"Malatesta","given":"Sara","non-dropping-particle":"","parse-names":false,"suffix":""},{"dropping-particle":"","family":"Marchetti","given":"Antonio","non-dropping-particle":"","parse-names":false,"suffix":""},{"dropping-particle":"","family":"Bardelli","given":"Alberto","non-dropping-particle":"","parse-names":false,"suffix":""}],"container-title":"Human Mutation","id":"ITEM-2","issue":"1","issued":{"date-parts":[["2009","1"]]},"page":"7-11","title":"&lt;i&gt;IDH1&lt;/i&gt; mutations at residue p.R132 (IDH1 &lt;sup&gt;R132&lt;/sup&gt; ) occur frequently in high-grade gliomas but not in other solid tumors","type":"article-journal","volume":"30"},"uris":["http://www.mendeley.com/documents/?uuid=d47e288a-8c80-3c3f-b8ec-4f367e073be6"]},{"id":"ITEM-3","itemData":{"DOI":"10.1002/ijc.24379","ISSN":"00207136","PMID":"19378339","abstract":"Missense somatic mutations in IDH1 gene affecting codon 132 have recently been reported in glioblastoma multiforme (GBM) and other gliomas. The recurrent nature of the IDH1 mutations in the same amino acid strongly suggests that the mutations may play important roles in the pathogenesis of glial tumors. The aim of this study was to see whether the IDH1 codon 132 mutations occur in other human cancers besides glial tumors. We also attempted to confirm the occurrence of the IDH1 mutations in GBM of Korean patients. We have analyzed 1,186 cancer tissues from various origins, including carcinomas from breast, colon, lung, stomach, esophagus, liver, prostate, urinary bladder, ovary, uterine cervix, skin and kidney, and malignant mesotheliomas, primary GBM, malignant meningiomas, multiple myelomas and acute leukemias by single-strand conformation polymorphism analysis. We found four IDH1 codon 132 mutations in the GBM (4/25; 16.0%), two in the prostate carcinomas (2/75; 2.7%) and one in the B-acute lymphoblastic leukemias (B-ALL) (1/60; 1.7%), but none in other cancers. The IDH1 mutations consisted of five p.R132H and two p.R132C mutations. The data indicate that IDH1 codon 132 mutations occur not only in GBM, but also in prostate cancers and B-ALL. This study suggests that despite the infrequent incidence of the IDH1 mutations in prostate cancers and B-ALL, mutated IDH1 could be therapeutically targeted in these cancers and in glial tumors with the IDH1 mutations.","author":[{"dropping-particle":"","family":"Kang","given":"Mi Ran","non-dropping-particle":"","parse-names":false,"suffix":""},{"dropping-particle":"","family":"Kim","given":"Min Sung","non-dropping-particle":"","parse-names":false,"suffix":""},{"dropping-particle":"","family":"Oh","given":"Ji Eun","non-dropping-particle":"","parse-names":false,"suffix":""},{"dropping-particle":"","family":"Kim","given":"Yoo Ri","non-dropping-particle":"","parse-names":false,"suffix":""},{"dropping-particle":"","family":"Song","given":"Sang Yong","non-dropping-particle":"","parse-names":false,"suffix":""},{"dropping-particle":"Il","family":"Seo","given":"Seong","non-dropping-particle":"","parse-names":false,"suffix":""},{"dropping-particle":"","family":"Lee","given":"Ji Youl","non-dropping-particle":"","parse-names":false,"suffix":""},{"dropping-particle":"","family":"Yoo","given":"Nam Jin","non-dropping-particle":"","parse-names":false,"suffix":""},{"dropping-particle":"","family":"Lee","given":"Sug Hyung","non-dropping-particle":"","parse-names":false,"suffix":""}],"container-title":"International Journal of Cancer","id":"ITEM-3","issue":"2","issued":{"date-parts":[["2009","7","15"]]},"page":"353-355","title":"Mutational analysis of IDH1 codon 132 in glioblastomas and other common cancers","type":"article-journal","volume":"125"},"uris":["http://www.mendeley.com/documents/?uuid=be7770f6-b607-3da0-b6d6-bac4ea70c907"]},{"id":"ITEM-4","itemData":{"DOI":"10.1200/JCO.2009.21.9832","ISSN":"0732-183X","PMID":"19636000","abstract":"PURPOSE Unexpected mutations affecting the isocitrate dehydrogenase (IDH1) gene at codon 132 have been found in 12% of glioblastomas. PATIENTS AND METHODS IDH1 codon 132 sequencing was performed in a series of 404 patients with glioma (100 grade 2, 121 grade 3, and 183 grade 4 gliomas) and correlated with histology, genomic profile, methylguanyl methyltransferase (MGMT) promoter methylation status, and outcome. RESULTS A total of 155 codon 132 mutations were found, of which 131 were Arg132His (88.5%). The IDH1 mutation was inversely correlated with grade, affecting 77% of grade 2, 55% of grade 3, and 6% of grade 4 gliomas (P &lt; 10(-15)). The IDH1 mutation was tightly associated with a 1p19q codeleted genotype (P &lt; 10(-14)) and an MGMT methylated status (P &lt; .001) but mutually exclusive with EGFR amplification (P &lt; 10(-15)) and loss of chromosome 10 (P &lt; 10(-15)). The presence (v absence) of IDH1 mutation was associated with a better outcome in grade 2 (150.9 v 60.1 months, respectively; P = .01), grade 3 (81.1 v 19.4 months, respectively; P &lt; .001), and grade 4 gliomas (27.4 v 14 months, respectively; P &lt; .01). After adjustment for grade, age, MGMT status, genomic profile, and treatment, multivariate analysis confirmed that IDH1 mutation was an independent favorable prognostic marker (hazard ratio = 0.297; 95% CI, 0.157 to 0.564, P = .00021). CONCLUSION This study indicates that IDH1 codon 132 mutation is closely linked to the genomic profile of the tumor and constitutes an important prognostic marker in grade 2 to 4 gliomas.","author":[{"dropping-particle":"","family":"Sanson","given":"Marc","non-dropping-particle":"","parse-names":false,"suffix":""},{"dropping-particle":"","family":"Marie","given":"Yannick","non-dropping-particle":"","parse-names":false,"suffix":""},{"dropping-particle":"","family":"Paris","given":"Sophie","non-dropping-particle":"","parse-names":false,"suffix":""},{"dropping-particle":"","family":"Idbaih","given":"Ahmed","non-dropping-particle":"","parse-names":false,"suffix":""},{"dropping-particle":"","family":"Laffaire","given":"Julien","non-dropping-particle":"","parse-names":false,"suffix":""},{"dropping-particle":"","family":"Ducray","given":"François","non-dropping-particle":"","parse-names":false,"suffix":""},{"dropping-particle":"","family":"Hallani","given":"Soufiane","non-dropping-particle":"El","parse-names":false,"suffix":""},{"dropping-particle":"","family":"Boisselier","given":"Blandine","non-dropping-particle":"","parse-names":false,"suffix":""},{"dropping-particle":"","family":"Mokhtari","given":"Karima","non-dropping-particle":"","parse-names":false,"suffix":""},{"dropping-particle":"","family":"Hoang-Xuan","given":"Khe","non-dropping-particle":"","parse-names":false,"suffix":""},{"dropping-particle":"","family":"Delattre","given":"Jean-Yves","non-dropping-particle":"","parse-names":false,"suffix":""}],"container-title":"Journal of Clinical Oncology","id":"ITEM-4","issue":"25","issued":{"date-parts":[["2009","9","1"]]},"page":"4150-4154","title":"Isocitrate Dehydrogenase 1 Codon 132 Mutation Is an Important Prognostic Biomarker in Gliomas","type":"article-journal","volume":"27"},"uris":["http://www.mendeley.com/documents/?uuid=5202261b-ed8e-3d50-bfa8-cd60c8534757"]},{"id":"ITEM-5","itemData":{"DOI":"10.1056/nejmoa0808710","ISSN":"0028-4793","PMID":"19228619","abstract":"BACKGROUND A recent genomewide mutational analysis of glioblastomas (World Health Organization [WHO] grade IV glioma) revealed somatic mutations of the isocitrate dehydrogenase 1 gene (IDH1) in a fraction of such tumors, most frequently in tumors that were known to have evolved from lower-grade gliomas (secondary glioblastomas). METHODS We determined the sequence of the IDH1 gene and the related IDH2 gene in 445 central nervous system (CNS) tumors and 494 non-CNS tumors. The enzymatic activity of the proteins that were produced from normal and mutant IDH1 and IDH2 genes was determined in cultured glioma cells that were transfected with these genes. RESULTS We identified mutations that affected amino acid 132 of IDH1 in more than 70% of WHO grade II and III astrocytomas and oligodendrogliomas and in glioblastomas that developed from these lower-grade lesions. Tumors without mutations in IDH1 often had mutations affecting the analogous amino acid (R172) of the IDH2 gene. Tumors with IDH1 or IDH2 mutations had distinctive genetic and clinical characteristics, and patients with such tumors had a better outcome than those with wild-type IDH genes. Each of four tested IDH1 and IDH2 mutations reduced the enzymatic activity of the encoded protein. CONCLUSIONS Mutations of NADP(+)-dependent isocitrate dehydrogenases encoded by IDH1 and IDH2 occur in a majority of several types of malignant gliomas.","author":[{"dropping-particle":"","family":"Yan","given":"Hai","non-dropping-particle":"","parse-names":false,"suffix":""},{"dropping-particle":"","family":"Parsons","given":"D. Williams","non-dropping-particle":"","parse-names":false,"suffix":""},{"dropping-particle":"","family":"Jin","given":"Genglin","non-dropping-particle":"","parse-names":false,"suffix":""},{"dropping-particle":"","family":"McLendon","given":"Roger","non-dropping-particle":"","parse-names":false,"suffix":""},{"dropping-particle":"","family":"Rasheed","given":"B. Ahmed","non-dropping-particle":"","parse-names":false,"suffix":""},{"dropping-particle":"","family":"Yuan","given":"Weishi","non-dropping-particle":"","parse-names":false,"suffix":""},{"dropping-particle":"","family":"Kos","given":"Ivan","non-dropping-particle":"","parse-names":false,"suffix":""},{"dropping-particle":"","family":"Batinic-Haberle","given":"Ines","non-dropping-particle":"","parse-names":false,"suffix":""},{"dropping-particle":"","family":"Jones","given":"Siân","non-dropping-particle":"","parse-names":false,"suffix":""},{"dropping-particle":"","family":"Riggins","given":"Gregory J.","non-dropping-particle":"","parse-names":false,"suffix":""},{"dropping-particle":"","family":"Friedman","given":"Henry","non-dropping-particle":"","parse-names":false,"suffix":""},{"dropping-particle":"","family":"Friedman","given":"Allan","non-dropping-particle":"","parse-names":false,"suffix":""},{"dropping-particle":"","family":"Reardon","given":"David","non-dropping-particle":"","parse-names":false,"suffix":""},{"dropping-particle":"","family":"Herndon","given":"James","non-dropping-particle":"","parse-names":false,"suffix":""},{"dropping-particle":"","family":"Kinzler","given":"Kenneth W.","non-dropping-particle":"","parse-names":false,"suffix":""},{"dropping-particle":"","family":"Velculescu","given":"Victor E.","non-dropping-particle":"","parse-names":false,"suffix":""},{"dropping-particle":"","family":"Vogelstein","given":"Bert","non-dropping-particle":"","parse-names":false,"suffix":""},{"dropping-particle":"","family":"Bigner","given":"Darell D.","non-dropping-particle":"","parse-names":false,"suffix":""}],"container-title":"New England Journal of Medicine","id":"ITEM-5","issue":"8","issued":{"date-parts":[["2009","2","19"]]},"page":"765-773","publisher":"New England Journal of Medicine (NEJM/MMS)","title":"IDH1 and IDH2 Mutations in Gliomas ","type":"article-journal","volume":"360"},"uris":["http://www.mendeley.com/documents/?uuid=3fa8f337-a0fb-3fb9-946e-f5c62b32a47a"]}],"mendeley":{"formattedCitation":"&lt;sup&gt;216–220&lt;/sup&gt;","plainTextFormattedCitation":"216–220","previouslyFormattedCitation":"&lt;sup&gt;216–220&lt;/sup&gt;"},"properties":{"noteIndex":0},"schema":"https://github.com/citation-style-language/schema/raw/master/csl-citation.json"}</w:instrText>
      </w:r>
      <w:r w:rsidR="0001786F" w:rsidRPr="0001786F">
        <w:fldChar w:fldCharType="separate"/>
      </w:r>
      <w:r w:rsidR="00B2369D" w:rsidRPr="00B2369D">
        <w:rPr>
          <w:noProof/>
          <w:vertAlign w:val="superscript"/>
        </w:rPr>
        <w:t>216–220</w:t>
      </w:r>
      <w:r w:rsidR="0001786F" w:rsidRPr="0001786F">
        <w:fldChar w:fldCharType="end"/>
      </w:r>
      <w:r w:rsidRPr="0001786F">
        <w:t>.</w:t>
      </w:r>
      <w:r w:rsidR="008D2726" w:rsidRPr="0001786F">
        <w:t xml:space="preserve"> Mutace </w:t>
      </w:r>
      <w:r w:rsidR="008D2726" w:rsidRPr="00737A88">
        <w:rPr>
          <w:i/>
          <w:iCs/>
        </w:rPr>
        <w:t>IDH2</w:t>
      </w:r>
      <w:r w:rsidR="008D2726" w:rsidRPr="0001786F">
        <w:t xml:space="preserve"> jsou méně časté </w:t>
      </w:r>
      <w:r w:rsidR="005F0998" w:rsidRPr="0001786F">
        <w:t xml:space="preserve">a </w:t>
      </w:r>
      <w:r w:rsidR="00C55E6B" w:rsidRPr="0001786F">
        <w:t>v</w:t>
      </w:r>
      <w:r w:rsidR="00422DFE" w:rsidRPr="0001786F">
        <w:t xml:space="preserve">zájemně se vylučují </w:t>
      </w:r>
      <w:r w:rsidR="005D32B3" w:rsidRPr="0001786F">
        <w:t xml:space="preserve">s </w:t>
      </w:r>
      <w:r w:rsidR="00422DFE" w:rsidRPr="0001786F">
        <w:t xml:space="preserve">mutacemi </w:t>
      </w:r>
      <w:r w:rsidR="00E2449D" w:rsidRPr="0001786F">
        <w:t>v </w:t>
      </w:r>
      <w:r w:rsidR="00E2449D" w:rsidRPr="00737A88">
        <w:rPr>
          <w:i/>
          <w:iCs/>
        </w:rPr>
        <w:t>IDH1</w:t>
      </w:r>
      <w:r w:rsidR="0001786F" w:rsidRPr="0001786F">
        <w:fldChar w:fldCharType="begin" w:fldLock="1"/>
      </w:r>
      <w:r w:rsidR="00AD61B7">
        <w:instrText>ADDIN CSL_CITATION {"citationItems":[{"id":"ITEM-1","itemData":{"DOI":"10.1056/NEJMoa0808710","ISSN":"0028-4793","author":[{"dropping-particle":"","family":"Yan","given":"Hai","non-dropping-particle":"","parse-names":false,"suffix":""},{"dropping-particle":"","family":"Parsons","given":"D. Williams","non-dropping-particle":"","parse-names":false,"suffix":""},{"dropping-particle":"","family":"Jin","given":"Genglin","non-dropping-particle":"","parse-names":false,"suffix":""},{"dropping-particle":"","family":"McLendon","given":"Roger","non-dropping-particle":"","parse-names":false,"suffix":""},{"dropping-particle":"","family":"Rasheed","given":"B. Ahmed","non-dropping-particle":"","parse-names":false,"suffix":""},{"dropping-particle":"","family":"Yuan","given":"Weishi","non-dropping-particle":"","parse-names":false,"suffix":""},{"dropping-particle":"","family":"Kos","given":"Ivan","non-dropping-particle":"","parse-names":false,"suffix":""},{"dropping-particle":"","family":"Batinic-Haberle","given":"Ines","non-dropping-particle":"","parse-names":false,"suffix":""},{"dropping-particle":"","family":"Jones","given":"Siân","non-dropping-particle":"","parse-names":false,"suffix":""},{"dropping-particle":"","family":"Riggins","given":"Gregory J.","non-dropping-particle":"","parse-names":false,"suffix":""},{"dropping-particle":"","family":"Friedman","given":"Henry","non-dropping-particle":"","parse-names":false,"suffix":""},{"dropping-particle":"","family":"Friedman","given":"Allan","non-dropping-particle":"","parse-names":false,"suffix":""},{"dropping-particle":"","family":"Reardon","given":"David","non-dropping-particle":"","parse-names":false,"suffix":""},{"dropping-particle":"","family":"Herndon","given":"James","non-dropping-particle":"","parse-names":false,"suffix":""},{"dropping-particle":"","family":"Kinzler","given":"Kenneth W.","non-dropping-particle":"","parse-names":false,"suffix":""},{"dropping-particle":"","family":"Velculescu","given":"Victor E.","non-dropping-particle":"","parse-names":false,"suffix":""},{"dropping-particle":"","family":"Vogelstein","given":"Bert","non-dropping-particle":"","parse-names":false,"suffix":""},{"dropping-particle":"","family":"Bigner","given":"Darell D.","non-dropping-particle":"","parse-names":false,"suffix":""}],"container-title":"New England Journal of Medicine","id":"ITEM-1","issue":"8","issued":{"date-parts":[["2009","2","19"]]},"page":"765-773","title":"&lt;i&gt;IDH1&lt;/i&gt; and &lt;i&gt;IDH2&lt;/i&gt; Mutations in Gliomas","type":"article-journal","volume":"360"},"uris":["http://www.mendeley.com/documents/?uuid=151da9f3-dc98-3d18-afe3-f9d8e8586f6c"]},{"id":"ITEM-2","itemData":{"DOI":"10.1007/s00401-009-0561-9","ISSN":"0001-6322","PMID":"19554337","abstract":"Somatic mutations in the IDH1 gene encoding cytosolic NADP+-dependent isocitrate dehydrogenase have been shown in the majority of astrocytomas, oligodendrogliomas and oligoastrocytomas of WHO grades II and III. IDH2 encoding mitochondrial NADP+-dependent isocitrate dehydrogenase is also mutated in these tumors, albeit at much lower frequencies. Preliminary data suggest an importance of IDH1 mutation for prognosis showing that patients with anaplastic astrocytomas, oligodendrogliomas and oligoastrocytomas harboring IDH1 mutations seem to fare much better than patients without this mutation in their tumors. To determine mutation types and their frequencies, we examined 1,010 diffuse gliomas. We detected 716 IDH1 mutations and 31 IDH2 mutations. We found 165 IDH1 (72.7%) and 2 IDH2 mutations (0.9%) in 227 diffuse astrocytomas WHO grade II, 146 IDH1 (64.0%) and 2 IDH2 mutations (0.9%) in 228 anaplastic astrocytomas WHO grade III, 105 IDH1 (82.0%) and 6 IDH2 mutations (4.7%) in 128 oligodendrogliomas WHO grade II, 121 IDH1 (69.5%) and 9 IDH2 mutations (5.2%) in 174 anaplastic oligodendrogliomas WHO grade III, 62 IDH1 (81.6%) and 1 IDH2 mutations (1.3%) in 76 oligoastrocytomas WHO grade II and 117 IDH1 (66.1%) and 11 IDH2 mutations (6.2%) in 177 anaplastic oligoastrocytomas WHO grade III. We report on an inverse association of IDH1 and IDH2 mutations in these gliomas and a non-random distribution of the mutation types within the tumor entities. IDH1 mutations of the R132C type are strongly associated with astrocytoma, while IDH2 mutations predominantly occur in oligodendroglial tumors. In addition, patients with anaplastic glioma harboring IDH1 mutations were on average 6 years younger than those without these alterations.","author":[{"dropping-particle":"","family":"Hartmann","given":"Christian","non-dropping-particle":"","parse-names":false,"suffix":""},{"dropping-particle":"","family":"Meyer","given":"Jochen","non-dropping-particle":"","parse-names":false,"suffix":""},{"dropping-particle":"","family":"Balss","given":"Jörg","non-dropping-particle":"","parse-names":false,"suffix":""},{"dropping-particle":"","family":"Capper","given":"David","non-dropping-particle":"","parse-names":false,"suffix":""},{"dropping-particle":"","family":"Mueller","given":"Wolf","non-dropping-particle":"","parse-names":false,"suffix":""},{"dropping-particle":"","family":"Christians","given":"Arne","non-dropping-particle":"","parse-names":false,"suffix":""},{"dropping-particle":"","family":"Felsberg","given":"Jörg","non-dropping-particle":"","parse-names":false,"suffix":""},{"dropping-particle":"","family":"Wolter","given":"Marietta","non-dropping-particle":"","parse-names":false,"suffix":""},{"dropping-particle":"","family":"Mawrin","given":"Christian","non-dropping-particle":"","parse-names":false,"suffix":""},{"dropping-particle":"","family":"Wick","given":"Wolfgang","non-dropping-particle":"","parse-names":false,"suffix":""},{"dropping-particle":"","family":"Weller","given":"Michael","non-dropping-particle":"","parse-names":false,"suffix":""},{"dropping-particle":"","family":"Herold-Mende","given":"Christel","non-dropping-particle":"","parse-names":false,"suffix":""},{"dropping-particle":"","family":"Unterberg","given":"Andreas","non-dropping-particle":"","parse-names":false,"suffix":""},{"dropping-particle":"","family":"Jeuken","given":"Judith W. M.","non-dropping-particle":"","parse-names":false,"suffix":""},{"dropping-particle":"","family":"Wesseling","given":"Peter","non-dropping-particle":"","parse-names":false,"suffix":""},{"dropping-particle":"","family":"Reifenberger","given":"Guido","non-dropping-particle":"","parse-names":false,"suffix":""},{"dropping-particle":"","family":"Deimling","given":"Andreas","non-dropping-particle":"von","parse-names":false,"suffix":""}],"container-title":"Acta Neuropathologica","id":"ITEM-2","issue":"4","issued":{"date-parts":[["2009","10","25"]]},"page":"469-474","title":"Type and frequency of IDH1 and IDH2 mutations are related to astrocytic and oligodendroglial differentiation and age: a study of 1,010 diffuse gliomas","type":"article-journal","volume":"118"},"uris":["http://www.mendeley.com/documents/?uuid=b1edf080-0072-38f7-9532-448ebe7dee35"]}],"mendeley":{"formattedCitation":"&lt;sup&gt;221,222&lt;/sup&gt;","plainTextFormattedCitation":"221,222","previouslyFormattedCitation":"&lt;sup&gt;221,222&lt;/sup&gt;"},"properties":{"noteIndex":0},"schema":"https://github.com/citation-style-language/schema/raw/master/csl-citation.json"}</w:instrText>
      </w:r>
      <w:r w:rsidR="0001786F" w:rsidRPr="0001786F">
        <w:fldChar w:fldCharType="separate"/>
      </w:r>
      <w:r w:rsidR="00B2369D" w:rsidRPr="00B2369D">
        <w:rPr>
          <w:noProof/>
          <w:vertAlign w:val="superscript"/>
        </w:rPr>
        <w:t>221,222</w:t>
      </w:r>
      <w:r w:rsidR="0001786F" w:rsidRPr="0001786F">
        <w:fldChar w:fldCharType="end"/>
      </w:r>
      <w:r w:rsidR="00E2449D" w:rsidRPr="0001786F">
        <w:t>. Všechny</w:t>
      </w:r>
      <w:r w:rsidR="00E2449D">
        <w:t xml:space="preserve"> mutace </w:t>
      </w:r>
      <w:r w:rsidR="00986469" w:rsidRPr="00737A88">
        <w:rPr>
          <w:i/>
          <w:iCs/>
        </w:rPr>
        <w:t>IDH1</w:t>
      </w:r>
      <w:r w:rsidR="00986469">
        <w:t xml:space="preserve"> a </w:t>
      </w:r>
      <w:r w:rsidR="00986469" w:rsidRPr="00737A88">
        <w:rPr>
          <w:i/>
          <w:iCs/>
        </w:rPr>
        <w:t>IDH2</w:t>
      </w:r>
      <w:r w:rsidR="00986469">
        <w:t xml:space="preserve"> </w:t>
      </w:r>
      <w:r w:rsidR="00737A88">
        <w:t>vyskytující se</w:t>
      </w:r>
      <w:r w:rsidR="00CD3526">
        <w:t xml:space="preserve"> u glioblastomů jsou missense </w:t>
      </w:r>
      <w:r w:rsidR="008D5849">
        <w:t xml:space="preserve">mutace </w:t>
      </w:r>
      <w:r w:rsidR="008602D1">
        <w:t>v jedniné aminokyselině</w:t>
      </w:r>
      <w:r w:rsidR="00A80C71">
        <w:t xml:space="preserve"> a to argininu</w:t>
      </w:r>
      <w:r w:rsidR="00530077">
        <w:t xml:space="preserve"> 132 </w:t>
      </w:r>
      <w:r w:rsidR="005323B5">
        <w:t>(</w:t>
      </w:r>
      <w:r w:rsidR="00893AEC" w:rsidRPr="00737A88">
        <w:rPr>
          <w:i/>
          <w:iCs/>
        </w:rPr>
        <w:t>IDH1</w:t>
      </w:r>
      <w:r w:rsidR="00893AEC">
        <w:t xml:space="preserve"> </w:t>
      </w:r>
      <w:r w:rsidR="005323B5">
        <w:t>R132)</w:t>
      </w:r>
      <w:r w:rsidR="00513736">
        <w:t xml:space="preserve"> </w:t>
      </w:r>
      <w:r w:rsidR="00530077">
        <w:t xml:space="preserve">a </w:t>
      </w:r>
      <w:r w:rsidR="005323B5">
        <w:t>172</w:t>
      </w:r>
      <w:r w:rsidR="00513736">
        <w:t xml:space="preserve"> (</w:t>
      </w:r>
      <w:r w:rsidR="00893AEC" w:rsidRPr="00737A88">
        <w:rPr>
          <w:i/>
          <w:iCs/>
        </w:rPr>
        <w:t>IDH2</w:t>
      </w:r>
      <w:r w:rsidR="00893AEC">
        <w:t xml:space="preserve"> </w:t>
      </w:r>
      <w:r w:rsidR="00513736">
        <w:t>R172).</w:t>
      </w:r>
      <w:r w:rsidR="00EA5046">
        <w:t xml:space="preserve"> Nejčastější variantou je</w:t>
      </w:r>
      <w:r w:rsidR="00EA5046" w:rsidRPr="00737A88">
        <w:rPr>
          <w:i/>
          <w:iCs/>
        </w:rPr>
        <w:t xml:space="preserve"> </w:t>
      </w:r>
      <w:r w:rsidR="006920F9" w:rsidRPr="00737A88">
        <w:rPr>
          <w:i/>
          <w:iCs/>
        </w:rPr>
        <w:t xml:space="preserve">IDH1 </w:t>
      </w:r>
      <w:r w:rsidR="006920F9">
        <w:t xml:space="preserve">R132H s incidencí </w:t>
      </w:r>
      <w:r w:rsidR="00737A88">
        <w:t>čítající</w:t>
      </w:r>
      <w:r w:rsidR="006920F9">
        <w:t xml:space="preserve"> 85 % </w:t>
      </w:r>
      <w:r w:rsidR="006920F9" w:rsidRPr="0001786F">
        <w:t>gliomů</w:t>
      </w:r>
      <w:r w:rsidR="0001786F" w:rsidRPr="0001786F">
        <w:fldChar w:fldCharType="begin" w:fldLock="1"/>
      </w:r>
      <w:r w:rsidR="00AD61B7">
        <w:instrText>ADDIN CSL_CITATION {"citationItems":[{"id":"ITEM-1","itemData":{"DOI":"10.1007/s00401-009-0528-x","ISSN":"0001-6322","PMID":"19340432","abstract":"Mutations of the IDH1 gene are frequent in gliomas, with R132H (CGT--&gt;CAT) being the most common (&gt;85%). In astrocytomas, IDH1 mutations are typically co-present with, or precede, TP53 mutations. We assessed IDH1 mutations in brain tumors diagnosed in patients from three families with Li-Fraumeni syndrome. We identified IDH1 mutations in five astrocytomas that developed in carriers of a TP53 germline mutation. Without exception, all were R132C (CGT--&gt;TGT), which in sporadic astrocytomas accounts for &lt;5% of IDH1 mutations. This remarkably selective occurrence of R132C mutations may reflect differences in the sequence of genetic events, with a preference for R132C mutations in astrocytes or precursor cells that already carry a germline TP53 mutation.","author":[{"dropping-particle":"","family":"Watanabe","given":"Takuya","non-dropping-particle":"","parse-names":false,"suffix":""},{"dropping-particle":"","family":"Vital","given":"Anne","non-dropping-particle":"","parse-names":false,"suffix":""},{"dropping-particle":"","family":"Nobusawa","given":"Sumihito","non-dropping-particle":"","parse-names":false,"suffix":""},{"dropping-particle":"","family":"Kleihues","given":"Paul","non-dropping-particle":"","parse-names":false,"suffix":""},{"dropping-particle":"","family":"Ohgaki","given":"Hiroko","non-dropping-particle":"","parse-names":false,"suffix":""}],"container-title":"Acta Neuropathologica","id":"ITEM-1","issue":"6","issued":{"date-parts":[["2009","6","2"]]},"page":"653-656","title":"Selective acquisition of IDH1 R132C mutations in astrocytomas associated with Li-Fraumeni syndrome","type":"article-journal","volume":"117"},"uris":["http://www.mendeley.com/documents/?uuid=e0e67def-4cc9-35a4-8164-edb786b372d0"]}],"mendeley":{"formattedCitation":"&lt;sup&gt;223&lt;/sup&gt;","plainTextFormattedCitation":"223","previouslyFormattedCitation":"&lt;sup&gt;223&lt;/sup&gt;"},"properties":{"noteIndex":0},"schema":"https://github.com/citation-style-language/schema/raw/master/csl-citation.json"}</w:instrText>
      </w:r>
      <w:r w:rsidR="0001786F" w:rsidRPr="0001786F">
        <w:fldChar w:fldCharType="separate"/>
      </w:r>
      <w:r w:rsidR="00B2369D" w:rsidRPr="00B2369D">
        <w:rPr>
          <w:noProof/>
          <w:vertAlign w:val="superscript"/>
        </w:rPr>
        <w:t>223</w:t>
      </w:r>
      <w:r w:rsidR="0001786F" w:rsidRPr="0001786F">
        <w:fldChar w:fldCharType="end"/>
      </w:r>
      <w:r w:rsidR="006920F9">
        <w:t xml:space="preserve"> a projevuje se jako heterozygotní missense mutace, kde dojde k záměně argininu na histidin </w:t>
      </w:r>
      <w:r w:rsidR="006920F9" w:rsidRPr="006920F9">
        <w:t>(CGT→CAT).</w:t>
      </w:r>
      <w:r w:rsidR="006920F9">
        <w:t xml:space="preserve"> Tato mutace mění aktivní místo enzymu</w:t>
      </w:r>
      <w:r w:rsidR="0027633F">
        <w:t>, snižuje jeho katalytickou aktivitu a afinitu k</w:t>
      </w:r>
      <w:r w:rsidR="00236F72">
        <w:t> </w:t>
      </w:r>
      <w:r w:rsidR="0027633F" w:rsidRPr="0001786F">
        <w:t>isocitrátu</w:t>
      </w:r>
      <w:r w:rsidR="0001786F" w:rsidRPr="0001786F">
        <w:fldChar w:fldCharType="begin" w:fldLock="1"/>
      </w:r>
      <w:r w:rsidR="00AD61B7">
        <w:instrText>ADDIN CSL_CITATION {"citationItems":[{"id":"ITEM-1","itemData":{"DOI":"10.1074/jbc.M404298200","ISSN":"0021-9258","PMID":"15173171","abstract":"Isocitrate dehydrogenases (IDHs) catalyze the oxidative decarboxylation of isocitrate to alpha-ketoglutarate, and regulation of the enzymatic activity of IDHs is crucial for their biological functions. Bacterial IDHs are reversibly regulated by phosphorylation of a strictly conserved serine residue at the active site. Eukaryotic NADP-dependent IDHs (NADP-IDHs) have been shown to have diverse important biological functions; however, their regulatory mechanism remains unclear. Structural studies of human cytosolic NADP-IDH (HcIDH) in complex with NADP and in complex with NADP, isocitrate, and Ca2+ reveal three biologically relevant conformational states of the enzyme that differ substantially in the structure of the active site and in the overall structure. A structural segment at the active site that forms a conserved alpha-helix in all known NADP-IDH structures assumes a loop conformation in the open, inactive form of HcIDH; a partially unraveled alpha-helix in the semi-open, intermediate form; and an alpha-helix in the closed, active form. The side chain of Asp279 of this segment occupies the isocitrate-binding site and forms hydrogen bonds with Ser94 (the equivalent of the phosphorylation site in bacterial IDHs) in the inactive form and chelates the metal ion in the active form. The structural data led us to propose a novel self-regulatory mechanism for HcIDH that mimics the phosphorylation mechanism used by the bacterial homologs, consistent with biochemical and biological data. This mechanism might be applicable to other eukaryotic NADP-IDHs. The results also provide insights into the recognition and specificity of substrate and cofactor by eukaryotic NADP-IDHs.","author":[{"dropping-particle":"","family":"Xu","given":"Xiang","non-dropping-particle":"","parse-names":false,"suffix":""},{"dropping-particle":"","family":"Zhao","given":"Jingyue","non-dropping-particle":"","parse-names":false,"suffix":""},{"dropping-particle":"","family":"Xu","given":"Zhen","non-dropping-particle":"","parse-names":false,"suffix":""},{"dropping-particle":"","family":"Peng","given":"Baozhen","non-dropping-particle":"","parse-names":false,"suffix":""},{"dropping-particle":"","family":"Huang","given":"Qiuhua","non-dropping-particle":"","parse-names":false,"suffix":""},{"dropping-particle":"","family":"Arnold","given":"Eddy","non-dropping-particle":"","parse-names":false,"suffix":""},{"dropping-particle":"","family":"Ding","given":"Jianping","non-dropping-particle":"","parse-names":false,"suffix":""}],"container-title":"The Journal of biological chemistry","id":"ITEM-1","issue":"32","issued":{"date-parts":[["2004","8","6"]]},"page":"33946-57","title":"Structures of human cytosolic NADP-dependent isocitrate dehydrogenase reveal a novel self-regulatory mechanism of activity.","type":"article-journal","volume":"279"},"uris":["http://www.mendeley.com/documents/?uuid=c7d4f76b-c36e-3d0a-a131-4a4ba8092e50"]}],"mendeley":{"formattedCitation":"&lt;sup&gt;224&lt;/sup&gt;","plainTextFormattedCitation":"224","previouslyFormattedCitation":"&lt;sup&gt;224&lt;/sup&gt;"},"properties":{"noteIndex":0},"schema":"https://github.com/citation-style-language/schema/raw/master/csl-citation.json"}</w:instrText>
      </w:r>
      <w:r w:rsidR="0001786F" w:rsidRPr="0001786F">
        <w:fldChar w:fldCharType="separate"/>
      </w:r>
      <w:r w:rsidR="00B2369D" w:rsidRPr="00B2369D">
        <w:rPr>
          <w:noProof/>
          <w:vertAlign w:val="superscript"/>
        </w:rPr>
        <w:t>224</w:t>
      </w:r>
      <w:r w:rsidR="0001786F" w:rsidRPr="0001786F">
        <w:fldChar w:fldCharType="end"/>
      </w:r>
      <w:r w:rsidR="0027633F" w:rsidRPr="0001786F">
        <w:t>.</w:t>
      </w:r>
      <w:r w:rsidR="0027633F">
        <w:t xml:space="preserve"> </w:t>
      </w:r>
    </w:p>
    <w:p w14:paraId="48C7E40F" w14:textId="11A2F62D" w:rsidR="0001786F" w:rsidRDefault="0027633F" w:rsidP="00C16CC8">
      <w:pPr>
        <w:jc w:val="both"/>
      </w:pPr>
      <w:r>
        <w:t xml:space="preserve">Detekce variant R132 a R172 má vliv na diagnózu </w:t>
      </w:r>
      <w:r w:rsidRPr="0001786F">
        <w:t>gl</w:t>
      </w:r>
      <w:r w:rsidR="00B25BFB" w:rsidRPr="0001786F">
        <w:t>i</w:t>
      </w:r>
      <w:r w:rsidRPr="0001786F">
        <w:t>omů</w:t>
      </w:r>
      <w:r w:rsidR="0001786F" w:rsidRPr="0001786F">
        <w:fldChar w:fldCharType="begin" w:fldLock="1"/>
      </w:r>
      <w:r w:rsidR="00AD61B7">
        <w:instrText>ADDIN CSL_CITATION {"citationItems":[{"id":"ITEM-1","itemData":{"DOI":"10.1097/NEN.0b013e31820565f9","ISSN":"0022-3069","PMID":"21343879","abstract":"One of the major challenges of surgical neuropathology is the distinction of diffuse astrocytoma (World Health Organization grade II) from astrocytosis. The most commonly used ancillary tool to solve this problem is p53 immunohistochemistry (IHC), but this is neither sensitive nor specific. Isocitrate dehydrogenase 1 (IDH1) mutations arecommon in lower-grade gliomas, with most causing a specific amino acid change (R132H) that can be detected with a monoclonal antibody. IDH2 mutations are rare, but they also occur in gliomas. In addition, gains of chromosome 7 are common in gliomas. In this study, we assessed the status of p53, IDH1/2, and chromosome 7 to determine the most useful panel to distinguish astrocytoma from astrocytosis. We studied biopsy specimens from 21 World Health Organization grade II diffuse astrocytomas and 20 reactive conditions. The single most sensitive test to identify astrocytoma is fluorescence in situ hybridization for chromosome 7 gain (76.2%). The combination of p53 and mutant IDH1 IHC provides a higher sensitivity (71.4%) than either test alone (47.8%); this combination offers a practical initial approach for the surgical pathologist. The best overall sensitivity (95%) is achieved when fluorescence in situ hybridization for chromosome 7 gain is added to the p53-mutant IDH1 IHC panel.","author":[{"dropping-particle":"","family":"Camelo-Piragua","given":"Sandra","non-dropping-particle":"","parse-names":false,"suffix":""},{"dropping-particle":"","family":"Jansen","given":"Michael","non-dropping-particle":"","parse-names":false,"suffix":""},{"dropping-particle":"","family":"Ganguly","given":"Aniruddha","non-dropping-particle":"","parse-names":false,"suffix":""},{"dropping-particle":"","family":"Kim","given":"James ChulMin","non-dropping-particle":"","parse-names":false,"suffix":""},{"dropping-particle":"","family":"Cosper","given":"Arjola K.","non-dropping-particle":"","parse-names":false,"suffix":""},{"dropping-particle":"","family":"Dias-Santagata","given":"Dora","non-dropping-particle":"","parse-names":false,"suffix":""},{"dropping-particle":"","family":"Nutt","given":"Catherine L.","non-dropping-particle":"","parse-names":false,"suffix":""},{"dropping-particle":"","family":"Iafrate","given":"A. John","non-dropping-particle":"","parse-names":false,"suffix":""},{"dropping-particle":"","family":"Louis","given":"David N.","non-dropping-particle":"","parse-names":false,"suffix":""}],"container-title":"Journal of Neuropathology &amp; Experimental Neurology","id":"ITEM-1","issue":"2","issued":{"date-parts":[["2011","2","1"]]},"page":"110-115","title":"A Sensitive and Specific Diagnostic Panel to Distinguish Diffuse Astrocytoma From Astrocytosis: Chromosome 7 Gain With Mutant Isocitrate Dehydrogenase 1 and p53","type":"article-journal","volume":"70"},"uris":["http://www.mendeley.com/documents/?uuid=94c6574f-c8b8-3875-8a7d-e1c550759615"]}],"mendeley":{"formattedCitation":"&lt;sup&gt;225&lt;/sup&gt;","plainTextFormattedCitation":"225","previouslyFormattedCitation":"&lt;sup&gt;225&lt;/sup&gt;"},"properties":{"noteIndex":0},"schema":"https://github.com/citation-style-language/schema/raw/master/csl-citation.json"}</w:instrText>
      </w:r>
      <w:r w:rsidR="0001786F" w:rsidRPr="0001786F">
        <w:fldChar w:fldCharType="separate"/>
      </w:r>
      <w:r w:rsidR="00B2369D" w:rsidRPr="00B2369D">
        <w:rPr>
          <w:noProof/>
          <w:vertAlign w:val="superscript"/>
        </w:rPr>
        <w:t>225</w:t>
      </w:r>
      <w:r w:rsidR="0001786F" w:rsidRPr="0001786F">
        <w:fldChar w:fldCharType="end"/>
      </w:r>
      <w:r w:rsidRPr="0001786F">
        <w:t>,</w:t>
      </w:r>
      <w:r>
        <w:t xml:space="preserve"> </w:t>
      </w:r>
      <w:r w:rsidRPr="0001786F">
        <w:t>prognózu</w:t>
      </w:r>
      <w:r w:rsidR="0001786F" w:rsidRPr="0001786F">
        <w:fldChar w:fldCharType="begin" w:fldLock="1"/>
      </w:r>
      <w:r w:rsidR="00AD61B7">
        <w:instrText>ADDIN CSL_CITATION {"citationItems":[{"id":"ITEM-1","itemData":{"DOI":"10.1007/s00401-009-0561-9","ISSN":"0001-6322","PMID":"19554337","abstract":"Somatic mutations in the IDH1 gene encoding cytosolic NADP+-dependent isocitrate dehydrogenase have been shown in the majority of astrocytomas, oligodendrogliomas and oligoastrocytomas of WHO grades II and III. IDH2 encoding mitochondrial NADP+-dependent isocitrate dehydrogenase is also mutated in these tumors, albeit at much lower frequencies. Preliminary data suggest an importance of IDH1 mutation for prognosis showing that patients with anaplastic astrocytomas, oligodendrogliomas and oligoastrocytomas harboring IDH1 mutations seem to fare much better than patients without this mutation in their tumors. To determine mutation types and their frequencies, we examined 1,010 diffuse gliomas. We detected 716 IDH1 mutations and 31 IDH2 mutations. We found 165 IDH1 (72.7%) and 2 IDH2 mutations (0.9%) in 227 diffuse astrocytomas WHO grade II, 146 IDH1 (64.0%) and 2 IDH2 mutations (0.9%) in 228 anaplastic astrocytomas WHO grade III, 105 IDH1 (82.0%) and 6 IDH2 mutations (4.7%) in 128 oligodendrogliomas WHO grade II, 121 IDH1 (69.5%) and 9 IDH2 mutations (5.2%) in 174 anaplastic oligodendrogliomas WHO grade III, 62 IDH1 (81.6%) and 1 IDH2 mutations (1.3%) in 76 oligoastrocytomas WHO grade II and 117 IDH1 (66.1%) and 11 IDH2 mutations (6.2%) in 177 anaplastic oligoastrocytomas WHO grade III. We report on an inverse association of IDH1 and IDH2 mutations in these gliomas and a non-random distribution of the mutation types within the tumor entities. IDH1 mutations of the R132C type are strongly associated with astrocytoma, while IDH2 mutations predominantly occur in oligodendroglial tumors. In addition, patients with anaplastic glioma harboring IDH1 mutations were on average 6 years younger than those without these alterations.","author":[{"dropping-particle":"","family":"Hartmann","given":"Christian","non-dropping-particle":"","parse-names":false,"suffix":""},{"dropping-particle":"","family":"Meyer","given":"Jochen","non-dropping-particle":"","parse-names":false,"suffix":""},{"dropping-particle":"","family":"Balss","given":"Jörg","non-dropping-particle":"","parse-names":false,"suffix":""},{"dropping-particle":"","family":"Capper","given":"David","non-dropping-particle":"","parse-names":false,"suffix":""},{"dropping-particle":"","family":"Mueller","given":"Wolf","non-dropping-particle":"","parse-names":false,"suffix":""},{"dropping-particle":"","family":"Christians","given":"Arne","non-dropping-particle":"","parse-names":false,"suffix":""},{"dropping-particle":"","family":"Felsberg","given":"Jörg","non-dropping-particle":"","parse-names":false,"suffix":""},{"dropping-particle":"","family":"Wolter","given":"Marietta","non-dropping-particle":"","parse-names":false,"suffix":""},{"dropping-particle":"","family":"Mawrin","given":"Christian","non-dropping-particle":"","parse-names":false,"suffix":""},{"dropping-particle":"","family":"Wick","given":"Wolfgang","non-dropping-particle":"","parse-names":false,"suffix":""},{"dropping-particle":"","family":"Weller","given":"Michael","non-dropping-particle":"","parse-names":false,"suffix":""},{"dropping-particle":"","family":"Herold-Mende","given":"Christel","non-dropping-particle":"","parse-names":false,"suffix":""},{"dropping-particle":"","family":"Unterberg","given":"Andreas","non-dropping-particle":"","parse-names":false,"suffix":""},{"dropping-particle":"","family":"Jeuken","given":"Judith W. M.","non-dropping-particle":"","parse-names":false,"suffix":""},{"dropping-particle":"","family":"Wesseling","given":"Peter","non-dropping-particle":"","parse-names":false,"suffix":""},{"dropping-particle":"","family":"Reifenberger","given":"Guido","non-dropping-particle":"","parse-names":false,"suffix":""},{"dropping-particle":"","family":"Deimling","given":"Andreas","non-dropping-particle":"von","parse-names":false,"suffix":""}],"container-title":"Acta Neuropathologica","id":"ITEM-1","issue":"4","issued":{"date-parts":[["2009","10","25"]]},"page":"469-474","title":"Type and frequency of IDH1 and IDH2 mutations are related to astrocytic and oligodendroglial differentiation and age: a study of 1,010 diffuse gliomas","type":"article-journal","volume":"118"},"uris":["http://www.mendeley.com/documents/?uuid=b1edf080-0072-38f7-9532-448ebe7dee35"]},{"id":"ITEM-2","itemData":{"DOI":"10.1007/s00401-015-1438-8","ISSN":"0001-6322","PMID":"25962792","abstract":"The WHO 2007 classification of tumors of the CNS distinguishes between diffuse astrocytoma WHO grade II (A II(WHO2007)) and anaplastic astrocytoma WHO grade III (AA III(WHO2007)). Patients with A II(WHO2007) are significantly younger and survive significantly longer than those with AA III(WHO2007). So far, classification and grading relies on morphological grounds only and does not yet take into account IDH status, a molecular marker of prognostic relevance. We here demonstrate that WHO 2007 grading performs poorly in predicting prognosis when applied to astrocytoma carrying IDH mutations. Three independent series including a total of 1360 adult diffuse astrocytic gliomas with IDH mutation containing 683 A II(IDHmut), 562 AA III(IDHmut) and 115 GBM(IDHmut) have been examined for age distribution and survival. In all three series patients with A II(IDHmut )and AA III(IDHmut) were of identical age at presentation of disease (36-37 years) and the difference in survival between grades was much less (10.9 years for A II(IDHmut), 9.3 years for AA III(IDHmut)) than that reported for A II(WHO2007) versus AA III(WHO2007). Our analyses imply that the differences in age and survival between A II(WHO2007) and AA III(WHO2007) predominantly depend on the fraction of IDH-non-mutant astrocytomas in the cohort. This data poses a substantial challenge for the current practice of astrocytoma grading and risk stratification and is likely to have far-reaching consequences on the management of patients with IDH-mutant astrocytoma.","author":[{"dropping-particle":"","family":"Reuss","given":"David E.","non-dropping-particle":"","parse-names":false,"suffix":""},{"dropping-particle":"","family":"Mamatjan","given":"Yasin","non-dropping-particle":"","parse-names":false,"suffix":""},{"dropping-particle":"","family":"Schrimpf","given":"Daniel","non-dropping-particle":"","parse-names":false,"suffix":""},{"dropping-particle":"","family":"Capper","given":"David","non-dropping-particle":"","parse-names":false,"suffix":""},{"dropping-particle":"","family":"Hovestadt","given":"Volker","non-dropping-particle":"","parse-names":false,"suffix":""},{"dropping-particle":"","family":"Kratz","given":"Annekathrin","non-dropping-particle":"","parse-names":false,"suffix":""},{"dropping-particle":"","family":"Sahm","given":"Felix","non-dropping-particle":"","parse-names":false,"suffix":""},{"dropping-particle":"","family":"Koelsche","given":"Christian","non-dropping-particle":"","parse-names":false,"suffix":""},{"dropping-particle":"","family":"Korshunov","given":"Andrey","non-dropping-particle":"","parse-names":false,"suffix":""},{"dropping-particle":"","family":"Olar","given":"Adriana","non-dropping-particle":"","parse-names":false,"suffix":""},{"dropping-particle":"","family":"Hartmann","given":"Christian","non-dropping-particle":"","parse-names":false,"suffix":""},{"dropping-particle":"","family":"Reijneveld","given":"Jaap C.","non-dropping-particle":"","parse-names":false,"suffix":""},{"dropping-particle":"","family":"Wesseling","given":"Pieter","non-dropping-particle":"","parse-names":false,"suffix":""},{"dropping-particle":"","family":"Unterberg","given":"Andreas","non-dropping-particle":"","parse-names":false,"suffix":""},{"dropping-particle":"","family":"Platten","given":"Michael","non-dropping-particle":"","parse-names":false,"suffix":""},{"dropping-particle":"","family":"Wick","given":"Wolfgang","non-dropping-particle":"","parse-names":false,"suffix":""},{"dropping-particle":"","family":"Herold-Mende","given":"Christel","non-dropping-particle":"","parse-names":false,"suffix":""},{"dropping-particle":"","family":"Aldape","given":"Kenneth","non-dropping-particle":"","parse-names":false,"suffix":""},{"dropping-particle":"","family":"Deimling","given":"Andreas","non-dropping-particle":"von","parse-names":false,"suffix":""}],"container-title":"Acta Neuropathologica","id":"ITEM-2","issue":"6","issued":{"date-parts":[["2015","6","12"]]},"page":"867-873","title":"IDH mutant diffuse and anaplastic astrocytomas have similar age at presentation and little difference in survival: a grading problem for WHO","type":"article-journal","volume":"129"},"uris":["http://www.mendeley.com/documents/?uuid=8353ddb3-5d22-38d8-b2ee-a7c52e84fc7a"]}],"mendeley":{"formattedCitation":"&lt;sup&gt;222,226&lt;/sup&gt;","plainTextFormattedCitation":"222,226","previouslyFormattedCitation":"&lt;sup&gt;222,226&lt;/sup&gt;"},"properties":{"noteIndex":0},"schema":"https://github.com/citation-style-language/schema/raw/master/csl-citation.json"}</w:instrText>
      </w:r>
      <w:r w:rsidR="0001786F" w:rsidRPr="0001786F">
        <w:fldChar w:fldCharType="separate"/>
      </w:r>
      <w:r w:rsidR="00B2369D" w:rsidRPr="00B2369D">
        <w:rPr>
          <w:noProof/>
          <w:vertAlign w:val="superscript"/>
        </w:rPr>
        <w:t>222,226</w:t>
      </w:r>
      <w:r w:rsidR="0001786F" w:rsidRPr="0001786F">
        <w:fldChar w:fldCharType="end"/>
      </w:r>
      <w:r w:rsidRPr="0001786F">
        <w:t>a potencionálně</w:t>
      </w:r>
      <w:r>
        <w:t xml:space="preserve"> i </w:t>
      </w:r>
      <w:r w:rsidRPr="0001786F">
        <w:t>léčbu</w:t>
      </w:r>
      <w:r w:rsidR="0001786F" w:rsidRPr="0001786F">
        <w:fldChar w:fldCharType="begin" w:fldLock="1"/>
      </w:r>
      <w:r w:rsidR="00AD61B7">
        <w:instrText>ADDIN CSL_CITATION {"citationItems":[{"id":"ITEM-1","itemData":{"DOI":"10.1126/science.1234769","ISSN":"0036-8075","PMID":"23558173","abstract":"A number of human cancers harbor somatic point mutations in the genes encoding isocitrate dehydrogenases 1 and 2 (IDH1 and IDH2). These mutations alter residues in the enzyme active sites and confer a gain-of-function in cancer cells, resulting in the accumulation and secretion of the oncometabolite (R)-2-hydroxyglutarate (2HG). We developed a small molecule, AGI-6780, that potently and selectively inhibits the tumor-associated mutant IDH2/R140Q. A crystal structure of AGI-6780 complexed with IDH2/R140Q revealed that the inhibitor binds in an allosteric manner at the dimer interface. The results of steady-state enzymology analysis were consistent with allostery and slow-tight binding by AGI-6780. Treatment with AGI-6780 induced differentiation of TF-1 erythroleukemia and primary human acute myelogenous leukemia cells in vitro. These data provide proof-of-concept that inhibitors targeting mutant IDH2/R140Q could have potential applications as a differentiation therapy for cancer.","author":[{"dropping-particle":"","family":"Wang","given":"F.","non-dropping-particle":"","parse-names":false,"suffix":""},{"dropping-particle":"","family":"Travins","given":"J.","non-dropping-particle":"","parse-names":false,"suffix":""},{"dropping-particle":"","family":"DeLaBarre","given":"B.","non-dropping-particle":"","parse-names":false,"suffix":""},{"dropping-particle":"","family":"Penard-Lacronique","given":"V.","non-dropping-particle":"","parse-names":false,"suffix":""},{"dropping-particle":"","family":"Schalm","given":"S.","non-dropping-particle":"","parse-names":false,"suffix":""},{"dropping-particle":"","family":"Hansen","given":"E.","non-dropping-particle":"","parse-names":false,"suffix":""},{"dropping-particle":"","family":"Straley","given":"K.","non-dropping-particle":"","parse-names":false,"suffix":""},{"dropping-particle":"","family":"Kernytsky","given":"A.","non-dropping-particle":"","parse-names":false,"suffix":""},{"dropping-particle":"","family":"Liu","given":"W.","non-dropping-particle":"","parse-names":false,"suffix":""},{"dropping-particle":"","family":"Gliser","given":"C.","non-dropping-particle":"","parse-names":false,"suffix":""},{"dropping-particle":"","family":"Yang","given":"H.","non-dropping-particle":"","parse-names":false,"suffix":""},{"dropping-particle":"","family":"Gross","given":"S.","non-dropping-particle":"","parse-names":false,"suffix":""},{"dropping-particle":"","family":"Artin","given":"E.","non-dropping-particle":"","parse-names":false,"suffix":""},{"dropping-particle":"","family":"Saada","given":"V.","non-dropping-particle":"","parse-names":false,"suffix":""},{"dropping-particle":"","family":"Mylonas","given":"E.","non-dropping-particle":"","parse-names":false,"suffix":""},{"dropping-particle":"","family":"Quivoron","given":"C.","non-dropping-particle":"","parse-names":false,"suffix":""},{"dropping-particle":"","family":"Popovici-Muller","given":"J.","non-dropping-particle":"","parse-names":false,"suffix":""},{"dropping-particle":"","family":"Saunders","given":"J. O.","non-dropping-particle":"","parse-names":false,"suffix":""},{"dropping-particle":"","family":"Salituro","given":"F. G.","non-dropping-particle":"","parse-names":false,"suffix":""},{"dropping-particle":"","family":"Yan","given":"S.","non-dropping-particle":"","parse-names":false,"suffix":""},{"dropping-particle":"","family":"Murray","given":"S.","non-dropping-particle":"","parse-names":false,"suffix":""},{"dropping-particle":"","family":"Wei","given":"W.","non-dropping-particle":"","parse-names":false,"suffix":""},{"dropping-particle":"","family":"Gao","given":"Y.","non-dropping-particle":"","parse-names":false,"suffix":""},{"dropping-particle":"","family":"Dang","given":"L.","non-dropping-particle":"","parse-names":false,"suffix":""},{"dropping-particle":"","family":"Dorsch","given":"M.","non-dropping-particle":"","parse-names":false,"suffix":""},{"dropping-particle":"","family":"Agresta","given":"S.","non-dropping-particle":"","parse-names":false,"suffix":""},{"dropping-particle":"","family":"Schenkein","given":"D. P.","non-dropping-particle":"","parse-names":false,"suffix":""},{"dropping-particle":"","family":"Biller","given":"S. A.","non-dropping-particle":"","parse-names":false,"suffix":""},{"dropping-particle":"","family":"Su","given":"S. M.","non-dropping-particle":"","parse-names":false,"suffix":""},{"dropping-particle":"","family":"Botton","given":"S.","non-dropping-particle":"de","parse-names":false,"suffix":""},{"dropping-particle":"","family":"Yen","given":"K. E.","non-dropping-particle":"","parse-names":false,"suffix":""}],"container-title":"Science","id":"ITEM-1","issue":"6132","issued":{"date-parts":[["2013","5","3"]]},"page":"622-626","title":"Targeted Inhibition of Mutant IDH2 in Leukemia Cells Induces Cellular Differentiation","type":"article-journal","volume":"340"},"uris":["http://www.mendeley.com/documents/?uuid=61d4f568-0456-3fd5-9c21-177738c9c528"]},{"id":"ITEM-2","itemData":{"DOI":"10.1038/nature13387","ISSN":"0028-0836","PMID":"25043048","abstract":"Monoallelic point mutations of isocitrate dehydrogenase type 1 (IDH1) are an early and defining event in the development of a subgroup of gliomas and other types of tumour. They almost uniformly occur in the critical arginine residue (Arg 132) in the catalytic pocket, resulting in a neomorphic enzymatic function, production of the oncometabolite 2-hydroxyglutarate (2-HG), genomic hypermethylation, genetic instability and malignant transformation. More than 70% of diffuse grade II and grade III gliomas carry the most frequent mutation, IDH1(R132H) (ref. 3). From an immunological perspective, IDH1(R132H) represents a potential target for immunotherapy as it is a tumour-specific potential neoantigen with high uniformity and penetrance expressed in all tumour cells. Here we demonstrate that IDH1(R132H) contains an immunogenic epitope suitable for mutation-specific vaccination. Peptides encompassing the mutated region are presented on major histocompatibility complexes (MHC) class II and induce mutation-specific CD4(+) T-helper-1 (TH1) responses. CD4(+) TH1 cells and antibodies spontaneously occurring in patients with IDH1(R132H)-mutated gliomas specifically recognize IDH1(R132H). Peptide vaccination of mice devoid of mouse MHC and transgenic for human MHC class I and II with IDH1(R132H) p123-142 results in an effective MHC class II-restricted mutation-specific antitumour immune response and control of pre-established syngeneic IDH1(R132H)-expressing tumours in a CD4(+) T-cell-dependent manner. As IDH1(R132H) is present in all tumour cells of these slow-growing gliomas, a mutation-specific anti-IDH1(R132H) vaccine may represent a viable novel therapeutic strategy for IDH1(R132H)-mutated tumours.","author":[{"dropping-particle":"","family":"Schumacher","given":"Theresa","non-dropping-particle":"","parse-names":false,"suffix":""},{"dropping-particle":"","family":"Bunse","given":"Lukas","non-dropping-particle":"","parse-names":false,"suffix":""},{"dropping-particle":"","family":"Pusch","given":"Stefan","non-dropping-particle":"","parse-names":false,"suffix":""},{"dropping-particle":"","family":"Sahm","given":"Felix","non-dropping-particle":"","parse-names":false,"suffix":""},{"dropping-particle":"","family":"Wiestler","given":"Benedikt","non-dropping-particle":"","parse-names":false,"suffix":""},{"dropping-particle":"","family":"Quandt","given":"Jasmin","non-dropping-particle":"","parse-names":false,"suffix":""},{"dropping-particle":"","family":"Menn","given":"Oliver","non-dropping-particle":"","parse-names":false,"suffix":""},{"dropping-particle":"","family":"Osswald","given":"Matthias","non-dropping-particle":"","parse-names":false,"suffix":""},{"dropping-particle":"","family":"Oezen","given":"Iris","non-dropping-particle":"","parse-names":false,"suffix":""},{"dropping-particle":"","family":"Ott","given":"Martina","non-dropping-particle":"","parse-names":false,"suffix":""},{"dropping-particle":"","family":"Keil","given":"Melanie","non-dropping-particle":"","parse-names":false,"suffix":""},{"dropping-particle":"","family":"Balß","given":"Jörg","non-dropping-particle":"","parse-names":false,"suffix":""},{"dropping-particle":"","family":"Rauschenbach","given":"Katharina","non-dropping-particle":"","parse-names":false,"suffix":""},{"dropping-particle":"","family":"Grabowska","given":"Agnieszka K.","non-dropping-particle":"","parse-names":false,"suffix":""},{"dropping-particle":"","family":"Vogler","given":"Isabel","non-dropping-particle":"","parse-names":false,"suffix":""},{"dropping-particle":"","family":"Diekmann","given":"Jan","non-dropping-particle":"","parse-names":false,"suffix":""},{"dropping-particle":"","family":"Trautwein","given":"Nico","non-dropping-particle":"","parse-names":false,"suffix":""},{"dropping-particle":"","family":"Eichmüller","given":"Stefan B.","non-dropping-particle":"","parse-names":false,"suffix":""},{"dropping-particle":"","family":"Okun","given":"Jürgen","non-dropping-particle":"","parse-names":false,"suffix":""},{"dropping-particle":"","family":"Stevanović","given":"Stefan","non-dropping-particle":"","parse-names":false,"suffix":""},{"dropping-particle":"","family":"Riemer","given":"Angelika B.","non-dropping-particle":"","parse-names":false,"suffix":""},{"dropping-particle":"","family":"Sahin","given":"Ugur","non-dropping-particle":"","parse-names":false,"suffix":""},{"dropping-particle":"","family":"Friese","given":"Manuel A.","non-dropping-particle":"","parse-names":false,"suffix":""},{"dropping-particle":"","family":"Beckhove","given":"Philipp","non-dropping-particle":"","parse-names":false,"suffix":""},{"dropping-particle":"","family":"Deimling","given":"Andreas","non-dropping-particle":"von","parse-names":false,"suffix":""},{"dropping-particle":"","family":"Wick","given":"Wolfgang","non-dropping-particle":"","parse-names":false,"suffix":""},{"dropping-particle":"","family":"Platten","given":"Michael","non-dropping-particle":"","parse-names":false,"suffix":""}],"container-title":"Nature","id":"ITEM-2","issue":"7514","issued":{"date-parts":[["2014","8","25"]]},"page":"324-327","title":"A vaccine targeting mutant IDH1 induces antitumour immunity","type":"article-journal","volume":"512"},"uris":["http://www.mendeley.com/documents/?uuid=c6658e03-155e-3aa5-9ea0-a3c010f279b7"]}],"mendeley":{"formattedCitation":"&lt;sup&gt;227,228&lt;/sup&gt;","plainTextFormattedCitation":"227,228","previouslyFormattedCitation":"&lt;sup&gt;227,228&lt;/sup&gt;"},"properties":{"noteIndex":0},"schema":"https://github.com/citation-style-language/schema/raw/master/csl-citation.json"}</w:instrText>
      </w:r>
      <w:r w:rsidR="0001786F" w:rsidRPr="0001786F">
        <w:fldChar w:fldCharType="separate"/>
      </w:r>
      <w:r w:rsidR="00B2369D" w:rsidRPr="00B2369D">
        <w:rPr>
          <w:noProof/>
          <w:vertAlign w:val="superscript"/>
        </w:rPr>
        <w:t>227,228</w:t>
      </w:r>
      <w:r w:rsidR="0001786F" w:rsidRPr="0001786F">
        <w:fldChar w:fldCharType="end"/>
      </w:r>
      <w:r w:rsidRPr="0001786F">
        <w:t>. Bohužel</w:t>
      </w:r>
      <w:r>
        <w:t xml:space="preserve"> pouze tato varianta je detekovatelná imunohistochemick</w:t>
      </w:r>
      <w:r w:rsidR="00737A88">
        <w:t>y</w:t>
      </w:r>
      <w:r>
        <w:t xml:space="preserve">, vyšetření dalších variant je možno pouze Sangerovým sekvenováním nebo next generation </w:t>
      </w:r>
      <w:r w:rsidRPr="0001786F">
        <w:t>sekvenovaním</w:t>
      </w:r>
      <w:r w:rsidR="0001786F" w:rsidRPr="0001786F">
        <w:fldChar w:fldCharType="begin" w:fldLock="1"/>
      </w:r>
      <w:r w:rsidR="0001786F">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01786F" w:rsidRPr="0001786F">
        <w:fldChar w:fldCharType="separate"/>
      </w:r>
      <w:r w:rsidR="0001786F" w:rsidRPr="0001786F">
        <w:rPr>
          <w:noProof/>
          <w:vertAlign w:val="superscript"/>
        </w:rPr>
        <w:t>12</w:t>
      </w:r>
      <w:r w:rsidR="0001786F" w:rsidRPr="0001786F">
        <w:fldChar w:fldCharType="end"/>
      </w:r>
      <w:r w:rsidRPr="0001786F">
        <w:t>.</w:t>
      </w:r>
      <w:r>
        <w:t xml:space="preserve"> Na základě studií vyšetřujících efekt věku pacienta, grad</w:t>
      </w:r>
      <w:r w:rsidR="00737A88">
        <w:t>e</w:t>
      </w:r>
      <w:r>
        <w:t xml:space="preserve"> nádoru a </w:t>
      </w:r>
      <w:r w:rsidR="00737A88">
        <w:t>status</w:t>
      </w:r>
      <w:r>
        <w:t xml:space="preserve"> </w:t>
      </w:r>
      <w:r w:rsidRPr="00737A88">
        <w:rPr>
          <w:i/>
          <w:iCs/>
        </w:rPr>
        <w:t>IDH1</w:t>
      </w:r>
      <w:r>
        <w:t xml:space="preserve"> R132H pomocí imunohistochemie, </w:t>
      </w:r>
      <w:r w:rsidR="00737A88">
        <w:t xml:space="preserve">je doporučení </w:t>
      </w:r>
      <w:r>
        <w:t xml:space="preserve">WHO z roku 2016 sekvenovat pacienty s gliomem mladší 55 let pro odhalení raritních variant </w:t>
      </w:r>
      <w:r w:rsidRPr="00737A88">
        <w:rPr>
          <w:i/>
          <w:iCs/>
        </w:rPr>
        <w:t>IDH</w:t>
      </w:r>
      <w:r>
        <w:t xml:space="preserve"> v případě, že byli dle </w:t>
      </w:r>
      <w:r w:rsidRPr="0001786F">
        <w:t>munohistochemie</w:t>
      </w:r>
      <w:r w:rsidRPr="00737A88">
        <w:rPr>
          <w:i/>
          <w:iCs/>
        </w:rPr>
        <w:t xml:space="preserve"> IDH1</w:t>
      </w:r>
      <w:r w:rsidRPr="0001786F">
        <w:t xml:space="preserve"> R132H negativní</w:t>
      </w:r>
      <w:r w:rsidR="0001786F" w:rsidRPr="0001786F">
        <w:fldChar w:fldCharType="begin" w:fldLock="1"/>
      </w:r>
      <w:r w:rsidR="00AD61B7">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summary","type":"article-journal","volume":"131"},"uris":["http://www.mendeley.com/documents/?uuid=8af243f0-550f-447e-814c-6fb570c155aa"]},{"id":"ITEM-2","itemData":{"DOI":"10.1093/neuonc/nou097","ISSN":"1522-8517","PMID":"24860178","abstract":"BACKGROUND Several variables are associated with the likelihood of isocitrate dehydrogenase 1 or 2 (IDH1/2) mutation in gliomas, though no guidelines yet exist for when testing is warranted, especially when an R132H IDH1 immunostain is negative. METHODS A cohort of 89 patients was used to build IDH1/2 mutation prediction models in World Health Organization grades II-IV gliomas, and an external cohort of 100 patients was used for validation. Logistic regression and backward model selection with the Akaike information criterion were used to develop prediction models. RESULTS A multivariable model, incorporating patient age, glioblastoma multiforme diagnosis, and prior history of grade II or III glioma, was developed to predict IDH1/2 mutation probability. This model generated an area under the curve (AUC) of 0.934 (95% CI: 0.878, 0.978) in the external validation cohort and 0.941 (95% CI: 0.918, 0.962) in the cohort of The Cancer Genome Atlas. When R132H IDH1 immunostain information was added, AUC increased to 0.986 (95% CI: 0.967, 0.998). This model had an AUC of 0.947 (95% CI: 0.891, 0.995) in predicting whether an R132H IDH1 immunonegative case harbored a less common IDH1 or IDH2 mutation. The models were also 94% accurate in predicting IDH1/2 mutation status in gliomas from The Cancer Genome Atlas. An interactive web-based application for calculating the probability of an IDH1/2 mutation is now available using these models. CONCLUSIONS We have integrated multiple variables to generate a probability of an IDH1/2 mutation. The associated web-based application can help triage diffuse gliomas that would benefit from mutation testing in both clinical and research settings.","author":[{"dropping-particle":"","family":"Chen","given":"L.","non-dropping-particle":"","parse-names":false,"suffix":""},{"dropping-particle":"","family":"Voronovich","given":"Z.","non-dropping-particle":"","parse-names":false,"suffix":""},{"dropping-particle":"","family":"Clark","given":"K.","non-dropping-particle":"","parse-names":false,"suffix":""},{"dropping-particle":"","family":"Hands","given":"I.","non-dropping-particle":"","parse-names":false,"suffix":""},{"dropping-particle":"","family":"Mannas","given":"J.","non-dropping-particle":"","parse-names":false,"suffix":""},{"dropping-particle":"","family":"Walsh","given":"M.","non-dropping-particle":"","parse-names":false,"suffix":""},{"dropping-particle":"","family":"Nikiforova","given":"M. N.","non-dropping-particle":"","parse-names":false,"suffix":""},{"dropping-particle":"","family":"Durbin","given":"E. B.","non-dropping-particle":"","parse-names":false,"suffix":""},{"dropping-particle":"","family":"Weiss","given":"H.","non-dropping-particle":"","parse-names":false,"suffix":""},{"dropping-particle":"","family":"Horbinski","given":"C.","non-dropping-particle":"","parse-names":false,"suffix":""}],"container-title":"Neuro-Oncology","id":"ITEM-2","issue":"11","issued":{"date-parts":[["2014","11","1"]]},"page":"1478-1483","title":"Predicting the likelihood of an isocitrate dehydrogenase 1 or 2 mutation in diagnoses of infiltrative glioma","type":"article-journal","volume":"16"},"uris":["http://www.mendeley.com/documents/?uuid=dfc5c04f-d2d0-3ab8-845f-03c184d1e0d3"]},{"id":"ITEM-3","itemData":{"DOI":"10.1093/neuonc/nox120","PMID":"29016871","author":[{"dropping-particle":"","family":"Dewitt","given":"John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K.","non-dropping-particle":"","parse-names":false,"suffix":""}],"container-title":"Neuro-Oncology","id":"ITEM-3","issue":"12","issued":{"date-parts":[["2017"]]},"page":"1640-1650","publisher":"Oxford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mendeley":{"formattedCitation":"&lt;sup&gt;12,87,229&lt;/sup&gt;","plainTextFormattedCitation":"12,87,229","previouslyFormattedCitation":"&lt;sup&gt;12,87,229&lt;/sup&gt;"},"properties":{"noteIndex":0},"schema":"https://github.com/citation-style-language/schema/raw/master/csl-citation.json"}</w:instrText>
      </w:r>
      <w:r w:rsidR="0001786F" w:rsidRPr="0001786F">
        <w:fldChar w:fldCharType="separate"/>
      </w:r>
      <w:r w:rsidR="00B2369D" w:rsidRPr="00B2369D">
        <w:rPr>
          <w:noProof/>
          <w:vertAlign w:val="superscript"/>
        </w:rPr>
        <w:t>12,87,229</w:t>
      </w:r>
      <w:r w:rsidR="0001786F" w:rsidRPr="0001786F">
        <w:fldChar w:fldCharType="end"/>
      </w:r>
      <w:r w:rsidRPr="0001786F">
        <w:t xml:space="preserve">. Vyšetření na mutace </w:t>
      </w:r>
      <w:r w:rsidRPr="00737A88">
        <w:rPr>
          <w:i/>
          <w:iCs/>
        </w:rPr>
        <w:t>IDH</w:t>
      </w:r>
      <w:r w:rsidRPr="0001786F">
        <w:t xml:space="preserve"> se tak stalo v případě </w:t>
      </w:r>
      <w:r w:rsidR="00737A88">
        <w:t>gliálního nádoru</w:t>
      </w:r>
      <w:r w:rsidRPr="0001786F">
        <w:t xml:space="preserve"> klíčovým diagnostickým nástrojem, avšak tento přístup není nákladově efektivní </w:t>
      </w:r>
      <w:r w:rsidR="00B25BFB" w:rsidRPr="0001786F">
        <w:t>u všech</w:t>
      </w:r>
      <w:r w:rsidRPr="0001786F">
        <w:t xml:space="preserve"> pacient</w:t>
      </w:r>
      <w:r w:rsidR="00B25BFB" w:rsidRPr="0001786F">
        <w:t>ů</w:t>
      </w:r>
      <w:r w:rsidR="0001786F" w:rsidRPr="0001786F">
        <w:fldChar w:fldCharType="begin" w:fldLock="1"/>
      </w:r>
      <w:r w:rsidR="0001786F">
        <w:instrText>ADDIN CSL_CITATION {"citationItems":[{"id":"ITEM-1","itemData":{"DOI":"10.1093/neuonc/nox120","PMID":"29016871","author":[{"dropping-particle":"","family":"Dewitt","given":"John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K.","non-dropping-particle":"","parse-names":false,"suffix":""}],"container-title":"Neuro-Oncology","id":"ITEM-1","issue":"12","issued":{"date-parts":[["2017"]]},"page":"1640-1650","publisher":"Oxford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mendeley":{"formattedCitation":"&lt;sup&gt;87&lt;/sup&gt;","plainTextFormattedCitation":"87","previouslyFormattedCitation":"&lt;sup&gt;87&lt;/sup&gt;"},"properties":{"noteIndex":0},"schema":"https://github.com/citation-style-language/schema/raw/master/csl-citation.json"}</w:instrText>
      </w:r>
      <w:r w:rsidR="0001786F" w:rsidRPr="0001786F">
        <w:fldChar w:fldCharType="separate"/>
      </w:r>
      <w:r w:rsidR="0001786F" w:rsidRPr="0001786F">
        <w:rPr>
          <w:noProof/>
          <w:vertAlign w:val="superscript"/>
        </w:rPr>
        <w:t>87</w:t>
      </w:r>
      <w:r w:rsidR="0001786F" w:rsidRPr="0001786F">
        <w:fldChar w:fldCharType="end"/>
      </w:r>
      <w:r w:rsidRPr="0001786F">
        <w:t>.</w:t>
      </w:r>
      <w:r w:rsidR="00C16CC8">
        <w:t xml:space="preserve"> </w:t>
      </w:r>
    </w:p>
    <w:p w14:paraId="0D17498A" w14:textId="3E20B3E6" w:rsidR="00B25BFB" w:rsidRDefault="00C16CC8" w:rsidP="00C16CC8">
      <w:pPr>
        <w:jc w:val="both"/>
      </w:pPr>
      <w:r w:rsidRPr="00C16CC8">
        <w:t xml:space="preserve">Vzhledem k tomu, že stav mutací </w:t>
      </w:r>
      <w:r w:rsidRPr="00737A88">
        <w:rPr>
          <w:i/>
          <w:iCs/>
        </w:rPr>
        <w:t>IDH</w:t>
      </w:r>
      <w:r w:rsidRPr="00C16CC8">
        <w:t xml:space="preserve"> je zásadní pro diagnostický algoritmus pro integrovanou klasifikaci difúzních astrocyt</w:t>
      </w:r>
      <w:r w:rsidR="00737A88">
        <w:t>árních</w:t>
      </w:r>
      <w:r w:rsidRPr="00C16CC8">
        <w:t xml:space="preserve"> a oligodendrogliálních nádorů,</w:t>
      </w:r>
      <w:r>
        <w:t xml:space="preserve"> je </w:t>
      </w:r>
      <w:r w:rsidR="00737A88">
        <w:t xml:space="preserve">v dnešní době </w:t>
      </w:r>
      <w:r>
        <w:t>odhalení skutečn</w:t>
      </w:r>
      <w:r w:rsidR="00737A88">
        <w:t xml:space="preserve">ě </w:t>
      </w:r>
      <w:r>
        <w:t xml:space="preserve">pozitivních/negativních vzorků nutností. </w:t>
      </w:r>
      <w:bookmarkStart w:id="71" w:name="_Hlk31554444"/>
      <w:r w:rsidR="00B25BFB" w:rsidRPr="00B25BFB">
        <w:t>Naším cílem bylo odhalit vzorky pomocí masivního paralelního sekvenování, které byly označeny pomocí imunohistochemie jako falešně negativní a zda existuje způsob pro snížení výdajů a/nebo zvýšení účinnosti genotypování za použití různých metod next generation sekvenování. Naše fast IDH metoda je vhodná pro genotypizaci známých hot spotů u somatických mutací a vykazuje konkordantní výsledky s komerčně dostupným kitem (Nextera XT kit, Illumina).</w:t>
      </w:r>
    </w:p>
    <w:p w14:paraId="07A255DA" w14:textId="77777777" w:rsidR="00C406A1" w:rsidRPr="00B25BFB" w:rsidRDefault="00C406A1" w:rsidP="00C16CC8">
      <w:pPr>
        <w:jc w:val="both"/>
      </w:pPr>
    </w:p>
    <w:p w14:paraId="0AD4905E" w14:textId="1F3ED138" w:rsidR="00B25BFB" w:rsidRDefault="00B25BFB" w:rsidP="00B25BFB">
      <w:pPr>
        <w:pStyle w:val="Nadpis3"/>
      </w:pPr>
      <w:bookmarkStart w:id="72" w:name="_Toc88741487"/>
      <w:bookmarkEnd w:id="71"/>
      <w:r>
        <w:t>Materiál a metodika</w:t>
      </w:r>
      <w:bookmarkEnd w:id="72"/>
    </w:p>
    <w:p w14:paraId="09F0FDF9" w14:textId="4545F198" w:rsidR="00562F69" w:rsidRDefault="00EC2805" w:rsidP="00737A88">
      <w:pPr>
        <w:tabs>
          <w:tab w:val="left" w:pos="975"/>
        </w:tabs>
        <w:jc w:val="both"/>
      </w:pPr>
      <w:r>
        <w:t>Studovaná skupina a vzorky tkáně</w:t>
      </w:r>
    </w:p>
    <w:p w14:paraId="52C2C5F1" w14:textId="24DBAE1E" w:rsidR="00B25BFB" w:rsidRDefault="00C16CC8" w:rsidP="00737A88">
      <w:pPr>
        <w:tabs>
          <w:tab w:val="left" w:pos="975"/>
        </w:tabs>
        <w:jc w:val="both"/>
      </w:pPr>
      <w:r>
        <w:t xml:space="preserve">Studovaná kohorta se skládala z 275 pacientů </w:t>
      </w:r>
      <w:r w:rsidR="00EC2805">
        <w:t xml:space="preserve">s gliomem, kteří podstoupili chirurgické odstranění nádoru na Neurochirurgické klinice v Olomouci mezi roky 2011 a 2017. </w:t>
      </w:r>
      <w:r w:rsidR="00F13AC4">
        <w:t xml:space="preserve">Tkáň od každého pacienta byla uchována jako </w:t>
      </w:r>
      <w:r w:rsidR="00EC2805">
        <w:t xml:space="preserve">FFPE </w:t>
      </w:r>
      <w:r w:rsidR="00F13AC4">
        <w:t>a</w:t>
      </w:r>
      <w:r w:rsidR="00EC2805">
        <w:t xml:space="preserve"> tyto vzorky byly validovány patologem se zkušenostmi s CNS nádory.</w:t>
      </w:r>
    </w:p>
    <w:p w14:paraId="42557BB2" w14:textId="64772D56" w:rsidR="00EC2805" w:rsidRDefault="00EC2805" w:rsidP="005712FF">
      <w:pPr>
        <w:tabs>
          <w:tab w:val="left" w:pos="975"/>
        </w:tabs>
      </w:pPr>
    </w:p>
    <w:p w14:paraId="4B1315A2" w14:textId="3DD6F809" w:rsidR="00EC2805" w:rsidRDefault="00EC2805" w:rsidP="005712FF">
      <w:pPr>
        <w:tabs>
          <w:tab w:val="left" w:pos="975"/>
        </w:tabs>
      </w:pPr>
      <w:r>
        <w:t>Imunohistochemie</w:t>
      </w:r>
    </w:p>
    <w:p w14:paraId="314EFEBE" w14:textId="19967C89" w:rsidR="00EC2805" w:rsidRDefault="00EC2805" w:rsidP="00EC2805">
      <w:pPr>
        <w:jc w:val="both"/>
      </w:pPr>
      <w:r w:rsidRPr="00EC2805">
        <w:t xml:space="preserve">Tkáňové řezy o tloušťce </w:t>
      </w:r>
      <w:r>
        <w:t xml:space="preserve">1-2 </w:t>
      </w:r>
      <w:r>
        <w:rPr>
          <w:rFonts w:cstheme="minorHAnsi"/>
        </w:rPr>
        <w:t>µ</w:t>
      </w:r>
      <w:r>
        <w:t xml:space="preserve">m </w:t>
      </w:r>
      <w:r w:rsidRPr="00EC2805">
        <w:t>byly předem ošetřeny pomocí systému PT Link (Agilent) při 97 ° C, pH 9 po dobu 20 minut, aby se zajistilo</w:t>
      </w:r>
      <w:r>
        <w:t xml:space="preserve"> odkrytí</w:t>
      </w:r>
      <w:r w:rsidRPr="00EC2805">
        <w:t xml:space="preserve"> epitopu.</w:t>
      </w:r>
      <w:r>
        <w:t xml:space="preserve"> Peroxid vodíku</w:t>
      </w:r>
      <w:r w:rsidRPr="00056B69">
        <w:t xml:space="preserve"> byl použit na blokování endogenní peroxidázové aktivity</w:t>
      </w:r>
      <w:r>
        <w:t xml:space="preserve">. Řezy byly následně ošetřeny primární protilátkou, </w:t>
      </w:r>
      <w:r w:rsidRPr="00EC2805">
        <w:t>Anti-IDH1 R132H,</w:t>
      </w:r>
      <w:r>
        <w:t xml:space="preserve"> klon H09 </w:t>
      </w:r>
      <w:r w:rsidRPr="00EC2805">
        <w:t xml:space="preserve">(Dianova, Hamburg, </w:t>
      </w:r>
      <w:r>
        <w:t>Německo</w:t>
      </w:r>
      <w:r w:rsidRPr="00EC2805">
        <w:t>),</w:t>
      </w:r>
      <w:r>
        <w:t xml:space="preserve"> v ředicím poměru 1:100 po dobu 20 min při pokojové teplotě. </w:t>
      </w:r>
      <w:r w:rsidRPr="00EC2805">
        <w:t xml:space="preserve">EnVision Flex+, Mouse, High pH (Agilent DAKO) </w:t>
      </w:r>
      <w:r>
        <w:t xml:space="preserve">byl použit pro amplifikaci signálu primární protilátky. Po aplikaci sekundární protilátky </w:t>
      </w:r>
      <w:r w:rsidRPr="00EC2805">
        <w:t>EnVision, Flex/HRP (Agilent DAKO)</w:t>
      </w:r>
      <w:r>
        <w:t xml:space="preserve"> po dobu 20 min</w:t>
      </w:r>
      <w:r w:rsidR="00556EA6">
        <w:t xml:space="preserve">, bylo k vizualizaci reakce použito systému </w:t>
      </w:r>
      <w:r w:rsidR="00556EA6" w:rsidRPr="00556EA6">
        <w:t>DAB+ Substrate Chromogen</w:t>
      </w:r>
      <w:r w:rsidR="00556EA6">
        <w:t xml:space="preserve"> </w:t>
      </w:r>
      <w:r w:rsidR="00556EA6" w:rsidRPr="00556EA6">
        <w:t>(Agilent DAKO).</w:t>
      </w:r>
    </w:p>
    <w:p w14:paraId="6FFF8A21" w14:textId="77777777" w:rsidR="00FC4F51" w:rsidRDefault="00FC4F51" w:rsidP="00EC2805">
      <w:pPr>
        <w:jc w:val="both"/>
        <w:rPr>
          <w:bCs/>
        </w:rPr>
      </w:pPr>
    </w:p>
    <w:p w14:paraId="29E60482" w14:textId="12D0D171" w:rsidR="00EC2805" w:rsidRDefault="00556EA6" w:rsidP="00EC2805">
      <w:pPr>
        <w:jc w:val="both"/>
        <w:rPr>
          <w:bCs/>
        </w:rPr>
      </w:pPr>
      <w:r>
        <w:rPr>
          <w:bCs/>
        </w:rPr>
        <w:t xml:space="preserve">Fluorescenční </w:t>
      </w:r>
      <w:r w:rsidRPr="00556EA6">
        <w:rPr>
          <w:bCs/>
          <w:i/>
          <w:iCs/>
        </w:rPr>
        <w:t>in situ</w:t>
      </w:r>
      <w:r>
        <w:rPr>
          <w:bCs/>
        </w:rPr>
        <w:t xml:space="preserve"> hybridizace</w:t>
      </w:r>
    </w:p>
    <w:p w14:paraId="78F87EA5" w14:textId="3DFC597E" w:rsidR="00556EA6" w:rsidRDefault="00F13AC4" w:rsidP="00556EA6">
      <w:pPr>
        <w:jc w:val="both"/>
        <w:rPr>
          <w:bCs/>
        </w:rPr>
      </w:pPr>
      <w:r>
        <w:t xml:space="preserve">Kodelece </w:t>
      </w:r>
      <w:r w:rsidR="00556EA6">
        <w:t xml:space="preserve">1p/19q byla detekována pomocí </w:t>
      </w:r>
      <w:r w:rsidR="00556EA6">
        <w:rPr>
          <w:bCs/>
        </w:rPr>
        <w:t xml:space="preserve">fluorescenční </w:t>
      </w:r>
      <w:r w:rsidR="00556EA6" w:rsidRPr="00556EA6">
        <w:rPr>
          <w:bCs/>
          <w:i/>
          <w:iCs/>
        </w:rPr>
        <w:t>in situ</w:t>
      </w:r>
      <w:r w:rsidR="00556EA6">
        <w:rPr>
          <w:bCs/>
        </w:rPr>
        <w:t xml:space="preserve"> hybridizace (FISH), která byla provedena na FFPE tkáních dle doporučení výrobce </w:t>
      </w:r>
      <w:r w:rsidR="00556EA6" w:rsidRPr="00556EA6">
        <w:rPr>
          <w:bCs/>
        </w:rPr>
        <w:t>(IntellMed, Ltd., Olomouc, Czech Republic).</w:t>
      </w:r>
      <w:r w:rsidR="00556EA6">
        <w:rPr>
          <w:bCs/>
        </w:rPr>
        <w:t xml:space="preserve"> </w:t>
      </w:r>
      <w:r w:rsidR="00556EA6" w:rsidRPr="00556EA6">
        <w:rPr>
          <w:bCs/>
        </w:rPr>
        <w:t xml:space="preserve">Pro </w:t>
      </w:r>
      <w:r w:rsidR="00556EA6">
        <w:rPr>
          <w:bCs/>
        </w:rPr>
        <w:t>zjištění</w:t>
      </w:r>
      <w:r w:rsidR="00556EA6" w:rsidRPr="00556EA6">
        <w:rPr>
          <w:bCs/>
        </w:rPr>
        <w:t xml:space="preserve"> počtu kopií chromozomů byly použity lokusově specifické </w:t>
      </w:r>
      <w:r w:rsidR="00556EA6">
        <w:rPr>
          <w:bCs/>
        </w:rPr>
        <w:t>sondy pro oblasti</w:t>
      </w:r>
      <w:r w:rsidR="00556EA6" w:rsidRPr="00556EA6">
        <w:rPr>
          <w:bCs/>
        </w:rPr>
        <w:t xml:space="preserve"> 1p36.3 a 19q13.</w:t>
      </w:r>
      <w:r w:rsidR="00556EA6">
        <w:rPr>
          <w:bCs/>
        </w:rPr>
        <w:t xml:space="preserve"> Alespoň 100 nepřekrývajících se jader bylo vyšetřeno v každém vzorku.</w:t>
      </w:r>
    </w:p>
    <w:p w14:paraId="77CA8A35" w14:textId="3A5C7E43" w:rsidR="00556EA6" w:rsidRDefault="00556EA6" w:rsidP="00EC2805">
      <w:pPr>
        <w:jc w:val="both"/>
      </w:pPr>
    </w:p>
    <w:p w14:paraId="09649115" w14:textId="1726768F" w:rsidR="00556EA6" w:rsidRDefault="00556EA6" w:rsidP="00EC2805">
      <w:pPr>
        <w:jc w:val="both"/>
      </w:pPr>
      <w:r>
        <w:t>Genotypizace IDH1 a IDH2 pomocí next generation sekvenování</w:t>
      </w:r>
    </w:p>
    <w:p w14:paraId="16D5FEF2" w14:textId="44524DCC" w:rsidR="00556EA6" w:rsidRDefault="00556EA6" w:rsidP="00EC2805">
      <w:pPr>
        <w:jc w:val="both"/>
      </w:pPr>
      <w:r w:rsidRPr="00556EA6">
        <w:t>Protokoly používané pro extrakci DNA z FFPE tkáňových řezů a genotypizace</w:t>
      </w:r>
      <w:r w:rsidRPr="00556EA6">
        <w:rPr>
          <w:i/>
          <w:iCs/>
        </w:rPr>
        <w:t xml:space="preserve"> IDH1</w:t>
      </w:r>
      <w:r w:rsidRPr="00556EA6">
        <w:t xml:space="preserve"> R132 a </w:t>
      </w:r>
      <w:r w:rsidRPr="00556EA6">
        <w:rPr>
          <w:i/>
          <w:iCs/>
        </w:rPr>
        <w:t>IDH2</w:t>
      </w:r>
      <w:r w:rsidRPr="00556EA6">
        <w:t xml:space="preserve"> R172 jsou uvedeny </w:t>
      </w:r>
      <w:r w:rsidR="00A33978">
        <w:t>níže.</w:t>
      </w:r>
      <w:r w:rsidRPr="00556EA6">
        <w:t xml:space="preserve"> Ke zvýšení spolehlivosti výsledků byly použity dvě metody založené na NGS. Genotypování se také opakovalo v případě nesouhlasných </w:t>
      </w:r>
      <w:r w:rsidR="00F13AC4">
        <w:t xml:space="preserve">výsledků. </w:t>
      </w:r>
      <w:r>
        <w:t>P</w:t>
      </w:r>
      <w:r w:rsidRPr="00556EA6">
        <w:t xml:space="preserve">rvní metoda zahrnovala amplifikaci specifických oblastí a přípravu knihovny pomocí </w:t>
      </w:r>
      <w:r>
        <w:t>tagmentace</w:t>
      </w:r>
      <w:r w:rsidRPr="00556EA6">
        <w:t xml:space="preserve"> (Nextera XT</w:t>
      </w:r>
      <w:r>
        <w:t xml:space="preserve"> kit</w:t>
      </w:r>
      <w:r w:rsidRPr="00556EA6">
        <w:t xml:space="preserve">, Illumina). Druhá metoda </w:t>
      </w:r>
      <w:r>
        <w:t>f</w:t>
      </w:r>
      <w:r w:rsidRPr="00556EA6">
        <w:t>ast zahrnovala amplifikaci se specifickými primery obsahujícími přesahy potřebné pro sekvenování.</w:t>
      </w:r>
    </w:p>
    <w:p w14:paraId="04B95D23" w14:textId="77777777" w:rsidR="00F13AC4" w:rsidRDefault="00F13AC4" w:rsidP="00EC2805">
      <w:pPr>
        <w:jc w:val="both"/>
      </w:pPr>
    </w:p>
    <w:p w14:paraId="03D180F3" w14:textId="5636C6F4" w:rsidR="00FC4F51" w:rsidRDefault="00FC4F51" w:rsidP="00FC4F51">
      <w:pPr>
        <w:tabs>
          <w:tab w:val="left" w:pos="975"/>
        </w:tabs>
      </w:pPr>
      <w:r>
        <w:t xml:space="preserve">Genotypizace </w:t>
      </w:r>
      <w:r w:rsidRPr="00F13AC4">
        <w:rPr>
          <w:i/>
          <w:iCs/>
        </w:rPr>
        <w:t xml:space="preserve">IDH1 </w:t>
      </w:r>
      <w:r>
        <w:t xml:space="preserve">R132 a </w:t>
      </w:r>
      <w:r w:rsidRPr="00F13AC4">
        <w:rPr>
          <w:i/>
          <w:iCs/>
        </w:rPr>
        <w:t>IDH</w:t>
      </w:r>
      <w:r w:rsidR="00F13AC4">
        <w:rPr>
          <w:i/>
          <w:iCs/>
        </w:rPr>
        <w:t>2</w:t>
      </w:r>
      <w:r>
        <w:t xml:space="preserve"> R172 metodou fast IDH</w:t>
      </w:r>
    </w:p>
    <w:p w14:paraId="174C8B53" w14:textId="0334C9D5" w:rsidR="00FC4F51" w:rsidRDefault="00F13AC4" w:rsidP="00FC4F51">
      <w:pPr>
        <w:tabs>
          <w:tab w:val="left" w:pos="975"/>
        </w:tabs>
        <w:jc w:val="both"/>
      </w:pPr>
      <w:r>
        <w:t xml:space="preserve">Pro obě metody sekvenování byla </w:t>
      </w:r>
      <w:r w:rsidR="00FC4F51">
        <w:t>vyizolov</w:t>
      </w:r>
      <w:r>
        <w:t>á</w:t>
      </w:r>
      <w:r w:rsidR="00FC4F51">
        <w:t>n</w:t>
      </w:r>
      <w:r>
        <w:t>a</w:t>
      </w:r>
      <w:r w:rsidR="00FC4F51">
        <w:t xml:space="preserve"> </w:t>
      </w:r>
      <w:r>
        <w:t xml:space="preserve">DNA </w:t>
      </w:r>
      <w:r w:rsidR="00FC4F51">
        <w:t>pomocí Roche Cobas® kit and a Cobas® DNA sample preparation kitu. QPCR amplifikace byla provedena za</w:t>
      </w:r>
      <w:r>
        <w:t xml:space="preserve"> </w:t>
      </w:r>
      <w:r w:rsidR="00FC4F51">
        <w:t xml:space="preserve">použití 1 μl or 5 μl celkové DNA (v závoslosti na koncentraci: &gt; 30 ng/μl </w:t>
      </w:r>
      <w:r>
        <w:t>nebo</w:t>
      </w:r>
      <w:r w:rsidR="00FC4F51">
        <w:t xml:space="preserve"> &gt; 10 ng/μl)</w:t>
      </w:r>
      <w:r>
        <w:t xml:space="preserve"> </w:t>
      </w:r>
      <w:r w:rsidR="00FC4F51">
        <w:t>pomocí Thermo-Start Taq DNA Polymerase (ThermoFisher Scientific, 1U), 10X PCR Thermo-Start Buffer (ThermoFisher Scientific) MgCl2 (ThermoFisher Scientific), dNTP (Bioline)</w:t>
      </w:r>
      <w:r w:rsidR="00174B72">
        <w:t xml:space="preserve"> a</w:t>
      </w:r>
      <w:r w:rsidR="00FC4F51">
        <w:t xml:space="preserve"> EvaGreen 20x (Biotinium). PCR primery byly vyrobeny firmou Generi-Biotech a z důvodu licencování této technologie firmou Biovendor (Brno, Česká republika) nejsou uvedeny. Očekávané uvedení na trh je přibližně druhý nebo třetí kvartál 2021. PCR multiplex reakc</w:t>
      </w:r>
      <w:r>
        <w:t>e</w:t>
      </w:r>
      <w:r w:rsidR="00FC4F51">
        <w:t xml:space="preserve"> (</w:t>
      </w:r>
      <w:r w:rsidR="00FC4F51" w:rsidRPr="00F13AC4">
        <w:rPr>
          <w:i/>
          <w:iCs/>
        </w:rPr>
        <w:t>IDH1</w:t>
      </w:r>
      <w:r w:rsidR="00FC4F51">
        <w:t xml:space="preserve"> a </w:t>
      </w:r>
      <w:r w:rsidR="00FC4F51" w:rsidRPr="00F13AC4">
        <w:rPr>
          <w:i/>
          <w:iCs/>
        </w:rPr>
        <w:t>IDH2</w:t>
      </w:r>
      <w:r w:rsidR="00FC4F51">
        <w:t xml:space="preserve"> reakce) byl</w:t>
      </w:r>
      <w:r>
        <w:t>a</w:t>
      </w:r>
      <w:r w:rsidR="00FC4F51">
        <w:t xml:space="preserve"> proveden</w:t>
      </w:r>
      <w:r>
        <w:t>a</w:t>
      </w:r>
      <w:r w:rsidR="00FC4F51">
        <w:t xml:space="preserve"> </w:t>
      </w:r>
      <w:r>
        <w:t>za</w:t>
      </w:r>
      <w:r w:rsidR="00FC4F51">
        <w:t xml:space="preserve"> těchto podmín</w:t>
      </w:r>
      <w:r>
        <w:t>ek</w:t>
      </w:r>
      <w:r w:rsidR="00FC4F51">
        <w:t xml:space="preserve">: 95 ° C po dobu 2 min, poté 40 cyklů s profilem: 15 s při 95 °C, 30 s při 62 °C a 30 s při 72 °C (pro fluorescenční skenování byl nastaven FAM kanál), konečná inkubace </w:t>
      </w:r>
      <w:r>
        <w:t xml:space="preserve">byla </w:t>
      </w:r>
      <w:r w:rsidR="00FC4F51">
        <w:t xml:space="preserve">po dobu 5 min při 72 °C a tání </w:t>
      </w:r>
      <w:r>
        <w:t xml:space="preserve">nastaveno </w:t>
      </w:r>
      <w:r w:rsidR="00FC4F51">
        <w:t xml:space="preserve">od 60 °C do 95 °C se skenováním fluorescence kanálem </w:t>
      </w:r>
      <w:r>
        <w:t xml:space="preserve">FAM </w:t>
      </w:r>
      <w:r w:rsidR="00FC4F51">
        <w:t>při 0</w:t>
      </w:r>
      <w:r>
        <w:t>,</w:t>
      </w:r>
      <w:r w:rsidR="00FC4F51">
        <w:t xml:space="preserve">5 °C. Po amplifikaci následovala purifikace amplikonů pomocí QIAquick PCR Purification Kit (Hilden, Německo, QIAGEN). Koncetrace produktu byla změřena pomocí Qubit 2.0 HS DNA kit (Invitrogen). Sekvenační knihovna byla zředěna a denaturována 0,1 M NaOH (koncentrace DNA = 10 μM). Knihovna obsahovala přibližně stejné množství každého vzorku. </w:t>
      </w:r>
      <w:r w:rsidR="00FC4F51" w:rsidRPr="003711C6">
        <w:t xml:space="preserve">Sekvenování bylo provedeno na </w:t>
      </w:r>
      <w:r w:rsidR="00FC4F51">
        <w:t xml:space="preserve">sekvenátoru </w:t>
      </w:r>
      <w:r w:rsidR="00FC4F51" w:rsidRPr="003711C6">
        <w:t xml:space="preserve">Illumina MiSeq pomocí sady MiSeq V2 Nano 300 bp </w:t>
      </w:r>
      <w:r w:rsidR="00FC4F51">
        <w:t>nebo</w:t>
      </w:r>
      <w:r w:rsidR="00FC4F51" w:rsidRPr="003711C6">
        <w:t xml:space="preserve"> V3 150 bp za použití sekvenčních čtení 2 x 75 bp s vlastními sekvenčními primery, které jsou součástí </w:t>
      </w:r>
      <w:r>
        <w:t>uvedené</w:t>
      </w:r>
      <w:r w:rsidR="00FC4F51" w:rsidRPr="003711C6">
        <w:t xml:space="preserve"> technologie. Analýza byla provedena pomocí softwaru MiSeq Reporter pomocí funkce Somatic Variant Caller. Výstupní soubory vcf byly zpracovány pomocí aplikace Excel (Microsoft). Za účelem identifikace mutací v genech </w:t>
      </w:r>
      <w:r w:rsidR="00FC4F51" w:rsidRPr="00F13AC4">
        <w:rPr>
          <w:i/>
          <w:iCs/>
        </w:rPr>
        <w:t>IDH1</w:t>
      </w:r>
      <w:r w:rsidR="00FC4F51" w:rsidRPr="003711C6">
        <w:t xml:space="preserve"> a </w:t>
      </w:r>
      <w:r w:rsidR="00FC4F51" w:rsidRPr="00F13AC4">
        <w:rPr>
          <w:i/>
          <w:iCs/>
        </w:rPr>
        <w:t>IDH2</w:t>
      </w:r>
      <w:r w:rsidR="00FC4F51" w:rsidRPr="003711C6">
        <w:t xml:space="preserve"> byla stanovena kritéria pro mutace přítomné v kodonech 132, 172 s</w:t>
      </w:r>
      <w:r w:rsidR="00FC4F51">
        <w:t> </w:t>
      </w:r>
      <w:r w:rsidR="00FC4F51" w:rsidRPr="003711C6">
        <w:t>frekvencí</w:t>
      </w:r>
      <w:r w:rsidR="00FC4F51">
        <w:t xml:space="preserve"> </w:t>
      </w:r>
      <w:r w:rsidR="00FC4F51" w:rsidRPr="003711C6">
        <w:t>&gt;</w:t>
      </w:r>
      <w:r w:rsidR="00D31A58">
        <w:t> </w:t>
      </w:r>
      <w:r w:rsidR="00FC4F51" w:rsidRPr="003711C6">
        <w:t>5% a pokrytím</w:t>
      </w:r>
      <w:r w:rsidR="00FC4F51">
        <w:t xml:space="preserve"> </w:t>
      </w:r>
      <w:r w:rsidR="00FC4F51" w:rsidRPr="003711C6">
        <w:t>&gt; 1000.</w:t>
      </w:r>
    </w:p>
    <w:p w14:paraId="6E89A699" w14:textId="77777777" w:rsidR="00FC4F51" w:rsidRDefault="00FC4F51" w:rsidP="00FC4F51">
      <w:pPr>
        <w:tabs>
          <w:tab w:val="left" w:pos="975"/>
        </w:tabs>
      </w:pPr>
    </w:p>
    <w:p w14:paraId="31C9254F" w14:textId="77777777" w:rsidR="00FC4F51" w:rsidRDefault="00FC4F51" w:rsidP="00FC4F51">
      <w:pPr>
        <w:tabs>
          <w:tab w:val="left" w:pos="975"/>
        </w:tabs>
      </w:pPr>
      <w:r>
        <w:t xml:space="preserve">Genotypizace </w:t>
      </w:r>
      <w:r w:rsidRPr="00D31A58">
        <w:rPr>
          <w:i/>
          <w:iCs/>
        </w:rPr>
        <w:t>IDH1</w:t>
      </w:r>
      <w:r>
        <w:t xml:space="preserve"> R132 a </w:t>
      </w:r>
      <w:r w:rsidRPr="00D31A58">
        <w:rPr>
          <w:i/>
          <w:iCs/>
        </w:rPr>
        <w:t>IDH2</w:t>
      </w:r>
      <w:r>
        <w:t xml:space="preserve"> za použití Nextera XT Library Prep Kit</w:t>
      </w:r>
    </w:p>
    <w:p w14:paraId="0CA90691" w14:textId="6C83F80E" w:rsidR="00FC4F51" w:rsidRDefault="00FC4F51" w:rsidP="00FC4F51">
      <w:pPr>
        <w:tabs>
          <w:tab w:val="left" w:pos="975"/>
        </w:tabs>
        <w:jc w:val="both"/>
      </w:pPr>
      <w:r w:rsidRPr="003711C6">
        <w:t xml:space="preserve">Pro sekvenování </w:t>
      </w:r>
      <w:r w:rsidRPr="00D31A58">
        <w:rPr>
          <w:i/>
          <w:iCs/>
        </w:rPr>
        <w:t>IDH1</w:t>
      </w:r>
      <w:r w:rsidRPr="003711C6">
        <w:t xml:space="preserve"> R132 a </w:t>
      </w:r>
      <w:r w:rsidRPr="00D31A58">
        <w:rPr>
          <w:i/>
          <w:iCs/>
        </w:rPr>
        <w:t>IDH2</w:t>
      </w:r>
      <w:r w:rsidRPr="003711C6">
        <w:t xml:space="preserve"> R172 byla pro amplifikaci odpovídající DNA sekvence použita</w:t>
      </w:r>
      <w:r>
        <w:t xml:space="preserve"> metoda</w:t>
      </w:r>
      <w:r w:rsidRPr="003711C6">
        <w:t xml:space="preserve"> PCR.</w:t>
      </w:r>
      <w:r>
        <w:t xml:space="preserve"> Složení</w:t>
      </w:r>
      <w:r w:rsidRPr="003711C6">
        <w:t xml:space="preserve"> </w:t>
      </w:r>
      <w:r>
        <w:t>PCR master mixu bylo následovné: 0,5x EvaGreen® Dye (Biotium Inc., Fremont, CA, USA), 1U ThermoStart polymerase s doporučeným 1x buffer (ThermoScientific, Waltham, MA), 200</w:t>
      </w:r>
      <w:r w:rsidR="00D31A58">
        <w:t> </w:t>
      </w:r>
      <w:r>
        <w:t>μM dNTPs (Bioline, London, UK), 2 mM MgCl2 (ThermoScientific, Waltham, MA) a 0,25 μM primerových páru uvedených v Tabulce 4 (Generi Biotech, The Czech Republic). Přibližně 20 ng DNA bylo doplněno DEPC-vodou (ThermoScientific, Waltham, MA) do objemu 20 μl. Z důvodu odlišných Tm hodnot, byla použita touchdown PCR na cykleru LightCycler®480 (Roche Diagnostics, Mannheim, Germany). Podmínky amplifikace byly následovné: počáteční denaturace při 95 °C po dobu 15 min, poté 1°C/cyklus, touchdown cykly po 15s (začátek při 95 °C), poté 35 cyklů při 95 °C po dobu 10 s, 60 °C po dobu 15 s, a 72 °C po dobu 15 s. Pro evaluaci dat byl použit LightCycler®480 (Roche Diagnostics, Mannheim, Germany) a kontrola kvality byla prov</w:t>
      </w:r>
      <w:r w:rsidR="00D31A58">
        <w:t>e</w:t>
      </w:r>
      <w:r>
        <w:t>dena pomocí QIAxcel® (QIAGEN, Hilden, Germany).</w:t>
      </w:r>
    </w:p>
    <w:p w14:paraId="4B6DAB5D" w14:textId="2CDBA978" w:rsidR="00FC4F51" w:rsidRDefault="00FC4F51" w:rsidP="00FC4F51">
      <w:pPr>
        <w:tabs>
          <w:tab w:val="left" w:pos="975"/>
        </w:tabs>
        <w:jc w:val="both"/>
      </w:pPr>
      <w:r>
        <w:t xml:space="preserve">PCR produkty byly purifikovány </w:t>
      </w:r>
      <w:r w:rsidR="00D31A58">
        <w:t xml:space="preserve">pomocí </w:t>
      </w:r>
      <w:r>
        <w:t>QIAquick PCR Purification Kit (QIAGEN, Hilden, Germany) a koncentrace amplikonů byl</w:t>
      </w:r>
      <w:r w:rsidR="00D31A58">
        <w:t>a</w:t>
      </w:r>
      <w:r>
        <w:t xml:space="preserve"> změřen</w:t>
      </w:r>
      <w:r w:rsidR="00D31A58">
        <w:t>a</w:t>
      </w:r>
      <w:r>
        <w:t xml:space="preserve"> na IMPLEN NanoPhotometer Pearl® (Implen, München, Germany). Příprava knihovny byla provedena za použití Nextera™ XT Library Prep Kit (Illumina Inc., San Diego, CA, USA) a Nextera™ XT Index Kit (Illumina Inc., San Diego, CA, USA) dle návodu od výrobce. PCR produkty a indexy byly přečištěny pomocí QIAquick PCR Purification Kit (QIAGEN, Hilden, Germany) a finální koncentrace byla změřena na Qubit® 2.0 (Life Technologies, MA, USA). Sekvenování a analýza byla provedena pomocí MiSeq a MiSeq Reporter software za použití Somatic Variant Caller funkce se stejnými parametry jaké byly použity u fast IDH metody. </w:t>
      </w:r>
    </w:p>
    <w:p w14:paraId="1F717F36" w14:textId="77777777" w:rsidR="00C406A1" w:rsidRDefault="00C406A1" w:rsidP="00FC4F51">
      <w:pPr>
        <w:spacing w:line="480" w:lineRule="auto"/>
        <w:jc w:val="both"/>
        <w:rPr>
          <w:b/>
          <w:bCs/>
          <w:sz w:val="20"/>
          <w:szCs w:val="20"/>
        </w:rPr>
      </w:pPr>
    </w:p>
    <w:p w14:paraId="311BEA4D" w14:textId="05A1DA26" w:rsidR="00FC4F51" w:rsidRPr="0017360C" w:rsidRDefault="00306B65" w:rsidP="00FC4F51">
      <w:pPr>
        <w:spacing w:line="480" w:lineRule="auto"/>
        <w:jc w:val="both"/>
        <w:rPr>
          <w:rFonts w:cstheme="minorHAnsi"/>
          <w:sz w:val="20"/>
          <w:szCs w:val="24"/>
          <w:lang w:val="en-GB"/>
        </w:rPr>
      </w:pPr>
      <w:bookmarkStart w:id="73" w:name="_Toc67162702"/>
      <w:r w:rsidRPr="00306B65">
        <w:rPr>
          <w:b/>
          <w:bCs/>
          <w:sz w:val="20"/>
          <w:szCs w:val="20"/>
        </w:rPr>
        <w:t xml:space="preserve">Tabulka </w:t>
      </w:r>
      <w:r w:rsidRPr="00306B65">
        <w:rPr>
          <w:b/>
          <w:bCs/>
          <w:sz w:val="20"/>
          <w:szCs w:val="20"/>
        </w:rPr>
        <w:fldChar w:fldCharType="begin"/>
      </w:r>
      <w:r w:rsidRPr="00306B65">
        <w:rPr>
          <w:b/>
          <w:bCs/>
          <w:sz w:val="20"/>
          <w:szCs w:val="20"/>
        </w:rPr>
        <w:instrText xml:space="preserve"> SEQ Tabulka \* ARABIC </w:instrText>
      </w:r>
      <w:r w:rsidRPr="00306B65">
        <w:rPr>
          <w:b/>
          <w:bCs/>
          <w:sz w:val="20"/>
          <w:szCs w:val="20"/>
        </w:rPr>
        <w:fldChar w:fldCharType="separate"/>
      </w:r>
      <w:r w:rsidR="00C43719">
        <w:rPr>
          <w:b/>
          <w:bCs/>
          <w:noProof/>
          <w:sz w:val="20"/>
          <w:szCs w:val="20"/>
        </w:rPr>
        <w:t>4</w:t>
      </w:r>
      <w:r w:rsidRPr="00306B65">
        <w:rPr>
          <w:b/>
          <w:bCs/>
          <w:sz w:val="20"/>
          <w:szCs w:val="20"/>
        </w:rPr>
        <w:fldChar w:fldCharType="end"/>
      </w:r>
      <w:r w:rsidRPr="00306B65">
        <w:rPr>
          <w:b/>
          <w:bCs/>
          <w:sz w:val="20"/>
          <w:szCs w:val="20"/>
        </w:rPr>
        <w:t xml:space="preserve">: </w:t>
      </w:r>
      <w:r w:rsidR="00FC4F51" w:rsidRPr="00394BF2">
        <w:rPr>
          <w:rFonts w:cstheme="minorHAnsi"/>
          <w:sz w:val="20"/>
          <w:szCs w:val="24"/>
          <w:lang w:val="en-GB"/>
        </w:rPr>
        <w:t xml:space="preserve">Primery použité pro amplifikaci </w:t>
      </w:r>
      <w:r w:rsidR="00FC4F51" w:rsidRPr="00394BF2">
        <w:rPr>
          <w:rFonts w:cstheme="minorHAnsi"/>
          <w:i/>
          <w:sz w:val="20"/>
          <w:szCs w:val="24"/>
          <w:lang w:val="en-GB"/>
        </w:rPr>
        <w:t xml:space="preserve">IDH1 </w:t>
      </w:r>
      <w:r w:rsidR="00FC4F51" w:rsidRPr="00394BF2">
        <w:rPr>
          <w:rFonts w:cstheme="minorHAnsi"/>
          <w:iCs/>
          <w:sz w:val="20"/>
          <w:szCs w:val="24"/>
          <w:lang w:val="en-GB"/>
        </w:rPr>
        <w:t>R132 a</w:t>
      </w:r>
      <w:r w:rsidR="00FC4F51" w:rsidRPr="00394BF2">
        <w:rPr>
          <w:rFonts w:cstheme="minorHAnsi"/>
          <w:i/>
          <w:sz w:val="20"/>
          <w:szCs w:val="24"/>
          <w:lang w:val="en-GB"/>
        </w:rPr>
        <w:t xml:space="preserve"> IDH2</w:t>
      </w:r>
      <w:r w:rsidR="00FC4F51" w:rsidRPr="00394BF2">
        <w:rPr>
          <w:rFonts w:cstheme="minorHAnsi"/>
          <w:iCs/>
          <w:sz w:val="20"/>
          <w:szCs w:val="24"/>
          <w:lang w:val="en-GB"/>
        </w:rPr>
        <w:t xml:space="preserve"> R172</w:t>
      </w:r>
      <w:r w:rsidR="00FC4F51" w:rsidRPr="00394BF2">
        <w:rPr>
          <w:rFonts w:cstheme="minorHAnsi"/>
          <w:sz w:val="20"/>
          <w:szCs w:val="24"/>
          <w:lang w:val="en-GB"/>
        </w:rPr>
        <w:t xml:space="preserve"> při použití metody Nextera XT.</w:t>
      </w:r>
      <w:bookmarkEnd w:id="73"/>
    </w:p>
    <w:tbl>
      <w:tblPr>
        <w:tblW w:w="8931" w:type="dxa"/>
        <w:jc w:val="center"/>
        <w:tblCellMar>
          <w:left w:w="70" w:type="dxa"/>
          <w:right w:w="70" w:type="dxa"/>
        </w:tblCellMar>
        <w:tblLook w:val="04A0" w:firstRow="1" w:lastRow="0" w:firstColumn="1" w:lastColumn="0" w:noHBand="0" w:noVBand="1"/>
      </w:tblPr>
      <w:tblGrid>
        <w:gridCol w:w="1560"/>
        <w:gridCol w:w="1559"/>
        <w:gridCol w:w="3685"/>
        <w:gridCol w:w="2127"/>
      </w:tblGrid>
      <w:tr w:rsidR="00FC4F51" w:rsidRPr="00394BF2" w14:paraId="350C24FF" w14:textId="77777777" w:rsidTr="00FC4F51">
        <w:trPr>
          <w:trHeight w:val="300"/>
          <w:jc w:val="center"/>
        </w:trPr>
        <w:tc>
          <w:tcPr>
            <w:tcW w:w="1560" w:type="dxa"/>
            <w:tcBorders>
              <w:top w:val="nil"/>
              <w:left w:val="nil"/>
              <w:bottom w:val="single" w:sz="4" w:space="0" w:color="auto"/>
              <w:right w:val="nil"/>
            </w:tcBorders>
            <w:shd w:val="clear" w:color="auto" w:fill="auto"/>
            <w:noWrap/>
            <w:vAlign w:val="bottom"/>
            <w:hideMark/>
          </w:tcPr>
          <w:p w14:paraId="16F85987"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gen</w:t>
            </w:r>
          </w:p>
        </w:tc>
        <w:tc>
          <w:tcPr>
            <w:tcW w:w="1559" w:type="dxa"/>
            <w:tcBorders>
              <w:top w:val="nil"/>
              <w:left w:val="nil"/>
              <w:bottom w:val="single" w:sz="4" w:space="0" w:color="auto"/>
              <w:right w:val="nil"/>
            </w:tcBorders>
            <w:shd w:val="clear" w:color="auto" w:fill="auto"/>
            <w:noWrap/>
            <w:vAlign w:val="bottom"/>
            <w:hideMark/>
          </w:tcPr>
          <w:p w14:paraId="508F4371"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primer</w:t>
            </w:r>
          </w:p>
        </w:tc>
        <w:tc>
          <w:tcPr>
            <w:tcW w:w="3685" w:type="dxa"/>
            <w:tcBorders>
              <w:top w:val="nil"/>
              <w:left w:val="nil"/>
              <w:bottom w:val="single" w:sz="4" w:space="0" w:color="auto"/>
              <w:right w:val="nil"/>
            </w:tcBorders>
            <w:shd w:val="clear" w:color="auto" w:fill="auto"/>
            <w:noWrap/>
            <w:vAlign w:val="bottom"/>
            <w:hideMark/>
          </w:tcPr>
          <w:p w14:paraId="231B371F"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sekvence DNA</w:t>
            </w:r>
          </w:p>
        </w:tc>
        <w:tc>
          <w:tcPr>
            <w:tcW w:w="2127" w:type="dxa"/>
            <w:tcBorders>
              <w:top w:val="nil"/>
              <w:left w:val="nil"/>
              <w:bottom w:val="single" w:sz="4" w:space="0" w:color="auto"/>
              <w:right w:val="nil"/>
            </w:tcBorders>
            <w:shd w:val="clear" w:color="auto" w:fill="auto"/>
            <w:noWrap/>
            <w:vAlign w:val="bottom"/>
            <w:hideMark/>
          </w:tcPr>
          <w:p w14:paraId="661E5768"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délka amplikonu</w:t>
            </w:r>
          </w:p>
        </w:tc>
      </w:tr>
      <w:tr w:rsidR="00FC4F51" w:rsidRPr="00394BF2" w14:paraId="74FC8D45" w14:textId="77777777" w:rsidTr="00FC4F51">
        <w:trPr>
          <w:trHeight w:val="300"/>
          <w:jc w:val="center"/>
        </w:trPr>
        <w:tc>
          <w:tcPr>
            <w:tcW w:w="1560" w:type="dxa"/>
            <w:tcBorders>
              <w:top w:val="nil"/>
              <w:left w:val="nil"/>
              <w:bottom w:val="nil"/>
              <w:right w:val="nil"/>
            </w:tcBorders>
            <w:shd w:val="clear" w:color="auto" w:fill="auto"/>
            <w:noWrap/>
            <w:vAlign w:val="bottom"/>
            <w:hideMark/>
          </w:tcPr>
          <w:p w14:paraId="2DF419EA"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IDH1 R132</w:t>
            </w:r>
          </w:p>
        </w:tc>
        <w:tc>
          <w:tcPr>
            <w:tcW w:w="1559" w:type="dxa"/>
            <w:tcBorders>
              <w:top w:val="nil"/>
              <w:left w:val="nil"/>
              <w:bottom w:val="nil"/>
              <w:right w:val="nil"/>
            </w:tcBorders>
            <w:shd w:val="clear" w:color="auto" w:fill="auto"/>
            <w:noWrap/>
            <w:vAlign w:val="bottom"/>
            <w:hideMark/>
          </w:tcPr>
          <w:p w14:paraId="0892E03B"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forward</w:t>
            </w:r>
          </w:p>
        </w:tc>
        <w:tc>
          <w:tcPr>
            <w:tcW w:w="3685" w:type="dxa"/>
            <w:tcBorders>
              <w:top w:val="nil"/>
              <w:left w:val="nil"/>
              <w:bottom w:val="nil"/>
              <w:right w:val="nil"/>
            </w:tcBorders>
            <w:shd w:val="clear" w:color="auto" w:fill="auto"/>
            <w:noWrap/>
            <w:vAlign w:val="bottom"/>
            <w:hideMark/>
          </w:tcPr>
          <w:p w14:paraId="05B0F015"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5´-CGGTCTTCAGAGAAGCCATTAT-3´</w:t>
            </w:r>
          </w:p>
        </w:tc>
        <w:tc>
          <w:tcPr>
            <w:tcW w:w="2127" w:type="dxa"/>
            <w:vMerge w:val="restart"/>
            <w:tcBorders>
              <w:top w:val="nil"/>
              <w:left w:val="nil"/>
              <w:bottom w:val="nil"/>
              <w:right w:val="nil"/>
            </w:tcBorders>
            <w:shd w:val="clear" w:color="auto" w:fill="auto"/>
            <w:noWrap/>
            <w:vAlign w:val="center"/>
            <w:hideMark/>
          </w:tcPr>
          <w:p w14:paraId="6FF71564"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100 bp</w:t>
            </w:r>
          </w:p>
        </w:tc>
      </w:tr>
      <w:tr w:rsidR="00FC4F51" w:rsidRPr="00394BF2" w14:paraId="7B38F427" w14:textId="77777777" w:rsidTr="00FC4F51">
        <w:trPr>
          <w:trHeight w:val="300"/>
          <w:jc w:val="center"/>
        </w:trPr>
        <w:tc>
          <w:tcPr>
            <w:tcW w:w="1560" w:type="dxa"/>
            <w:tcBorders>
              <w:top w:val="nil"/>
              <w:left w:val="nil"/>
              <w:bottom w:val="nil"/>
              <w:right w:val="nil"/>
            </w:tcBorders>
            <w:shd w:val="clear" w:color="auto" w:fill="auto"/>
            <w:noWrap/>
            <w:vAlign w:val="bottom"/>
            <w:hideMark/>
          </w:tcPr>
          <w:p w14:paraId="17C4784B" w14:textId="77777777" w:rsidR="00FC4F51" w:rsidRPr="00394BF2" w:rsidRDefault="00FC4F51" w:rsidP="00FC4F51">
            <w:pPr>
              <w:spacing w:after="0" w:line="240" w:lineRule="auto"/>
              <w:jc w:val="center"/>
              <w:rPr>
                <w:rFonts w:ascii="Calibri" w:eastAsia="Times New Roman" w:hAnsi="Calibri" w:cs="Calibri"/>
                <w:color w:val="000000"/>
                <w:sz w:val="20"/>
                <w:szCs w:val="20"/>
              </w:rPr>
            </w:pPr>
          </w:p>
        </w:tc>
        <w:tc>
          <w:tcPr>
            <w:tcW w:w="1559" w:type="dxa"/>
            <w:tcBorders>
              <w:top w:val="nil"/>
              <w:left w:val="nil"/>
              <w:bottom w:val="nil"/>
              <w:right w:val="nil"/>
            </w:tcBorders>
            <w:shd w:val="clear" w:color="auto" w:fill="auto"/>
            <w:noWrap/>
            <w:vAlign w:val="bottom"/>
            <w:hideMark/>
          </w:tcPr>
          <w:p w14:paraId="6747A232"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reverse</w:t>
            </w:r>
          </w:p>
        </w:tc>
        <w:tc>
          <w:tcPr>
            <w:tcW w:w="3685" w:type="dxa"/>
            <w:tcBorders>
              <w:top w:val="nil"/>
              <w:left w:val="nil"/>
              <w:bottom w:val="nil"/>
              <w:right w:val="nil"/>
            </w:tcBorders>
            <w:shd w:val="clear" w:color="auto" w:fill="auto"/>
            <w:noWrap/>
            <w:vAlign w:val="bottom"/>
            <w:hideMark/>
          </w:tcPr>
          <w:p w14:paraId="422646E9"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5´-TCACATTATTGCCAACATGACTTAC-3´</w:t>
            </w:r>
          </w:p>
        </w:tc>
        <w:tc>
          <w:tcPr>
            <w:tcW w:w="2127" w:type="dxa"/>
            <w:vMerge/>
            <w:tcBorders>
              <w:top w:val="nil"/>
              <w:left w:val="nil"/>
              <w:bottom w:val="nil"/>
              <w:right w:val="nil"/>
            </w:tcBorders>
            <w:vAlign w:val="center"/>
            <w:hideMark/>
          </w:tcPr>
          <w:p w14:paraId="517B1DF4" w14:textId="77777777" w:rsidR="00FC4F51" w:rsidRPr="00394BF2" w:rsidRDefault="00FC4F51" w:rsidP="00FC4F51">
            <w:pPr>
              <w:spacing w:after="0" w:line="240" w:lineRule="auto"/>
              <w:rPr>
                <w:rFonts w:ascii="Calibri" w:eastAsia="Times New Roman" w:hAnsi="Calibri" w:cs="Calibri"/>
                <w:color w:val="000000"/>
                <w:sz w:val="20"/>
                <w:szCs w:val="20"/>
              </w:rPr>
            </w:pPr>
          </w:p>
        </w:tc>
      </w:tr>
      <w:tr w:rsidR="00FC4F51" w:rsidRPr="00394BF2" w14:paraId="0B625C3D" w14:textId="77777777" w:rsidTr="00FC4F51">
        <w:trPr>
          <w:trHeight w:val="300"/>
          <w:jc w:val="center"/>
        </w:trPr>
        <w:tc>
          <w:tcPr>
            <w:tcW w:w="1560" w:type="dxa"/>
            <w:tcBorders>
              <w:top w:val="nil"/>
              <w:left w:val="nil"/>
              <w:bottom w:val="nil"/>
              <w:right w:val="nil"/>
            </w:tcBorders>
            <w:shd w:val="clear" w:color="auto" w:fill="auto"/>
            <w:noWrap/>
            <w:vAlign w:val="bottom"/>
            <w:hideMark/>
          </w:tcPr>
          <w:p w14:paraId="52FB6631"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IDH2 R172</w:t>
            </w:r>
          </w:p>
        </w:tc>
        <w:tc>
          <w:tcPr>
            <w:tcW w:w="1559" w:type="dxa"/>
            <w:tcBorders>
              <w:top w:val="nil"/>
              <w:left w:val="nil"/>
              <w:bottom w:val="nil"/>
              <w:right w:val="nil"/>
            </w:tcBorders>
            <w:shd w:val="clear" w:color="auto" w:fill="auto"/>
            <w:noWrap/>
            <w:vAlign w:val="bottom"/>
            <w:hideMark/>
          </w:tcPr>
          <w:p w14:paraId="118C408B"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forward</w:t>
            </w:r>
          </w:p>
        </w:tc>
        <w:tc>
          <w:tcPr>
            <w:tcW w:w="3685" w:type="dxa"/>
            <w:tcBorders>
              <w:top w:val="nil"/>
              <w:left w:val="nil"/>
              <w:bottom w:val="nil"/>
              <w:right w:val="nil"/>
            </w:tcBorders>
            <w:shd w:val="clear" w:color="auto" w:fill="auto"/>
            <w:noWrap/>
            <w:vAlign w:val="bottom"/>
            <w:hideMark/>
          </w:tcPr>
          <w:p w14:paraId="4C94C6B3"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5´-AAACATCCCACGCCTAGTCC-3´</w:t>
            </w:r>
          </w:p>
        </w:tc>
        <w:tc>
          <w:tcPr>
            <w:tcW w:w="2127" w:type="dxa"/>
            <w:vMerge w:val="restart"/>
            <w:tcBorders>
              <w:top w:val="nil"/>
              <w:left w:val="nil"/>
              <w:bottom w:val="nil"/>
              <w:right w:val="nil"/>
            </w:tcBorders>
            <w:shd w:val="clear" w:color="auto" w:fill="auto"/>
            <w:noWrap/>
            <w:vAlign w:val="center"/>
            <w:hideMark/>
          </w:tcPr>
          <w:p w14:paraId="02978F55"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200 bp</w:t>
            </w:r>
          </w:p>
        </w:tc>
      </w:tr>
      <w:tr w:rsidR="00FC4F51" w:rsidRPr="00394BF2" w14:paraId="68102CA7" w14:textId="77777777" w:rsidTr="00FC4F51">
        <w:trPr>
          <w:trHeight w:val="300"/>
          <w:jc w:val="center"/>
        </w:trPr>
        <w:tc>
          <w:tcPr>
            <w:tcW w:w="1560" w:type="dxa"/>
            <w:tcBorders>
              <w:top w:val="nil"/>
              <w:left w:val="nil"/>
              <w:bottom w:val="nil"/>
              <w:right w:val="nil"/>
            </w:tcBorders>
            <w:shd w:val="clear" w:color="auto" w:fill="auto"/>
            <w:noWrap/>
            <w:vAlign w:val="bottom"/>
            <w:hideMark/>
          </w:tcPr>
          <w:p w14:paraId="57795805" w14:textId="77777777" w:rsidR="00FC4F51" w:rsidRPr="00394BF2" w:rsidRDefault="00FC4F51" w:rsidP="00FC4F51">
            <w:pPr>
              <w:spacing w:after="0" w:line="240" w:lineRule="auto"/>
              <w:jc w:val="center"/>
              <w:rPr>
                <w:rFonts w:ascii="Calibri" w:eastAsia="Times New Roman" w:hAnsi="Calibri" w:cs="Calibri"/>
                <w:color w:val="000000"/>
                <w:sz w:val="20"/>
                <w:szCs w:val="20"/>
              </w:rPr>
            </w:pPr>
          </w:p>
        </w:tc>
        <w:tc>
          <w:tcPr>
            <w:tcW w:w="1559" w:type="dxa"/>
            <w:tcBorders>
              <w:top w:val="nil"/>
              <w:left w:val="nil"/>
              <w:bottom w:val="nil"/>
              <w:right w:val="nil"/>
            </w:tcBorders>
            <w:shd w:val="clear" w:color="auto" w:fill="auto"/>
            <w:noWrap/>
            <w:vAlign w:val="bottom"/>
            <w:hideMark/>
          </w:tcPr>
          <w:p w14:paraId="653289B4"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reverse</w:t>
            </w:r>
          </w:p>
        </w:tc>
        <w:tc>
          <w:tcPr>
            <w:tcW w:w="3685" w:type="dxa"/>
            <w:tcBorders>
              <w:top w:val="nil"/>
              <w:left w:val="nil"/>
              <w:bottom w:val="nil"/>
              <w:right w:val="nil"/>
            </w:tcBorders>
            <w:shd w:val="clear" w:color="auto" w:fill="auto"/>
            <w:noWrap/>
            <w:vAlign w:val="bottom"/>
            <w:hideMark/>
          </w:tcPr>
          <w:p w14:paraId="5ED99D66" w14:textId="77777777" w:rsidR="00FC4F51" w:rsidRPr="00394BF2" w:rsidRDefault="00FC4F51" w:rsidP="00FC4F51">
            <w:pPr>
              <w:spacing w:after="0" w:line="240" w:lineRule="auto"/>
              <w:jc w:val="center"/>
              <w:rPr>
                <w:rFonts w:ascii="Calibri" w:eastAsia="Times New Roman" w:hAnsi="Calibri" w:cs="Calibri"/>
                <w:color w:val="000000"/>
                <w:sz w:val="20"/>
                <w:szCs w:val="20"/>
              </w:rPr>
            </w:pPr>
            <w:r w:rsidRPr="00394BF2">
              <w:rPr>
                <w:rFonts w:ascii="Calibri" w:eastAsia="Times New Roman" w:hAnsi="Calibri" w:cstheme="minorHAnsi"/>
                <w:color w:val="000000"/>
                <w:sz w:val="20"/>
                <w:szCs w:val="20"/>
                <w:lang w:val="en-GB"/>
              </w:rPr>
              <w:t>5´-AGGTCAGTGGATCCCCTCTC-3´</w:t>
            </w:r>
          </w:p>
        </w:tc>
        <w:tc>
          <w:tcPr>
            <w:tcW w:w="2127" w:type="dxa"/>
            <w:vMerge/>
            <w:tcBorders>
              <w:top w:val="nil"/>
              <w:left w:val="nil"/>
              <w:bottom w:val="nil"/>
              <w:right w:val="nil"/>
            </w:tcBorders>
            <w:vAlign w:val="center"/>
            <w:hideMark/>
          </w:tcPr>
          <w:p w14:paraId="5D78382E" w14:textId="77777777" w:rsidR="00FC4F51" w:rsidRPr="00394BF2" w:rsidRDefault="00FC4F51" w:rsidP="00FC4F51">
            <w:pPr>
              <w:spacing w:after="0" w:line="240" w:lineRule="auto"/>
              <w:rPr>
                <w:rFonts w:ascii="Calibri" w:eastAsia="Times New Roman" w:hAnsi="Calibri" w:cs="Calibri"/>
                <w:color w:val="000000"/>
                <w:sz w:val="20"/>
                <w:szCs w:val="20"/>
              </w:rPr>
            </w:pPr>
          </w:p>
        </w:tc>
      </w:tr>
    </w:tbl>
    <w:p w14:paraId="4F8DEABE" w14:textId="77777777" w:rsidR="00FC4F51" w:rsidRDefault="00FC4F51" w:rsidP="00FC4F51">
      <w:pPr>
        <w:tabs>
          <w:tab w:val="left" w:pos="975"/>
        </w:tabs>
        <w:jc w:val="both"/>
      </w:pPr>
    </w:p>
    <w:p w14:paraId="372632FF" w14:textId="4E9E2D07" w:rsidR="00267971" w:rsidRDefault="00267971" w:rsidP="00267971">
      <w:pPr>
        <w:pStyle w:val="Nadpis3"/>
      </w:pPr>
      <w:bookmarkStart w:id="74" w:name="_Toc88741488"/>
      <w:r>
        <w:t>Výsledky</w:t>
      </w:r>
      <w:bookmarkEnd w:id="74"/>
    </w:p>
    <w:p w14:paraId="78231533" w14:textId="6AB0C2FF" w:rsidR="00B25BFB" w:rsidRDefault="00B25BFB" w:rsidP="00B25BFB">
      <w:pPr>
        <w:spacing w:line="480" w:lineRule="auto"/>
        <w:jc w:val="both"/>
        <w:rPr>
          <w:rFonts w:ascii="Times New Roman" w:hAnsi="Times New Roman" w:cs="Times New Roman"/>
          <w:sz w:val="6"/>
          <w:szCs w:val="6"/>
          <w:lang w:val="en-GB"/>
        </w:rPr>
      </w:pPr>
    </w:p>
    <w:p w14:paraId="1A35AAD9" w14:textId="5AD29FE2" w:rsidR="00267971" w:rsidRDefault="00267971" w:rsidP="00174B72">
      <w:pPr>
        <w:pStyle w:val="Nadpis4"/>
      </w:pPr>
      <w:bookmarkStart w:id="75" w:name="_Toc88741489"/>
      <w:r w:rsidRPr="00267971">
        <w:t>Imunohistochemie</w:t>
      </w:r>
      <w:bookmarkEnd w:id="75"/>
    </w:p>
    <w:p w14:paraId="5D4C7492" w14:textId="2B1B7A28" w:rsidR="00267971" w:rsidRDefault="00267971" w:rsidP="00267971">
      <w:pPr>
        <w:jc w:val="both"/>
      </w:pPr>
      <w:r>
        <w:t xml:space="preserve">Vzorky </w:t>
      </w:r>
      <w:r w:rsidRPr="00267971">
        <w:t xml:space="preserve">275 pacientů (průměrný věk = 60,2 let) byly histologicky hodnoceny patologem dle doporučení CNS WHO z roku 2016, z nichž 11 vzorků nebylo možné imunohistochemicky vyšetřit na </w:t>
      </w:r>
      <w:r w:rsidRPr="00D31A58">
        <w:rPr>
          <w:i/>
          <w:iCs/>
        </w:rPr>
        <w:t>ID</w:t>
      </w:r>
      <w:r w:rsidRPr="007E518A">
        <w:rPr>
          <w:i/>
          <w:iCs/>
        </w:rPr>
        <w:t>H</w:t>
      </w:r>
      <w:r w:rsidR="00D31A58" w:rsidRPr="007E518A">
        <w:rPr>
          <w:i/>
          <w:iCs/>
        </w:rPr>
        <w:t>1</w:t>
      </w:r>
      <w:r w:rsidRPr="00267971">
        <w:t xml:space="preserve"> R132H </w:t>
      </w:r>
      <w:r w:rsidRPr="0047795B">
        <w:t>(</w:t>
      </w:r>
      <w:r w:rsidR="00FC4F51">
        <w:t>T</w:t>
      </w:r>
      <w:r w:rsidRPr="0047795B">
        <w:t xml:space="preserve">abulka </w:t>
      </w:r>
      <w:r w:rsidR="00FC4F51">
        <w:t>5</w:t>
      </w:r>
      <w:r w:rsidRPr="0047795B">
        <w:t>)</w:t>
      </w:r>
      <w:r w:rsidR="0001786F" w:rsidRPr="0047795B">
        <w:fldChar w:fldCharType="begin" w:fldLock="1"/>
      </w:r>
      <w:r w:rsidR="0001786F" w:rsidRPr="0047795B">
        <w:instrText>ADDIN CSL_CITATION {"citationItems":[{"id":"ITEM-1","itemData":{"DOI":"10.1007/s00401-016-1545-1","ISSN":"0001-6322","PMID":"27157931","abstract":"The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Neuropathologica","id":"ITEM-1","issue":"6","issued":{"date-parts":[["2016","6","9"]]},"page":"803-820","title":"The 2016 World Health Organization Classification of Tumors of the Central Nervous System: a summary","type":"article-journal","volume":"131"},"uris":["http://www.mendeley.com/documents/?uuid=8af243f0-550f-447e-814c-6fb570c155aa"]}],"mendeley":{"formattedCitation":"&lt;sup&gt;12&lt;/sup&gt;","plainTextFormattedCitation":"12","previouslyFormattedCitation":"&lt;sup&gt;12&lt;/sup&gt;"},"properties":{"noteIndex":0},"schema":"https://github.com/citation-style-language/schema/raw/master/csl-citation.json"}</w:instrText>
      </w:r>
      <w:r w:rsidR="0001786F" w:rsidRPr="0047795B">
        <w:fldChar w:fldCharType="separate"/>
      </w:r>
      <w:r w:rsidR="0001786F" w:rsidRPr="0047795B">
        <w:rPr>
          <w:noProof/>
          <w:vertAlign w:val="superscript"/>
        </w:rPr>
        <w:t>12</w:t>
      </w:r>
      <w:r w:rsidR="0001786F" w:rsidRPr="0047795B">
        <w:fldChar w:fldCharType="end"/>
      </w:r>
      <w:r w:rsidRPr="0047795B">
        <w:t>. Vzorky</w:t>
      </w:r>
      <w:r w:rsidRPr="00267971">
        <w:t xml:space="preserve"> byly následně rozděleny podle pozitivity IHC R132H (mutované) nebo negativity (WT). Data byla stratifikována podle podtypu nádoru; </w:t>
      </w:r>
      <w:r>
        <w:t>i</w:t>
      </w:r>
      <w:r w:rsidRPr="00267971">
        <w:t>munoreaktivita R132H byla pozorována u 60 z 275 vzorků (22</w:t>
      </w:r>
      <w:r w:rsidR="00D31A58">
        <w:t xml:space="preserve"> </w:t>
      </w:r>
      <w:r w:rsidRPr="00267971">
        <w:t>%).</w:t>
      </w:r>
    </w:p>
    <w:p w14:paraId="582A19E3" w14:textId="77777777" w:rsidR="002A522A" w:rsidRDefault="002A522A" w:rsidP="00267971">
      <w:pPr>
        <w:jc w:val="both"/>
      </w:pPr>
    </w:p>
    <w:p w14:paraId="13D9A759" w14:textId="0A2FE610" w:rsidR="0047795B" w:rsidRDefault="00306B65" w:rsidP="00394BF2">
      <w:pPr>
        <w:jc w:val="both"/>
        <w:rPr>
          <w:rFonts w:cstheme="minorHAnsi"/>
          <w:sz w:val="20"/>
          <w:szCs w:val="24"/>
          <w:lang w:val="en-GB"/>
        </w:rPr>
      </w:pPr>
      <w:bookmarkStart w:id="76" w:name="_Toc67162703"/>
      <w:r w:rsidRPr="00306B65">
        <w:rPr>
          <w:b/>
          <w:bCs/>
          <w:sz w:val="20"/>
          <w:szCs w:val="20"/>
        </w:rPr>
        <w:t xml:space="preserve">Tabulka </w:t>
      </w:r>
      <w:r w:rsidRPr="00306B65">
        <w:rPr>
          <w:b/>
          <w:bCs/>
          <w:sz w:val="20"/>
          <w:szCs w:val="20"/>
        </w:rPr>
        <w:fldChar w:fldCharType="begin"/>
      </w:r>
      <w:r w:rsidRPr="00306B65">
        <w:rPr>
          <w:b/>
          <w:bCs/>
          <w:sz w:val="20"/>
          <w:szCs w:val="20"/>
        </w:rPr>
        <w:instrText xml:space="preserve"> SEQ Tabulka \* ARABIC </w:instrText>
      </w:r>
      <w:r w:rsidRPr="00306B65">
        <w:rPr>
          <w:b/>
          <w:bCs/>
          <w:sz w:val="20"/>
          <w:szCs w:val="20"/>
        </w:rPr>
        <w:fldChar w:fldCharType="separate"/>
      </w:r>
      <w:r w:rsidR="00C43719">
        <w:rPr>
          <w:b/>
          <w:bCs/>
          <w:noProof/>
          <w:sz w:val="20"/>
          <w:szCs w:val="20"/>
        </w:rPr>
        <w:t>5</w:t>
      </w:r>
      <w:r w:rsidRPr="00306B65">
        <w:rPr>
          <w:b/>
          <w:bCs/>
          <w:sz w:val="20"/>
          <w:szCs w:val="20"/>
        </w:rPr>
        <w:fldChar w:fldCharType="end"/>
      </w:r>
      <w:r w:rsidRPr="00306B65">
        <w:rPr>
          <w:b/>
          <w:bCs/>
          <w:sz w:val="20"/>
          <w:szCs w:val="20"/>
        </w:rPr>
        <w:t xml:space="preserve">: </w:t>
      </w:r>
      <w:r w:rsidR="00394BF2">
        <w:rPr>
          <w:rFonts w:cstheme="minorHAnsi"/>
          <w:sz w:val="20"/>
          <w:szCs w:val="24"/>
          <w:lang w:val="en-GB"/>
        </w:rPr>
        <w:t xml:space="preserve">Histologické subtypy difuzních gliomů </w:t>
      </w:r>
      <w:r w:rsidR="002C6BD6">
        <w:rPr>
          <w:rFonts w:cstheme="minorHAnsi"/>
          <w:sz w:val="20"/>
          <w:szCs w:val="24"/>
          <w:lang w:val="en-GB"/>
        </w:rPr>
        <w:t xml:space="preserve">zahrnutých do studie jednoho centra provedenou mezi roky </w:t>
      </w:r>
      <w:r w:rsidR="0047795B" w:rsidRPr="002C6BD6">
        <w:rPr>
          <w:rFonts w:cstheme="minorHAnsi"/>
          <w:sz w:val="20"/>
          <w:szCs w:val="24"/>
          <w:lang w:val="en-GB"/>
        </w:rPr>
        <w:t xml:space="preserve">2011 </w:t>
      </w:r>
      <w:r w:rsidR="002C6BD6" w:rsidRPr="002C6BD6">
        <w:rPr>
          <w:rFonts w:cstheme="minorHAnsi"/>
          <w:sz w:val="20"/>
          <w:szCs w:val="24"/>
          <w:lang w:val="en-GB"/>
        </w:rPr>
        <w:t>–</w:t>
      </w:r>
      <w:r w:rsidR="0047795B" w:rsidRPr="002C6BD6">
        <w:rPr>
          <w:rFonts w:cstheme="minorHAnsi"/>
          <w:sz w:val="20"/>
          <w:szCs w:val="24"/>
          <w:lang w:val="en-GB"/>
        </w:rPr>
        <w:t xml:space="preserve"> 2017</w:t>
      </w:r>
      <w:r w:rsidR="002C6BD6" w:rsidRPr="002C6BD6">
        <w:rPr>
          <w:rFonts w:cstheme="minorHAnsi"/>
          <w:sz w:val="20"/>
          <w:szCs w:val="24"/>
          <w:lang w:val="en-GB"/>
        </w:rPr>
        <w:t xml:space="preserve"> a charakteristika </w:t>
      </w:r>
      <w:r w:rsidR="002C6BD6">
        <w:rPr>
          <w:rFonts w:cstheme="minorHAnsi"/>
          <w:sz w:val="20"/>
          <w:szCs w:val="24"/>
          <w:lang w:val="en-GB"/>
        </w:rPr>
        <w:t xml:space="preserve">jednotlivých </w:t>
      </w:r>
      <w:r w:rsidR="002C6BD6" w:rsidRPr="002C6BD6">
        <w:rPr>
          <w:rFonts w:cstheme="minorHAnsi"/>
          <w:sz w:val="20"/>
          <w:szCs w:val="24"/>
          <w:lang w:val="en-GB"/>
        </w:rPr>
        <w:t>podskupin</w:t>
      </w:r>
      <w:r w:rsidR="0047795B" w:rsidRPr="002C6BD6">
        <w:rPr>
          <w:rFonts w:cstheme="minorHAnsi"/>
          <w:sz w:val="20"/>
          <w:szCs w:val="24"/>
          <w:lang w:val="en-GB"/>
        </w:rPr>
        <w:t>.</w:t>
      </w:r>
      <w:bookmarkEnd w:id="76"/>
      <w:r w:rsidR="0047795B" w:rsidRPr="002C6BD6">
        <w:rPr>
          <w:rFonts w:cstheme="minorHAnsi"/>
          <w:sz w:val="20"/>
          <w:szCs w:val="24"/>
          <w:lang w:val="en-GB"/>
        </w:rPr>
        <w:t xml:space="preserve"> </w:t>
      </w:r>
    </w:p>
    <w:tbl>
      <w:tblPr>
        <w:tblW w:w="9214" w:type="dxa"/>
        <w:tblCellMar>
          <w:left w:w="70" w:type="dxa"/>
          <w:right w:w="70" w:type="dxa"/>
        </w:tblCellMar>
        <w:tblLook w:val="04A0" w:firstRow="1" w:lastRow="0" w:firstColumn="1" w:lastColumn="0" w:noHBand="0" w:noVBand="1"/>
      </w:tblPr>
      <w:tblGrid>
        <w:gridCol w:w="2835"/>
        <w:gridCol w:w="836"/>
        <w:gridCol w:w="1858"/>
        <w:gridCol w:w="1134"/>
        <w:gridCol w:w="2551"/>
      </w:tblGrid>
      <w:tr w:rsidR="0047795B" w:rsidRPr="00D31A58" w14:paraId="479D89E5" w14:textId="77777777" w:rsidTr="00394BF2">
        <w:trPr>
          <w:trHeight w:val="300"/>
        </w:trPr>
        <w:tc>
          <w:tcPr>
            <w:tcW w:w="2835" w:type="dxa"/>
            <w:tcBorders>
              <w:top w:val="nil"/>
              <w:left w:val="nil"/>
              <w:bottom w:val="single" w:sz="4" w:space="0" w:color="auto"/>
              <w:right w:val="single" w:sz="4" w:space="0" w:color="auto"/>
            </w:tcBorders>
            <w:shd w:val="clear" w:color="auto" w:fill="auto"/>
            <w:noWrap/>
            <w:vAlign w:val="bottom"/>
            <w:hideMark/>
          </w:tcPr>
          <w:p w14:paraId="4455694C" w14:textId="725E024E" w:rsidR="0047795B" w:rsidRPr="00FC4F51" w:rsidRDefault="00FC4F51" w:rsidP="0047795B">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lang w:val="en-GB"/>
              </w:rPr>
              <w:t>d</w:t>
            </w:r>
            <w:r w:rsidR="0047795B" w:rsidRPr="00FC4F51">
              <w:rPr>
                <w:rFonts w:ascii="Calibri" w:eastAsia="Times New Roman" w:hAnsi="Calibri" w:cs="Calibri"/>
                <w:color w:val="000000"/>
                <w:sz w:val="20"/>
                <w:szCs w:val="20"/>
                <w:lang w:val="en-GB"/>
              </w:rPr>
              <w:t>iagnóza</w:t>
            </w:r>
          </w:p>
        </w:tc>
        <w:tc>
          <w:tcPr>
            <w:tcW w:w="836" w:type="dxa"/>
            <w:tcBorders>
              <w:top w:val="nil"/>
              <w:left w:val="nil"/>
              <w:bottom w:val="single" w:sz="4" w:space="0" w:color="auto"/>
              <w:right w:val="single" w:sz="4" w:space="0" w:color="auto"/>
            </w:tcBorders>
            <w:shd w:val="clear" w:color="auto" w:fill="auto"/>
            <w:noWrap/>
            <w:vAlign w:val="bottom"/>
            <w:hideMark/>
          </w:tcPr>
          <w:p w14:paraId="1BB561B4"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grade</w:t>
            </w:r>
          </w:p>
        </w:tc>
        <w:tc>
          <w:tcPr>
            <w:tcW w:w="1858" w:type="dxa"/>
            <w:tcBorders>
              <w:top w:val="nil"/>
              <w:left w:val="nil"/>
              <w:bottom w:val="single" w:sz="4" w:space="0" w:color="auto"/>
              <w:right w:val="single" w:sz="4" w:space="0" w:color="auto"/>
            </w:tcBorders>
            <w:shd w:val="clear" w:color="auto" w:fill="auto"/>
            <w:noWrap/>
            <w:vAlign w:val="bottom"/>
            <w:hideMark/>
          </w:tcPr>
          <w:p w14:paraId="1871E8BF"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N/celkem (%)</w:t>
            </w:r>
          </w:p>
        </w:tc>
        <w:tc>
          <w:tcPr>
            <w:tcW w:w="1134" w:type="dxa"/>
            <w:tcBorders>
              <w:top w:val="nil"/>
              <w:left w:val="nil"/>
              <w:bottom w:val="single" w:sz="4" w:space="0" w:color="auto"/>
              <w:right w:val="single" w:sz="4" w:space="0" w:color="auto"/>
            </w:tcBorders>
            <w:shd w:val="clear" w:color="auto" w:fill="auto"/>
            <w:noWrap/>
            <w:vAlign w:val="bottom"/>
            <w:hideMark/>
          </w:tcPr>
          <w:p w14:paraId="64FA9D42"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M/Ž</w:t>
            </w:r>
          </w:p>
        </w:tc>
        <w:tc>
          <w:tcPr>
            <w:tcW w:w="2551" w:type="dxa"/>
            <w:tcBorders>
              <w:top w:val="nil"/>
              <w:left w:val="nil"/>
              <w:bottom w:val="single" w:sz="4" w:space="0" w:color="auto"/>
              <w:right w:val="nil"/>
            </w:tcBorders>
            <w:shd w:val="clear" w:color="auto" w:fill="auto"/>
            <w:noWrap/>
            <w:vAlign w:val="bottom"/>
            <w:hideMark/>
          </w:tcPr>
          <w:p w14:paraId="7D6FDDD1" w14:textId="6966E2E6" w:rsidR="0047795B" w:rsidRPr="00D31A58" w:rsidRDefault="00D31A58" w:rsidP="0047795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lang w:val="en-GB"/>
              </w:rPr>
              <w:t>p</w:t>
            </w:r>
            <w:r w:rsidRPr="00D31A58">
              <w:rPr>
                <w:rFonts w:ascii="Calibri" w:eastAsia="Times New Roman" w:hAnsi="Calibri" w:cs="Calibri"/>
                <w:color w:val="000000"/>
                <w:sz w:val="20"/>
                <w:szCs w:val="20"/>
                <w:lang w:val="en-GB"/>
              </w:rPr>
              <w:t>růměrný věk</w:t>
            </w:r>
            <w:r w:rsidR="0047795B" w:rsidRPr="00D31A58">
              <w:rPr>
                <w:rFonts w:ascii="Calibri" w:eastAsia="Times New Roman" w:hAnsi="Calibri" w:cs="Calibri"/>
                <w:color w:val="000000"/>
                <w:sz w:val="20"/>
                <w:szCs w:val="20"/>
                <w:lang w:val="en-GB"/>
              </w:rPr>
              <w:t>/r</w:t>
            </w:r>
            <w:r w:rsidRPr="00D31A58">
              <w:rPr>
                <w:rFonts w:ascii="Calibri" w:eastAsia="Times New Roman" w:hAnsi="Calibri" w:cs="Calibri"/>
                <w:color w:val="000000"/>
                <w:sz w:val="20"/>
                <w:szCs w:val="20"/>
                <w:lang w:val="en-GB"/>
              </w:rPr>
              <w:t>oz</w:t>
            </w:r>
            <w:r w:rsidR="002A522A">
              <w:rPr>
                <w:rFonts w:ascii="Calibri" w:eastAsia="Times New Roman" w:hAnsi="Calibri" w:cs="Calibri"/>
                <w:color w:val="000000"/>
                <w:sz w:val="20"/>
                <w:szCs w:val="20"/>
                <w:lang w:val="en-GB"/>
              </w:rPr>
              <w:t>pětí</w:t>
            </w:r>
            <w:r w:rsidR="0047795B" w:rsidRPr="00D31A58">
              <w:rPr>
                <w:rFonts w:ascii="Calibri" w:eastAsia="Times New Roman" w:hAnsi="Calibri" w:cs="Calibri"/>
                <w:color w:val="000000"/>
                <w:sz w:val="20"/>
                <w:szCs w:val="20"/>
                <w:lang w:val="en-GB"/>
              </w:rPr>
              <w:t xml:space="preserve"> </w:t>
            </w:r>
          </w:p>
        </w:tc>
      </w:tr>
      <w:tr w:rsidR="0047795B" w:rsidRPr="00FC4F51" w14:paraId="0E999A49" w14:textId="77777777" w:rsidTr="00394BF2">
        <w:trPr>
          <w:trHeight w:val="300"/>
        </w:trPr>
        <w:tc>
          <w:tcPr>
            <w:tcW w:w="2835" w:type="dxa"/>
            <w:tcBorders>
              <w:top w:val="nil"/>
              <w:left w:val="nil"/>
              <w:bottom w:val="single" w:sz="4" w:space="0" w:color="auto"/>
              <w:right w:val="single" w:sz="4" w:space="0" w:color="auto"/>
            </w:tcBorders>
            <w:shd w:val="clear" w:color="auto" w:fill="auto"/>
            <w:noWrap/>
            <w:vAlign w:val="bottom"/>
            <w:hideMark/>
          </w:tcPr>
          <w:p w14:paraId="01BFF07C" w14:textId="1C857FFB"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xml:space="preserve">IHC </w:t>
            </w:r>
            <w:r w:rsidR="00D31A58">
              <w:rPr>
                <w:rFonts w:ascii="Calibri" w:eastAsia="Times New Roman" w:hAnsi="Calibri" w:cs="Calibri"/>
                <w:color w:val="000000"/>
                <w:sz w:val="20"/>
                <w:szCs w:val="20"/>
                <w:lang w:val="en-GB"/>
              </w:rPr>
              <w:t>–</w:t>
            </w:r>
            <w:r w:rsidRPr="00FC4F51">
              <w:rPr>
                <w:rFonts w:ascii="Calibri" w:eastAsia="Times New Roman" w:hAnsi="Calibri" w:cs="Calibri"/>
                <w:color w:val="000000"/>
                <w:sz w:val="20"/>
                <w:szCs w:val="20"/>
                <w:lang w:val="en-GB"/>
              </w:rPr>
              <w:t xml:space="preserve"> </w:t>
            </w:r>
            <w:r w:rsidRPr="00D31A58">
              <w:rPr>
                <w:rFonts w:ascii="Calibri" w:eastAsia="Times New Roman" w:hAnsi="Calibri" w:cs="Calibri"/>
                <w:i/>
                <w:iCs/>
                <w:color w:val="000000"/>
                <w:sz w:val="20"/>
                <w:szCs w:val="20"/>
                <w:lang w:val="en-GB"/>
              </w:rPr>
              <w:t>IDH</w:t>
            </w:r>
            <w:r w:rsidR="00D31A58" w:rsidRPr="00D31A58">
              <w:rPr>
                <w:rFonts w:ascii="Calibri" w:eastAsia="Times New Roman" w:hAnsi="Calibri" w:cs="Calibri"/>
                <w:i/>
                <w:iCs/>
                <w:color w:val="000000"/>
                <w:sz w:val="20"/>
                <w:szCs w:val="20"/>
                <w:lang w:val="en-GB"/>
              </w:rPr>
              <w:t>1</w:t>
            </w:r>
            <w:r w:rsidRPr="00FC4F51">
              <w:rPr>
                <w:rFonts w:ascii="Calibri" w:eastAsia="Times New Roman" w:hAnsi="Calibri" w:cs="Calibri"/>
                <w:color w:val="000000"/>
                <w:sz w:val="20"/>
                <w:szCs w:val="20"/>
                <w:lang w:val="en-GB"/>
              </w:rPr>
              <w:t xml:space="preserve"> R132H WT</w:t>
            </w:r>
          </w:p>
        </w:tc>
        <w:tc>
          <w:tcPr>
            <w:tcW w:w="836" w:type="dxa"/>
            <w:tcBorders>
              <w:top w:val="nil"/>
              <w:left w:val="nil"/>
              <w:bottom w:val="single" w:sz="4" w:space="0" w:color="auto"/>
              <w:right w:val="single" w:sz="4" w:space="0" w:color="auto"/>
            </w:tcBorders>
            <w:shd w:val="clear" w:color="auto" w:fill="auto"/>
            <w:noWrap/>
            <w:vAlign w:val="bottom"/>
            <w:hideMark/>
          </w:tcPr>
          <w:p w14:paraId="3B7973CE"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1858" w:type="dxa"/>
            <w:tcBorders>
              <w:top w:val="nil"/>
              <w:left w:val="nil"/>
              <w:bottom w:val="single" w:sz="4" w:space="0" w:color="auto"/>
              <w:right w:val="single" w:sz="4" w:space="0" w:color="auto"/>
            </w:tcBorders>
            <w:shd w:val="clear" w:color="auto" w:fill="auto"/>
            <w:noWrap/>
            <w:vAlign w:val="bottom"/>
            <w:hideMark/>
          </w:tcPr>
          <w:p w14:paraId="3D5C6680"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1CD523FA"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2551" w:type="dxa"/>
            <w:tcBorders>
              <w:top w:val="nil"/>
              <w:left w:val="nil"/>
              <w:bottom w:val="single" w:sz="4" w:space="0" w:color="auto"/>
              <w:right w:val="nil"/>
            </w:tcBorders>
            <w:shd w:val="clear" w:color="auto" w:fill="auto"/>
            <w:noWrap/>
            <w:vAlign w:val="bottom"/>
            <w:hideMark/>
          </w:tcPr>
          <w:p w14:paraId="37D201BE"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r>
      <w:tr w:rsidR="0047795B" w:rsidRPr="00FC4F51" w14:paraId="7A319857"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35C0A834"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oligodendrogliom</w:t>
            </w:r>
          </w:p>
        </w:tc>
        <w:tc>
          <w:tcPr>
            <w:tcW w:w="836" w:type="dxa"/>
            <w:tcBorders>
              <w:top w:val="nil"/>
              <w:left w:val="nil"/>
              <w:bottom w:val="nil"/>
              <w:right w:val="single" w:sz="4" w:space="0" w:color="auto"/>
            </w:tcBorders>
            <w:shd w:val="clear" w:color="auto" w:fill="auto"/>
            <w:noWrap/>
            <w:vAlign w:val="bottom"/>
            <w:hideMark/>
          </w:tcPr>
          <w:p w14:paraId="3B01A9E2"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w:t>
            </w:r>
          </w:p>
        </w:tc>
        <w:tc>
          <w:tcPr>
            <w:tcW w:w="1858" w:type="dxa"/>
            <w:tcBorders>
              <w:top w:val="nil"/>
              <w:left w:val="nil"/>
              <w:bottom w:val="nil"/>
              <w:right w:val="single" w:sz="4" w:space="0" w:color="auto"/>
            </w:tcBorders>
            <w:shd w:val="clear" w:color="auto" w:fill="auto"/>
            <w:noWrap/>
            <w:vAlign w:val="bottom"/>
            <w:hideMark/>
          </w:tcPr>
          <w:p w14:paraId="49DF188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1/10 (10 %)</w:t>
            </w:r>
          </w:p>
        </w:tc>
        <w:tc>
          <w:tcPr>
            <w:tcW w:w="1134" w:type="dxa"/>
            <w:tcBorders>
              <w:top w:val="nil"/>
              <w:left w:val="nil"/>
              <w:bottom w:val="nil"/>
              <w:right w:val="single" w:sz="4" w:space="0" w:color="auto"/>
            </w:tcBorders>
            <w:shd w:val="clear" w:color="auto" w:fill="auto"/>
            <w:noWrap/>
            <w:vAlign w:val="bottom"/>
            <w:hideMark/>
          </w:tcPr>
          <w:p w14:paraId="0EBC82DB"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0/1</w:t>
            </w:r>
          </w:p>
        </w:tc>
        <w:tc>
          <w:tcPr>
            <w:tcW w:w="2551" w:type="dxa"/>
            <w:tcBorders>
              <w:top w:val="nil"/>
              <w:left w:val="nil"/>
              <w:bottom w:val="nil"/>
              <w:right w:val="nil"/>
            </w:tcBorders>
            <w:shd w:val="clear" w:color="auto" w:fill="auto"/>
            <w:noWrap/>
            <w:vAlign w:val="bottom"/>
            <w:hideMark/>
          </w:tcPr>
          <w:p w14:paraId="70F4CB8B"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9,3</w:t>
            </w:r>
          </w:p>
        </w:tc>
      </w:tr>
      <w:tr w:rsidR="0047795B" w:rsidRPr="00FC4F51" w14:paraId="60B888BA"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5BAE43C1"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xml:space="preserve">     kodelece 1p/19q </w:t>
            </w:r>
          </w:p>
        </w:tc>
        <w:tc>
          <w:tcPr>
            <w:tcW w:w="836" w:type="dxa"/>
            <w:tcBorders>
              <w:top w:val="nil"/>
              <w:left w:val="nil"/>
              <w:bottom w:val="nil"/>
              <w:right w:val="single" w:sz="4" w:space="0" w:color="auto"/>
            </w:tcBorders>
            <w:shd w:val="clear" w:color="auto" w:fill="auto"/>
            <w:noWrap/>
            <w:vAlign w:val="bottom"/>
            <w:hideMark/>
          </w:tcPr>
          <w:p w14:paraId="476A309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1858" w:type="dxa"/>
            <w:tcBorders>
              <w:top w:val="nil"/>
              <w:left w:val="nil"/>
              <w:bottom w:val="nil"/>
              <w:right w:val="single" w:sz="4" w:space="0" w:color="auto"/>
            </w:tcBorders>
            <w:shd w:val="clear" w:color="auto" w:fill="auto"/>
            <w:noWrap/>
            <w:vAlign w:val="bottom"/>
            <w:hideMark/>
          </w:tcPr>
          <w:p w14:paraId="4FD6AC6E"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0/0 (0 %)</w:t>
            </w:r>
          </w:p>
        </w:tc>
        <w:tc>
          <w:tcPr>
            <w:tcW w:w="1134" w:type="dxa"/>
            <w:tcBorders>
              <w:top w:val="nil"/>
              <w:left w:val="nil"/>
              <w:bottom w:val="nil"/>
              <w:right w:val="single" w:sz="4" w:space="0" w:color="auto"/>
            </w:tcBorders>
            <w:shd w:val="clear" w:color="auto" w:fill="auto"/>
            <w:noWrap/>
            <w:vAlign w:val="bottom"/>
            <w:hideMark/>
          </w:tcPr>
          <w:p w14:paraId="79A1CBCD"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0/0</w:t>
            </w:r>
          </w:p>
        </w:tc>
        <w:tc>
          <w:tcPr>
            <w:tcW w:w="2551" w:type="dxa"/>
            <w:tcBorders>
              <w:top w:val="nil"/>
              <w:left w:val="nil"/>
              <w:bottom w:val="nil"/>
              <w:right w:val="nil"/>
            </w:tcBorders>
            <w:shd w:val="clear" w:color="auto" w:fill="auto"/>
            <w:noWrap/>
            <w:vAlign w:val="bottom"/>
            <w:hideMark/>
          </w:tcPr>
          <w:p w14:paraId="4F14817D"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w:t>
            </w:r>
          </w:p>
        </w:tc>
      </w:tr>
      <w:tr w:rsidR="0047795B" w:rsidRPr="00FC4F51" w14:paraId="123B5EFC"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22622C20"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anaplastický oligodendrogliom</w:t>
            </w:r>
          </w:p>
        </w:tc>
        <w:tc>
          <w:tcPr>
            <w:tcW w:w="836" w:type="dxa"/>
            <w:tcBorders>
              <w:top w:val="nil"/>
              <w:left w:val="nil"/>
              <w:bottom w:val="nil"/>
              <w:right w:val="single" w:sz="4" w:space="0" w:color="auto"/>
            </w:tcBorders>
            <w:shd w:val="clear" w:color="auto" w:fill="auto"/>
            <w:noWrap/>
            <w:vAlign w:val="bottom"/>
            <w:hideMark/>
          </w:tcPr>
          <w:p w14:paraId="2B439853"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III</w:t>
            </w:r>
          </w:p>
        </w:tc>
        <w:tc>
          <w:tcPr>
            <w:tcW w:w="1858" w:type="dxa"/>
            <w:tcBorders>
              <w:top w:val="nil"/>
              <w:left w:val="nil"/>
              <w:bottom w:val="nil"/>
              <w:right w:val="single" w:sz="4" w:space="0" w:color="auto"/>
            </w:tcBorders>
            <w:shd w:val="clear" w:color="auto" w:fill="auto"/>
            <w:noWrap/>
            <w:vAlign w:val="bottom"/>
            <w:hideMark/>
          </w:tcPr>
          <w:p w14:paraId="5B3773AE"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4/12 (33,3 %)</w:t>
            </w:r>
          </w:p>
        </w:tc>
        <w:tc>
          <w:tcPr>
            <w:tcW w:w="1134" w:type="dxa"/>
            <w:tcBorders>
              <w:top w:val="nil"/>
              <w:left w:val="nil"/>
              <w:bottom w:val="nil"/>
              <w:right w:val="single" w:sz="4" w:space="0" w:color="auto"/>
            </w:tcBorders>
            <w:shd w:val="clear" w:color="auto" w:fill="auto"/>
            <w:noWrap/>
            <w:vAlign w:val="bottom"/>
            <w:hideMark/>
          </w:tcPr>
          <w:p w14:paraId="795DB7A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2/2</w:t>
            </w:r>
          </w:p>
        </w:tc>
        <w:tc>
          <w:tcPr>
            <w:tcW w:w="2551" w:type="dxa"/>
            <w:tcBorders>
              <w:top w:val="nil"/>
              <w:left w:val="nil"/>
              <w:bottom w:val="nil"/>
              <w:right w:val="nil"/>
            </w:tcBorders>
            <w:shd w:val="clear" w:color="auto" w:fill="auto"/>
            <w:noWrap/>
            <w:vAlign w:val="bottom"/>
            <w:hideMark/>
          </w:tcPr>
          <w:p w14:paraId="1B5B2230"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54,1 (30,3-54,1)</w:t>
            </w:r>
          </w:p>
        </w:tc>
      </w:tr>
      <w:tr w:rsidR="0047795B" w:rsidRPr="00FC4F51" w14:paraId="04FD8F35"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0AB7B155"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difuzní astrocytom</w:t>
            </w:r>
          </w:p>
        </w:tc>
        <w:tc>
          <w:tcPr>
            <w:tcW w:w="836" w:type="dxa"/>
            <w:tcBorders>
              <w:top w:val="nil"/>
              <w:left w:val="nil"/>
              <w:bottom w:val="nil"/>
              <w:right w:val="single" w:sz="4" w:space="0" w:color="auto"/>
            </w:tcBorders>
            <w:shd w:val="clear" w:color="auto" w:fill="auto"/>
            <w:noWrap/>
            <w:vAlign w:val="bottom"/>
            <w:hideMark/>
          </w:tcPr>
          <w:p w14:paraId="441ABDCE"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w:t>
            </w:r>
          </w:p>
        </w:tc>
        <w:tc>
          <w:tcPr>
            <w:tcW w:w="1858" w:type="dxa"/>
            <w:tcBorders>
              <w:top w:val="nil"/>
              <w:left w:val="nil"/>
              <w:bottom w:val="nil"/>
              <w:right w:val="single" w:sz="4" w:space="0" w:color="auto"/>
            </w:tcBorders>
            <w:shd w:val="clear" w:color="auto" w:fill="auto"/>
            <w:noWrap/>
            <w:vAlign w:val="bottom"/>
            <w:hideMark/>
          </w:tcPr>
          <w:p w14:paraId="50F05CF4"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17/40 (42,5 %)</w:t>
            </w:r>
          </w:p>
        </w:tc>
        <w:tc>
          <w:tcPr>
            <w:tcW w:w="1134" w:type="dxa"/>
            <w:tcBorders>
              <w:top w:val="nil"/>
              <w:left w:val="nil"/>
              <w:bottom w:val="nil"/>
              <w:right w:val="single" w:sz="4" w:space="0" w:color="auto"/>
            </w:tcBorders>
            <w:shd w:val="clear" w:color="auto" w:fill="auto"/>
            <w:noWrap/>
            <w:vAlign w:val="bottom"/>
            <w:hideMark/>
          </w:tcPr>
          <w:p w14:paraId="302AE3AB"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10/7</w:t>
            </w:r>
          </w:p>
        </w:tc>
        <w:tc>
          <w:tcPr>
            <w:tcW w:w="2551" w:type="dxa"/>
            <w:tcBorders>
              <w:top w:val="nil"/>
              <w:left w:val="nil"/>
              <w:bottom w:val="nil"/>
              <w:right w:val="nil"/>
            </w:tcBorders>
            <w:shd w:val="clear" w:color="auto" w:fill="auto"/>
            <w:noWrap/>
            <w:vAlign w:val="bottom"/>
            <w:hideMark/>
          </w:tcPr>
          <w:p w14:paraId="786CE797"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43,0 (22,8-76,1)</w:t>
            </w:r>
          </w:p>
        </w:tc>
      </w:tr>
      <w:tr w:rsidR="0047795B" w:rsidRPr="00FC4F51" w14:paraId="5BFAAF1A"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0E6BA7C5"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anaplastický astrocytom</w:t>
            </w:r>
          </w:p>
        </w:tc>
        <w:tc>
          <w:tcPr>
            <w:tcW w:w="836" w:type="dxa"/>
            <w:tcBorders>
              <w:top w:val="nil"/>
              <w:left w:val="nil"/>
              <w:bottom w:val="nil"/>
              <w:right w:val="single" w:sz="4" w:space="0" w:color="auto"/>
            </w:tcBorders>
            <w:shd w:val="clear" w:color="auto" w:fill="auto"/>
            <w:noWrap/>
            <w:vAlign w:val="bottom"/>
            <w:hideMark/>
          </w:tcPr>
          <w:p w14:paraId="530FD6EE"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III</w:t>
            </w:r>
          </w:p>
        </w:tc>
        <w:tc>
          <w:tcPr>
            <w:tcW w:w="1858" w:type="dxa"/>
            <w:tcBorders>
              <w:top w:val="nil"/>
              <w:left w:val="nil"/>
              <w:bottom w:val="nil"/>
              <w:right w:val="single" w:sz="4" w:space="0" w:color="auto"/>
            </w:tcBorders>
            <w:shd w:val="clear" w:color="auto" w:fill="auto"/>
            <w:noWrap/>
            <w:vAlign w:val="bottom"/>
            <w:hideMark/>
          </w:tcPr>
          <w:p w14:paraId="21B5424D"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22/35 (62,9 %)</w:t>
            </w:r>
          </w:p>
        </w:tc>
        <w:tc>
          <w:tcPr>
            <w:tcW w:w="1134" w:type="dxa"/>
            <w:tcBorders>
              <w:top w:val="nil"/>
              <w:left w:val="nil"/>
              <w:bottom w:val="nil"/>
              <w:right w:val="single" w:sz="4" w:space="0" w:color="auto"/>
            </w:tcBorders>
            <w:shd w:val="clear" w:color="auto" w:fill="auto"/>
            <w:noWrap/>
            <w:vAlign w:val="bottom"/>
            <w:hideMark/>
          </w:tcPr>
          <w:p w14:paraId="41BD55A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9/13</w:t>
            </w:r>
          </w:p>
        </w:tc>
        <w:tc>
          <w:tcPr>
            <w:tcW w:w="2551" w:type="dxa"/>
            <w:tcBorders>
              <w:top w:val="nil"/>
              <w:left w:val="nil"/>
              <w:bottom w:val="nil"/>
              <w:right w:val="nil"/>
            </w:tcBorders>
            <w:shd w:val="clear" w:color="auto" w:fill="auto"/>
            <w:noWrap/>
            <w:vAlign w:val="bottom"/>
            <w:hideMark/>
          </w:tcPr>
          <w:p w14:paraId="178B745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64,6 (33,2-81,6)</w:t>
            </w:r>
          </w:p>
        </w:tc>
      </w:tr>
      <w:tr w:rsidR="0047795B" w:rsidRPr="00FC4F51" w14:paraId="7B0C6C45"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3B1C6A90"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glioblastom</w:t>
            </w:r>
          </w:p>
        </w:tc>
        <w:tc>
          <w:tcPr>
            <w:tcW w:w="836" w:type="dxa"/>
            <w:tcBorders>
              <w:top w:val="nil"/>
              <w:left w:val="nil"/>
              <w:bottom w:val="nil"/>
              <w:right w:val="single" w:sz="4" w:space="0" w:color="auto"/>
            </w:tcBorders>
            <w:shd w:val="clear" w:color="auto" w:fill="auto"/>
            <w:noWrap/>
            <w:vAlign w:val="bottom"/>
            <w:hideMark/>
          </w:tcPr>
          <w:p w14:paraId="4C30E24A"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IV</w:t>
            </w:r>
          </w:p>
        </w:tc>
        <w:tc>
          <w:tcPr>
            <w:tcW w:w="1858" w:type="dxa"/>
            <w:tcBorders>
              <w:top w:val="nil"/>
              <w:left w:val="nil"/>
              <w:bottom w:val="nil"/>
              <w:right w:val="single" w:sz="4" w:space="0" w:color="auto"/>
            </w:tcBorders>
            <w:shd w:val="clear" w:color="auto" w:fill="auto"/>
            <w:noWrap/>
            <w:vAlign w:val="bottom"/>
            <w:hideMark/>
          </w:tcPr>
          <w:p w14:paraId="0A6611C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162/178 (91,0 %)</w:t>
            </w:r>
          </w:p>
        </w:tc>
        <w:tc>
          <w:tcPr>
            <w:tcW w:w="1134" w:type="dxa"/>
            <w:tcBorders>
              <w:top w:val="nil"/>
              <w:left w:val="nil"/>
              <w:bottom w:val="nil"/>
              <w:right w:val="single" w:sz="4" w:space="0" w:color="auto"/>
            </w:tcBorders>
            <w:shd w:val="clear" w:color="auto" w:fill="auto"/>
            <w:noWrap/>
            <w:vAlign w:val="bottom"/>
            <w:hideMark/>
          </w:tcPr>
          <w:p w14:paraId="08C460BA"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104/58</w:t>
            </w:r>
          </w:p>
        </w:tc>
        <w:tc>
          <w:tcPr>
            <w:tcW w:w="2551" w:type="dxa"/>
            <w:tcBorders>
              <w:top w:val="nil"/>
              <w:left w:val="nil"/>
              <w:bottom w:val="nil"/>
              <w:right w:val="nil"/>
            </w:tcBorders>
            <w:shd w:val="clear" w:color="auto" w:fill="auto"/>
            <w:noWrap/>
            <w:vAlign w:val="bottom"/>
            <w:hideMark/>
          </w:tcPr>
          <w:p w14:paraId="70BF6ED9"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61,8 (23,7-84,3)</w:t>
            </w:r>
          </w:p>
        </w:tc>
      </w:tr>
      <w:tr w:rsidR="0047795B" w:rsidRPr="00FC4F51" w14:paraId="4C24DAE1" w14:textId="77777777" w:rsidTr="00394BF2">
        <w:trPr>
          <w:trHeight w:val="300"/>
        </w:trPr>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26A29392" w14:textId="3459F559"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xml:space="preserve">IHC </w:t>
            </w:r>
            <w:r w:rsidR="00D31A58">
              <w:rPr>
                <w:rFonts w:ascii="Calibri" w:eastAsia="Times New Roman" w:hAnsi="Calibri" w:cs="Calibri"/>
                <w:color w:val="000000"/>
                <w:sz w:val="20"/>
                <w:szCs w:val="20"/>
                <w:lang w:val="en-GB"/>
              </w:rPr>
              <w:t>–</w:t>
            </w:r>
            <w:r w:rsidRPr="00FC4F51">
              <w:rPr>
                <w:rFonts w:ascii="Calibri" w:eastAsia="Times New Roman" w:hAnsi="Calibri" w:cs="Calibri"/>
                <w:color w:val="000000"/>
                <w:sz w:val="20"/>
                <w:szCs w:val="20"/>
                <w:lang w:val="en-GB"/>
              </w:rPr>
              <w:t xml:space="preserve"> </w:t>
            </w:r>
            <w:r w:rsidRPr="00D31A58">
              <w:rPr>
                <w:rFonts w:ascii="Calibri" w:eastAsia="Times New Roman" w:hAnsi="Calibri" w:cs="Calibri"/>
                <w:i/>
                <w:iCs/>
                <w:color w:val="000000"/>
                <w:sz w:val="20"/>
                <w:szCs w:val="20"/>
                <w:lang w:val="en-GB"/>
              </w:rPr>
              <w:t>IDH</w:t>
            </w:r>
            <w:r w:rsidR="00D31A58" w:rsidRPr="00D31A58">
              <w:rPr>
                <w:rFonts w:ascii="Calibri" w:eastAsia="Times New Roman" w:hAnsi="Calibri" w:cs="Calibri"/>
                <w:i/>
                <w:iCs/>
                <w:color w:val="000000"/>
                <w:sz w:val="20"/>
                <w:szCs w:val="20"/>
                <w:lang w:val="en-GB"/>
              </w:rPr>
              <w:t>1</w:t>
            </w:r>
            <w:r w:rsidRPr="00FC4F51">
              <w:rPr>
                <w:rFonts w:ascii="Calibri" w:eastAsia="Times New Roman" w:hAnsi="Calibri" w:cs="Calibri"/>
                <w:color w:val="000000"/>
                <w:sz w:val="20"/>
                <w:szCs w:val="20"/>
                <w:lang w:val="en-GB"/>
              </w:rPr>
              <w:t xml:space="preserve"> R132H mutovaný</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14:paraId="46040F4C"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1858" w:type="dxa"/>
            <w:tcBorders>
              <w:top w:val="single" w:sz="4" w:space="0" w:color="auto"/>
              <w:left w:val="nil"/>
              <w:bottom w:val="single" w:sz="4" w:space="0" w:color="auto"/>
              <w:right w:val="single" w:sz="4" w:space="0" w:color="auto"/>
            </w:tcBorders>
            <w:shd w:val="clear" w:color="auto" w:fill="auto"/>
            <w:noWrap/>
            <w:vAlign w:val="bottom"/>
            <w:hideMark/>
          </w:tcPr>
          <w:p w14:paraId="24CBA67C"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3BEAEA7"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2551" w:type="dxa"/>
            <w:tcBorders>
              <w:top w:val="single" w:sz="4" w:space="0" w:color="auto"/>
              <w:left w:val="nil"/>
              <w:bottom w:val="single" w:sz="4" w:space="0" w:color="auto"/>
              <w:right w:val="nil"/>
            </w:tcBorders>
            <w:shd w:val="clear" w:color="auto" w:fill="auto"/>
            <w:noWrap/>
            <w:vAlign w:val="bottom"/>
            <w:hideMark/>
          </w:tcPr>
          <w:p w14:paraId="353EFAB6"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r>
      <w:tr w:rsidR="0047795B" w:rsidRPr="00FC4F51" w14:paraId="7B578998"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3CEDBD82"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xml:space="preserve">oligodendroglioma </w:t>
            </w:r>
          </w:p>
        </w:tc>
        <w:tc>
          <w:tcPr>
            <w:tcW w:w="836" w:type="dxa"/>
            <w:tcBorders>
              <w:top w:val="nil"/>
              <w:left w:val="nil"/>
              <w:bottom w:val="nil"/>
              <w:right w:val="single" w:sz="4" w:space="0" w:color="auto"/>
            </w:tcBorders>
            <w:shd w:val="clear" w:color="auto" w:fill="auto"/>
            <w:noWrap/>
            <w:vAlign w:val="bottom"/>
            <w:hideMark/>
          </w:tcPr>
          <w:p w14:paraId="078C00EB"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w:t>
            </w:r>
          </w:p>
        </w:tc>
        <w:tc>
          <w:tcPr>
            <w:tcW w:w="1858" w:type="dxa"/>
            <w:tcBorders>
              <w:top w:val="nil"/>
              <w:left w:val="nil"/>
              <w:bottom w:val="nil"/>
              <w:right w:val="single" w:sz="4" w:space="0" w:color="auto"/>
            </w:tcBorders>
            <w:shd w:val="clear" w:color="auto" w:fill="auto"/>
            <w:noWrap/>
            <w:vAlign w:val="bottom"/>
            <w:hideMark/>
          </w:tcPr>
          <w:p w14:paraId="210BDEEF"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9/10 (90 %)</w:t>
            </w:r>
          </w:p>
        </w:tc>
        <w:tc>
          <w:tcPr>
            <w:tcW w:w="1134" w:type="dxa"/>
            <w:tcBorders>
              <w:top w:val="nil"/>
              <w:left w:val="nil"/>
              <w:bottom w:val="nil"/>
              <w:right w:val="single" w:sz="4" w:space="0" w:color="auto"/>
            </w:tcBorders>
            <w:shd w:val="clear" w:color="auto" w:fill="auto"/>
            <w:noWrap/>
            <w:vAlign w:val="bottom"/>
            <w:hideMark/>
          </w:tcPr>
          <w:p w14:paraId="5F744D11"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6/3</w:t>
            </w:r>
          </w:p>
        </w:tc>
        <w:tc>
          <w:tcPr>
            <w:tcW w:w="2551" w:type="dxa"/>
            <w:tcBorders>
              <w:top w:val="nil"/>
              <w:left w:val="nil"/>
              <w:bottom w:val="nil"/>
              <w:right w:val="nil"/>
            </w:tcBorders>
            <w:shd w:val="clear" w:color="auto" w:fill="auto"/>
            <w:noWrap/>
            <w:vAlign w:val="bottom"/>
            <w:hideMark/>
          </w:tcPr>
          <w:p w14:paraId="0BBD61A4"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49,3 (33,1-73,0)</w:t>
            </w:r>
          </w:p>
        </w:tc>
      </w:tr>
      <w:tr w:rsidR="0047795B" w:rsidRPr="00FC4F51" w14:paraId="067CACD4"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6846952F"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xml:space="preserve">     kodelece 1p/19q </w:t>
            </w:r>
          </w:p>
        </w:tc>
        <w:tc>
          <w:tcPr>
            <w:tcW w:w="836" w:type="dxa"/>
            <w:tcBorders>
              <w:top w:val="nil"/>
              <w:left w:val="nil"/>
              <w:bottom w:val="nil"/>
              <w:right w:val="single" w:sz="4" w:space="0" w:color="auto"/>
            </w:tcBorders>
            <w:shd w:val="clear" w:color="auto" w:fill="auto"/>
            <w:noWrap/>
            <w:vAlign w:val="bottom"/>
            <w:hideMark/>
          </w:tcPr>
          <w:p w14:paraId="76D62DC6"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w:t>
            </w:r>
          </w:p>
        </w:tc>
        <w:tc>
          <w:tcPr>
            <w:tcW w:w="1858" w:type="dxa"/>
            <w:tcBorders>
              <w:top w:val="nil"/>
              <w:left w:val="nil"/>
              <w:bottom w:val="nil"/>
              <w:right w:val="single" w:sz="4" w:space="0" w:color="auto"/>
            </w:tcBorders>
            <w:shd w:val="clear" w:color="auto" w:fill="auto"/>
            <w:noWrap/>
            <w:vAlign w:val="bottom"/>
            <w:hideMark/>
          </w:tcPr>
          <w:p w14:paraId="11A6EEE2"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6/8 (75 %)</w:t>
            </w:r>
          </w:p>
        </w:tc>
        <w:tc>
          <w:tcPr>
            <w:tcW w:w="1134" w:type="dxa"/>
            <w:tcBorders>
              <w:top w:val="nil"/>
              <w:left w:val="nil"/>
              <w:bottom w:val="nil"/>
              <w:right w:val="single" w:sz="4" w:space="0" w:color="auto"/>
            </w:tcBorders>
            <w:shd w:val="clear" w:color="auto" w:fill="auto"/>
            <w:noWrap/>
            <w:vAlign w:val="bottom"/>
            <w:hideMark/>
          </w:tcPr>
          <w:p w14:paraId="4C27019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4/2</w:t>
            </w:r>
          </w:p>
        </w:tc>
        <w:tc>
          <w:tcPr>
            <w:tcW w:w="2551" w:type="dxa"/>
            <w:tcBorders>
              <w:top w:val="nil"/>
              <w:left w:val="nil"/>
              <w:bottom w:val="nil"/>
              <w:right w:val="nil"/>
            </w:tcBorders>
            <w:shd w:val="clear" w:color="auto" w:fill="auto"/>
            <w:noWrap/>
            <w:vAlign w:val="bottom"/>
            <w:hideMark/>
          </w:tcPr>
          <w:p w14:paraId="0F7494C9"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51,7 (34,3-73,0)</w:t>
            </w:r>
          </w:p>
        </w:tc>
      </w:tr>
      <w:tr w:rsidR="0047795B" w:rsidRPr="00FC4F51" w14:paraId="35B3E8E1"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77FEF144"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anaplastický oligodendrogliom</w:t>
            </w:r>
          </w:p>
        </w:tc>
        <w:tc>
          <w:tcPr>
            <w:tcW w:w="836" w:type="dxa"/>
            <w:tcBorders>
              <w:top w:val="nil"/>
              <w:left w:val="nil"/>
              <w:bottom w:val="nil"/>
              <w:right w:val="single" w:sz="4" w:space="0" w:color="auto"/>
            </w:tcBorders>
            <w:shd w:val="clear" w:color="auto" w:fill="auto"/>
            <w:noWrap/>
            <w:vAlign w:val="bottom"/>
            <w:hideMark/>
          </w:tcPr>
          <w:p w14:paraId="0A7ABD03"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III</w:t>
            </w:r>
          </w:p>
        </w:tc>
        <w:tc>
          <w:tcPr>
            <w:tcW w:w="1858" w:type="dxa"/>
            <w:tcBorders>
              <w:top w:val="nil"/>
              <w:left w:val="nil"/>
              <w:bottom w:val="nil"/>
              <w:right w:val="single" w:sz="4" w:space="0" w:color="auto"/>
            </w:tcBorders>
            <w:shd w:val="clear" w:color="auto" w:fill="auto"/>
            <w:noWrap/>
            <w:vAlign w:val="bottom"/>
            <w:hideMark/>
          </w:tcPr>
          <w:p w14:paraId="21B1C095"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8/12 (66,7 %)</w:t>
            </w:r>
          </w:p>
        </w:tc>
        <w:tc>
          <w:tcPr>
            <w:tcW w:w="1134" w:type="dxa"/>
            <w:tcBorders>
              <w:top w:val="nil"/>
              <w:left w:val="nil"/>
              <w:bottom w:val="nil"/>
              <w:right w:val="single" w:sz="4" w:space="0" w:color="auto"/>
            </w:tcBorders>
            <w:shd w:val="clear" w:color="auto" w:fill="auto"/>
            <w:noWrap/>
            <w:vAlign w:val="bottom"/>
            <w:hideMark/>
          </w:tcPr>
          <w:p w14:paraId="3B35D937"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3/5</w:t>
            </w:r>
          </w:p>
        </w:tc>
        <w:tc>
          <w:tcPr>
            <w:tcW w:w="2551" w:type="dxa"/>
            <w:tcBorders>
              <w:top w:val="nil"/>
              <w:left w:val="nil"/>
              <w:bottom w:val="nil"/>
              <w:right w:val="nil"/>
            </w:tcBorders>
            <w:shd w:val="clear" w:color="auto" w:fill="auto"/>
            <w:noWrap/>
            <w:vAlign w:val="bottom"/>
            <w:hideMark/>
          </w:tcPr>
          <w:p w14:paraId="1BDAD897"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49,6 (33,1-68,7)</w:t>
            </w:r>
          </w:p>
        </w:tc>
      </w:tr>
      <w:tr w:rsidR="0047795B" w:rsidRPr="00FC4F51" w14:paraId="00B8714A"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51F9D947"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difuzní astrocytom</w:t>
            </w:r>
          </w:p>
        </w:tc>
        <w:tc>
          <w:tcPr>
            <w:tcW w:w="836" w:type="dxa"/>
            <w:tcBorders>
              <w:top w:val="nil"/>
              <w:left w:val="nil"/>
              <w:bottom w:val="nil"/>
              <w:right w:val="single" w:sz="4" w:space="0" w:color="auto"/>
            </w:tcBorders>
            <w:shd w:val="clear" w:color="auto" w:fill="auto"/>
            <w:noWrap/>
            <w:vAlign w:val="bottom"/>
            <w:hideMark/>
          </w:tcPr>
          <w:p w14:paraId="791154F4"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w:t>
            </w:r>
          </w:p>
        </w:tc>
        <w:tc>
          <w:tcPr>
            <w:tcW w:w="1858" w:type="dxa"/>
            <w:tcBorders>
              <w:top w:val="nil"/>
              <w:left w:val="nil"/>
              <w:bottom w:val="nil"/>
              <w:right w:val="single" w:sz="4" w:space="0" w:color="auto"/>
            </w:tcBorders>
            <w:shd w:val="clear" w:color="auto" w:fill="auto"/>
            <w:noWrap/>
            <w:vAlign w:val="bottom"/>
            <w:hideMark/>
          </w:tcPr>
          <w:p w14:paraId="28F4FE84"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22/40 (55 %)</w:t>
            </w:r>
          </w:p>
        </w:tc>
        <w:tc>
          <w:tcPr>
            <w:tcW w:w="1134" w:type="dxa"/>
            <w:tcBorders>
              <w:top w:val="nil"/>
              <w:left w:val="nil"/>
              <w:bottom w:val="nil"/>
              <w:right w:val="single" w:sz="4" w:space="0" w:color="auto"/>
            </w:tcBorders>
            <w:shd w:val="clear" w:color="auto" w:fill="auto"/>
            <w:noWrap/>
            <w:vAlign w:val="bottom"/>
            <w:hideMark/>
          </w:tcPr>
          <w:p w14:paraId="59D4DAC1"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10/12</w:t>
            </w:r>
          </w:p>
        </w:tc>
        <w:tc>
          <w:tcPr>
            <w:tcW w:w="2551" w:type="dxa"/>
            <w:tcBorders>
              <w:top w:val="nil"/>
              <w:left w:val="nil"/>
              <w:bottom w:val="nil"/>
              <w:right w:val="nil"/>
            </w:tcBorders>
            <w:shd w:val="clear" w:color="auto" w:fill="auto"/>
            <w:noWrap/>
            <w:vAlign w:val="bottom"/>
            <w:hideMark/>
          </w:tcPr>
          <w:p w14:paraId="55D8FEEB"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42,3 (23,1-70,8)</w:t>
            </w:r>
          </w:p>
        </w:tc>
      </w:tr>
      <w:tr w:rsidR="0047795B" w:rsidRPr="00FC4F51" w14:paraId="248E915F"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3EDED749"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anaplastický astrocytom</w:t>
            </w:r>
          </w:p>
        </w:tc>
        <w:tc>
          <w:tcPr>
            <w:tcW w:w="836" w:type="dxa"/>
            <w:tcBorders>
              <w:top w:val="nil"/>
              <w:left w:val="nil"/>
              <w:bottom w:val="nil"/>
              <w:right w:val="single" w:sz="4" w:space="0" w:color="auto"/>
            </w:tcBorders>
            <w:shd w:val="clear" w:color="auto" w:fill="auto"/>
            <w:noWrap/>
            <w:vAlign w:val="bottom"/>
            <w:hideMark/>
          </w:tcPr>
          <w:p w14:paraId="05F5D63A"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III</w:t>
            </w:r>
          </w:p>
        </w:tc>
        <w:tc>
          <w:tcPr>
            <w:tcW w:w="1858" w:type="dxa"/>
            <w:tcBorders>
              <w:top w:val="nil"/>
              <w:left w:val="nil"/>
              <w:bottom w:val="nil"/>
              <w:right w:val="single" w:sz="4" w:space="0" w:color="auto"/>
            </w:tcBorders>
            <w:shd w:val="clear" w:color="auto" w:fill="auto"/>
            <w:noWrap/>
            <w:vAlign w:val="bottom"/>
            <w:hideMark/>
          </w:tcPr>
          <w:p w14:paraId="432831AF"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9/35 (25,7%)</w:t>
            </w:r>
          </w:p>
        </w:tc>
        <w:tc>
          <w:tcPr>
            <w:tcW w:w="1134" w:type="dxa"/>
            <w:tcBorders>
              <w:top w:val="nil"/>
              <w:left w:val="nil"/>
              <w:bottom w:val="nil"/>
              <w:right w:val="single" w:sz="4" w:space="0" w:color="auto"/>
            </w:tcBorders>
            <w:shd w:val="clear" w:color="auto" w:fill="auto"/>
            <w:noWrap/>
            <w:vAlign w:val="bottom"/>
            <w:hideMark/>
          </w:tcPr>
          <w:p w14:paraId="7806CC67"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5/4</w:t>
            </w:r>
          </w:p>
        </w:tc>
        <w:tc>
          <w:tcPr>
            <w:tcW w:w="2551" w:type="dxa"/>
            <w:tcBorders>
              <w:top w:val="nil"/>
              <w:left w:val="nil"/>
              <w:bottom w:val="nil"/>
              <w:right w:val="nil"/>
            </w:tcBorders>
            <w:shd w:val="clear" w:color="auto" w:fill="auto"/>
            <w:noWrap/>
            <w:vAlign w:val="bottom"/>
            <w:hideMark/>
          </w:tcPr>
          <w:p w14:paraId="37DC96B6"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40,0 (27,6-56.7)</w:t>
            </w:r>
          </w:p>
        </w:tc>
      </w:tr>
      <w:tr w:rsidR="0047795B" w:rsidRPr="00FC4F51" w14:paraId="24C54B18" w14:textId="77777777" w:rsidTr="00394BF2">
        <w:trPr>
          <w:trHeight w:val="300"/>
        </w:trPr>
        <w:tc>
          <w:tcPr>
            <w:tcW w:w="2835" w:type="dxa"/>
            <w:tcBorders>
              <w:top w:val="nil"/>
              <w:left w:val="nil"/>
              <w:bottom w:val="nil"/>
              <w:right w:val="single" w:sz="4" w:space="0" w:color="auto"/>
            </w:tcBorders>
            <w:shd w:val="clear" w:color="auto" w:fill="auto"/>
            <w:noWrap/>
            <w:vAlign w:val="bottom"/>
            <w:hideMark/>
          </w:tcPr>
          <w:p w14:paraId="0C6BA768" w14:textId="77777777" w:rsidR="0047795B" w:rsidRPr="00FC4F51" w:rsidRDefault="0047795B" w:rsidP="0047795B">
            <w:pPr>
              <w:spacing w:after="0" w:line="240" w:lineRule="auto"/>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 xml:space="preserve">glioblastom </w:t>
            </w:r>
          </w:p>
        </w:tc>
        <w:tc>
          <w:tcPr>
            <w:tcW w:w="836" w:type="dxa"/>
            <w:tcBorders>
              <w:top w:val="nil"/>
              <w:left w:val="nil"/>
              <w:bottom w:val="nil"/>
              <w:right w:val="single" w:sz="4" w:space="0" w:color="auto"/>
            </w:tcBorders>
            <w:shd w:val="clear" w:color="auto" w:fill="auto"/>
            <w:noWrap/>
            <w:vAlign w:val="bottom"/>
            <w:hideMark/>
          </w:tcPr>
          <w:p w14:paraId="1901F59C"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IV</w:t>
            </w:r>
          </w:p>
        </w:tc>
        <w:tc>
          <w:tcPr>
            <w:tcW w:w="1858" w:type="dxa"/>
            <w:tcBorders>
              <w:top w:val="nil"/>
              <w:left w:val="nil"/>
              <w:bottom w:val="nil"/>
              <w:right w:val="single" w:sz="4" w:space="0" w:color="auto"/>
            </w:tcBorders>
            <w:shd w:val="clear" w:color="auto" w:fill="auto"/>
            <w:noWrap/>
            <w:vAlign w:val="bottom"/>
            <w:hideMark/>
          </w:tcPr>
          <w:p w14:paraId="7B381751"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12/178 (6.7 %)</w:t>
            </w:r>
          </w:p>
        </w:tc>
        <w:tc>
          <w:tcPr>
            <w:tcW w:w="1134" w:type="dxa"/>
            <w:tcBorders>
              <w:top w:val="nil"/>
              <w:left w:val="nil"/>
              <w:bottom w:val="nil"/>
              <w:right w:val="single" w:sz="4" w:space="0" w:color="auto"/>
            </w:tcBorders>
            <w:shd w:val="clear" w:color="auto" w:fill="auto"/>
            <w:noWrap/>
            <w:vAlign w:val="bottom"/>
            <w:hideMark/>
          </w:tcPr>
          <w:p w14:paraId="31E380BA"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7/5</w:t>
            </w:r>
          </w:p>
        </w:tc>
        <w:tc>
          <w:tcPr>
            <w:tcW w:w="2551" w:type="dxa"/>
            <w:tcBorders>
              <w:top w:val="nil"/>
              <w:left w:val="nil"/>
              <w:bottom w:val="nil"/>
              <w:right w:val="nil"/>
            </w:tcBorders>
            <w:shd w:val="clear" w:color="auto" w:fill="auto"/>
            <w:noWrap/>
            <w:vAlign w:val="bottom"/>
            <w:hideMark/>
          </w:tcPr>
          <w:p w14:paraId="7FCE349C" w14:textId="77777777" w:rsidR="0047795B" w:rsidRPr="00FC4F51" w:rsidRDefault="0047795B" w:rsidP="0047795B">
            <w:pPr>
              <w:spacing w:after="0" w:line="240" w:lineRule="auto"/>
              <w:jc w:val="center"/>
              <w:rPr>
                <w:rFonts w:ascii="Calibri" w:eastAsia="Times New Roman" w:hAnsi="Calibri" w:cs="Calibri"/>
                <w:color w:val="000000"/>
                <w:sz w:val="20"/>
                <w:szCs w:val="20"/>
              </w:rPr>
            </w:pPr>
            <w:r w:rsidRPr="00FC4F51">
              <w:rPr>
                <w:rFonts w:ascii="Calibri" w:eastAsia="Times New Roman" w:hAnsi="Calibri" w:cs="Calibri"/>
                <w:color w:val="000000"/>
                <w:sz w:val="20"/>
                <w:szCs w:val="20"/>
                <w:lang w:val="en-GB"/>
              </w:rPr>
              <w:t>47,9 (33,8-75,2)</w:t>
            </w:r>
          </w:p>
        </w:tc>
      </w:tr>
    </w:tbl>
    <w:p w14:paraId="0245236A" w14:textId="77777777" w:rsidR="007E518A" w:rsidRPr="007E518A" w:rsidRDefault="007E518A" w:rsidP="0047795B">
      <w:pPr>
        <w:spacing w:line="480" w:lineRule="auto"/>
        <w:jc w:val="both"/>
        <w:rPr>
          <w:rFonts w:cstheme="minorHAnsi"/>
          <w:sz w:val="2"/>
          <w:szCs w:val="6"/>
          <w:lang w:val="en-GB"/>
        </w:rPr>
      </w:pPr>
    </w:p>
    <w:p w14:paraId="6395F484" w14:textId="1EE2EA59" w:rsidR="002A522A" w:rsidRDefault="007E518A" w:rsidP="0047795B">
      <w:pPr>
        <w:spacing w:line="480" w:lineRule="auto"/>
        <w:jc w:val="both"/>
        <w:rPr>
          <w:rFonts w:cstheme="minorHAnsi"/>
          <w:sz w:val="20"/>
          <w:szCs w:val="24"/>
          <w:lang w:val="en-GB"/>
        </w:rPr>
      </w:pPr>
      <w:r>
        <w:rPr>
          <w:rFonts w:cstheme="minorHAnsi"/>
          <w:sz w:val="20"/>
          <w:szCs w:val="24"/>
          <w:lang w:val="en-GB"/>
        </w:rPr>
        <w:t>W</w:t>
      </w:r>
      <w:r w:rsidRPr="002C6BD6">
        <w:rPr>
          <w:rFonts w:cstheme="minorHAnsi"/>
          <w:sz w:val="20"/>
          <w:szCs w:val="24"/>
          <w:lang w:val="en-GB"/>
        </w:rPr>
        <w:t>T</w:t>
      </w:r>
      <w:r w:rsidRPr="0047795B">
        <w:rPr>
          <w:rFonts w:cstheme="minorHAnsi"/>
          <w:sz w:val="20"/>
          <w:szCs w:val="24"/>
          <w:lang w:val="en-GB"/>
        </w:rPr>
        <w:t xml:space="preserve"> - wild type, M - muži; Ž- ženy</w:t>
      </w:r>
      <w:r>
        <w:rPr>
          <w:rFonts w:cstheme="minorHAnsi"/>
          <w:sz w:val="20"/>
          <w:szCs w:val="24"/>
          <w:lang w:val="en-GB"/>
        </w:rPr>
        <w:t>.</w:t>
      </w:r>
    </w:p>
    <w:p w14:paraId="024ED9AE" w14:textId="77777777" w:rsidR="00C406A1" w:rsidRDefault="00C406A1" w:rsidP="0047795B">
      <w:pPr>
        <w:spacing w:line="480" w:lineRule="auto"/>
        <w:jc w:val="both"/>
        <w:rPr>
          <w:rFonts w:cstheme="minorHAnsi"/>
          <w:sz w:val="20"/>
          <w:szCs w:val="24"/>
          <w:lang w:val="en-GB"/>
        </w:rPr>
      </w:pPr>
    </w:p>
    <w:p w14:paraId="2C2D2431" w14:textId="7536DF8D" w:rsidR="00267971" w:rsidRDefault="00267971" w:rsidP="00174B72">
      <w:pPr>
        <w:pStyle w:val="Nadpis4"/>
      </w:pPr>
      <w:bookmarkStart w:id="77" w:name="_Toc88741490"/>
      <w:r>
        <w:t>FISH</w:t>
      </w:r>
      <w:bookmarkEnd w:id="77"/>
    </w:p>
    <w:p w14:paraId="43FAF6EA" w14:textId="6042373E" w:rsidR="00267971" w:rsidRDefault="0001786F" w:rsidP="00267971">
      <w:pPr>
        <w:jc w:val="both"/>
      </w:pPr>
      <w:r>
        <w:t xml:space="preserve">Všeobecně nejsou </w:t>
      </w:r>
      <w:r w:rsidR="00D31A58">
        <w:t>u</w:t>
      </w:r>
      <w:r w:rsidR="00D31A58" w:rsidRPr="00267971">
        <w:t xml:space="preserve"> oligodendrogliomu</w:t>
      </w:r>
      <w:r w:rsidR="00D31A58">
        <w:fldChar w:fldCharType="begin" w:fldLock="1"/>
      </w:r>
      <w:r w:rsidR="00AD61B7">
        <w:instrText>ADDIN CSL_CITATION {"citationItems":[{"id":"ITEM-1","itemData":{"DOI":"10.1016/j.clon.2015.04.008","ISSN":"09366555","PMID":"25971646","abstract":"1p19q co-deletion is a chromosomal alteration associated with primary brain tumours of oligodendroglial histology. It is an established predictive and prognostic biomarker that informs whether patients are offered radiotherapy, chemotherapy or both. In the near future, 1p19q co-deletion status may also be incorporated into the reclassification of gliomas. Analysis is commonly carried out using fluorescence in situ hybridisation (FISH) because it is a reliable and validated laboratory technique. The result is generally considered to be dichotomous (1p19q co-deletion present or absent), but there are subtleties in interpretation that are of clinical relevance. Separate centres may interpret certain chromosome deletion patterns differently. Pivotal trials in mixed and pure anaplastic oligodendrogliomas have used slightly different FISH probe ratios as the cut-off for chromosome deletion. Here we review the clinical implications of this variability and review the process of 1p19q co-deletion assessment using FISH in gliomas from a clinician's perspective. We also consider common alternative methods of analysis.","author":[{"dropping-particle":"","family":"Pinkham","given":"M.B.","non-dropping-particle":"","parse-names":false,"suffix":""},{"dropping-particle":"","family":"Telford","given":"N.","non-dropping-particle":"","parse-names":false,"suffix":""},{"dropping-particle":"","family":"Whitfield","given":"G.A.","non-dropping-particle":"","parse-names":false,"suffix":""},{"dropping-particle":"","family":"Colaco","given":"R.J.","non-dropping-particle":"","parse-names":false,"suffix":""},{"dropping-particle":"","family":"O'Neill","given":"F.","non-dropping-particle":"","parse-names":false,"suffix":""},{"dropping-particle":"","family":"McBain","given":"C.A.","non-dropping-particle":"","parse-names":false,"suffix":""}],"container-title":"Clinical Oncology","id":"ITEM-1","issue":"8","issued":{"date-parts":[["2015","8"]]},"page":"445-453","title":"FISHing Tips: What Every Clinician Should Know About 1p19q Analysis in Gliomas Using Fluorescence in situ Hybridisation","type":"article-journal","volume":"27"},"uris":["http://www.mendeley.com/documents/?uuid=05d93c71-5d0f-4bd6-98db-00ffb8098f98"]}],"mendeley":{"formattedCitation":"&lt;sup&gt;230&lt;/sup&gt;","plainTextFormattedCitation":"230","previouslyFormattedCitation":"&lt;sup&gt;230&lt;/sup&gt;"},"properties":{"noteIndex":0},"schema":"https://github.com/citation-style-language/schema/raw/master/csl-citation.json"}</w:instrText>
      </w:r>
      <w:r w:rsidR="00D31A58">
        <w:fldChar w:fldCharType="separate"/>
      </w:r>
      <w:r w:rsidR="00B2369D" w:rsidRPr="00B2369D">
        <w:rPr>
          <w:noProof/>
          <w:vertAlign w:val="superscript"/>
        </w:rPr>
        <w:t>230</w:t>
      </w:r>
      <w:r w:rsidR="00D31A58">
        <w:fldChar w:fldCharType="end"/>
      </w:r>
      <w:r w:rsidR="00D31A58">
        <w:t xml:space="preserve"> </w:t>
      </w:r>
      <w:r>
        <w:t>stanoveny</w:t>
      </w:r>
      <w:r w:rsidR="00267971" w:rsidRPr="00267971">
        <w:t xml:space="preserve"> </w:t>
      </w:r>
      <w:r w:rsidR="002A522A">
        <w:t>závazné</w:t>
      </w:r>
      <w:r w:rsidR="00267971" w:rsidRPr="00267971">
        <w:t xml:space="preserve"> </w:t>
      </w:r>
      <w:r>
        <w:t>cut off hodnoty</w:t>
      </w:r>
      <w:r w:rsidR="00267971" w:rsidRPr="00267971">
        <w:t xml:space="preserve"> detekce delecí 1p nebo 19q, proto jsme </w:t>
      </w:r>
      <w:r>
        <w:t>cut off</w:t>
      </w:r>
      <w:r w:rsidR="00267971" w:rsidRPr="00267971">
        <w:t xml:space="preserve"> stanovili na 20</w:t>
      </w:r>
      <w:r w:rsidR="00267971">
        <w:t xml:space="preserve"> </w:t>
      </w:r>
      <w:r w:rsidR="00267971" w:rsidRPr="00267971">
        <w:t xml:space="preserve">% jader obsahujících pouze jednu kopii. Analýza FISH </w:t>
      </w:r>
      <w:r w:rsidR="0047795B">
        <w:t>pro</w:t>
      </w:r>
      <w:r w:rsidR="00267971" w:rsidRPr="00267971">
        <w:t>kázala přítomnost kodelece 1p/19q v 6 z 8 IHC R132H pozitivních vzorků</w:t>
      </w:r>
      <w:r w:rsidR="0047795B">
        <w:t xml:space="preserve">; i přes opakování nebylo možné jeden vzorek analyzovat </w:t>
      </w:r>
      <w:r w:rsidR="00267971">
        <w:t xml:space="preserve">zřejmě </w:t>
      </w:r>
      <w:r w:rsidR="00267971" w:rsidRPr="00267971">
        <w:t>kvůli chybě zpracování tkáně</w:t>
      </w:r>
      <w:r w:rsidR="00267971">
        <w:t xml:space="preserve">. </w:t>
      </w:r>
    </w:p>
    <w:p w14:paraId="4D6E1756" w14:textId="77777777" w:rsidR="00FC4F51" w:rsidRDefault="00FC4F51" w:rsidP="005712FF">
      <w:pPr>
        <w:tabs>
          <w:tab w:val="left" w:pos="975"/>
        </w:tabs>
      </w:pPr>
    </w:p>
    <w:p w14:paraId="60DC0677" w14:textId="2943D52A" w:rsidR="00562F69" w:rsidRDefault="00FC4F51" w:rsidP="00174B72">
      <w:pPr>
        <w:pStyle w:val="Nadpis4"/>
      </w:pPr>
      <w:bookmarkStart w:id="78" w:name="_Toc88741491"/>
      <w:r>
        <w:t xml:space="preserve">Sekvenování IHC </w:t>
      </w:r>
      <w:r w:rsidRPr="001F3E67">
        <w:rPr>
          <w:i/>
        </w:rPr>
        <w:t>IDH1</w:t>
      </w:r>
      <w:r>
        <w:t xml:space="preserve"> wild type pacientů mladších 55 let</w:t>
      </w:r>
      <w:bookmarkEnd w:id="78"/>
    </w:p>
    <w:p w14:paraId="5DB7B0C2" w14:textId="5CF35458" w:rsidR="00FC4F51" w:rsidRDefault="00D31A58" w:rsidP="001F3E67">
      <w:pPr>
        <w:tabs>
          <w:tab w:val="left" w:pos="975"/>
        </w:tabs>
        <w:jc w:val="both"/>
      </w:pPr>
      <w:r>
        <w:t xml:space="preserve">Pro </w:t>
      </w:r>
      <w:r w:rsidR="00FC4F51" w:rsidRPr="00FC4F51">
        <w:t>maximalizov</w:t>
      </w:r>
      <w:r>
        <w:t>ání</w:t>
      </w:r>
      <w:r w:rsidR="00FC4F51" w:rsidRPr="00FC4F51">
        <w:t xml:space="preserve"> efektivit</w:t>
      </w:r>
      <w:r>
        <w:t>y</w:t>
      </w:r>
      <w:r w:rsidR="00FC4F51" w:rsidRPr="00FC4F51">
        <w:t xml:space="preserve"> nákladů </w:t>
      </w:r>
      <w:r w:rsidR="00FC4F51">
        <w:t>dan</w:t>
      </w:r>
      <w:r>
        <w:t>ou</w:t>
      </w:r>
      <w:r w:rsidR="00FC4F51" w:rsidRPr="00FC4F51">
        <w:t xml:space="preserve"> nízk</w:t>
      </w:r>
      <w:r w:rsidR="00FC4F51">
        <w:t>ou</w:t>
      </w:r>
      <w:r w:rsidR="00FC4F51" w:rsidRPr="00FC4F51">
        <w:t xml:space="preserve"> </w:t>
      </w:r>
      <w:r w:rsidR="00FC4F51" w:rsidRPr="00992AE0">
        <w:t xml:space="preserve">prevalencí mutací </w:t>
      </w:r>
      <w:r w:rsidR="00FC4F51" w:rsidRPr="00D31A58">
        <w:rPr>
          <w:i/>
          <w:iCs/>
        </w:rPr>
        <w:t>IDH</w:t>
      </w:r>
      <w:r w:rsidR="00FC4F51" w:rsidRPr="00992AE0">
        <w:t xml:space="preserve"> u pacientů ≥ 55 let</w:t>
      </w:r>
      <w:r w:rsidR="00FC4F51" w:rsidRPr="00992AE0">
        <w:fldChar w:fldCharType="begin" w:fldLock="1"/>
      </w:r>
      <w:r w:rsidR="00403A59">
        <w:instrText>ADDIN CSL_CITATION {"citationItems":[{"id":"ITEM-1","itemData":{"DOI":"10.1093/neuonc/nox120","PMID":"29016871","author":[{"dropping-particle":"","family":"Dewitt","given":"John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K.","non-dropping-particle":"","parse-names":false,"suffix":""}],"container-title":"Neuro-Oncology","id":"ITEM-1","issue":"12","issued":{"date-parts":[["2017"]]},"page":"1640-1650","publisher":"Oxford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mendeley":{"formattedCitation":"&lt;sup&gt;87&lt;/sup&gt;","plainTextFormattedCitation":"87","previouslyFormattedCitation":"&lt;sup&gt;87&lt;/sup&gt;"},"properties":{"noteIndex":0},"schema":"https://github.com/citation-style-language/schema/raw/master/csl-citation.json"}</w:instrText>
      </w:r>
      <w:r w:rsidR="00FC4F51" w:rsidRPr="00992AE0">
        <w:fldChar w:fldCharType="separate"/>
      </w:r>
      <w:r w:rsidR="00FC4F51" w:rsidRPr="00992AE0">
        <w:rPr>
          <w:noProof/>
          <w:vertAlign w:val="superscript"/>
        </w:rPr>
        <w:t>87</w:t>
      </w:r>
      <w:r w:rsidR="00FC4F51" w:rsidRPr="00992AE0">
        <w:fldChar w:fldCharType="end"/>
      </w:r>
      <w:r w:rsidR="00FC4F51" w:rsidRPr="00992AE0">
        <w:t>, byly sekvenovány pouze nádory</w:t>
      </w:r>
      <w:r w:rsidR="00BA6BD5">
        <w:t xml:space="preserve"> od</w:t>
      </w:r>
      <w:r w:rsidR="00FC4F51" w:rsidRPr="00992AE0">
        <w:t xml:space="preserve"> pacientů mladších 55 let s </w:t>
      </w:r>
      <w:r w:rsidR="00FC4F51" w:rsidRPr="00D31A58">
        <w:rPr>
          <w:i/>
          <w:iCs/>
        </w:rPr>
        <w:t>IDH1</w:t>
      </w:r>
      <w:r w:rsidR="00FC4F51" w:rsidRPr="00992AE0">
        <w:t xml:space="preserve"> WT podle IHC </w:t>
      </w:r>
      <w:r w:rsidR="00BA6BD5">
        <w:t xml:space="preserve">vyšetření </w:t>
      </w:r>
      <w:r w:rsidR="00FC4F51" w:rsidRPr="00992AE0">
        <w:t>(n = 63) (</w:t>
      </w:r>
      <w:r w:rsidR="00BA6BD5">
        <w:t>T</w:t>
      </w:r>
      <w:r w:rsidR="00FC4F51" w:rsidRPr="00992AE0">
        <w:t>abulka</w:t>
      </w:r>
      <w:r w:rsidR="00BA6BD5">
        <w:t> </w:t>
      </w:r>
      <w:r w:rsidR="00992AE0" w:rsidRPr="00992AE0">
        <w:t>5</w:t>
      </w:r>
      <w:r w:rsidR="00FC4F51" w:rsidRPr="00992AE0">
        <w:t xml:space="preserve">). Výsledky sekvenování </w:t>
      </w:r>
      <w:r>
        <w:t>pro</w:t>
      </w:r>
      <w:r w:rsidR="00FC4F51" w:rsidRPr="00992AE0">
        <w:t>kázaly, že 10 z 63 vzorků (16</w:t>
      </w:r>
      <w:r>
        <w:t xml:space="preserve"> </w:t>
      </w:r>
      <w:r w:rsidR="00FC4F51" w:rsidRPr="00992AE0">
        <w:t xml:space="preserve">%) vykazovalo mutaci </w:t>
      </w:r>
      <w:r w:rsidR="00FC4F51" w:rsidRPr="00992AE0">
        <w:rPr>
          <w:i/>
          <w:iCs/>
        </w:rPr>
        <w:t>IDH1</w:t>
      </w:r>
      <w:r w:rsidR="00FC4F51" w:rsidRPr="00992AE0">
        <w:t xml:space="preserve"> R132 nebo </w:t>
      </w:r>
      <w:r w:rsidR="00FC4F51" w:rsidRPr="00992AE0">
        <w:rPr>
          <w:i/>
          <w:iCs/>
        </w:rPr>
        <w:t>IDH2</w:t>
      </w:r>
      <w:r w:rsidR="00FC4F51" w:rsidRPr="00992AE0">
        <w:t xml:space="preserve"> R172. Obě uvedené metody sekvenování poskytly konzistentní výsledky pro všech deset pozitivních vzorků; 2 vzorky </w:t>
      </w:r>
      <w:r w:rsidR="001F3E67" w:rsidRPr="00992AE0">
        <w:t>nebylo možné anal</w:t>
      </w:r>
      <w:r w:rsidR="00FC4F51" w:rsidRPr="00992AE0">
        <w:t>yzov</w:t>
      </w:r>
      <w:r w:rsidR="001F3E67" w:rsidRPr="00992AE0">
        <w:t>at</w:t>
      </w:r>
      <w:r w:rsidR="00FC4F51" w:rsidRPr="00992AE0">
        <w:t xml:space="preserve"> alespoň jednou z metod (</w:t>
      </w:r>
      <w:r w:rsidR="00992AE0" w:rsidRPr="00992AE0">
        <w:t>T</w:t>
      </w:r>
      <w:r w:rsidR="00FC4F51" w:rsidRPr="00992AE0">
        <w:t xml:space="preserve">abulka </w:t>
      </w:r>
      <w:r w:rsidR="00992AE0" w:rsidRPr="00992AE0">
        <w:t>6</w:t>
      </w:r>
      <w:r w:rsidR="00FC4F51" w:rsidRPr="00992AE0">
        <w:t xml:space="preserve">). </w:t>
      </w:r>
      <w:r w:rsidR="001F3E67" w:rsidRPr="00992AE0">
        <w:t xml:space="preserve">Podle očekávání byly detekovány vzácné mutace </w:t>
      </w:r>
      <w:r w:rsidR="001F3E67" w:rsidRPr="00992AE0">
        <w:rPr>
          <w:i/>
          <w:iCs/>
        </w:rPr>
        <w:t>IDH1</w:t>
      </w:r>
      <w:r w:rsidR="001F3E67" w:rsidRPr="00992AE0">
        <w:t xml:space="preserve"> (společný výskyt R132S a R132C ve 3 vzorcích). Dále bylo zjištěno, že 3 vzorky nesou vzácné mutace</w:t>
      </w:r>
      <w:r w:rsidR="001F3E67" w:rsidRPr="00992AE0">
        <w:rPr>
          <w:i/>
          <w:iCs/>
        </w:rPr>
        <w:t xml:space="preserve"> IDH2</w:t>
      </w:r>
      <w:r w:rsidR="001F3E67" w:rsidRPr="00992AE0">
        <w:t xml:space="preserve"> v kodonu 172, které </w:t>
      </w:r>
      <w:r w:rsidR="00BA6BD5">
        <w:t>nelze</w:t>
      </w:r>
      <w:r w:rsidR="001F3E67" w:rsidRPr="00992AE0">
        <w:t xml:space="preserve"> imunohistochemicky detekovat. U 4 vzorků byla nalezena mutace </w:t>
      </w:r>
      <w:r w:rsidR="001F3E67" w:rsidRPr="00992AE0">
        <w:rPr>
          <w:i/>
          <w:iCs/>
        </w:rPr>
        <w:t>IDH1</w:t>
      </w:r>
      <w:r w:rsidR="001F3E67" w:rsidRPr="00992AE0">
        <w:t xml:space="preserve"> R132H i přesto, že byly tyto vzorky označeny dle imunohistochemické analýzy jako </w:t>
      </w:r>
      <w:r w:rsidR="001F3E67" w:rsidRPr="00992AE0">
        <w:rPr>
          <w:i/>
          <w:iCs/>
        </w:rPr>
        <w:t xml:space="preserve">IDH1 </w:t>
      </w:r>
      <w:r w:rsidR="001F3E67" w:rsidRPr="00992AE0">
        <w:t>R132H wild type.</w:t>
      </w:r>
      <w:r w:rsidR="00FC4F51" w:rsidRPr="00992AE0">
        <w:t xml:space="preserve"> Dva vzorky nebylo možné analyzovat kvůli nízké kvalitě DNA a špatné </w:t>
      </w:r>
      <w:r w:rsidR="001F3E67" w:rsidRPr="00992AE0">
        <w:t xml:space="preserve">PCR </w:t>
      </w:r>
      <w:r w:rsidR="00FC4F51" w:rsidRPr="00992AE0">
        <w:t xml:space="preserve">amplifikaci. </w:t>
      </w:r>
      <w:r w:rsidR="001F3E67" w:rsidRPr="00992AE0">
        <w:t>Jeden vzorek z celkových 11 vzorků, které nebylo možné imunohistochemick</w:t>
      </w:r>
      <w:r>
        <w:t>y</w:t>
      </w:r>
      <w:r w:rsidR="001F3E67" w:rsidRPr="00992AE0">
        <w:t xml:space="preserve"> stanovit a </w:t>
      </w:r>
      <w:r w:rsidR="00FC4F51" w:rsidRPr="00992AE0">
        <w:t>splnil věkov</w:t>
      </w:r>
      <w:r w:rsidR="001F3E67" w:rsidRPr="00992AE0">
        <w:t>é</w:t>
      </w:r>
      <w:r w:rsidR="00FC4F51" w:rsidRPr="00992AE0">
        <w:t xml:space="preserve"> kritér</w:t>
      </w:r>
      <w:r w:rsidR="001F3E67" w:rsidRPr="00992AE0">
        <w:t>ium</w:t>
      </w:r>
      <w:r w:rsidR="00FC4F51" w:rsidRPr="00992AE0">
        <w:t>,</w:t>
      </w:r>
      <w:r w:rsidR="001F3E67" w:rsidRPr="00992AE0">
        <w:t xml:space="preserve"> byl jednoznačně vyšetřen jako pozitivní na mutaci</w:t>
      </w:r>
      <w:r w:rsidR="00FC4F51" w:rsidRPr="00992AE0">
        <w:t xml:space="preserve"> </w:t>
      </w:r>
      <w:r w:rsidR="00FC4F51" w:rsidRPr="00992AE0">
        <w:rPr>
          <w:i/>
          <w:iCs/>
        </w:rPr>
        <w:t>IDH</w:t>
      </w:r>
      <w:r>
        <w:rPr>
          <w:i/>
          <w:iCs/>
        </w:rPr>
        <w:t>1</w:t>
      </w:r>
      <w:r w:rsidR="00FC4F51" w:rsidRPr="00992AE0">
        <w:rPr>
          <w:i/>
          <w:iCs/>
        </w:rPr>
        <w:t xml:space="preserve"> </w:t>
      </w:r>
      <w:r w:rsidR="00FC4F51" w:rsidRPr="00992AE0">
        <w:t>R132H (</w:t>
      </w:r>
      <w:r w:rsidR="00992AE0" w:rsidRPr="00992AE0">
        <w:t>T</w:t>
      </w:r>
      <w:r w:rsidR="00FC4F51" w:rsidRPr="00992AE0">
        <w:t xml:space="preserve">abulka </w:t>
      </w:r>
      <w:r w:rsidR="00992AE0" w:rsidRPr="00992AE0">
        <w:t>6</w:t>
      </w:r>
      <w:r w:rsidR="00FC4F51" w:rsidRPr="00992AE0">
        <w:t>, případ č. 8).</w:t>
      </w:r>
    </w:p>
    <w:p w14:paraId="6EE2BBD2" w14:textId="66738964" w:rsidR="00992AE0" w:rsidRPr="008B00E9" w:rsidRDefault="00306B65" w:rsidP="001F3E67">
      <w:pPr>
        <w:tabs>
          <w:tab w:val="left" w:pos="975"/>
        </w:tabs>
        <w:jc w:val="both"/>
        <w:rPr>
          <w:sz w:val="20"/>
          <w:szCs w:val="20"/>
        </w:rPr>
      </w:pPr>
      <w:bookmarkStart w:id="79" w:name="_Toc67162704"/>
      <w:r w:rsidRPr="00306B65">
        <w:rPr>
          <w:b/>
          <w:bCs/>
          <w:sz w:val="20"/>
          <w:szCs w:val="20"/>
        </w:rPr>
        <w:t xml:space="preserve">Tabulka </w:t>
      </w:r>
      <w:r w:rsidRPr="00306B65">
        <w:rPr>
          <w:b/>
          <w:bCs/>
          <w:sz w:val="20"/>
          <w:szCs w:val="20"/>
        </w:rPr>
        <w:fldChar w:fldCharType="begin"/>
      </w:r>
      <w:r w:rsidRPr="00306B65">
        <w:rPr>
          <w:b/>
          <w:bCs/>
          <w:sz w:val="20"/>
          <w:szCs w:val="20"/>
        </w:rPr>
        <w:instrText xml:space="preserve"> SEQ Tabulka \* ARABIC </w:instrText>
      </w:r>
      <w:r w:rsidRPr="00306B65">
        <w:rPr>
          <w:b/>
          <w:bCs/>
          <w:sz w:val="20"/>
          <w:szCs w:val="20"/>
        </w:rPr>
        <w:fldChar w:fldCharType="separate"/>
      </w:r>
      <w:r w:rsidR="00C43719">
        <w:rPr>
          <w:b/>
          <w:bCs/>
          <w:noProof/>
          <w:sz w:val="20"/>
          <w:szCs w:val="20"/>
        </w:rPr>
        <w:t>6</w:t>
      </w:r>
      <w:r w:rsidRPr="00306B65">
        <w:rPr>
          <w:b/>
          <w:bCs/>
          <w:sz w:val="20"/>
          <w:szCs w:val="20"/>
        </w:rPr>
        <w:fldChar w:fldCharType="end"/>
      </w:r>
      <w:r w:rsidRPr="00306B65">
        <w:rPr>
          <w:b/>
          <w:bCs/>
          <w:sz w:val="20"/>
          <w:szCs w:val="20"/>
        </w:rPr>
        <w:t xml:space="preserve">: </w:t>
      </w:r>
      <w:r w:rsidR="00D31A58" w:rsidRPr="008B00E9">
        <w:rPr>
          <w:sz w:val="20"/>
          <w:szCs w:val="20"/>
        </w:rPr>
        <w:t xml:space="preserve">Charakteristika pacientů a výsledky genotypizace získané metodami </w:t>
      </w:r>
      <w:r w:rsidR="00992AE0" w:rsidRPr="008B00E9">
        <w:rPr>
          <w:sz w:val="20"/>
          <w:szCs w:val="20"/>
        </w:rPr>
        <w:t>FastIDH method a Nextera XT</w:t>
      </w:r>
      <w:r w:rsidR="002C6BD6" w:rsidRPr="008B00E9">
        <w:rPr>
          <w:sz w:val="20"/>
          <w:szCs w:val="20"/>
        </w:rPr>
        <w:t xml:space="preserve"> </w:t>
      </w:r>
      <w:r w:rsidR="00992AE0" w:rsidRPr="008B00E9">
        <w:rPr>
          <w:sz w:val="20"/>
          <w:szCs w:val="20"/>
        </w:rPr>
        <w:t>Library Prep Kit.</w:t>
      </w:r>
      <w:bookmarkEnd w:id="79"/>
      <w:r w:rsidR="00992AE0" w:rsidRPr="008B00E9">
        <w:rPr>
          <w:sz w:val="20"/>
          <w:szCs w:val="20"/>
        </w:rPr>
        <w:t xml:space="preserve"> </w:t>
      </w:r>
    </w:p>
    <w:tbl>
      <w:tblPr>
        <w:tblW w:w="9640" w:type="dxa"/>
        <w:tblInd w:w="-142" w:type="dxa"/>
        <w:tblCellMar>
          <w:left w:w="70" w:type="dxa"/>
          <w:right w:w="70" w:type="dxa"/>
        </w:tblCellMar>
        <w:tblLook w:val="04A0" w:firstRow="1" w:lastRow="0" w:firstColumn="1" w:lastColumn="0" w:noHBand="0" w:noVBand="1"/>
      </w:tblPr>
      <w:tblGrid>
        <w:gridCol w:w="426"/>
        <w:gridCol w:w="421"/>
        <w:gridCol w:w="571"/>
        <w:gridCol w:w="601"/>
        <w:gridCol w:w="826"/>
        <w:gridCol w:w="2826"/>
        <w:gridCol w:w="567"/>
        <w:gridCol w:w="1134"/>
        <w:gridCol w:w="526"/>
        <w:gridCol w:w="1175"/>
        <w:gridCol w:w="567"/>
      </w:tblGrid>
      <w:tr w:rsidR="00992AE0" w:rsidRPr="00992AE0" w14:paraId="4F67D690" w14:textId="77777777" w:rsidTr="00992AE0">
        <w:trPr>
          <w:trHeight w:val="282"/>
        </w:trPr>
        <w:tc>
          <w:tcPr>
            <w:tcW w:w="426" w:type="dxa"/>
            <w:tcBorders>
              <w:top w:val="nil"/>
              <w:left w:val="nil"/>
              <w:bottom w:val="single" w:sz="4" w:space="0" w:color="auto"/>
              <w:right w:val="nil"/>
            </w:tcBorders>
            <w:shd w:val="clear" w:color="auto" w:fill="auto"/>
            <w:noWrap/>
            <w:vAlign w:val="bottom"/>
            <w:hideMark/>
          </w:tcPr>
          <w:p w14:paraId="7C8F5185" w14:textId="0E750A6A"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č.</w:t>
            </w:r>
          </w:p>
        </w:tc>
        <w:tc>
          <w:tcPr>
            <w:tcW w:w="421" w:type="dxa"/>
            <w:tcBorders>
              <w:top w:val="nil"/>
              <w:left w:val="nil"/>
              <w:bottom w:val="single" w:sz="4" w:space="0" w:color="auto"/>
              <w:right w:val="nil"/>
            </w:tcBorders>
            <w:shd w:val="clear" w:color="auto" w:fill="auto"/>
            <w:noWrap/>
            <w:vAlign w:val="bottom"/>
            <w:hideMark/>
          </w:tcPr>
          <w:p w14:paraId="21374CFC"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věk</w:t>
            </w:r>
          </w:p>
        </w:tc>
        <w:tc>
          <w:tcPr>
            <w:tcW w:w="571" w:type="dxa"/>
            <w:tcBorders>
              <w:top w:val="nil"/>
              <w:left w:val="nil"/>
              <w:bottom w:val="single" w:sz="4" w:space="0" w:color="auto"/>
              <w:right w:val="nil"/>
            </w:tcBorders>
            <w:shd w:val="clear" w:color="auto" w:fill="auto"/>
            <w:noWrap/>
            <w:vAlign w:val="bottom"/>
            <w:hideMark/>
          </w:tcPr>
          <w:p w14:paraId="61912827" w14:textId="248B9628" w:rsidR="001F3E67" w:rsidRPr="00992AE0" w:rsidRDefault="00992AE0" w:rsidP="001B218E">
            <w:pPr>
              <w:spacing w:after="0" w:line="240" w:lineRule="auto"/>
              <w:jc w:val="center"/>
              <w:rPr>
                <w:rFonts w:eastAsia="Times New Roman" w:cstheme="minorHAnsi"/>
                <w:color w:val="000000"/>
                <w:sz w:val="18"/>
                <w:szCs w:val="18"/>
              </w:rPr>
            </w:pPr>
            <w:r>
              <w:rPr>
                <w:rFonts w:eastAsia="Times New Roman" w:cstheme="minorHAnsi"/>
                <w:color w:val="000000"/>
                <w:sz w:val="18"/>
                <w:szCs w:val="18"/>
                <w:lang w:val="en-GB"/>
              </w:rPr>
              <w:t>p</w:t>
            </w:r>
            <w:r w:rsidR="001F3E67" w:rsidRPr="00992AE0">
              <w:rPr>
                <w:rFonts w:eastAsia="Times New Roman" w:cstheme="minorHAnsi"/>
                <w:color w:val="000000"/>
                <w:sz w:val="18"/>
                <w:szCs w:val="18"/>
                <w:lang w:val="en-GB"/>
              </w:rPr>
              <w:t>ohl</w:t>
            </w:r>
            <w:r>
              <w:rPr>
                <w:rFonts w:eastAsia="Times New Roman" w:cstheme="minorHAnsi"/>
                <w:color w:val="000000"/>
                <w:sz w:val="18"/>
                <w:szCs w:val="18"/>
                <w:lang w:val="en-GB"/>
              </w:rPr>
              <w:t>.</w:t>
            </w:r>
          </w:p>
        </w:tc>
        <w:tc>
          <w:tcPr>
            <w:tcW w:w="601" w:type="dxa"/>
            <w:tcBorders>
              <w:top w:val="nil"/>
              <w:left w:val="nil"/>
              <w:bottom w:val="single" w:sz="4" w:space="0" w:color="auto"/>
              <w:right w:val="nil"/>
            </w:tcBorders>
            <w:shd w:val="clear" w:color="auto" w:fill="auto"/>
            <w:noWrap/>
            <w:vAlign w:val="bottom"/>
            <w:hideMark/>
          </w:tcPr>
          <w:p w14:paraId="18BE3A62"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strana</w:t>
            </w:r>
          </w:p>
        </w:tc>
        <w:tc>
          <w:tcPr>
            <w:tcW w:w="826" w:type="dxa"/>
            <w:tcBorders>
              <w:top w:val="nil"/>
              <w:left w:val="nil"/>
              <w:bottom w:val="single" w:sz="4" w:space="0" w:color="auto"/>
              <w:right w:val="nil"/>
            </w:tcBorders>
            <w:shd w:val="clear" w:color="auto" w:fill="auto"/>
            <w:noWrap/>
            <w:vAlign w:val="bottom"/>
            <w:hideMark/>
          </w:tcPr>
          <w:p w14:paraId="54D28FC0" w14:textId="0BE39AA8" w:rsidR="001F3E67" w:rsidRPr="00992AE0" w:rsidRDefault="001F3E67"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l</w:t>
            </w:r>
            <w:r w:rsidR="00992AE0" w:rsidRPr="00992AE0">
              <w:rPr>
                <w:rFonts w:eastAsia="Times New Roman" w:cstheme="minorHAnsi"/>
                <w:color w:val="000000"/>
                <w:sz w:val="18"/>
                <w:szCs w:val="18"/>
                <w:lang w:val="en-GB"/>
              </w:rPr>
              <w:t>alok</w:t>
            </w:r>
          </w:p>
        </w:tc>
        <w:tc>
          <w:tcPr>
            <w:tcW w:w="2826" w:type="dxa"/>
            <w:tcBorders>
              <w:top w:val="nil"/>
              <w:left w:val="nil"/>
              <w:bottom w:val="single" w:sz="4" w:space="0" w:color="auto"/>
              <w:right w:val="nil"/>
            </w:tcBorders>
            <w:shd w:val="clear" w:color="auto" w:fill="auto"/>
            <w:noWrap/>
            <w:vAlign w:val="bottom"/>
            <w:hideMark/>
          </w:tcPr>
          <w:p w14:paraId="2CE1A3E6" w14:textId="77777777"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subtyp</w:t>
            </w:r>
          </w:p>
        </w:tc>
        <w:tc>
          <w:tcPr>
            <w:tcW w:w="567" w:type="dxa"/>
            <w:tcBorders>
              <w:top w:val="nil"/>
              <w:left w:val="nil"/>
              <w:bottom w:val="single" w:sz="4" w:space="0" w:color="auto"/>
              <w:right w:val="nil"/>
            </w:tcBorders>
            <w:shd w:val="clear" w:color="auto" w:fill="auto"/>
            <w:noWrap/>
            <w:vAlign w:val="bottom"/>
            <w:hideMark/>
          </w:tcPr>
          <w:p w14:paraId="67597EA7" w14:textId="7D5C9129"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grade</w:t>
            </w:r>
          </w:p>
        </w:tc>
        <w:tc>
          <w:tcPr>
            <w:tcW w:w="1134" w:type="dxa"/>
            <w:tcBorders>
              <w:top w:val="nil"/>
              <w:left w:val="nil"/>
              <w:bottom w:val="single" w:sz="4" w:space="0" w:color="auto"/>
              <w:right w:val="nil"/>
            </w:tcBorders>
            <w:shd w:val="clear" w:color="auto" w:fill="auto"/>
            <w:noWrap/>
            <w:vAlign w:val="bottom"/>
            <w:hideMark/>
          </w:tcPr>
          <w:p w14:paraId="6F5CAD2C" w14:textId="5177B53C"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N</w:t>
            </w:r>
            <w:r w:rsidR="001F3E67" w:rsidRPr="00992AE0">
              <w:rPr>
                <w:rFonts w:eastAsia="Times New Roman" w:cstheme="minorHAnsi"/>
                <w:color w:val="000000"/>
                <w:sz w:val="18"/>
                <w:szCs w:val="18"/>
                <w:lang w:val="en-GB"/>
              </w:rPr>
              <w:t>extera</w:t>
            </w:r>
          </w:p>
        </w:tc>
        <w:tc>
          <w:tcPr>
            <w:tcW w:w="526" w:type="dxa"/>
            <w:tcBorders>
              <w:top w:val="nil"/>
              <w:left w:val="nil"/>
              <w:bottom w:val="single" w:sz="4" w:space="0" w:color="auto"/>
              <w:right w:val="nil"/>
            </w:tcBorders>
            <w:shd w:val="clear" w:color="auto" w:fill="auto"/>
            <w:noWrap/>
            <w:vAlign w:val="bottom"/>
            <w:hideMark/>
          </w:tcPr>
          <w:p w14:paraId="516C6F63"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MAF, %</w:t>
            </w:r>
          </w:p>
        </w:tc>
        <w:tc>
          <w:tcPr>
            <w:tcW w:w="1175" w:type="dxa"/>
            <w:tcBorders>
              <w:top w:val="nil"/>
              <w:left w:val="nil"/>
              <w:bottom w:val="single" w:sz="4" w:space="0" w:color="auto"/>
              <w:right w:val="nil"/>
            </w:tcBorders>
            <w:shd w:val="clear" w:color="auto" w:fill="auto"/>
            <w:noWrap/>
            <w:vAlign w:val="bottom"/>
            <w:hideMark/>
          </w:tcPr>
          <w:p w14:paraId="47FA134A" w14:textId="78709DF4"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fast</w:t>
            </w:r>
          </w:p>
        </w:tc>
        <w:tc>
          <w:tcPr>
            <w:tcW w:w="567" w:type="dxa"/>
            <w:tcBorders>
              <w:top w:val="nil"/>
              <w:left w:val="nil"/>
              <w:bottom w:val="single" w:sz="4" w:space="0" w:color="auto"/>
              <w:right w:val="nil"/>
            </w:tcBorders>
            <w:shd w:val="clear" w:color="auto" w:fill="auto"/>
            <w:noWrap/>
            <w:vAlign w:val="bottom"/>
            <w:hideMark/>
          </w:tcPr>
          <w:p w14:paraId="5FC2CE0E"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MAF, %</w:t>
            </w:r>
          </w:p>
        </w:tc>
      </w:tr>
      <w:tr w:rsidR="00992AE0" w:rsidRPr="00992AE0" w14:paraId="51FFD6D3" w14:textId="77777777" w:rsidTr="00992AE0">
        <w:trPr>
          <w:trHeight w:val="282"/>
        </w:trPr>
        <w:tc>
          <w:tcPr>
            <w:tcW w:w="426" w:type="dxa"/>
            <w:tcBorders>
              <w:top w:val="nil"/>
              <w:left w:val="nil"/>
              <w:bottom w:val="nil"/>
              <w:right w:val="nil"/>
            </w:tcBorders>
            <w:shd w:val="clear" w:color="auto" w:fill="auto"/>
            <w:noWrap/>
            <w:vAlign w:val="bottom"/>
            <w:hideMark/>
          </w:tcPr>
          <w:p w14:paraId="5D9F263B"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w:t>
            </w:r>
          </w:p>
        </w:tc>
        <w:tc>
          <w:tcPr>
            <w:tcW w:w="421" w:type="dxa"/>
            <w:tcBorders>
              <w:top w:val="nil"/>
              <w:left w:val="nil"/>
              <w:bottom w:val="nil"/>
              <w:right w:val="nil"/>
            </w:tcBorders>
            <w:shd w:val="clear" w:color="auto" w:fill="auto"/>
            <w:noWrap/>
            <w:vAlign w:val="bottom"/>
            <w:hideMark/>
          </w:tcPr>
          <w:p w14:paraId="3D8A900F"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53</w:t>
            </w:r>
          </w:p>
        </w:tc>
        <w:tc>
          <w:tcPr>
            <w:tcW w:w="571" w:type="dxa"/>
            <w:tcBorders>
              <w:top w:val="nil"/>
              <w:left w:val="nil"/>
              <w:bottom w:val="nil"/>
              <w:right w:val="nil"/>
            </w:tcBorders>
            <w:shd w:val="clear" w:color="auto" w:fill="auto"/>
            <w:noWrap/>
            <w:vAlign w:val="bottom"/>
            <w:hideMark/>
          </w:tcPr>
          <w:p w14:paraId="07C55523"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Ž</w:t>
            </w:r>
          </w:p>
        </w:tc>
        <w:tc>
          <w:tcPr>
            <w:tcW w:w="601" w:type="dxa"/>
            <w:tcBorders>
              <w:top w:val="nil"/>
              <w:left w:val="nil"/>
              <w:bottom w:val="nil"/>
              <w:right w:val="nil"/>
            </w:tcBorders>
            <w:shd w:val="clear" w:color="auto" w:fill="auto"/>
            <w:noWrap/>
            <w:vAlign w:val="bottom"/>
            <w:hideMark/>
          </w:tcPr>
          <w:p w14:paraId="385FD058" w14:textId="2D111A2B"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P</w:t>
            </w:r>
          </w:p>
        </w:tc>
        <w:tc>
          <w:tcPr>
            <w:tcW w:w="826" w:type="dxa"/>
            <w:tcBorders>
              <w:top w:val="nil"/>
              <w:left w:val="nil"/>
              <w:bottom w:val="nil"/>
              <w:right w:val="nil"/>
            </w:tcBorders>
            <w:shd w:val="clear" w:color="auto" w:fill="auto"/>
            <w:noWrap/>
            <w:vAlign w:val="bottom"/>
            <w:hideMark/>
          </w:tcPr>
          <w:p w14:paraId="4EC89563" w14:textId="50C39CD6"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0017D381" w14:textId="15E1BB43"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anaplastic</w:t>
            </w:r>
            <w:r w:rsidR="001B218E" w:rsidRPr="00992AE0">
              <w:rPr>
                <w:rFonts w:eastAsia="Times New Roman" w:cstheme="minorHAnsi"/>
                <w:color w:val="000000"/>
                <w:sz w:val="18"/>
                <w:szCs w:val="18"/>
                <w:lang w:val="en-GB"/>
              </w:rPr>
              <w:t>ký</w:t>
            </w:r>
            <w:r w:rsidRPr="00992AE0">
              <w:rPr>
                <w:rFonts w:eastAsia="Times New Roman" w:cstheme="minorHAnsi"/>
                <w:color w:val="000000"/>
                <w:sz w:val="18"/>
                <w:szCs w:val="18"/>
                <w:lang w:val="en-GB"/>
              </w:rPr>
              <w:t xml:space="preserve"> oligodendrogliom</w:t>
            </w:r>
          </w:p>
        </w:tc>
        <w:tc>
          <w:tcPr>
            <w:tcW w:w="567" w:type="dxa"/>
            <w:tcBorders>
              <w:top w:val="nil"/>
              <w:left w:val="nil"/>
              <w:bottom w:val="nil"/>
              <w:right w:val="nil"/>
            </w:tcBorders>
            <w:shd w:val="clear" w:color="auto" w:fill="auto"/>
            <w:noWrap/>
            <w:vAlign w:val="bottom"/>
            <w:hideMark/>
          </w:tcPr>
          <w:p w14:paraId="2D19BBDB"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III</w:t>
            </w:r>
          </w:p>
        </w:tc>
        <w:tc>
          <w:tcPr>
            <w:tcW w:w="1134" w:type="dxa"/>
            <w:tcBorders>
              <w:top w:val="nil"/>
              <w:left w:val="nil"/>
              <w:bottom w:val="nil"/>
              <w:right w:val="nil"/>
            </w:tcBorders>
            <w:shd w:val="clear" w:color="auto" w:fill="auto"/>
            <w:noWrap/>
            <w:vAlign w:val="bottom"/>
            <w:hideMark/>
          </w:tcPr>
          <w:p w14:paraId="4F4878AE"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IDH2 R172K</w:t>
            </w:r>
          </w:p>
        </w:tc>
        <w:tc>
          <w:tcPr>
            <w:tcW w:w="526" w:type="dxa"/>
            <w:tcBorders>
              <w:top w:val="nil"/>
              <w:left w:val="nil"/>
              <w:bottom w:val="nil"/>
              <w:right w:val="nil"/>
            </w:tcBorders>
            <w:shd w:val="clear" w:color="auto" w:fill="auto"/>
            <w:noWrap/>
            <w:vAlign w:val="bottom"/>
            <w:hideMark/>
          </w:tcPr>
          <w:p w14:paraId="2A4A9490"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56</w:t>
            </w:r>
          </w:p>
        </w:tc>
        <w:tc>
          <w:tcPr>
            <w:tcW w:w="1175" w:type="dxa"/>
            <w:tcBorders>
              <w:top w:val="nil"/>
              <w:left w:val="nil"/>
              <w:bottom w:val="nil"/>
              <w:right w:val="nil"/>
            </w:tcBorders>
            <w:shd w:val="clear" w:color="auto" w:fill="auto"/>
            <w:noWrap/>
            <w:vAlign w:val="bottom"/>
            <w:hideMark/>
          </w:tcPr>
          <w:p w14:paraId="0A321AA1"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IDH2 R172K</w:t>
            </w:r>
          </w:p>
        </w:tc>
        <w:tc>
          <w:tcPr>
            <w:tcW w:w="567" w:type="dxa"/>
            <w:tcBorders>
              <w:top w:val="nil"/>
              <w:left w:val="nil"/>
              <w:bottom w:val="nil"/>
              <w:right w:val="nil"/>
            </w:tcBorders>
            <w:shd w:val="clear" w:color="auto" w:fill="auto"/>
            <w:noWrap/>
            <w:vAlign w:val="bottom"/>
            <w:hideMark/>
          </w:tcPr>
          <w:p w14:paraId="3F343C73"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48</w:t>
            </w:r>
          </w:p>
        </w:tc>
      </w:tr>
      <w:tr w:rsidR="00992AE0" w:rsidRPr="00992AE0" w14:paraId="6F28F184" w14:textId="77777777" w:rsidTr="00992AE0">
        <w:trPr>
          <w:trHeight w:val="282"/>
        </w:trPr>
        <w:tc>
          <w:tcPr>
            <w:tcW w:w="426" w:type="dxa"/>
            <w:tcBorders>
              <w:top w:val="nil"/>
              <w:left w:val="nil"/>
              <w:bottom w:val="nil"/>
              <w:right w:val="nil"/>
            </w:tcBorders>
            <w:shd w:val="clear" w:color="auto" w:fill="auto"/>
            <w:noWrap/>
            <w:vAlign w:val="bottom"/>
            <w:hideMark/>
          </w:tcPr>
          <w:p w14:paraId="5EE14EB1"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2</w:t>
            </w:r>
          </w:p>
        </w:tc>
        <w:tc>
          <w:tcPr>
            <w:tcW w:w="421" w:type="dxa"/>
            <w:tcBorders>
              <w:top w:val="nil"/>
              <w:left w:val="nil"/>
              <w:bottom w:val="nil"/>
              <w:right w:val="nil"/>
            </w:tcBorders>
            <w:shd w:val="clear" w:color="auto" w:fill="auto"/>
            <w:noWrap/>
            <w:vAlign w:val="bottom"/>
            <w:hideMark/>
          </w:tcPr>
          <w:p w14:paraId="0494C7AD"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30</w:t>
            </w:r>
          </w:p>
        </w:tc>
        <w:tc>
          <w:tcPr>
            <w:tcW w:w="571" w:type="dxa"/>
            <w:tcBorders>
              <w:top w:val="nil"/>
              <w:left w:val="nil"/>
              <w:bottom w:val="nil"/>
              <w:right w:val="nil"/>
            </w:tcBorders>
            <w:shd w:val="clear" w:color="auto" w:fill="auto"/>
            <w:noWrap/>
            <w:vAlign w:val="bottom"/>
            <w:hideMark/>
          </w:tcPr>
          <w:p w14:paraId="5ABCF67D"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w:t>
            </w:r>
          </w:p>
        </w:tc>
        <w:tc>
          <w:tcPr>
            <w:tcW w:w="601" w:type="dxa"/>
            <w:tcBorders>
              <w:top w:val="nil"/>
              <w:left w:val="nil"/>
              <w:bottom w:val="nil"/>
              <w:right w:val="nil"/>
            </w:tcBorders>
            <w:shd w:val="clear" w:color="auto" w:fill="auto"/>
            <w:noWrap/>
            <w:vAlign w:val="bottom"/>
            <w:hideMark/>
          </w:tcPr>
          <w:p w14:paraId="1E48ED8F" w14:textId="0086383A"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L</w:t>
            </w:r>
          </w:p>
        </w:tc>
        <w:tc>
          <w:tcPr>
            <w:tcW w:w="826" w:type="dxa"/>
            <w:tcBorders>
              <w:top w:val="nil"/>
              <w:left w:val="nil"/>
              <w:bottom w:val="nil"/>
              <w:right w:val="nil"/>
            </w:tcBorders>
            <w:shd w:val="clear" w:color="auto" w:fill="auto"/>
            <w:noWrap/>
            <w:vAlign w:val="bottom"/>
            <w:hideMark/>
          </w:tcPr>
          <w:p w14:paraId="6ECE39C0" w14:textId="21078F43"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788A5A6E" w14:textId="6EA56DEB"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difu</w:t>
            </w:r>
            <w:r w:rsidR="001B218E" w:rsidRPr="00992AE0">
              <w:rPr>
                <w:rFonts w:eastAsia="Times New Roman" w:cstheme="minorHAnsi"/>
                <w:color w:val="000000"/>
                <w:sz w:val="18"/>
                <w:szCs w:val="18"/>
                <w:lang w:val="en-GB"/>
              </w:rPr>
              <w:t>zní</w:t>
            </w:r>
            <w:r w:rsidRPr="00992AE0">
              <w:rPr>
                <w:rFonts w:eastAsia="Times New Roman" w:cstheme="minorHAnsi"/>
                <w:color w:val="000000"/>
                <w:sz w:val="18"/>
                <w:szCs w:val="18"/>
                <w:lang w:val="en-GB"/>
              </w:rPr>
              <w:t xml:space="preserve"> (fibril</w:t>
            </w:r>
            <w:r w:rsidR="001B218E" w:rsidRPr="00992AE0">
              <w:rPr>
                <w:rFonts w:eastAsia="Times New Roman" w:cstheme="minorHAnsi"/>
                <w:color w:val="000000"/>
                <w:sz w:val="18"/>
                <w:szCs w:val="18"/>
                <w:lang w:val="en-GB"/>
              </w:rPr>
              <w:t>ární</w:t>
            </w:r>
            <w:r w:rsidRPr="00992AE0">
              <w:rPr>
                <w:rFonts w:eastAsia="Times New Roman" w:cstheme="minorHAnsi"/>
                <w:color w:val="000000"/>
                <w:sz w:val="18"/>
                <w:szCs w:val="18"/>
                <w:lang w:val="en-GB"/>
              </w:rPr>
              <w:t>) astrocytom</w:t>
            </w:r>
          </w:p>
        </w:tc>
        <w:tc>
          <w:tcPr>
            <w:tcW w:w="567" w:type="dxa"/>
            <w:tcBorders>
              <w:top w:val="nil"/>
              <w:left w:val="nil"/>
              <w:bottom w:val="nil"/>
              <w:right w:val="nil"/>
            </w:tcBorders>
            <w:shd w:val="clear" w:color="auto" w:fill="auto"/>
            <w:noWrap/>
            <w:vAlign w:val="bottom"/>
            <w:hideMark/>
          </w:tcPr>
          <w:p w14:paraId="6EBC2C83"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w:t>
            </w:r>
          </w:p>
        </w:tc>
        <w:tc>
          <w:tcPr>
            <w:tcW w:w="1134" w:type="dxa"/>
            <w:tcBorders>
              <w:top w:val="nil"/>
              <w:left w:val="nil"/>
              <w:bottom w:val="nil"/>
              <w:right w:val="nil"/>
            </w:tcBorders>
            <w:shd w:val="clear" w:color="auto" w:fill="auto"/>
            <w:noWrap/>
            <w:vAlign w:val="bottom"/>
            <w:hideMark/>
          </w:tcPr>
          <w:p w14:paraId="440495DA"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IDH2 R172M</w:t>
            </w:r>
          </w:p>
        </w:tc>
        <w:tc>
          <w:tcPr>
            <w:tcW w:w="526" w:type="dxa"/>
            <w:tcBorders>
              <w:top w:val="nil"/>
              <w:left w:val="nil"/>
              <w:bottom w:val="nil"/>
              <w:right w:val="nil"/>
            </w:tcBorders>
            <w:shd w:val="clear" w:color="auto" w:fill="auto"/>
            <w:noWrap/>
            <w:vAlign w:val="bottom"/>
            <w:hideMark/>
          </w:tcPr>
          <w:p w14:paraId="7EF59433"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59</w:t>
            </w:r>
          </w:p>
        </w:tc>
        <w:tc>
          <w:tcPr>
            <w:tcW w:w="1175" w:type="dxa"/>
            <w:tcBorders>
              <w:top w:val="nil"/>
              <w:left w:val="nil"/>
              <w:bottom w:val="nil"/>
              <w:right w:val="nil"/>
            </w:tcBorders>
            <w:shd w:val="clear" w:color="auto" w:fill="auto"/>
            <w:noWrap/>
            <w:vAlign w:val="bottom"/>
            <w:hideMark/>
          </w:tcPr>
          <w:p w14:paraId="2E4357B9"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IDH2 R172M</w:t>
            </w:r>
          </w:p>
        </w:tc>
        <w:tc>
          <w:tcPr>
            <w:tcW w:w="567" w:type="dxa"/>
            <w:tcBorders>
              <w:top w:val="nil"/>
              <w:left w:val="nil"/>
              <w:bottom w:val="nil"/>
              <w:right w:val="nil"/>
            </w:tcBorders>
            <w:shd w:val="clear" w:color="auto" w:fill="auto"/>
            <w:noWrap/>
            <w:vAlign w:val="bottom"/>
            <w:hideMark/>
          </w:tcPr>
          <w:p w14:paraId="68891CF6"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46</w:t>
            </w:r>
          </w:p>
        </w:tc>
      </w:tr>
      <w:tr w:rsidR="00992AE0" w:rsidRPr="00992AE0" w14:paraId="113B44F3" w14:textId="77777777" w:rsidTr="00992AE0">
        <w:trPr>
          <w:trHeight w:val="282"/>
        </w:trPr>
        <w:tc>
          <w:tcPr>
            <w:tcW w:w="426" w:type="dxa"/>
            <w:tcBorders>
              <w:top w:val="nil"/>
              <w:left w:val="nil"/>
              <w:bottom w:val="nil"/>
              <w:right w:val="nil"/>
            </w:tcBorders>
            <w:shd w:val="clear" w:color="auto" w:fill="auto"/>
            <w:noWrap/>
            <w:vAlign w:val="bottom"/>
            <w:hideMark/>
          </w:tcPr>
          <w:p w14:paraId="10C6413A"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w:t>
            </w:r>
          </w:p>
        </w:tc>
        <w:tc>
          <w:tcPr>
            <w:tcW w:w="421" w:type="dxa"/>
            <w:tcBorders>
              <w:top w:val="nil"/>
              <w:left w:val="nil"/>
              <w:bottom w:val="nil"/>
              <w:right w:val="nil"/>
            </w:tcBorders>
            <w:shd w:val="clear" w:color="auto" w:fill="auto"/>
            <w:noWrap/>
            <w:vAlign w:val="bottom"/>
            <w:hideMark/>
          </w:tcPr>
          <w:p w14:paraId="20C113AE"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32</w:t>
            </w:r>
          </w:p>
        </w:tc>
        <w:tc>
          <w:tcPr>
            <w:tcW w:w="571" w:type="dxa"/>
            <w:tcBorders>
              <w:top w:val="nil"/>
              <w:left w:val="nil"/>
              <w:bottom w:val="nil"/>
              <w:right w:val="nil"/>
            </w:tcBorders>
            <w:shd w:val="clear" w:color="auto" w:fill="auto"/>
            <w:noWrap/>
            <w:vAlign w:val="bottom"/>
            <w:hideMark/>
          </w:tcPr>
          <w:p w14:paraId="2A1CCA3C"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w:t>
            </w:r>
          </w:p>
        </w:tc>
        <w:tc>
          <w:tcPr>
            <w:tcW w:w="601" w:type="dxa"/>
            <w:tcBorders>
              <w:top w:val="nil"/>
              <w:left w:val="nil"/>
              <w:bottom w:val="nil"/>
              <w:right w:val="nil"/>
            </w:tcBorders>
            <w:shd w:val="clear" w:color="auto" w:fill="auto"/>
            <w:noWrap/>
            <w:vAlign w:val="bottom"/>
            <w:hideMark/>
          </w:tcPr>
          <w:p w14:paraId="2D873956" w14:textId="690006F1"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L</w:t>
            </w:r>
          </w:p>
        </w:tc>
        <w:tc>
          <w:tcPr>
            <w:tcW w:w="826" w:type="dxa"/>
            <w:tcBorders>
              <w:top w:val="nil"/>
              <w:left w:val="nil"/>
              <w:bottom w:val="nil"/>
              <w:right w:val="nil"/>
            </w:tcBorders>
            <w:shd w:val="clear" w:color="auto" w:fill="auto"/>
            <w:noWrap/>
            <w:vAlign w:val="bottom"/>
            <w:hideMark/>
          </w:tcPr>
          <w:p w14:paraId="37AF7468" w14:textId="0BFB5A2E"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61117D4A" w14:textId="29F9C91F"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dif</w:t>
            </w:r>
            <w:r w:rsidR="001B218E" w:rsidRPr="00992AE0">
              <w:rPr>
                <w:rFonts w:eastAsia="Times New Roman" w:cstheme="minorHAnsi"/>
                <w:color w:val="000000"/>
                <w:sz w:val="18"/>
                <w:szCs w:val="18"/>
                <w:lang w:val="en-GB"/>
              </w:rPr>
              <w:t>uzní</w:t>
            </w:r>
            <w:r w:rsidRPr="00992AE0">
              <w:rPr>
                <w:rFonts w:eastAsia="Times New Roman" w:cstheme="minorHAnsi"/>
                <w:color w:val="000000"/>
                <w:sz w:val="18"/>
                <w:szCs w:val="18"/>
                <w:lang w:val="en-GB"/>
              </w:rPr>
              <w:t xml:space="preserve"> (fibril</w:t>
            </w:r>
            <w:r w:rsidR="001B218E" w:rsidRPr="00992AE0">
              <w:rPr>
                <w:rFonts w:eastAsia="Times New Roman" w:cstheme="minorHAnsi"/>
                <w:color w:val="000000"/>
                <w:sz w:val="18"/>
                <w:szCs w:val="18"/>
                <w:lang w:val="en-GB"/>
              </w:rPr>
              <w:t>ární</w:t>
            </w:r>
            <w:r w:rsidRPr="00992AE0">
              <w:rPr>
                <w:rFonts w:eastAsia="Times New Roman" w:cstheme="minorHAnsi"/>
                <w:color w:val="000000"/>
                <w:sz w:val="18"/>
                <w:szCs w:val="18"/>
                <w:lang w:val="en-GB"/>
              </w:rPr>
              <w:t>) astrocytom</w:t>
            </w:r>
          </w:p>
        </w:tc>
        <w:tc>
          <w:tcPr>
            <w:tcW w:w="567" w:type="dxa"/>
            <w:tcBorders>
              <w:top w:val="nil"/>
              <w:left w:val="nil"/>
              <w:bottom w:val="nil"/>
              <w:right w:val="nil"/>
            </w:tcBorders>
            <w:shd w:val="clear" w:color="auto" w:fill="auto"/>
            <w:noWrap/>
            <w:vAlign w:val="bottom"/>
            <w:hideMark/>
          </w:tcPr>
          <w:p w14:paraId="770072F8"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w:t>
            </w:r>
          </w:p>
        </w:tc>
        <w:tc>
          <w:tcPr>
            <w:tcW w:w="1134" w:type="dxa"/>
            <w:tcBorders>
              <w:top w:val="nil"/>
              <w:left w:val="nil"/>
              <w:bottom w:val="nil"/>
              <w:right w:val="nil"/>
            </w:tcBorders>
            <w:shd w:val="clear" w:color="auto" w:fill="auto"/>
            <w:noWrap/>
            <w:vAlign w:val="bottom"/>
            <w:hideMark/>
          </w:tcPr>
          <w:p w14:paraId="6747944B"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R132C</w:t>
            </w:r>
          </w:p>
        </w:tc>
        <w:tc>
          <w:tcPr>
            <w:tcW w:w="526" w:type="dxa"/>
            <w:tcBorders>
              <w:top w:val="nil"/>
              <w:left w:val="nil"/>
              <w:bottom w:val="nil"/>
              <w:right w:val="nil"/>
            </w:tcBorders>
            <w:shd w:val="clear" w:color="auto" w:fill="auto"/>
            <w:noWrap/>
            <w:vAlign w:val="bottom"/>
            <w:hideMark/>
          </w:tcPr>
          <w:p w14:paraId="4010F95B"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14</w:t>
            </w:r>
          </w:p>
        </w:tc>
        <w:tc>
          <w:tcPr>
            <w:tcW w:w="1175" w:type="dxa"/>
            <w:tcBorders>
              <w:top w:val="nil"/>
              <w:left w:val="nil"/>
              <w:bottom w:val="nil"/>
              <w:right w:val="nil"/>
            </w:tcBorders>
            <w:shd w:val="clear" w:color="auto" w:fill="auto"/>
            <w:noWrap/>
            <w:vAlign w:val="bottom"/>
            <w:hideMark/>
          </w:tcPr>
          <w:p w14:paraId="663AF86A"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R132C</w:t>
            </w:r>
          </w:p>
        </w:tc>
        <w:tc>
          <w:tcPr>
            <w:tcW w:w="567" w:type="dxa"/>
            <w:tcBorders>
              <w:top w:val="nil"/>
              <w:left w:val="nil"/>
              <w:bottom w:val="nil"/>
              <w:right w:val="nil"/>
            </w:tcBorders>
            <w:shd w:val="clear" w:color="auto" w:fill="auto"/>
            <w:noWrap/>
            <w:vAlign w:val="bottom"/>
            <w:hideMark/>
          </w:tcPr>
          <w:p w14:paraId="7F58EAF9"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13</w:t>
            </w:r>
          </w:p>
        </w:tc>
      </w:tr>
      <w:tr w:rsidR="00992AE0" w:rsidRPr="00992AE0" w14:paraId="4DA75814" w14:textId="77777777" w:rsidTr="00992AE0">
        <w:trPr>
          <w:trHeight w:val="282"/>
        </w:trPr>
        <w:tc>
          <w:tcPr>
            <w:tcW w:w="426" w:type="dxa"/>
            <w:tcBorders>
              <w:top w:val="nil"/>
              <w:left w:val="nil"/>
              <w:bottom w:val="nil"/>
              <w:right w:val="nil"/>
            </w:tcBorders>
            <w:shd w:val="clear" w:color="auto" w:fill="auto"/>
            <w:noWrap/>
            <w:vAlign w:val="bottom"/>
            <w:hideMark/>
          </w:tcPr>
          <w:p w14:paraId="29D0E6BC"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4</w:t>
            </w:r>
          </w:p>
        </w:tc>
        <w:tc>
          <w:tcPr>
            <w:tcW w:w="421" w:type="dxa"/>
            <w:tcBorders>
              <w:top w:val="nil"/>
              <w:left w:val="nil"/>
              <w:bottom w:val="nil"/>
              <w:right w:val="nil"/>
            </w:tcBorders>
            <w:shd w:val="clear" w:color="auto" w:fill="auto"/>
            <w:noWrap/>
            <w:vAlign w:val="bottom"/>
            <w:hideMark/>
          </w:tcPr>
          <w:p w14:paraId="4E308693"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33</w:t>
            </w:r>
          </w:p>
        </w:tc>
        <w:tc>
          <w:tcPr>
            <w:tcW w:w="571" w:type="dxa"/>
            <w:tcBorders>
              <w:top w:val="nil"/>
              <w:left w:val="nil"/>
              <w:bottom w:val="nil"/>
              <w:right w:val="nil"/>
            </w:tcBorders>
            <w:shd w:val="clear" w:color="auto" w:fill="auto"/>
            <w:noWrap/>
            <w:vAlign w:val="bottom"/>
            <w:hideMark/>
          </w:tcPr>
          <w:p w14:paraId="36A78BCC"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Ž</w:t>
            </w:r>
          </w:p>
        </w:tc>
        <w:tc>
          <w:tcPr>
            <w:tcW w:w="601" w:type="dxa"/>
            <w:tcBorders>
              <w:top w:val="nil"/>
              <w:left w:val="nil"/>
              <w:bottom w:val="nil"/>
              <w:right w:val="nil"/>
            </w:tcBorders>
            <w:shd w:val="clear" w:color="auto" w:fill="auto"/>
            <w:noWrap/>
            <w:vAlign w:val="bottom"/>
            <w:hideMark/>
          </w:tcPr>
          <w:p w14:paraId="54AAD525" w14:textId="4EC8FE61"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L</w:t>
            </w:r>
          </w:p>
        </w:tc>
        <w:tc>
          <w:tcPr>
            <w:tcW w:w="826" w:type="dxa"/>
            <w:tcBorders>
              <w:top w:val="nil"/>
              <w:left w:val="nil"/>
              <w:bottom w:val="nil"/>
              <w:right w:val="nil"/>
            </w:tcBorders>
            <w:shd w:val="clear" w:color="auto" w:fill="auto"/>
            <w:noWrap/>
            <w:vAlign w:val="bottom"/>
            <w:hideMark/>
          </w:tcPr>
          <w:p w14:paraId="38BFC395" w14:textId="7B3D11B5"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2FBF0E7C" w14:textId="11ED0DBD"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anaplastic</w:t>
            </w:r>
            <w:r w:rsidR="001B218E" w:rsidRPr="00992AE0">
              <w:rPr>
                <w:rFonts w:eastAsia="Times New Roman" w:cstheme="minorHAnsi"/>
                <w:color w:val="000000"/>
                <w:sz w:val="18"/>
                <w:szCs w:val="18"/>
                <w:lang w:val="en-GB"/>
              </w:rPr>
              <w:t>ký</w:t>
            </w:r>
            <w:r w:rsidRPr="00992AE0">
              <w:rPr>
                <w:rFonts w:eastAsia="Times New Roman" w:cstheme="minorHAnsi"/>
                <w:color w:val="000000"/>
                <w:sz w:val="18"/>
                <w:szCs w:val="18"/>
                <w:lang w:val="en-GB"/>
              </w:rPr>
              <w:t xml:space="preserve"> astrocytom</w:t>
            </w:r>
          </w:p>
        </w:tc>
        <w:tc>
          <w:tcPr>
            <w:tcW w:w="567" w:type="dxa"/>
            <w:tcBorders>
              <w:top w:val="nil"/>
              <w:left w:val="nil"/>
              <w:bottom w:val="nil"/>
              <w:right w:val="nil"/>
            </w:tcBorders>
            <w:shd w:val="clear" w:color="auto" w:fill="auto"/>
            <w:noWrap/>
            <w:vAlign w:val="bottom"/>
            <w:hideMark/>
          </w:tcPr>
          <w:p w14:paraId="4F9B7F57"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III</w:t>
            </w:r>
          </w:p>
        </w:tc>
        <w:tc>
          <w:tcPr>
            <w:tcW w:w="1134" w:type="dxa"/>
            <w:tcBorders>
              <w:top w:val="nil"/>
              <w:left w:val="nil"/>
              <w:bottom w:val="nil"/>
              <w:right w:val="nil"/>
            </w:tcBorders>
            <w:shd w:val="clear" w:color="auto" w:fill="auto"/>
            <w:noWrap/>
            <w:vAlign w:val="bottom"/>
            <w:hideMark/>
          </w:tcPr>
          <w:p w14:paraId="1B7113B6"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R132C</w:t>
            </w:r>
          </w:p>
        </w:tc>
        <w:tc>
          <w:tcPr>
            <w:tcW w:w="526" w:type="dxa"/>
            <w:tcBorders>
              <w:top w:val="nil"/>
              <w:left w:val="nil"/>
              <w:bottom w:val="nil"/>
              <w:right w:val="nil"/>
            </w:tcBorders>
            <w:shd w:val="clear" w:color="auto" w:fill="auto"/>
            <w:noWrap/>
            <w:vAlign w:val="bottom"/>
            <w:hideMark/>
          </w:tcPr>
          <w:p w14:paraId="5C0DDE32"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64</w:t>
            </w:r>
          </w:p>
        </w:tc>
        <w:tc>
          <w:tcPr>
            <w:tcW w:w="1175" w:type="dxa"/>
            <w:tcBorders>
              <w:top w:val="nil"/>
              <w:left w:val="nil"/>
              <w:bottom w:val="nil"/>
              <w:right w:val="nil"/>
            </w:tcBorders>
            <w:shd w:val="clear" w:color="auto" w:fill="auto"/>
            <w:noWrap/>
            <w:vAlign w:val="bottom"/>
            <w:hideMark/>
          </w:tcPr>
          <w:p w14:paraId="1B11FD08"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R132C</w:t>
            </w:r>
          </w:p>
        </w:tc>
        <w:tc>
          <w:tcPr>
            <w:tcW w:w="567" w:type="dxa"/>
            <w:tcBorders>
              <w:top w:val="nil"/>
              <w:left w:val="nil"/>
              <w:bottom w:val="nil"/>
              <w:right w:val="nil"/>
            </w:tcBorders>
            <w:shd w:val="clear" w:color="auto" w:fill="auto"/>
            <w:noWrap/>
            <w:vAlign w:val="bottom"/>
            <w:hideMark/>
          </w:tcPr>
          <w:p w14:paraId="1C24DFB8"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48</w:t>
            </w:r>
          </w:p>
        </w:tc>
      </w:tr>
      <w:tr w:rsidR="00992AE0" w:rsidRPr="00992AE0" w14:paraId="79214699" w14:textId="77777777" w:rsidTr="00992AE0">
        <w:trPr>
          <w:trHeight w:val="282"/>
        </w:trPr>
        <w:tc>
          <w:tcPr>
            <w:tcW w:w="426" w:type="dxa"/>
            <w:tcBorders>
              <w:top w:val="nil"/>
              <w:left w:val="nil"/>
              <w:bottom w:val="nil"/>
              <w:right w:val="nil"/>
            </w:tcBorders>
            <w:shd w:val="clear" w:color="auto" w:fill="auto"/>
            <w:noWrap/>
            <w:vAlign w:val="bottom"/>
            <w:hideMark/>
          </w:tcPr>
          <w:p w14:paraId="27EAE6FC"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5</w:t>
            </w:r>
          </w:p>
        </w:tc>
        <w:tc>
          <w:tcPr>
            <w:tcW w:w="421" w:type="dxa"/>
            <w:tcBorders>
              <w:top w:val="nil"/>
              <w:left w:val="nil"/>
              <w:bottom w:val="nil"/>
              <w:right w:val="nil"/>
            </w:tcBorders>
            <w:shd w:val="clear" w:color="auto" w:fill="auto"/>
            <w:noWrap/>
            <w:vAlign w:val="bottom"/>
            <w:hideMark/>
          </w:tcPr>
          <w:p w14:paraId="79AC24B7"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33</w:t>
            </w:r>
          </w:p>
        </w:tc>
        <w:tc>
          <w:tcPr>
            <w:tcW w:w="571" w:type="dxa"/>
            <w:tcBorders>
              <w:top w:val="nil"/>
              <w:left w:val="nil"/>
              <w:bottom w:val="nil"/>
              <w:right w:val="nil"/>
            </w:tcBorders>
            <w:shd w:val="clear" w:color="auto" w:fill="auto"/>
            <w:noWrap/>
            <w:vAlign w:val="bottom"/>
            <w:hideMark/>
          </w:tcPr>
          <w:p w14:paraId="5C097225"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Ž</w:t>
            </w:r>
          </w:p>
        </w:tc>
        <w:tc>
          <w:tcPr>
            <w:tcW w:w="601" w:type="dxa"/>
            <w:tcBorders>
              <w:top w:val="nil"/>
              <w:left w:val="nil"/>
              <w:bottom w:val="nil"/>
              <w:right w:val="nil"/>
            </w:tcBorders>
            <w:shd w:val="clear" w:color="auto" w:fill="auto"/>
            <w:noWrap/>
            <w:vAlign w:val="bottom"/>
            <w:hideMark/>
          </w:tcPr>
          <w:p w14:paraId="716CE468" w14:textId="39D91F79"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L</w:t>
            </w:r>
          </w:p>
        </w:tc>
        <w:tc>
          <w:tcPr>
            <w:tcW w:w="826" w:type="dxa"/>
            <w:tcBorders>
              <w:top w:val="nil"/>
              <w:left w:val="nil"/>
              <w:bottom w:val="nil"/>
              <w:right w:val="nil"/>
            </w:tcBorders>
            <w:shd w:val="clear" w:color="auto" w:fill="auto"/>
            <w:noWrap/>
            <w:vAlign w:val="bottom"/>
            <w:hideMark/>
          </w:tcPr>
          <w:p w14:paraId="79836A5B" w14:textId="74262D06"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41941993" w14:textId="11EFD611"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dif</w:t>
            </w:r>
            <w:r w:rsidR="001B218E" w:rsidRPr="00992AE0">
              <w:rPr>
                <w:rFonts w:eastAsia="Times New Roman" w:cstheme="minorHAnsi"/>
                <w:color w:val="000000"/>
                <w:sz w:val="18"/>
                <w:szCs w:val="18"/>
                <w:lang w:val="en-GB"/>
              </w:rPr>
              <w:t>uzní</w:t>
            </w:r>
            <w:r w:rsidRPr="00992AE0">
              <w:rPr>
                <w:rFonts w:eastAsia="Times New Roman" w:cstheme="minorHAnsi"/>
                <w:color w:val="000000"/>
                <w:sz w:val="18"/>
                <w:szCs w:val="18"/>
                <w:lang w:val="en-GB"/>
              </w:rPr>
              <w:t xml:space="preserve"> (fibril</w:t>
            </w:r>
            <w:r w:rsidR="001B218E" w:rsidRPr="00992AE0">
              <w:rPr>
                <w:rFonts w:eastAsia="Times New Roman" w:cstheme="minorHAnsi"/>
                <w:color w:val="000000"/>
                <w:sz w:val="18"/>
                <w:szCs w:val="18"/>
                <w:lang w:val="en-GB"/>
              </w:rPr>
              <w:t>ární</w:t>
            </w:r>
            <w:r w:rsidRPr="00992AE0">
              <w:rPr>
                <w:rFonts w:eastAsia="Times New Roman" w:cstheme="minorHAnsi"/>
                <w:color w:val="000000"/>
                <w:sz w:val="18"/>
                <w:szCs w:val="18"/>
                <w:lang w:val="en-GB"/>
              </w:rPr>
              <w:t>) astrocytom</w:t>
            </w:r>
          </w:p>
        </w:tc>
        <w:tc>
          <w:tcPr>
            <w:tcW w:w="567" w:type="dxa"/>
            <w:tcBorders>
              <w:top w:val="nil"/>
              <w:left w:val="nil"/>
              <w:bottom w:val="nil"/>
              <w:right w:val="nil"/>
            </w:tcBorders>
            <w:shd w:val="clear" w:color="auto" w:fill="auto"/>
            <w:noWrap/>
            <w:vAlign w:val="bottom"/>
            <w:hideMark/>
          </w:tcPr>
          <w:p w14:paraId="69A5E142"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w:t>
            </w:r>
          </w:p>
        </w:tc>
        <w:tc>
          <w:tcPr>
            <w:tcW w:w="1134" w:type="dxa"/>
            <w:tcBorders>
              <w:top w:val="nil"/>
              <w:left w:val="nil"/>
              <w:bottom w:val="nil"/>
              <w:right w:val="nil"/>
            </w:tcBorders>
            <w:shd w:val="clear" w:color="auto" w:fill="auto"/>
            <w:noWrap/>
            <w:vAlign w:val="bottom"/>
            <w:hideMark/>
          </w:tcPr>
          <w:p w14:paraId="1BBF9E69"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R132S</w:t>
            </w:r>
          </w:p>
        </w:tc>
        <w:tc>
          <w:tcPr>
            <w:tcW w:w="526" w:type="dxa"/>
            <w:tcBorders>
              <w:top w:val="nil"/>
              <w:left w:val="nil"/>
              <w:bottom w:val="nil"/>
              <w:right w:val="nil"/>
            </w:tcBorders>
            <w:shd w:val="clear" w:color="auto" w:fill="auto"/>
            <w:noWrap/>
            <w:vAlign w:val="bottom"/>
            <w:hideMark/>
          </w:tcPr>
          <w:p w14:paraId="212CD82C"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35</w:t>
            </w:r>
          </w:p>
        </w:tc>
        <w:tc>
          <w:tcPr>
            <w:tcW w:w="1175" w:type="dxa"/>
            <w:tcBorders>
              <w:top w:val="nil"/>
              <w:left w:val="nil"/>
              <w:bottom w:val="nil"/>
              <w:right w:val="nil"/>
            </w:tcBorders>
            <w:shd w:val="clear" w:color="auto" w:fill="auto"/>
            <w:noWrap/>
            <w:vAlign w:val="bottom"/>
            <w:hideMark/>
          </w:tcPr>
          <w:p w14:paraId="506DC209"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R132S</w:t>
            </w:r>
          </w:p>
        </w:tc>
        <w:tc>
          <w:tcPr>
            <w:tcW w:w="567" w:type="dxa"/>
            <w:tcBorders>
              <w:top w:val="nil"/>
              <w:left w:val="nil"/>
              <w:bottom w:val="nil"/>
              <w:right w:val="nil"/>
            </w:tcBorders>
            <w:shd w:val="clear" w:color="auto" w:fill="auto"/>
            <w:noWrap/>
            <w:vAlign w:val="bottom"/>
            <w:hideMark/>
          </w:tcPr>
          <w:p w14:paraId="1DB9BA00"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34</w:t>
            </w:r>
          </w:p>
        </w:tc>
      </w:tr>
      <w:tr w:rsidR="00992AE0" w:rsidRPr="00992AE0" w14:paraId="0C06E218" w14:textId="77777777" w:rsidTr="00992AE0">
        <w:trPr>
          <w:trHeight w:val="282"/>
        </w:trPr>
        <w:tc>
          <w:tcPr>
            <w:tcW w:w="426" w:type="dxa"/>
            <w:tcBorders>
              <w:top w:val="nil"/>
              <w:left w:val="nil"/>
              <w:bottom w:val="nil"/>
              <w:right w:val="nil"/>
            </w:tcBorders>
            <w:shd w:val="clear" w:color="auto" w:fill="auto"/>
            <w:noWrap/>
            <w:vAlign w:val="bottom"/>
            <w:hideMark/>
          </w:tcPr>
          <w:p w14:paraId="0C9E490E"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6</w:t>
            </w:r>
          </w:p>
        </w:tc>
        <w:tc>
          <w:tcPr>
            <w:tcW w:w="421" w:type="dxa"/>
            <w:tcBorders>
              <w:top w:val="nil"/>
              <w:left w:val="nil"/>
              <w:bottom w:val="nil"/>
              <w:right w:val="nil"/>
            </w:tcBorders>
            <w:shd w:val="clear" w:color="auto" w:fill="auto"/>
            <w:noWrap/>
            <w:vAlign w:val="bottom"/>
            <w:hideMark/>
          </w:tcPr>
          <w:p w14:paraId="2F656019"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33</w:t>
            </w:r>
          </w:p>
        </w:tc>
        <w:tc>
          <w:tcPr>
            <w:tcW w:w="571" w:type="dxa"/>
            <w:tcBorders>
              <w:top w:val="nil"/>
              <w:left w:val="nil"/>
              <w:bottom w:val="nil"/>
              <w:right w:val="nil"/>
            </w:tcBorders>
            <w:shd w:val="clear" w:color="auto" w:fill="auto"/>
            <w:noWrap/>
            <w:vAlign w:val="bottom"/>
            <w:hideMark/>
          </w:tcPr>
          <w:p w14:paraId="5F2479E5"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Ž</w:t>
            </w:r>
          </w:p>
        </w:tc>
        <w:tc>
          <w:tcPr>
            <w:tcW w:w="601" w:type="dxa"/>
            <w:tcBorders>
              <w:top w:val="nil"/>
              <w:left w:val="nil"/>
              <w:bottom w:val="nil"/>
              <w:right w:val="nil"/>
            </w:tcBorders>
            <w:shd w:val="clear" w:color="auto" w:fill="auto"/>
            <w:noWrap/>
            <w:vAlign w:val="bottom"/>
            <w:hideMark/>
          </w:tcPr>
          <w:p w14:paraId="156525BA" w14:textId="60C4CB38"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L</w:t>
            </w:r>
          </w:p>
        </w:tc>
        <w:tc>
          <w:tcPr>
            <w:tcW w:w="826" w:type="dxa"/>
            <w:tcBorders>
              <w:top w:val="nil"/>
              <w:left w:val="nil"/>
              <w:bottom w:val="nil"/>
              <w:right w:val="nil"/>
            </w:tcBorders>
            <w:shd w:val="clear" w:color="auto" w:fill="auto"/>
            <w:noWrap/>
            <w:vAlign w:val="bottom"/>
            <w:hideMark/>
          </w:tcPr>
          <w:p w14:paraId="64651ABF" w14:textId="73C3613E"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15C00AD9" w14:textId="7DD32075"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dif</w:t>
            </w:r>
            <w:r w:rsidR="001B218E" w:rsidRPr="00992AE0">
              <w:rPr>
                <w:rFonts w:eastAsia="Times New Roman" w:cstheme="minorHAnsi"/>
                <w:color w:val="000000"/>
                <w:sz w:val="18"/>
                <w:szCs w:val="18"/>
                <w:lang w:val="en-GB"/>
              </w:rPr>
              <w:t>uzní</w:t>
            </w:r>
            <w:r w:rsidRPr="00992AE0">
              <w:rPr>
                <w:rFonts w:eastAsia="Times New Roman" w:cstheme="minorHAnsi"/>
                <w:color w:val="000000"/>
                <w:sz w:val="18"/>
                <w:szCs w:val="18"/>
                <w:lang w:val="en-GB"/>
              </w:rPr>
              <w:t xml:space="preserve"> (fibril</w:t>
            </w:r>
            <w:r w:rsidR="001B218E" w:rsidRPr="00992AE0">
              <w:rPr>
                <w:rFonts w:eastAsia="Times New Roman" w:cstheme="minorHAnsi"/>
                <w:color w:val="000000"/>
                <w:sz w:val="18"/>
                <w:szCs w:val="18"/>
                <w:lang w:val="en-GB"/>
              </w:rPr>
              <w:t>ární</w:t>
            </w:r>
            <w:r w:rsidRPr="00992AE0">
              <w:rPr>
                <w:rFonts w:eastAsia="Times New Roman" w:cstheme="minorHAnsi"/>
                <w:color w:val="000000"/>
                <w:sz w:val="18"/>
                <w:szCs w:val="18"/>
                <w:lang w:val="en-GB"/>
              </w:rPr>
              <w:t>) astrocytom</w:t>
            </w:r>
          </w:p>
        </w:tc>
        <w:tc>
          <w:tcPr>
            <w:tcW w:w="567" w:type="dxa"/>
            <w:tcBorders>
              <w:top w:val="nil"/>
              <w:left w:val="nil"/>
              <w:bottom w:val="nil"/>
              <w:right w:val="nil"/>
            </w:tcBorders>
            <w:shd w:val="clear" w:color="auto" w:fill="auto"/>
            <w:noWrap/>
            <w:vAlign w:val="bottom"/>
            <w:hideMark/>
          </w:tcPr>
          <w:p w14:paraId="036CEB2C"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w:t>
            </w:r>
          </w:p>
        </w:tc>
        <w:tc>
          <w:tcPr>
            <w:tcW w:w="1134" w:type="dxa"/>
            <w:tcBorders>
              <w:top w:val="nil"/>
              <w:left w:val="nil"/>
              <w:bottom w:val="nil"/>
              <w:right w:val="nil"/>
            </w:tcBorders>
            <w:shd w:val="clear" w:color="auto" w:fill="auto"/>
            <w:noWrap/>
            <w:vAlign w:val="bottom"/>
            <w:hideMark/>
          </w:tcPr>
          <w:p w14:paraId="04869D47"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26" w:type="dxa"/>
            <w:tcBorders>
              <w:top w:val="nil"/>
              <w:left w:val="nil"/>
              <w:bottom w:val="nil"/>
              <w:right w:val="nil"/>
            </w:tcBorders>
            <w:shd w:val="clear" w:color="auto" w:fill="auto"/>
            <w:noWrap/>
            <w:vAlign w:val="bottom"/>
            <w:hideMark/>
          </w:tcPr>
          <w:p w14:paraId="3B4C594D"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23</w:t>
            </w:r>
          </w:p>
        </w:tc>
        <w:tc>
          <w:tcPr>
            <w:tcW w:w="1175" w:type="dxa"/>
            <w:tcBorders>
              <w:top w:val="nil"/>
              <w:left w:val="nil"/>
              <w:bottom w:val="nil"/>
              <w:right w:val="nil"/>
            </w:tcBorders>
            <w:shd w:val="clear" w:color="auto" w:fill="auto"/>
            <w:noWrap/>
            <w:vAlign w:val="bottom"/>
            <w:hideMark/>
          </w:tcPr>
          <w:p w14:paraId="7B0AB4C3"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67" w:type="dxa"/>
            <w:tcBorders>
              <w:top w:val="nil"/>
              <w:left w:val="nil"/>
              <w:bottom w:val="nil"/>
              <w:right w:val="nil"/>
            </w:tcBorders>
            <w:shd w:val="clear" w:color="auto" w:fill="auto"/>
            <w:noWrap/>
            <w:vAlign w:val="bottom"/>
            <w:hideMark/>
          </w:tcPr>
          <w:p w14:paraId="64C59C37"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29</w:t>
            </w:r>
          </w:p>
        </w:tc>
      </w:tr>
      <w:tr w:rsidR="00992AE0" w:rsidRPr="00992AE0" w14:paraId="3E12B6E4" w14:textId="77777777" w:rsidTr="00992AE0">
        <w:trPr>
          <w:trHeight w:val="282"/>
        </w:trPr>
        <w:tc>
          <w:tcPr>
            <w:tcW w:w="426" w:type="dxa"/>
            <w:tcBorders>
              <w:top w:val="nil"/>
              <w:left w:val="nil"/>
              <w:bottom w:val="nil"/>
              <w:right w:val="nil"/>
            </w:tcBorders>
            <w:shd w:val="clear" w:color="auto" w:fill="auto"/>
            <w:noWrap/>
            <w:vAlign w:val="bottom"/>
            <w:hideMark/>
          </w:tcPr>
          <w:p w14:paraId="7F1C6CB6"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7</w:t>
            </w:r>
          </w:p>
        </w:tc>
        <w:tc>
          <w:tcPr>
            <w:tcW w:w="421" w:type="dxa"/>
            <w:tcBorders>
              <w:top w:val="nil"/>
              <w:left w:val="nil"/>
              <w:bottom w:val="nil"/>
              <w:right w:val="nil"/>
            </w:tcBorders>
            <w:shd w:val="clear" w:color="auto" w:fill="auto"/>
            <w:noWrap/>
            <w:vAlign w:val="bottom"/>
            <w:hideMark/>
          </w:tcPr>
          <w:p w14:paraId="00837297"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35</w:t>
            </w:r>
          </w:p>
        </w:tc>
        <w:tc>
          <w:tcPr>
            <w:tcW w:w="571" w:type="dxa"/>
            <w:tcBorders>
              <w:top w:val="nil"/>
              <w:left w:val="nil"/>
              <w:bottom w:val="nil"/>
              <w:right w:val="nil"/>
            </w:tcBorders>
            <w:shd w:val="clear" w:color="auto" w:fill="auto"/>
            <w:noWrap/>
            <w:vAlign w:val="bottom"/>
            <w:hideMark/>
          </w:tcPr>
          <w:p w14:paraId="4DCFB0B2"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w:t>
            </w:r>
          </w:p>
        </w:tc>
        <w:tc>
          <w:tcPr>
            <w:tcW w:w="601" w:type="dxa"/>
            <w:tcBorders>
              <w:top w:val="nil"/>
              <w:left w:val="nil"/>
              <w:bottom w:val="nil"/>
              <w:right w:val="nil"/>
            </w:tcBorders>
            <w:shd w:val="clear" w:color="auto" w:fill="auto"/>
            <w:noWrap/>
            <w:vAlign w:val="bottom"/>
            <w:hideMark/>
          </w:tcPr>
          <w:p w14:paraId="33BA6C17" w14:textId="7E34A343"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L</w:t>
            </w:r>
          </w:p>
        </w:tc>
        <w:tc>
          <w:tcPr>
            <w:tcW w:w="826" w:type="dxa"/>
            <w:tcBorders>
              <w:top w:val="nil"/>
              <w:left w:val="nil"/>
              <w:bottom w:val="nil"/>
              <w:right w:val="nil"/>
            </w:tcBorders>
            <w:shd w:val="clear" w:color="auto" w:fill="auto"/>
            <w:noWrap/>
            <w:vAlign w:val="bottom"/>
            <w:hideMark/>
          </w:tcPr>
          <w:p w14:paraId="11D181FB" w14:textId="79A28C7B"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rPr>
              <w:t>spánkový</w:t>
            </w:r>
          </w:p>
        </w:tc>
        <w:tc>
          <w:tcPr>
            <w:tcW w:w="2826" w:type="dxa"/>
            <w:tcBorders>
              <w:top w:val="nil"/>
              <w:left w:val="nil"/>
              <w:bottom w:val="nil"/>
              <w:right w:val="nil"/>
            </w:tcBorders>
            <w:shd w:val="clear" w:color="auto" w:fill="auto"/>
            <w:noWrap/>
            <w:vAlign w:val="bottom"/>
            <w:hideMark/>
          </w:tcPr>
          <w:p w14:paraId="2D742292" w14:textId="6FE90CE6"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diffu</w:t>
            </w:r>
            <w:r w:rsidR="001B218E" w:rsidRPr="00992AE0">
              <w:rPr>
                <w:rFonts w:eastAsia="Times New Roman" w:cstheme="minorHAnsi"/>
                <w:color w:val="000000"/>
                <w:sz w:val="18"/>
                <w:szCs w:val="18"/>
                <w:lang w:val="en-GB"/>
              </w:rPr>
              <w:t>zní</w:t>
            </w:r>
            <w:r w:rsidRPr="00992AE0">
              <w:rPr>
                <w:rFonts w:eastAsia="Times New Roman" w:cstheme="minorHAnsi"/>
                <w:color w:val="000000"/>
                <w:sz w:val="18"/>
                <w:szCs w:val="18"/>
                <w:lang w:val="en-GB"/>
              </w:rPr>
              <w:t xml:space="preserve"> astrocytom</w:t>
            </w:r>
          </w:p>
        </w:tc>
        <w:tc>
          <w:tcPr>
            <w:tcW w:w="567" w:type="dxa"/>
            <w:tcBorders>
              <w:top w:val="nil"/>
              <w:left w:val="nil"/>
              <w:bottom w:val="nil"/>
              <w:right w:val="nil"/>
            </w:tcBorders>
            <w:shd w:val="clear" w:color="auto" w:fill="auto"/>
            <w:noWrap/>
            <w:vAlign w:val="bottom"/>
            <w:hideMark/>
          </w:tcPr>
          <w:p w14:paraId="5B5F1135"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w:t>
            </w:r>
          </w:p>
        </w:tc>
        <w:tc>
          <w:tcPr>
            <w:tcW w:w="1134" w:type="dxa"/>
            <w:tcBorders>
              <w:top w:val="nil"/>
              <w:left w:val="nil"/>
              <w:bottom w:val="nil"/>
              <w:right w:val="nil"/>
            </w:tcBorders>
            <w:shd w:val="clear" w:color="auto" w:fill="auto"/>
            <w:noWrap/>
            <w:vAlign w:val="bottom"/>
            <w:hideMark/>
          </w:tcPr>
          <w:p w14:paraId="6923F3BF"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26" w:type="dxa"/>
            <w:tcBorders>
              <w:top w:val="nil"/>
              <w:left w:val="nil"/>
              <w:bottom w:val="nil"/>
              <w:right w:val="nil"/>
            </w:tcBorders>
            <w:shd w:val="clear" w:color="auto" w:fill="auto"/>
            <w:noWrap/>
            <w:vAlign w:val="bottom"/>
            <w:hideMark/>
          </w:tcPr>
          <w:p w14:paraId="234AC9E5"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15</w:t>
            </w:r>
          </w:p>
        </w:tc>
        <w:tc>
          <w:tcPr>
            <w:tcW w:w="1175" w:type="dxa"/>
            <w:tcBorders>
              <w:top w:val="nil"/>
              <w:left w:val="nil"/>
              <w:bottom w:val="nil"/>
              <w:right w:val="nil"/>
            </w:tcBorders>
            <w:shd w:val="clear" w:color="auto" w:fill="auto"/>
            <w:noWrap/>
            <w:vAlign w:val="bottom"/>
            <w:hideMark/>
          </w:tcPr>
          <w:p w14:paraId="07301210"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67" w:type="dxa"/>
            <w:tcBorders>
              <w:top w:val="nil"/>
              <w:left w:val="nil"/>
              <w:bottom w:val="nil"/>
              <w:right w:val="nil"/>
            </w:tcBorders>
            <w:shd w:val="clear" w:color="auto" w:fill="auto"/>
            <w:noWrap/>
            <w:vAlign w:val="bottom"/>
            <w:hideMark/>
          </w:tcPr>
          <w:p w14:paraId="5A31A84F"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35</w:t>
            </w:r>
          </w:p>
        </w:tc>
      </w:tr>
      <w:tr w:rsidR="00992AE0" w:rsidRPr="00992AE0" w14:paraId="2E084071" w14:textId="77777777" w:rsidTr="00992AE0">
        <w:trPr>
          <w:trHeight w:val="282"/>
        </w:trPr>
        <w:tc>
          <w:tcPr>
            <w:tcW w:w="426" w:type="dxa"/>
            <w:tcBorders>
              <w:top w:val="nil"/>
              <w:left w:val="nil"/>
              <w:bottom w:val="nil"/>
              <w:right w:val="nil"/>
            </w:tcBorders>
            <w:shd w:val="clear" w:color="auto" w:fill="auto"/>
            <w:noWrap/>
            <w:vAlign w:val="bottom"/>
            <w:hideMark/>
          </w:tcPr>
          <w:p w14:paraId="6EFF1AA6"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8</w:t>
            </w:r>
          </w:p>
        </w:tc>
        <w:tc>
          <w:tcPr>
            <w:tcW w:w="421" w:type="dxa"/>
            <w:tcBorders>
              <w:top w:val="nil"/>
              <w:left w:val="nil"/>
              <w:bottom w:val="nil"/>
              <w:right w:val="nil"/>
            </w:tcBorders>
            <w:shd w:val="clear" w:color="auto" w:fill="auto"/>
            <w:noWrap/>
            <w:vAlign w:val="bottom"/>
            <w:hideMark/>
          </w:tcPr>
          <w:p w14:paraId="4BAE39A1"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38</w:t>
            </w:r>
          </w:p>
        </w:tc>
        <w:tc>
          <w:tcPr>
            <w:tcW w:w="571" w:type="dxa"/>
            <w:tcBorders>
              <w:top w:val="nil"/>
              <w:left w:val="nil"/>
              <w:bottom w:val="nil"/>
              <w:right w:val="nil"/>
            </w:tcBorders>
            <w:shd w:val="clear" w:color="auto" w:fill="auto"/>
            <w:noWrap/>
            <w:vAlign w:val="bottom"/>
            <w:hideMark/>
          </w:tcPr>
          <w:p w14:paraId="75E5C1E8"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w:t>
            </w:r>
          </w:p>
        </w:tc>
        <w:tc>
          <w:tcPr>
            <w:tcW w:w="601" w:type="dxa"/>
            <w:tcBorders>
              <w:top w:val="nil"/>
              <w:left w:val="nil"/>
              <w:bottom w:val="nil"/>
              <w:right w:val="nil"/>
            </w:tcBorders>
            <w:shd w:val="clear" w:color="auto" w:fill="auto"/>
            <w:noWrap/>
            <w:vAlign w:val="bottom"/>
            <w:hideMark/>
          </w:tcPr>
          <w:p w14:paraId="0A4CDB1E" w14:textId="37BFC6F6"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L</w:t>
            </w:r>
          </w:p>
        </w:tc>
        <w:tc>
          <w:tcPr>
            <w:tcW w:w="826" w:type="dxa"/>
            <w:tcBorders>
              <w:top w:val="nil"/>
              <w:left w:val="nil"/>
              <w:bottom w:val="nil"/>
              <w:right w:val="nil"/>
            </w:tcBorders>
            <w:shd w:val="clear" w:color="auto" w:fill="auto"/>
            <w:noWrap/>
            <w:vAlign w:val="bottom"/>
            <w:hideMark/>
          </w:tcPr>
          <w:p w14:paraId="417ECEDD" w14:textId="1AF5BA50"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rPr>
              <w:t>spánkový</w:t>
            </w:r>
          </w:p>
        </w:tc>
        <w:tc>
          <w:tcPr>
            <w:tcW w:w="2826" w:type="dxa"/>
            <w:tcBorders>
              <w:top w:val="nil"/>
              <w:left w:val="nil"/>
              <w:bottom w:val="nil"/>
              <w:right w:val="nil"/>
            </w:tcBorders>
            <w:shd w:val="clear" w:color="auto" w:fill="auto"/>
            <w:noWrap/>
            <w:vAlign w:val="bottom"/>
            <w:hideMark/>
          </w:tcPr>
          <w:p w14:paraId="38D2BA45" w14:textId="5678F7B7"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dif</w:t>
            </w:r>
            <w:r w:rsidR="001B218E" w:rsidRPr="00992AE0">
              <w:rPr>
                <w:rFonts w:eastAsia="Times New Roman" w:cstheme="minorHAnsi"/>
                <w:color w:val="000000"/>
                <w:sz w:val="18"/>
                <w:szCs w:val="18"/>
                <w:lang w:val="en-GB"/>
              </w:rPr>
              <w:t>uzní</w:t>
            </w:r>
            <w:r w:rsidRPr="00992AE0">
              <w:rPr>
                <w:rFonts w:eastAsia="Times New Roman" w:cstheme="minorHAnsi"/>
                <w:color w:val="000000"/>
                <w:sz w:val="18"/>
                <w:szCs w:val="18"/>
                <w:lang w:val="en-GB"/>
              </w:rPr>
              <w:t xml:space="preserve"> (gemistocyt</w:t>
            </w:r>
            <w:r w:rsidR="001B218E" w:rsidRPr="00992AE0">
              <w:rPr>
                <w:rFonts w:eastAsia="Times New Roman" w:cstheme="minorHAnsi"/>
                <w:color w:val="000000"/>
                <w:sz w:val="18"/>
                <w:szCs w:val="18"/>
                <w:lang w:val="en-GB"/>
              </w:rPr>
              <w:t>ární</w:t>
            </w:r>
            <w:r w:rsidRPr="00992AE0">
              <w:rPr>
                <w:rFonts w:eastAsia="Times New Roman" w:cstheme="minorHAnsi"/>
                <w:color w:val="000000"/>
                <w:sz w:val="18"/>
                <w:szCs w:val="18"/>
                <w:lang w:val="en-GB"/>
              </w:rPr>
              <w:t>) astrocytom</w:t>
            </w:r>
          </w:p>
        </w:tc>
        <w:tc>
          <w:tcPr>
            <w:tcW w:w="567" w:type="dxa"/>
            <w:tcBorders>
              <w:top w:val="nil"/>
              <w:left w:val="nil"/>
              <w:bottom w:val="nil"/>
              <w:right w:val="nil"/>
            </w:tcBorders>
            <w:shd w:val="clear" w:color="auto" w:fill="auto"/>
            <w:noWrap/>
            <w:vAlign w:val="bottom"/>
            <w:hideMark/>
          </w:tcPr>
          <w:p w14:paraId="0740B592"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w:t>
            </w:r>
          </w:p>
        </w:tc>
        <w:tc>
          <w:tcPr>
            <w:tcW w:w="1134" w:type="dxa"/>
            <w:tcBorders>
              <w:top w:val="nil"/>
              <w:left w:val="nil"/>
              <w:bottom w:val="nil"/>
              <w:right w:val="nil"/>
            </w:tcBorders>
            <w:shd w:val="clear" w:color="auto" w:fill="auto"/>
            <w:noWrap/>
            <w:vAlign w:val="bottom"/>
            <w:hideMark/>
          </w:tcPr>
          <w:p w14:paraId="588266F9"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26" w:type="dxa"/>
            <w:tcBorders>
              <w:top w:val="nil"/>
              <w:left w:val="nil"/>
              <w:bottom w:val="nil"/>
              <w:right w:val="nil"/>
            </w:tcBorders>
            <w:shd w:val="clear" w:color="auto" w:fill="auto"/>
            <w:noWrap/>
            <w:vAlign w:val="bottom"/>
            <w:hideMark/>
          </w:tcPr>
          <w:p w14:paraId="1DB53C7F"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26</w:t>
            </w:r>
          </w:p>
        </w:tc>
        <w:tc>
          <w:tcPr>
            <w:tcW w:w="1175" w:type="dxa"/>
            <w:tcBorders>
              <w:top w:val="nil"/>
              <w:left w:val="nil"/>
              <w:bottom w:val="nil"/>
              <w:right w:val="nil"/>
            </w:tcBorders>
            <w:shd w:val="clear" w:color="auto" w:fill="auto"/>
            <w:noWrap/>
            <w:vAlign w:val="bottom"/>
            <w:hideMark/>
          </w:tcPr>
          <w:p w14:paraId="4CDE860A"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67" w:type="dxa"/>
            <w:tcBorders>
              <w:top w:val="nil"/>
              <w:left w:val="nil"/>
              <w:bottom w:val="nil"/>
              <w:right w:val="nil"/>
            </w:tcBorders>
            <w:shd w:val="clear" w:color="auto" w:fill="auto"/>
            <w:noWrap/>
            <w:vAlign w:val="bottom"/>
            <w:hideMark/>
          </w:tcPr>
          <w:p w14:paraId="0FC9066D"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28</w:t>
            </w:r>
          </w:p>
        </w:tc>
      </w:tr>
      <w:tr w:rsidR="00992AE0" w:rsidRPr="00992AE0" w14:paraId="7EDFD1E9" w14:textId="77777777" w:rsidTr="00992AE0">
        <w:trPr>
          <w:trHeight w:val="282"/>
        </w:trPr>
        <w:tc>
          <w:tcPr>
            <w:tcW w:w="426" w:type="dxa"/>
            <w:tcBorders>
              <w:top w:val="nil"/>
              <w:left w:val="nil"/>
              <w:bottom w:val="nil"/>
              <w:right w:val="nil"/>
            </w:tcBorders>
            <w:shd w:val="clear" w:color="auto" w:fill="auto"/>
            <w:noWrap/>
            <w:vAlign w:val="bottom"/>
            <w:hideMark/>
          </w:tcPr>
          <w:p w14:paraId="0D9CF569"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9</w:t>
            </w:r>
          </w:p>
        </w:tc>
        <w:tc>
          <w:tcPr>
            <w:tcW w:w="421" w:type="dxa"/>
            <w:tcBorders>
              <w:top w:val="nil"/>
              <w:left w:val="nil"/>
              <w:bottom w:val="nil"/>
              <w:right w:val="nil"/>
            </w:tcBorders>
            <w:shd w:val="clear" w:color="auto" w:fill="auto"/>
            <w:noWrap/>
            <w:vAlign w:val="bottom"/>
            <w:hideMark/>
          </w:tcPr>
          <w:p w14:paraId="597F8620"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54</w:t>
            </w:r>
          </w:p>
        </w:tc>
        <w:tc>
          <w:tcPr>
            <w:tcW w:w="571" w:type="dxa"/>
            <w:tcBorders>
              <w:top w:val="nil"/>
              <w:left w:val="nil"/>
              <w:bottom w:val="nil"/>
              <w:right w:val="nil"/>
            </w:tcBorders>
            <w:shd w:val="clear" w:color="auto" w:fill="auto"/>
            <w:noWrap/>
            <w:vAlign w:val="bottom"/>
            <w:hideMark/>
          </w:tcPr>
          <w:p w14:paraId="0C495052"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w:t>
            </w:r>
          </w:p>
        </w:tc>
        <w:tc>
          <w:tcPr>
            <w:tcW w:w="601" w:type="dxa"/>
            <w:tcBorders>
              <w:top w:val="nil"/>
              <w:left w:val="nil"/>
              <w:bottom w:val="nil"/>
              <w:right w:val="nil"/>
            </w:tcBorders>
            <w:shd w:val="clear" w:color="auto" w:fill="auto"/>
            <w:noWrap/>
            <w:vAlign w:val="bottom"/>
            <w:hideMark/>
          </w:tcPr>
          <w:p w14:paraId="739B1355" w14:textId="0EC933BE"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L</w:t>
            </w:r>
          </w:p>
        </w:tc>
        <w:tc>
          <w:tcPr>
            <w:tcW w:w="826" w:type="dxa"/>
            <w:tcBorders>
              <w:top w:val="nil"/>
              <w:left w:val="nil"/>
              <w:bottom w:val="nil"/>
              <w:right w:val="nil"/>
            </w:tcBorders>
            <w:shd w:val="clear" w:color="auto" w:fill="auto"/>
            <w:noWrap/>
            <w:vAlign w:val="bottom"/>
            <w:hideMark/>
          </w:tcPr>
          <w:p w14:paraId="1F4190E7" w14:textId="44061B31"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rPr>
              <w:t>spánkový</w:t>
            </w:r>
          </w:p>
        </w:tc>
        <w:tc>
          <w:tcPr>
            <w:tcW w:w="2826" w:type="dxa"/>
            <w:tcBorders>
              <w:top w:val="nil"/>
              <w:left w:val="nil"/>
              <w:bottom w:val="nil"/>
              <w:right w:val="nil"/>
            </w:tcBorders>
            <w:shd w:val="clear" w:color="auto" w:fill="auto"/>
            <w:noWrap/>
            <w:vAlign w:val="bottom"/>
            <w:hideMark/>
          </w:tcPr>
          <w:p w14:paraId="3160AC7C" w14:textId="446082D7"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anaplastic</w:t>
            </w:r>
            <w:r w:rsidR="001B218E" w:rsidRPr="00992AE0">
              <w:rPr>
                <w:rFonts w:eastAsia="Times New Roman" w:cstheme="minorHAnsi"/>
                <w:color w:val="000000"/>
                <w:sz w:val="18"/>
                <w:szCs w:val="18"/>
                <w:lang w:val="en-GB"/>
              </w:rPr>
              <w:t>ký</w:t>
            </w:r>
            <w:r w:rsidRPr="00992AE0">
              <w:rPr>
                <w:rFonts w:eastAsia="Times New Roman" w:cstheme="minorHAnsi"/>
                <w:color w:val="000000"/>
                <w:sz w:val="18"/>
                <w:szCs w:val="18"/>
                <w:lang w:val="en-GB"/>
              </w:rPr>
              <w:t xml:space="preserve"> oligoastrocytom</w:t>
            </w:r>
          </w:p>
        </w:tc>
        <w:tc>
          <w:tcPr>
            <w:tcW w:w="567" w:type="dxa"/>
            <w:tcBorders>
              <w:top w:val="nil"/>
              <w:left w:val="nil"/>
              <w:bottom w:val="nil"/>
              <w:right w:val="nil"/>
            </w:tcBorders>
            <w:shd w:val="clear" w:color="auto" w:fill="auto"/>
            <w:noWrap/>
            <w:vAlign w:val="bottom"/>
            <w:hideMark/>
          </w:tcPr>
          <w:p w14:paraId="64C5DE39"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III</w:t>
            </w:r>
          </w:p>
        </w:tc>
        <w:tc>
          <w:tcPr>
            <w:tcW w:w="1134" w:type="dxa"/>
            <w:tcBorders>
              <w:top w:val="nil"/>
              <w:left w:val="nil"/>
              <w:bottom w:val="nil"/>
              <w:right w:val="nil"/>
            </w:tcBorders>
            <w:shd w:val="clear" w:color="auto" w:fill="auto"/>
            <w:noWrap/>
            <w:vAlign w:val="bottom"/>
            <w:hideMark/>
          </w:tcPr>
          <w:p w14:paraId="15EB0DFF"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IDH2 R172K</w:t>
            </w:r>
          </w:p>
        </w:tc>
        <w:tc>
          <w:tcPr>
            <w:tcW w:w="526" w:type="dxa"/>
            <w:tcBorders>
              <w:top w:val="nil"/>
              <w:left w:val="nil"/>
              <w:bottom w:val="nil"/>
              <w:right w:val="nil"/>
            </w:tcBorders>
            <w:shd w:val="clear" w:color="auto" w:fill="auto"/>
            <w:noWrap/>
            <w:vAlign w:val="bottom"/>
            <w:hideMark/>
          </w:tcPr>
          <w:p w14:paraId="7584A894"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50</w:t>
            </w:r>
          </w:p>
        </w:tc>
        <w:tc>
          <w:tcPr>
            <w:tcW w:w="1175" w:type="dxa"/>
            <w:tcBorders>
              <w:top w:val="nil"/>
              <w:left w:val="nil"/>
              <w:bottom w:val="nil"/>
              <w:right w:val="nil"/>
            </w:tcBorders>
            <w:shd w:val="clear" w:color="auto" w:fill="auto"/>
            <w:noWrap/>
            <w:vAlign w:val="bottom"/>
            <w:hideMark/>
          </w:tcPr>
          <w:p w14:paraId="7D4437C3"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IDH2 R172K</w:t>
            </w:r>
          </w:p>
        </w:tc>
        <w:tc>
          <w:tcPr>
            <w:tcW w:w="567" w:type="dxa"/>
            <w:tcBorders>
              <w:top w:val="nil"/>
              <w:left w:val="nil"/>
              <w:bottom w:val="nil"/>
              <w:right w:val="nil"/>
            </w:tcBorders>
            <w:shd w:val="clear" w:color="auto" w:fill="auto"/>
            <w:noWrap/>
            <w:vAlign w:val="bottom"/>
            <w:hideMark/>
          </w:tcPr>
          <w:p w14:paraId="3D1C39BD"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38</w:t>
            </w:r>
          </w:p>
        </w:tc>
      </w:tr>
      <w:tr w:rsidR="00992AE0" w:rsidRPr="00992AE0" w14:paraId="1A392D0C" w14:textId="77777777" w:rsidTr="00992AE0">
        <w:trPr>
          <w:trHeight w:val="282"/>
        </w:trPr>
        <w:tc>
          <w:tcPr>
            <w:tcW w:w="426" w:type="dxa"/>
            <w:tcBorders>
              <w:top w:val="nil"/>
              <w:left w:val="nil"/>
              <w:bottom w:val="nil"/>
              <w:right w:val="nil"/>
            </w:tcBorders>
            <w:shd w:val="clear" w:color="auto" w:fill="auto"/>
            <w:noWrap/>
            <w:vAlign w:val="bottom"/>
            <w:hideMark/>
          </w:tcPr>
          <w:p w14:paraId="6B84D812"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10</w:t>
            </w:r>
          </w:p>
        </w:tc>
        <w:tc>
          <w:tcPr>
            <w:tcW w:w="421" w:type="dxa"/>
            <w:tcBorders>
              <w:top w:val="nil"/>
              <w:left w:val="nil"/>
              <w:bottom w:val="nil"/>
              <w:right w:val="nil"/>
            </w:tcBorders>
            <w:shd w:val="clear" w:color="auto" w:fill="auto"/>
            <w:noWrap/>
            <w:vAlign w:val="bottom"/>
            <w:hideMark/>
          </w:tcPr>
          <w:p w14:paraId="62621144"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47</w:t>
            </w:r>
          </w:p>
        </w:tc>
        <w:tc>
          <w:tcPr>
            <w:tcW w:w="571" w:type="dxa"/>
            <w:tcBorders>
              <w:top w:val="nil"/>
              <w:left w:val="nil"/>
              <w:bottom w:val="nil"/>
              <w:right w:val="nil"/>
            </w:tcBorders>
            <w:shd w:val="clear" w:color="auto" w:fill="auto"/>
            <w:noWrap/>
            <w:vAlign w:val="bottom"/>
            <w:hideMark/>
          </w:tcPr>
          <w:p w14:paraId="673D38BD"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Ž</w:t>
            </w:r>
          </w:p>
        </w:tc>
        <w:tc>
          <w:tcPr>
            <w:tcW w:w="601" w:type="dxa"/>
            <w:tcBorders>
              <w:top w:val="nil"/>
              <w:left w:val="nil"/>
              <w:bottom w:val="nil"/>
              <w:right w:val="nil"/>
            </w:tcBorders>
            <w:shd w:val="clear" w:color="auto" w:fill="auto"/>
            <w:noWrap/>
            <w:vAlign w:val="bottom"/>
            <w:hideMark/>
          </w:tcPr>
          <w:p w14:paraId="32B69F1A" w14:textId="2AA377A8"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P</w:t>
            </w:r>
          </w:p>
        </w:tc>
        <w:tc>
          <w:tcPr>
            <w:tcW w:w="826" w:type="dxa"/>
            <w:tcBorders>
              <w:top w:val="nil"/>
              <w:left w:val="nil"/>
              <w:bottom w:val="nil"/>
              <w:right w:val="nil"/>
            </w:tcBorders>
            <w:shd w:val="clear" w:color="auto" w:fill="auto"/>
            <w:noWrap/>
            <w:vAlign w:val="bottom"/>
            <w:hideMark/>
          </w:tcPr>
          <w:p w14:paraId="23026643" w14:textId="40EBD738"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2E19EC90" w14:textId="0D20F6C1"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dif</w:t>
            </w:r>
            <w:r w:rsidR="001B218E" w:rsidRPr="00992AE0">
              <w:rPr>
                <w:rFonts w:eastAsia="Times New Roman" w:cstheme="minorHAnsi"/>
                <w:color w:val="000000"/>
                <w:sz w:val="18"/>
                <w:szCs w:val="18"/>
                <w:lang w:val="en-GB"/>
              </w:rPr>
              <w:t>uzní</w:t>
            </w:r>
            <w:r w:rsidRPr="00992AE0">
              <w:rPr>
                <w:rFonts w:eastAsia="Times New Roman" w:cstheme="minorHAnsi"/>
                <w:color w:val="000000"/>
                <w:sz w:val="18"/>
                <w:szCs w:val="18"/>
                <w:lang w:val="en-GB"/>
              </w:rPr>
              <w:t xml:space="preserve"> astrocytom</w:t>
            </w:r>
          </w:p>
        </w:tc>
        <w:tc>
          <w:tcPr>
            <w:tcW w:w="567" w:type="dxa"/>
            <w:tcBorders>
              <w:top w:val="nil"/>
              <w:left w:val="nil"/>
              <w:bottom w:val="nil"/>
              <w:right w:val="nil"/>
            </w:tcBorders>
            <w:shd w:val="clear" w:color="auto" w:fill="auto"/>
            <w:noWrap/>
            <w:vAlign w:val="bottom"/>
            <w:hideMark/>
          </w:tcPr>
          <w:p w14:paraId="33950A15"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II</w:t>
            </w:r>
          </w:p>
        </w:tc>
        <w:tc>
          <w:tcPr>
            <w:tcW w:w="1134" w:type="dxa"/>
            <w:tcBorders>
              <w:top w:val="nil"/>
              <w:left w:val="nil"/>
              <w:bottom w:val="nil"/>
              <w:right w:val="nil"/>
            </w:tcBorders>
            <w:shd w:val="clear" w:color="auto" w:fill="auto"/>
            <w:noWrap/>
            <w:vAlign w:val="bottom"/>
            <w:hideMark/>
          </w:tcPr>
          <w:p w14:paraId="77B0A330"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26" w:type="dxa"/>
            <w:tcBorders>
              <w:top w:val="nil"/>
              <w:left w:val="nil"/>
              <w:bottom w:val="nil"/>
              <w:right w:val="nil"/>
            </w:tcBorders>
            <w:shd w:val="clear" w:color="auto" w:fill="auto"/>
            <w:noWrap/>
            <w:vAlign w:val="bottom"/>
            <w:hideMark/>
          </w:tcPr>
          <w:p w14:paraId="4E71674A"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15</w:t>
            </w:r>
          </w:p>
        </w:tc>
        <w:tc>
          <w:tcPr>
            <w:tcW w:w="1175" w:type="dxa"/>
            <w:tcBorders>
              <w:top w:val="nil"/>
              <w:left w:val="nil"/>
              <w:bottom w:val="nil"/>
              <w:right w:val="nil"/>
            </w:tcBorders>
            <w:shd w:val="clear" w:color="auto" w:fill="auto"/>
            <w:noWrap/>
            <w:vAlign w:val="bottom"/>
            <w:hideMark/>
          </w:tcPr>
          <w:p w14:paraId="6F946FA6"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IDH1 R132H</w:t>
            </w:r>
          </w:p>
        </w:tc>
        <w:tc>
          <w:tcPr>
            <w:tcW w:w="567" w:type="dxa"/>
            <w:tcBorders>
              <w:top w:val="nil"/>
              <w:left w:val="nil"/>
              <w:bottom w:val="nil"/>
              <w:right w:val="nil"/>
            </w:tcBorders>
            <w:shd w:val="clear" w:color="auto" w:fill="auto"/>
            <w:noWrap/>
            <w:vAlign w:val="bottom"/>
            <w:hideMark/>
          </w:tcPr>
          <w:p w14:paraId="2C8C377B"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15</w:t>
            </w:r>
          </w:p>
        </w:tc>
      </w:tr>
      <w:tr w:rsidR="00992AE0" w:rsidRPr="00992AE0" w14:paraId="4092B364" w14:textId="77777777" w:rsidTr="00992AE0">
        <w:trPr>
          <w:trHeight w:val="282"/>
        </w:trPr>
        <w:tc>
          <w:tcPr>
            <w:tcW w:w="426" w:type="dxa"/>
            <w:tcBorders>
              <w:top w:val="nil"/>
              <w:left w:val="nil"/>
              <w:bottom w:val="nil"/>
              <w:right w:val="nil"/>
            </w:tcBorders>
            <w:shd w:val="clear" w:color="auto" w:fill="auto"/>
            <w:noWrap/>
            <w:vAlign w:val="bottom"/>
            <w:hideMark/>
          </w:tcPr>
          <w:p w14:paraId="1E81E427"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11</w:t>
            </w:r>
          </w:p>
        </w:tc>
        <w:tc>
          <w:tcPr>
            <w:tcW w:w="421" w:type="dxa"/>
            <w:tcBorders>
              <w:top w:val="nil"/>
              <w:left w:val="nil"/>
              <w:bottom w:val="nil"/>
              <w:right w:val="nil"/>
            </w:tcBorders>
            <w:shd w:val="clear" w:color="auto" w:fill="auto"/>
            <w:noWrap/>
            <w:vAlign w:val="bottom"/>
            <w:hideMark/>
          </w:tcPr>
          <w:p w14:paraId="781A67E2"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45</w:t>
            </w:r>
          </w:p>
        </w:tc>
        <w:tc>
          <w:tcPr>
            <w:tcW w:w="571" w:type="dxa"/>
            <w:tcBorders>
              <w:top w:val="nil"/>
              <w:left w:val="nil"/>
              <w:bottom w:val="nil"/>
              <w:right w:val="nil"/>
            </w:tcBorders>
            <w:shd w:val="clear" w:color="auto" w:fill="auto"/>
            <w:noWrap/>
            <w:vAlign w:val="bottom"/>
            <w:hideMark/>
          </w:tcPr>
          <w:p w14:paraId="28104064"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w:t>
            </w:r>
          </w:p>
        </w:tc>
        <w:tc>
          <w:tcPr>
            <w:tcW w:w="601" w:type="dxa"/>
            <w:tcBorders>
              <w:top w:val="nil"/>
              <w:left w:val="nil"/>
              <w:bottom w:val="nil"/>
              <w:right w:val="nil"/>
            </w:tcBorders>
            <w:shd w:val="clear" w:color="auto" w:fill="auto"/>
            <w:noWrap/>
            <w:vAlign w:val="bottom"/>
            <w:hideMark/>
          </w:tcPr>
          <w:p w14:paraId="1282F667" w14:textId="7E9CE3E3"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P</w:t>
            </w:r>
          </w:p>
        </w:tc>
        <w:tc>
          <w:tcPr>
            <w:tcW w:w="826" w:type="dxa"/>
            <w:tcBorders>
              <w:top w:val="nil"/>
              <w:left w:val="nil"/>
              <w:bottom w:val="nil"/>
              <w:right w:val="nil"/>
            </w:tcBorders>
            <w:shd w:val="clear" w:color="auto" w:fill="auto"/>
            <w:noWrap/>
            <w:vAlign w:val="bottom"/>
            <w:hideMark/>
          </w:tcPr>
          <w:p w14:paraId="45337821" w14:textId="161A71F3"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čelní</w:t>
            </w:r>
          </w:p>
        </w:tc>
        <w:tc>
          <w:tcPr>
            <w:tcW w:w="2826" w:type="dxa"/>
            <w:tcBorders>
              <w:top w:val="nil"/>
              <w:left w:val="nil"/>
              <w:bottom w:val="nil"/>
              <w:right w:val="nil"/>
            </w:tcBorders>
            <w:shd w:val="clear" w:color="auto" w:fill="auto"/>
            <w:noWrap/>
            <w:vAlign w:val="bottom"/>
            <w:hideMark/>
          </w:tcPr>
          <w:p w14:paraId="629451FE" w14:textId="281B6F98"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glioblastom</w:t>
            </w:r>
          </w:p>
        </w:tc>
        <w:tc>
          <w:tcPr>
            <w:tcW w:w="567" w:type="dxa"/>
            <w:tcBorders>
              <w:top w:val="nil"/>
              <w:left w:val="nil"/>
              <w:bottom w:val="nil"/>
              <w:right w:val="nil"/>
            </w:tcBorders>
            <w:shd w:val="clear" w:color="auto" w:fill="auto"/>
            <w:noWrap/>
            <w:vAlign w:val="bottom"/>
            <w:hideMark/>
          </w:tcPr>
          <w:p w14:paraId="6F1A6C77"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IV</w:t>
            </w:r>
          </w:p>
        </w:tc>
        <w:tc>
          <w:tcPr>
            <w:tcW w:w="1134" w:type="dxa"/>
            <w:tcBorders>
              <w:top w:val="nil"/>
              <w:left w:val="nil"/>
              <w:bottom w:val="nil"/>
              <w:right w:val="nil"/>
            </w:tcBorders>
            <w:shd w:val="clear" w:color="auto" w:fill="auto"/>
            <w:noWrap/>
            <w:vAlign w:val="bottom"/>
            <w:hideMark/>
          </w:tcPr>
          <w:p w14:paraId="63C00059" w14:textId="353409CE"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NA</w:t>
            </w:r>
          </w:p>
        </w:tc>
        <w:tc>
          <w:tcPr>
            <w:tcW w:w="526" w:type="dxa"/>
            <w:tcBorders>
              <w:top w:val="nil"/>
              <w:left w:val="nil"/>
              <w:bottom w:val="nil"/>
              <w:right w:val="nil"/>
            </w:tcBorders>
            <w:shd w:val="clear" w:color="auto" w:fill="auto"/>
            <w:noWrap/>
            <w:vAlign w:val="bottom"/>
            <w:hideMark/>
          </w:tcPr>
          <w:p w14:paraId="57DA3E8E" w14:textId="4009FC6C"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w:t>
            </w:r>
          </w:p>
        </w:tc>
        <w:tc>
          <w:tcPr>
            <w:tcW w:w="1175" w:type="dxa"/>
            <w:tcBorders>
              <w:top w:val="nil"/>
              <w:left w:val="nil"/>
              <w:bottom w:val="nil"/>
              <w:right w:val="nil"/>
            </w:tcBorders>
            <w:shd w:val="clear" w:color="auto" w:fill="auto"/>
            <w:noWrap/>
            <w:vAlign w:val="bottom"/>
            <w:hideMark/>
          </w:tcPr>
          <w:p w14:paraId="6A9EC0D3" w14:textId="67168718"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NA</w:t>
            </w:r>
          </w:p>
        </w:tc>
        <w:tc>
          <w:tcPr>
            <w:tcW w:w="567" w:type="dxa"/>
            <w:tcBorders>
              <w:top w:val="nil"/>
              <w:left w:val="nil"/>
              <w:bottom w:val="nil"/>
              <w:right w:val="nil"/>
            </w:tcBorders>
            <w:shd w:val="clear" w:color="auto" w:fill="auto"/>
            <w:noWrap/>
            <w:vAlign w:val="bottom"/>
            <w:hideMark/>
          </w:tcPr>
          <w:p w14:paraId="6758466D" w14:textId="72C668B6"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w:t>
            </w:r>
          </w:p>
        </w:tc>
      </w:tr>
      <w:tr w:rsidR="00992AE0" w:rsidRPr="00992AE0" w14:paraId="47ACFAE0" w14:textId="77777777" w:rsidTr="00992AE0">
        <w:trPr>
          <w:trHeight w:val="83"/>
        </w:trPr>
        <w:tc>
          <w:tcPr>
            <w:tcW w:w="426" w:type="dxa"/>
            <w:tcBorders>
              <w:top w:val="nil"/>
              <w:left w:val="nil"/>
              <w:bottom w:val="nil"/>
              <w:right w:val="nil"/>
            </w:tcBorders>
            <w:shd w:val="clear" w:color="auto" w:fill="auto"/>
            <w:noWrap/>
            <w:vAlign w:val="bottom"/>
            <w:hideMark/>
          </w:tcPr>
          <w:p w14:paraId="56F8DD77"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12</w:t>
            </w:r>
          </w:p>
        </w:tc>
        <w:tc>
          <w:tcPr>
            <w:tcW w:w="421" w:type="dxa"/>
            <w:tcBorders>
              <w:top w:val="nil"/>
              <w:left w:val="nil"/>
              <w:bottom w:val="nil"/>
              <w:right w:val="nil"/>
            </w:tcBorders>
            <w:shd w:val="clear" w:color="auto" w:fill="auto"/>
            <w:noWrap/>
            <w:vAlign w:val="bottom"/>
            <w:hideMark/>
          </w:tcPr>
          <w:p w14:paraId="24550BC7"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53</w:t>
            </w:r>
          </w:p>
        </w:tc>
        <w:tc>
          <w:tcPr>
            <w:tcW w:w="571" w:type="dxa"/>
            <w:tcBorders>
              <w:top w:val="nil"/>
              <w:left w:val="nil"/>
              <w:bottom w:val="nil"/>
              <w:right w:val="nil"/>
            </w:tcBorders>
            <w:shd w:val="clear" w:color="auto" w:fill="auto"/>
            <w:noWrap/>
            <w:vAlign w:val="bottom"/>
            <w:hideMark/>
          </w:tcPr>
          <w:p w14:paraId="6DB19A32"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M</w:t>
            </w:r>
          </w:p>
        </w:tc>
        <w:tc>
          <w:tcPr>
            <w:tcW w:w="601" w:type="dxa"/>
            <w:tcBorders>
              <w:top w:val="nil"/>
              <w:left w:val="nil"/>
              <w:bottom w:val="nil"/>
              <w:right w:val="nil"/>
            </w:tcBorders>
            <w:shd w:val="clear" w:color="auto" w:fill="auto"/>
            <w:noWrap/>
            <w:vAlign w:val="bottom"/>
            <w:hideMark/>
          </w:tcPr>
          <w:p w14:paraId="51756640" w14:textId="45309829"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P</w:t>
            </w:r>
          </w:p>
        </w:tc>
        <w:tc>
          <w:tcPr>
            <w:tcW w:w="826" w:type="dxa"/>
            <w:tcBorders>
              <w:top w:val="nil"/>
              <w:left w:val="nil"/>
              <w:bottom w:val="nil"/>
              <w:right w:val="nil"/>
            </w:tcBorders>
            <w:shd w:val="clear" w:color="auto" w:fill="auto"/>
            <w:noWrap/>
            <w:vAlign w:val="bottom"/>
            <w:hideMark/>
          </w:tcPr>
          <w:p w14:paraId="1FE08948" w14:textId="76D77CC1" w:rsidR="001F3E67" w:rsidRPr="00992AE0" w:rsidRDefault="001B218E" w:rsidP="00992AE0">
            <w:pPr>
              <w:spacing w:after="0" w:line="240" w:lineRule="auto"/>
              <w:rPr>
                <w:rFonts w:eastAsia="Times New Roman" w:cstheme="minorHAnsi"/>
                <w:color w:val="000000"/>
                <w:sz w:val="18"/>
                <w:szCs w:val="18"/>
              </w:rPr>
            </w:pPr>
            <w:r w:rsidRPr="00992AE0">
              <w:rPr>
                <w:rFonts w:eastAsia="Times New Roman" w:cstheme="minorHAnsi"/>
                <w:color w:val="000000"/>
                <w:sz w:val="18"/>
                <w:szCs w:val="18"/>
              </w:rPr>
              <w:t>spánkový</w:t>
            </w:r>
          </w:p>
        </w:tc>
        <w:tc>
          <w:tcPr>
            <w:tcW w:w="2826" w:type="dxa"/>
            <w:tcBorders>
              <w:top w:val="nil"/>
              <w:left w:val="nil"/>
              <w:bottom w:val="nil"/>
              <w:right w:val="nil"/>
            </w:tcBorders>
            <w:shd w:val="clear" w:color="auto" w:fill="auto"/>
            <w:noWrap/>
            <w:vAlign w:val="bottom"/>
            <w:hideMark/>
          </w:tcPr>
          <w:p w14:paraId="03FF5571" w14:textId="70A2942D" w:rsidR="001F3E67" w:rsidRPr="00992AE0" w:rsidRDefault="001F3E67" w:rsidP="001B218E">
            <w:pPr>
              <w:spacing w:after="0" w:line="240" w:lineRule="auto"/>
              <w:rPr>
                <w:rFonts w:eastAsia="Times New Roman" w:cstheme="minorHAnsi"/>
                <w:color w:val="000000"/>
                <w:sz w:val="18"/>
                <w:szCs w:val="18"/>
              </w:rPr>
            </w:pPr>
            <w:r w:rsidRPr="00992AE0">
              <w:rPr>
                <w:rFonts w:eastAsia="Times New Roman" w:cstheme="minorHAnsi"/>
                <w:color w:val="000000"/>
                <w:sz w:val="18"/>
                <w:szCs w:val="18"/>
                <w:lang w:val="en-GB"/>
              </w:rPr>
              <w:t>glioblastom</w:t>
            </w:r>
          </w:p>
        </w:tc>
        <w:tc>
          <w:tcPr>
            <w:tcW w:w="567" w:type="dxa"/>
            <w:tcBorders>
              <w:top w:val="nil"/>
              <w:left w:val="nil"/>
              <w:bottom w:val="nil"/>
              <w:right w:val="nil"/>
            </w:tcBorders>
            <w:shd w:val="clear" w:color="auto" w:fill="auto"/>
            <w:noWrap/>
            <w:vAlign w:val="bottom"/>
            <w:hideMark/>
          </w:tcPr>
          <w:p w14:paraId="757D920F" w14:textId="77777777" w:rsidR="001F3E67" w:rsidRPr="00992AE0" w:rsidRDefault="001F3E67" w:rsidP="00992AE0">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IV</w:t>
            </w:r>
          </w:p>
        </w:tc>
        <w:tc>
          <w:tcPr>
            <w:tcW w:w="1134" w:type="dxa"/>
            <w:tcBorders>
              <w:top w:val="nil"/>
              <w:left w:val="nil"/>
              <w:bottom w:val="nil"/>
              <w:right w:val="nil"/>
            </w:tcBorders>
            <w:shd w:val="clear" w:color="auto" w:fill="auto"/>
            <w:noWrap/>
            <w:vAlign w:val="bottom"/>
            <w:hideMark/>
          </w:tcPr>
          <w:p w14:paraId="6D594AA0" w14:textId="77777777" w:rsidR="001F3E67" w:rsidRPr="00992AE0" w:rsidRDefault="001F3E67"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wt</w:t>
            </w:r>
          </w:p>
        </w:tc>
        <w:tc>
          <w:tcPr>
            <w:tcW w:w="526" w:type="dxa"/>
            <w:tcBorders>
              <w:top w:val="nil"/>
              <w:left w:val="nil"/>
              <w:bottom w:val="nil"/>
              <w:right w:val="nil"/>
            </w:tcBorders>
            <w:shd w:val="clear" w:color="auto" w:fill="auto"/>
            <w:noWrap/>
            <w:vAlign w:val="bottom"/>
            <w:hideMark/>
          </w:tcPr>
          <w:p w14:paraId="1590BBA9" w14:textId="5A259380"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w:t>
            </w:r>
          </w:p>
        </w:tc>
        <w:tc>
          <w:tcPr>
            <w:tcW w:w="1175" w:type="dxa"/>
            <w:tcBorders>
              <w:top w:val="nil"/>
              <w:left w:val="nil"/>
              <w:bottom w:val="nil"/>
              <w:right w:val="nil"/>
            </w:tcBorders>
            <w:shd w:val="clear" w:color="auto" w:fill="auto"/>
            <w:noWrap/>
            <w:vAlign w:val="bottom"/>
            <w:hideMark/>
          </w:tcPr>
          <w:p w14:paraId="6C7C0CA5" w14:textId="04AA33E7"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lang w:val="en-GB"/>
              </w:rPr>
              <w:t>NA</w:t>
            </w:r>
          </w:p>
        </w:tc>
        <w:tc>
          <w:tcPr>
            <w:tcW w:w="567" w:type="dxa"/>
            <w:tcBorders>
              <w:top w:val="nil"/>
              <w:left w:val="nil"/>
              <w:bottom w:val="nil"/>
              <w:right w:val="nil"/>
            </w:tcBorders>
            <w:shd w:val="clear" w:color="auto" w:fill="auto"/>
            <w:noWrap/>
            <w:vAlign w:val="bottom"/>
            <w:hideMark/>
          </w:tcPr>
          <w:p w14:paraId="6DFE165E" w14:textId="40ABFD76" w:rsidR="001F3E67" w:rsidRPr="00992AE0" w:rsidRDefault="00992AE0" w:rsidP="001B218E">
            <w:pPr>
              <w:spacing w:after="0" w:line="240" w:lineRule="auto"/>
              <w:jc w:val="center"/>
              <w:rPr>
                <w:rFonts w:eastAsia="Times New Roman" w:cstheme="minorHAnsi"/>
                <w:color w:val="000000"/>
                <w:sz w:val="18"/>
                <w:szCs w:val="18"/>
              </w:rPr>
            </w:pPr>
            <w:r w:rsidRPr="00992AE0">
              <w:rPr>
                <w:rFonts w:eastAsia="Times New Roman" w:cstheme="minorHAnsi"/>
                <w:color w:val="000000"/>
                <w:sz w:val="18"/>
                <w:szCs w:val="18"/>
              </w:rPr>
              <w:t>-</w:t>
            </w:r>
          </w:p>
        </w:tc>
      </w:tr>
    </w:tbl>
    <w:p w14:paraId="5E150217" w14:textId="5346081B" w:rsidR="001F3E67" w:rsidRPr="007E518A" w:rsidRDefault="001F3E67" w:rsidP="0017360C">
      <w:pPr>
        <w:tabs>
          <w:tab w:val="left" w:pos="975"/>
        </w:tabs>
        <w:jc w:val="both"/>
        <w:rPr>
          <w:sz w:val="2"/>
          <w:szCs w:val="2"/>
        </w:rPr>
      </w:pPr>
    </w:p>
    <w:p w14:paraId="40B1DD3C" w14:textId="14866F3E" w:rsidR="001F3E67" w:rsidRDefault="007E518A" w:rsidP="0017360C">
      <w:pPr>
        <w:tabs>
          <w:tab w:val="left" w:pos="975"/>
        </w:tabs>
        <w:jc w:val="both"/>
        <w:rPr>
          <w:sz w:val="20"/>
          <w:szCs w:val="20"/>
        </w:rPr>
      </w:pPr>
      <w:r w:rsidRPr="008B00E9">
        <w:rPr>
          <w:sz w:val="20"/>
          <w:szCs w:val="20"/>
        </w:rPr>
        <w:t>Ž – žena, M – muž, wt – wild type, MAF – mutační alelická frakce ve vzorku.</w:t>
      </w:r>
    </w:p>
    <w:p w14:paraId="04666502" w14:textId="77777777" w:rsidR="007E518A" w:rsidRDefault="007E518A" w:rsidP="0017360C">
      <w:pPr>
        <w:tabs>
          <w:tab w:val="left" w:pos="975"/>
        </w:tabs>
        <w:jc w:val="both"/>
      </w:pPr>
    </w:p>
    <w:p w14:paraId="3ED26933" w14:textId="04B6E957" w:rsidR="001F3E67" w:rsidRDefault="001F3E67" w:rsidP="00174B72">
      <w:pPr>
        <w:pStyle w:val="Nadpis4"/>
      </w:pPr>
      <w:bookmarkStart w:id="80" w:name="_Toc88741492"/>
      <w:r>
        <w:t>Kontrola kvality sekvenovacích metod</w:t>
      </w:r>
      <w:bookmarkEnd w:id="80"/>
    </w:p>
    <w:p w14:paraId="010CACA1" w14:textId="5761DA65" w:rsidR="00B2369D" w:rsidRDefault="00D31A58" w:rsidP="00B2369D">
      <w:pPr>
        <w:jc w:val="both"/>
      </w:pPr>
      <w:r w:rsidRPr="00E360F5">
        <w:t xml:space="preserve">Typická NGS assay se skládá z </w:t>
      </w:r>
      <w:r w:rsidR="00E360F5" w:rsidRPr="00E360F5">
        <w:t>&gt;30 PCR cyklů, která zahrnuje amplifikaci cílené oblasti DNA více než trilionkrát</w:t>
      </w:r>
      <w:r w:rsidR="00E360F5">
        <w:t xml:space="preserve">, </w:t>
      </w:r>
      <w:r w:rsidR="00E360F5" w:rsidRPr="00E360F5">
        <w:t>to je následováno manipulací amplikonů, což vede k obavě z kontaminace a opakovatelnosti výsledků.</w:t>
      </w:r>
      <w:r w:rsidR="00E360F5">
        <w:t xml:space="preserve"> V Tabulce 7 jsou uvedeny výsledky analýzy různých typů kontrol pro fast IDH </w:t>
      </w:r>
      <w:r w:rsidR="00E360F5" w:rsidRPr="008C2C46">
        <w:t>metodu. Pro zvýšení možné kontaminace jsme seřadili vzorky pro zpracování pravidelným střídáním wild type vzorku s negativním nebo pozitivním na IDH1 R132H jak je v Tabulce 7 uvedeno. Jako negativní kontrola byla použita vysoce fragmentovaná</w:t>
      </w:r>
      <w:r w:rsidR="0083020B" w:rsidRPr="008C2C46">
        <w:t xml:space="preserve"> </w:t>
      </w:r>
      <w:r w:rsidR="00E360F5" w:rsidRPr="008C2C46">
        <w:t>(&lt;100 bp) DNA s nízkou koncentrací</w:t>
      </w:r>
      <w:r w:rsidR="0083020B" w:rsidRPr="008C2C46">
        <w:t xml:space="preserve"> </w:t>
      </w:r>
      <w:r w:rsidR="00E360F5" w:rsidRPr="008C2C46">
        <w:t xml:space="preserve">(~ 1ng / </w:t>
      </w:r>
      <w:r w:rsidR="0083020B" w:rsidRPr="008C2C46">
        <w:rPr>
          <w:rFonts w:cstheme="minorHAnsi"/>
        </w:rPr>
        <w:t>µ</w:t>
      </w:r>
      <w:r w:rsidR="00E360F5" w:rsidRPr="008C2C46">
        <w:t>l)</w:t>
      </w:r>
      <w:r w:rsidR="0083020B" w:rsidRPr="008C2C46">
        <w:t xml:space="preserve"> izolovaná z krve; jako negativní kontrola byl vzorek bez DNA</w:t>
      </w:r>
      <w:r w:rsidR="002A522A" w:rsidRPr="008C2C46">
        <w:t xml:space="preserve"> (no template)</w:t>
      </w:r>
      <w:r w:rsidR="0083020B" w:rsidRPr="008C2C46">
        <w:t xml:space="preserve">, nastavení a zpracování dat byla nastavena standardně. </w:t>
      </w:r>
      <w:r w:rsidR="00BA6BD5" w:rsidRPr="008C2C46">
        <w:t>Na základě analýzy nebyla pozorována žádná kontaminace</w:t>
      </w:r>
      <w:r w:rsidR="00B2369D" w:rsidRPr="008C2C46">
        <w:t>; wild type vzorky obsahoval 0,17 % varianty c.395G&gt;A (n = 6), což</w:t>
      </w:r>
      <w:r w:rsidR="00B2369D">
        <w:t xml:space="preserve"> se považuje za celkovou chybu způsobenou přípravou knihovny pro sekvenování platformou Illumina</w:t>
      </w:r>
      <w:r w:rsidR="00B2369D">
        <w:fldChar w:fldCharType="begin" w:fldLock="1"/>
      </w:r>
      <w:r w:rsidR="00AD61B7">
        <w:instrText>ADDIN CSL_CITATION {"citationItems":[{"id":"ITEM-1","itemData":{"DOI":"10.4172/2469-9853.1000106","ISSN":"2469-9853","PMID":"25699289","abstract":"Next-generation DNA sequencing has revolutionized genomic studies and is driving the implementation of precision diagnostics. The ability of these technologies to disentangle sequence heterogeneity, however, is limited by their relatively high error rates. A Several single molecule barcoding strategies have been propose to reduce the overall error frequency. A Duplex Sequencing additionally exploits the fact that DNA is double-strand, with one strand reciprocally encoding the sequence information of its complement, and can eliminate nearly all sequencing errors by comparing the sequence of individually tagged amplicons derived from one strand of DNA with that of its complementary strand. This method reduces errors to fewer than one per ten million nucleotides sequenced.","author":[{"dropping-particle":"","family":"Fox","given":"Edward J","non-dropping-particle":"","parse-names":false,"suffix":""},{"dropping-particle":"","family":"Reid-Bayliss","given":"Kate S","non-dropping-particle":"","parse-names":false,"suffix":""}],"container-title":"Journal of Next Generation Sequencing &amp; Applications","id":"ITEM-1","issue":"01","issued":{"date-parts":[["2014"]]},"publisher":"OMICS Publishing Group","title":"Accuracy of Next Generation Sequencing Platforms","type":"article-journal","volume":"01"},"uris":["http://www.mendeley.com/documents/?uuid=984d2fef-362e-3c58-92dd-669cb3ff24bd"]}],"mendeley":{"formattedCitation":"&lt;sup&gt;231&lt;/sup&gt;","plainTextFormattedCitation":"231","previouslyFormattedCitation":"&lt;sup&gt;231&lt;/sup&gt;"},"properties":{"noteIndex":0},"schema":"https://github.com/citation-style-language/schema/raw/master/csl-citation.json"}</w:instrText>
      </w:r>
      <w:r w:rsidR="00B2369D">
        <w:fldChar w:fldCharType="separate"/>
      </w:r>
      <w:r w:rsidR="00B2369D" w:rsidRPr="00B2369D">
        <w:rPr>
          <w:noProof/>
          <w:vertAlign w:val="superscript"/>
        </w:rPr>
        <w:t>231</w:t>
      </w:r>
      <w:r w:rsidR="00B2369D">
        <w:fldChar w:fldCharType="end"/>
      </w:r>
      <w:r w:rsidR="00B2369D" w:rsidRPr="008C2C46">
        <w:t xml:space="preserve">. Co se týče no template/fragmentované DNA, pozorovali jsme v průměru méně než jednu variantu c.395G&gt;A a </w:t>
      </w:r>
      <w:r w:rsidR="008C2C46" w:rsidRPr="008C2C46">
        <w:t>3 ready varianty</w:t>
      </w:r>
      <w:r w:rsidR="00B2369D" w:rsidRPr="008C2C46">
        <w:t xml:space="preserve"> c.395G&gt; A (n = 12). </w:t>
      </w:r>
      <w:r w:rsidR="008C2C46" w:rsidRPr="008C2C46">
        <w:t>Za předpokladu</w:t>
      </w:r>
      <w:r w:rsidR="00B2369D" w:rsidRPr="008C2C46">
        <w:t xml:space="preserve">, že pro zpracování je zapotřebí </w:t>
      </w:r>
      <w:r w:rsidR="008C2C46" w:rsidRPr="008C2C46">
        <w:t xml:space="preserve">≥ </w:t>
      </w:r>
      <w:r w:rsidR="00B2369D" w:rsidRPr="008C2C46">
        <w:t>1000 čtení</w:t>
      </w:r>
      <w:r w:rsidR="008C2C46" w:rsidRPr="008C2C46">
        <w:t>, je kontaminace &lt; 0,3 %.</w:t>
      </w:r>
      <w:r w:rsidR="00B2369D" w:rsidRPr="008C2C46">
        <w:t xml:space="preserve"> </w:t>
      </w:r>
      <w:r w:rsidR="008C2C46" w:rsidRPr="008C2C46">
        <w:t>Analýzou byla potvrzen</w:t>
      </w:r>
      <w:r w:rsidR="002C2C9C">
        <w:t>a</w:t>
      </w:r>
      <w:r w:rsidR="008C2C46" w:rsidRPr="008C2C46">
        <w:t xml:space="preserve"> vysoká míra opakovatelnosti </w:t>
      </w:r>
      <w:r w:rsidR="00B2369D" w:rsidRPr="008C2C46">
        <w:t>a reprodukovatelnost</w:t>
      </w:r>
      <w:r w:rsidR="008C2C46" w:rsidRPr="008C2C46">
        <w:t>i u</w:t>
      </w:r>
      <w:r w:rsidR="00B2369D" w:rsidRPr="008C2C46">
        <w:t xml:space="preserve"> vzorku obsahujícího c.395G&gt; A.</w:t>
      </w:r>
      <w:r w:rsidR="00B2369D" w:rsidRPr="00B2369D">
        <w:t xml:space="preserve"> VAF </w:t>
      </w:r>
      <w:r w:rsidR="008C2C46">
        <w:t>byl roven</w:t>
      </w:r>
      <w:r w:rsidR="00B2369D" w:rsidRPr="00B2369D">
        <w:t xml:space="preserve"> 32,1% + -</w:t>
      </w:r>
      <w:r w:rsidR="008C2C46">
        <w:t xml:space="preserve"> </w:t>
      </w:r>
      <w:r w:rsidR="00B2369D" w:rsidRPr="00B2369D">
        <w:t>0,6% (n = 8, průměr + - SD).</w:t>
      </w:r>
    </w:p>
    <w:p w14:paraId="48B74A26" w14:textId="6CF8A5C5" w:rsidR="00E360F5" w:rsidRPr="00E360F5" w:rsidRDefault="009D5866" w:rsidP="00BA6BD5">
      <w:pPr>
        <w:jc w:val="both"/>
        <w:rPr>
          <w:sz w:val="20"/>
          <w:szCs w:val="20"/>
        </w:rPr>
      </w:pPr>
      <w:bookmarkStart w:id="81" w:name="_Toc67162705"/>
      <w:r w:rsidRPr="00306B65">
        <w:rPr>
          <w:b/>
          <w:bCs/>
          <w:sz w:val="20"/>
          <w:szCs w:val="20"/>
        </w:rPr>
        <w:t xml:space="preserve">Tabulka </w:t>
      </w:r>
      <w:r w:rsidRPr="00306B65">
        <w:rPr>
          <w:b/>
          <w:bCs/>
          <w:sz w:val="20"/>
          <w:szCs w:val="20"/>
        </w:rPr>
        <w:fldChar w:fldCharType="begin"/>
      </w:r>
      <w:r w:rsidRPr="00306B65">
        <w:rPr>
          <w:b/>
          <w:bCs/>
          <w:sz w:val="20"/>
          <w:szCs w:val="20"/>
        </w:rPr>
        <w:instrText xml:space="preserve"> SEQ Tabulka \* ARABIC </w:instrText>
      </w:r>
      <w:r w:rsidRPr="00306B65">
        <w:rPr>
          <w:b/>
          <w:bCs/>
          <w:sz w:val="20"/>
          <w:szCs w:val="20"/>
        </w:rPr>
        <w:fldChar w:fldCharType="separate"/>
      </w:r>
      <w:r w:rsidR="00C43719">
        <w:rPr>
          <w:b/>
          <w:bCs/>
          <w:noProof/>
          <w:sz w:val="20"/>
          <w:szCs w:val="20"/>
        </w:rPr>
        <w:t>7</w:t>
      </w:r>
      <w:r w:rsidRPr="00306B65">
        <w:rPr>
          <w:b/>
          <w:bCs/>
          <w:sz w:val="20"/>
          <w:szCs w:val="20"/>
        </w:rPr>
        <w:fldChar w:fldCharType="end"/>
      </w:r>
      <w:r w:rsidRPr="00306B65">
        <w:rPr>
          <w:b/>
          <w:bCs/>
          <w:sz w:val="20"/>
          <w:szCs w:val="20"/>
        </w:rPr>
        <w:t xml:space="preserve">: </w:t>
      </w:r>
      <w:r w:rsidR="002A522A">
        <w:rPr>
          <w:sz w:val="20"/>
          <w:szCs w:val="20"/>
        </w:rPr>
        <w:t>Kontrola kvality fast IDH assaye, byla použita data ze tří nezávislých běhů. Jako negativní kontrola byla použita ultra</w:t>
      </w:r>
      <w:r w:rsidR="00313010">
        <w:rPr>
          <w:sz w:val="20"/>
          <w:szCs w:val="20"/>
        </w:rPr>
        <w:t>zvukově</w:t>
      </w:r>
      <w:r w:rsidR="002A522A">
        <w:rPr>
          <w:sz w:val="20"/>
          <w:szCs w:val="20"/>
        </w:rPr>
        <w:t xml:space="preserve"> fragmentovaná DNA vyizolovaná z krve s mediánem velikosti fragmentace </w:t>
      </w:r>
      <w:r w:rsidR="002A522A" w:rsidRPr="002A522A">
        <w:rPr>
          <w:sz w:val="20"/>
          <w:szCs w:val="20"/>
        </w:rPr>
        <w:t>&lt;100 bp.</w:t>
      </w:r>
      <w:r w:rsidR="002A522A">
        <w:rPr>
          <w:sz w:val="20"/>
          <w:szCs w:val="20"/>
        </w:rPr>
        <w:t xml:space="preserve"> </w:t>
      </w:r>
      <w:r w:rsidR="00BA6BD5">
        <w:rPr>
          <w:sz w:val="20"/>
          <w:szCs w:val="20"/>
        </w:rPr>
        <w:t xml:space="preserve">Do sekvenační knihovny byla přidána </w:t>
      </w:r>
      <w:r w:rsidR="002A522A">
        <w:rPr>
          <w:sz w:val="20"/>
          <w:szCs w:val="20"/>
        </w:rPr>
        <w:t xml:space="preserve">kontrola </w:t>
      </w:r>
      <w:r w:rsidR="00BA6BD5">
        <w:rPr>
          <w:sz w:val="20"/>
          <w:szCs w:val="20"/>
        </w:rPr>
        <w:t xml:space="preserve">bez templátu (no template) z důvodu sledování kontaminace podle </w:t>
      </w:r>
      <w:r w:rsidR="00313010">
        <w:rPr>
          <w:sz w:val="20"/>
          <w:szCs w:val="20"/>
        </w:rPr>
        <w:t>záměny indexu (</w:t>
      </w:r>
      <w:r w:rsidR="00BA6BD5" w:rsidRPr="00313010">
        <w:rPr>
          <w:sz w:val="20"/>
          <w:szCs w:val="20"/>
        </w:rPr>
        <w:t>index hopping</w:t>
      </w:r>
      <w:r w:rsidR="00313010" w:rsidRPr="00313010">
        <w:rPr>
          <w:sz w:val="20"/>
          <w:szCs w:val="20"/>
        </w:rPr>
        <w:t>) a/nebo</w:t>
      </w:r>
      <w:r w:rsidR="00BA6BD5" w:rsidRPr="00313010">
        <w:rPr>
          <w:sz w:val="20"/>
          <w:szCs w:val="20"/>
        </w:rPr>
        <w:t xml:space="preserve"> </w:t>
      </w:r>
      <w:r w:rsidR="00313010" w:rsidRPr="00313010">
        <w:rPr>
          <w:sz w:val="20"/>
          <w:szCs w:val="20"/>
        </w:rPr>
        <w:t>kontaminace z předchozího běhu</w:t>
      </w:r>
      <w:r w:rsidR="00BA6BD5" w:rsidRPr="00313010">
        <w:rPr>
          <w:sz w:val="20"/>
          <w:szCs w:val="20"/>
        </w:rPr>
        <w:t>.</w:t>
      </w:r>
      <w:r w:rsidR="00BA6BD5">
        <w:rPr>
          <w:sz w:val="20"/>
          <w:szCs w:val="20"/>
        </w:rPr>
        <w:t xml:space="preserve"> DNA izolovaná z tkáně gliálního nádoru se známým statusem mutace IDH1/2 byla použita jako pozitivní kontrola a wild type kontrola.</w:t>
      </w:r>
      <w:bookmarkEnd w:id="81"/>
      <w:r w:rsidR="00BA6BD5">
        <w:rPr>
          <w:sz w:val="20"/>
          <w:szCs w:val="20"/>
        </w:rPr>
        <w:t xml:space="preserve"> </w:t>
      </w:r>
    </w:p>
    <w:tbl>
      <w:tblPr>
        <w:tblW w:w="9498" w:type="dxa"/>
        <w:tblCellMar>
          <w:left w:w="70" w:type="dxa"/>
          <w:right w:w="70" w:type="dxa"/>
        </w:tblCellMar>
        <w:tblLook w:val="04A0" w:firstRow="1" w:lastRow="0" w:firstColumn="1" w:lastColumn="0" w:noHBand="0" w:noVBand="1"/>
      </w:tblPr>
      <w:tblGrid>
        <w:gridCol w:w="960"/>
        <w:gridCol w:w="960"/>
        <w:gridCol w:w="2191"/>
        <w:gridCol w:w="1559"/>
        <w:gridCol w:w="1276"/>
        <w:gridCol w:w="1418"/>
        <w:gridCol w:w="1134"/>
      </w:tblGrid>
      <w:tr w:rsidR="00204189" w:rsidRPr="00B2369D" w14:paraId="295761FD" w14:textId="77777777" w:rsidTr="00204189">
        <w:trPr>
          <w:trHeight w:val="300"/>
        </w:trPr>
        <w:tc>
          <w:tcPr>
            <w:tcW w:w="960" w:type="dxa"/>
            <w:tcBorders>
              <w:top w:val="nil"/>
              <w:left w:val="nil"/>
              <w:bottom w:val="single" w:sz="4" w:space="0" w:color="auto"/>
              <w:right w:val="nil"/>
            </w:tcBorders>
            <w:shd w:val="clear" w:color="auto" w:fill="auto"/>
            <w:noWrap/>
            <w:vAlign w:val="bottom"/>
            <w:hideMark/>
          </w:tcPr>
          <w:p w14:paraId="29086A98"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ID běhu</w:t>
            </w:r>
          </w:p>
        </w:tc>
        <w:tc>
          <w:tcPr>
            <w:tcW w:w="960" w:type="dxa"/>
            <w:tcBorders>
              <w:top w:val="nil"/>
              <w:left w:val="nil"/>
              <w:bottom w:val="single" w:sz="4" w:space="0" w:color="auto"/>
              <w:right w:val="nil"/>
            </w:tcBorders>
            <w:shd w:val="clear" w:color="auto" w:fill="auto"/>
            <w:noWrap/>
            <w:vAlign w:val="bottom"/>
            <w:hideMark/>
          </w:tcPr>
          <w:p w14:paraId="42EE02B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index</w:t>
            </w:r>
          </w:p>
        </w:tc>
        <w:tc>
          <w:tcPr>
            <w:tcW w:w="2191" w:type="dxa"/>
            <w:tcBorders>
              <w:top w:val="nil"/>
              <w:left w:val="nil"/>
              <w:bottom w:val="single" w:sz="4" w:space="0" w:color="auto"/>
              <w:right w:val="nil"/>
            </w:tcBorders>
            <w:shd w:val="clear" w:color="auto" w:fill="auto"/>
            <w:noWrap/>
            <w:vAlign w:val="bottom"/>
            <w:hideMark/>
          </w:tcPr>
          <w:p w14:paraId="3FE9FFFD"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vzorek</w:t>
            </w:r>
          </w:p>
        </w:tc>
        <w:tc>
          <w:tcPr>
            <w:tcW w:w="1559" w:type="dxa"/>
            <w:tcBorders>
              <w:top w:val="nil"/>
              <w:left w:val="nil"/>
              <w:bottom w:val="single" w:sz="4" w:space="0" w:color="auto"/>
              <w:right w:val="nil"/>
            </w:tcBorders>
            <w:shd w:val="clear" w:color="auto" w:fill="auto"/>
            <w:noWrap/>
            <w:vAlign w:val="bottom"/>
            <w:hideMark/>
          </w:tcPr>
          <w:p w14:paraId="0F0E75E3"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výsledek (pokud je dostupný)</w:t>
            </w:r>
          </w:p>
        </w:tc>
        <w:tc>
          <w:tcPr>
            <w:tcW w:w="1276" w:type="dxa"/>
            <w:tcBorders>
              <w:top w:val="nil"/>
              <w:left w:val="nil"/>
              <w:bottom w:val="single" w:sz="4" w:space="0" w:color="auto"/>
              <w:right w:val="nil"/>
            </w:tcBorders>
            <w:shd w:val="clear" w:color="auto" w:fill="auto"/>
            <w:noWrap/>
            <w:vAlign w:val="bottom"/>
            <w:hideMark/>
          </w:tcPr>
          <w:p w14:paraId="38CD4B4C" w14:textId="5E11DF8B"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c.395A počet (R132H)</w:t>
            </w:r>
          </w:p>
        </w:tc>
        <w:tc>
          <w:tcPr>
            <w:tcW w:w="1418" w:type="dxa"/>
            <w:tcBorders>
              <w:top w:val="nil"/>
              <w:left w:val="nil"/>
              <w:bottom w:val="single" w:sz="4" w:space="0" w:color="auto"/>
              <w:right w:val="nil"/>
            </w:tcBorders>
            <w:shd w:val="clear" w:color="auto" w:fill="auto"/>
            <w:noWrap/>
            <w:vAlign w:val="bottom"/>
            <w:hideMark/>
          </w:tcPr>
          <w:p w14:paraId="36CE878A" w14:textId="275B927B" w:rsidR="00204189" w:rsidRPr="00B2369D" w:rsidRDefault="00E360F5"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 xml:space="preserve">celkový počet </w:t>
            </w:r>
            <w:r w:rsidR="00B2369D" w:rsidRPr="00B2369D">
              <w:rPr>
                <w:rFonts w:eastAsia="Times New Roman" w:cstheme="minorHAnsi"/>
                <w:color w:val="000000"/>
                <w:sz w:val="20"/>
                <w:szCs w:val="20"/>
              </w:rPr>
              <w:t>čtení</w:t>
            </w:r>
          </w:p>
        </w:tc>
        <w:tc>
          <w:tcPr>
            <w:tcW w:w="1134" w:type="dxa"/>
            <w:tcBorders>
              <w:top w:val="nil"/>
              <w:left w:val="nil"/>
              <w:bottom w:val="single" w:sz="4" w:space="0" w:color="auto"/>
              <w:right w:val="nil"/>
            </w:tcBorders>
            <w:shd w:val="clear" w:color="auto" w:fill="auto"/>
            <w:noWrap/>
            <w:vAlign w:val="bottom"/>
            <w:hideMark/>
          </w:tcPr>
          <w:p w14:paraId="2C32864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 xml:space="preserve">     VAF  c.395G&gt;A (R132H) </w:t>
            </w:r>
          </w:p>
        </w:tc>
      </w:tr>
      <w:tr w:rsidR="00204189" w:rsidRPr="00B2369D" w14:paraId="1A6CF3EB" w14:textId="77777777" w:rsidTr="00204189">
        <w:trPr>
          <w:trHeight w:val="300"/>
        </w:trPr>
        <w:tc>
          <w:tcPr>
            <w:tcW w:w="960" w:type="dxa"/>
            <w:tcBorders>
              <w:top w:val="nil"/>
              <w:left w:val="nil"/>
              <w:bottom w:val="nil"/>
              <w:right w:val="nil"/>
            </w:tcBorders>
            <w:shd w:val="clear" w:color="auto" w:fill="auto"/>
            <w:noWrap/>
            <w:vAlign w:val="bottom"/>
            <w:hideMark/>
          </w:tcPr>
          <w:p w14:paraId="1856DFDC"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57D6B032"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i30</w:t>
            </w:r>
          </w:p>
        </w:tc>
        <w:tc>
          <w:tcPr>
            <w:tcW w:w="2191" w:type="dxa"/>
            <w:tcBorders>
              <w:top w:val="nil"/>
              <w:left w:val="nil"/>
              <w:bottom w:val="nil"/>
              <w:right w:val="nil"/>
            </w:tcBorders>
            <w:shd w:val="clear" w:color="auto" w:fill="auto"/>
            <w:noWrap/>
            <w:vAlign w:val="bottom"/>
            <w:hideMark/>
          </w:tcPr>
          <w:p w14:paraId="62324D9F" w14:textId="66512C48"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kontr. fr. DNA </w:t>
            </w:r>
          </w:p>
        </w:tc>
        <w:tc>
          <w:tcPr>
            <w:tcW w:w="1559" w:type="dxa"/>
            <w:tcBorders>
              <w:top w:val="nil"/>
              <w:left w:val="nil"/>
              <w:bottom w:val="nil"/>
              <w:right w:val="nil"/>
            </w:tcBorders>
            <w:shd w:val="clear" w:color="auto" w:fill="auto"/>
            <w:noWrap/>
            <w:vAlign w:val="bottom"/>
            <w:hideMark/>
          </w:tcPr>
          <w:p w14:paraId="3ED8B656"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1AD7D87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6597EAD3"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134" w:type="dxa"/>
            <w:tcBorders>
              <w:top w:val="nil"/>
              <w:left w:val="nil"/>
              <w:bottom w:val="nil"/>
              <w:right w:val="nil"/>
            </w:tcBorders>
            <w:shd w:val="clear" w:color="auto" w:fill="auto"/>
            <w:noWrap/>
            <w:vAlign w:val="bottom"/>
            <w:hideMark/>
          </w:tcPr>
          <w:p w14:paraId="1018973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688DDE6E" w14:textId="77777777" w:rsidTr="00204189">
        <w:trPr>
          <w:trHeight w:val="300"/>
        </w:trPr>
        <w:tc>
          <w:tcPr>
            <w:tcW w:w="960" w:type="dxa"/>
            <w:tcBorders>
              <w:top w:val="nil"/>
              <w:left w:val="nil"/>
              <w:bottom w:val="nil"/>
              <w:right w:val="nil"/>
            </w:tcBorders>
            <w:shd w:val="clear" w:color="auto" w:fill="auto"/>
            <w:noWrap/>
            <w:vAlign w:val="bottom"/>
            <w:hideMark/>
          </w:tcPr>
          <w:p w14:paraId="60D62BED"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13600DB9"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i31</w:t>
            </w:r>
          </w:p>
        </w:tc>
        <w:tc>
          <w:tcPr>
            <w:tcW w:w="2191" w:type="dxa"/>
            <w:tcBorders>
              <w:top w:val="nil"/>
              <w:left w:val="nil"/>
              <w:bottom w:val="nil"/>
              <w:right w:val="nil"/>
            </w:tcBorders>
            <w:shd w:val="clear" w:color="auto" w:fill="auto"/>
            <w:noWrap/>
            <w:vAlign w:val="bottom"/>
            <w:hideMark/>
          </w:tcPr>
          <w:p w14:paraId="66FB37E3" w14:textId="4B3CAF2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pozitivní kontrola 1</w:t>
            </w:r>
          </w:p>
        </w:tc>
        <w:tc>
          <w:tcPr>
            <w:tcW w:w="1559" w:type="dxa"/>
            <w:tcBorders>
              <w:top w:val="nil"/>
              <w:left w:val="nil"/>
              <w:bottom w:val="nil"/>
              <w:right w:val="nil"/>
            </w:tcBorders>
            <w:shd w:val="clear" w:color="auto" w:fill="auto"/>
            <w:noWrap/>
            <w:vAlign w:val="bottom"/>
            <w:hideMark/>
          </w:tcPr>
          <w:p w14:paraId="4E9BFCD2"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513ED9B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1990</w:t>
            </w:r>
          </w:p>
        </w:tc>
        <w:tc>
          <w:tcPr>
            <w:tcW w:w="1418" w:type="dxa"/>
            <w:tcBorders>
              <w:top w:val="nil"/>
              <w:left w:val="nil"/>
              <w:bottom w:val="nil"/>
              <w:right w:val="nil"/>
            </w:tcBorders>
            <w:shd w:val="clear" w:color="auto" w:fill="auto"/>
            <w:noWrap/>
            <w:vAlign w:val="bottom"/>
            <w:hideMark/>
          </w:tcPr>
          <w:p w14:paraId="7332D14A"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6078</w:t>
            </w:r>
          </w:p>
        </w:tc>
        <w:tc>
          <w:tcPr>
            <w:tcW w:w="1134" w:type="dxa"/>
            <w:tcBorders>
              <w:top w:val="nil"/>
              <w:left w:val="nil"/>
              <w:bottom w:val="nil"/>
              <w:right w:val="nil"/>
            </w:tcBorders>
            <w:shd w:val="clear" w:color="auto" w:fill="auto"/>
            <w:noWrap/>
            <w:vAlign w:val="bottom"/>
            <w:hideMark/>
          </w:tcPr>
          <w:p w14:paraId="7F93EA3B" w14:textId="15BDCA80"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32,7%</w:t>
            </w:r>
          </w:p>
        </w:tc>
      </w:tr>
      <w:tr w:rsidR="00204189" w:rsidRPr="00B2369D" w14:paraId="27D64BEC" w14:textId="77777777" w:rsidTr="00204189">
        <w:trPr>
          <w:trHeight w:val="300"/>
        </w:trPr>
        <w:tc>
          <w:tcPr>
            <w:tcW w:w="960" w:type="dxa"/>
            <w:tcBorders>
              <w:top w:val="nil"/>
              <w:left w:val="nil"/>
              <w:bottom w:val="nil"/>
              <w:right w:val="nil"/>
            </w:tcBorders>
            <w:shd w:val="clear" w:color="auto" w:fill="auto"/>
            <w:noWrap/>
            <w:vAlign w:val="bottom"/>
            <w:hideMark/>
          </w:tcPr>
          <w:p w14:paraId="259B0BB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481C1DBA"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i32</w:t>
            </w:r>
          </w:p>
        </w:tc>
        <w:tc>
          <w:tcPr>
            <w:tcW w:w="2191" w:type="dxa"/>
            <w:tcBorders>
              <w:top w:val="nil"/>
              <w:left w:val="nil"/>
              <w:bottom w:val="nil"/>
              <w:right w:val="nil"/>
            </w:tcBorders>
            <w:shd w:val="clear" w:color="auto" w:fill="auto"/>
            <w:noWrap/>
            <w:vAlign w:val="bottom"/>
            <w:hideMark/>
          </w:tcPr>
          <w:p w14:paraId="79AD4AA6" w14:textId="292A633E"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neg. kontr. fr. DNA</w:t>
            </w:r>
          </w:p>
        </w:tc>
        <w:tc>
          <w:tcPr>
            <w:tcW w:w="1559" w:type="dxa"/>
            <w:tcBorders>
              <w:top w:val="nil"/>
              <w:left w:val="nil"/>
              <w:bottom w:val="nil"/>
              <w:right w:val="nil"/>
            </w:tcBorders>
            <w:shd w:val="clear" w:color="auto" w:fill="auto"/>
            <w:noWrap/>
            <w:vAlign w:val="bottom"/>
            <w:hideMark/>
          </w:tcPr>
          <w:p w14:paraId="0815B998"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447DB64A"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w:t>
            </w:r>
          </w:p>
        </w:tc>
        <w:tc>
          <w:tcPr>
            <w:tcW w:w="1418" w:type="dxa"/>
            <w:tcBorders>
              <w:top w:val="nil"/>
              <w:left w:val="nil"/>
              <w:bottom w:val="nil"/>
              <w:right w:val="nil"/>
            </w:tcBorders>
            <w:shd w:val="clear" w:color="auto" w:fill="auto"/>
            <w:noWrap/>
            <w:vAlign w:val="bottom"/>
            <w:hideMark/>
          </w:tcPr>
          <w:p w14:paraId="25C705F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7</w:t>
            </w:r>
          </w:p>
        </w:tc>
        <w:tc>
          <w:tcPr>
            <w:tcW w:w="1134" w:type="dxa"/>
            <w:tcBorders>
              <w:top w:val="nil"/>
              <w:left w:val="nil"/>
              <w:bottom w:val="nil"/>
              <w:right w:val="nil"/>
            </w:tcBorders>
            <w:shd w:val="clear" w:color="auto" w:fill="auto"/>
            <w:noWrap/>
            <w:vAlign w:val="bottom"/>
            <w:hideMark/>
          </w:tcPr>
          <w:p w14:paraId="5F3C5002"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60A241FF" w14:textId="77777777" w:rsidTr="00204189">
        <w:trPr>
          <w:trHeight w:val="300"/>
        </w:trPr>
        <w:tc>
          <w:tcPr>
            <w:tcW w:w="960" w:type="dxa"/>
            <w:tcBorders>
              <w:top w:val="nil"/>
              <w:left w:val="nil"/>
              <w:bottom w:val="nil"/>
              <w:right w:val="nil"/>
            </w:tcBorders>
            <w:shd w:val="clear" w:color="auto" w:fill="auto"/>
            <w:noWrap/>
            <w:vAlign w:val="bottom"/>
            <w:hideMark/>
          </w:tcPr>
          <w:p w14:paraId="632B657D"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12E1549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i33</w:t>
            </w:r>
          </w:p>
        </w:tc>
        <w:tc>
          <w:tcPr>
            <w:tcW w:w="2191" w:type="dxa"/>
            <w:tcBorders>
              <w:top w:val="nil"/>
              <w:left w:val="nil"/>
              <w:bottom w:val="nil"/>
              <w:right w:val="nil"/>
            </w:tcBorders>
            <w:shd w:val="clear" w:color="auto" w:fill="auto"/>
            <w:noWrap/>
            <w:vAlign w:val="bottom"/>
            <w:hideMark/>
          </w:tcPr>
          <w:p w14:paraId="6975DE38" w14:textId="56AED4C4"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pozitivní kontrola 1</w:t>
            </w:r>
          </w:p>
        </w:tc>
        <w:tc>
          <w:tcPr>
            <w:tcW w:w="1559" w:type="dxa"/>
            <w:tcBorders>
              <w:top w:val="nil"/>
              <w:left w:val="nil"/>
              <w:bottom w:val="nil"/>
              <w:right w:val="nil"/>
            </w:tcBorders>
            <w:shd w:val="clear" w:color="auto" w:fill="auto"/>
            <w:noWrap/>
            <w:vAlign w:val="bottom"/>
            <w:hideMark/>
          </w:tcPr>
          <w:p w14:paraId="69DAF63D"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1025719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1695</w:t>
            </w:r>
          </w:p>
        </w:tc>
        <w:tc>
          <w:tcPr>
            <w:tcW w:w="1418" w:type="dxa"/>
            <w:tcBorders>
              <w:top w:val="nil"/>
              <w:left w:val="nil"/>
              <w:bottom w:val="nil"/>
              <w:right w:val="nil"/>
            </w:tcBorders>
            <w:shd w:val="clear" w:color="auto" w:fill="auto"/>
            <w:noWrap/>
            <w:vAlign w:val="bottom"/>
            <w:hideMark/>
          </w:tcPr>
          <w:p w14:paraId="0783186E"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5294</w:t>
            </w:r>
          </w:p>
        </w:tc>
        <w:tc>
          <w:tcPr>
            <w:tcW w:w="1134" w:type="dxa"/>
            <w:tcBorders>
              <w:top w:val="nil"/>
              <w:left w:val="nil"/>
              <w:bottom w:val="nil"/>
              <w:right w:val="nil"/>
            </w:tcBorders>
            <w:shd w:val="clear" w:color="auto" w:fill="auto"/>
            <w:noWrap/>
            <w:vAlign w:val="bottom"/>
            <w:hideMark/>
          </w:tcPr>
          <w:p w14:paraId="4B4CE962" w14:textId="1B7FEF63"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32,0%</w:t>
            </w:r>
          </w:p>
        </w:tc>
      </w:tr>
      <w:tr w:rsidR="00204189" w:rsidRPr="00B2369D" w14:paraId="363E5A77" w14:textId="77777777" w:rsidTr="00204189">
        <w:trPr>
          <w:trHeight w:val="300"/>
        </w:trPr>
        <w:tc>
          <w:tcPr>
            <w:tcW w:w="960" w:type="dxa"/>
            <w:tcBorders>
              <w:top w:val="nil"/>
              <w:left w:val="nil"/>
              <w:bottom w:val="nil"/>
              <w:right w:val="nil"/>
            </w:tcBorders>
            <w:shd w:val="clear" w:color="auto" w:fill="auto"/>
            <w:noWrap/>
            <w:vAlign w:val="bottom"/>
            <w:hideMark/>
          </w:tcPr>
          <w:p w14:paraId="4BCAB4F8"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3A8D660F"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i35</w:t>
            </w:r>
          </w:p>
        </w:tc>
        <w:tc>
          <w:tcPr>
            <w:tcW w:w="2191" w:type="dxa"/>
            <w:tcBorders>
              <w:top w:val="nil"/>
              <w:left w:val="nil"/>
              <w:bottom w:val="nil"/>
              <w:right w:val="nil"/>
            </w:tcBorders>
            <w:shd w:val="clear" w:color="auto" w:fill="auto"/>
            <w:noWrap/>
            <w:vAlign w:val="bottom"/>
            <w:hideMark/>
          </w:tcPr>
          <w:p w14:paraId="5D9130BA" w14:textId="589980F4"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neg. kontr. fr. DNA</w:t>
            </w:r>
          </w:p>
        </w:tc>
        <w:tc>
          <w:tcPr>
            <w:tcW w:w="1559" w:type="dxa"/>
            <w:tcBorders>
              <w:top w:val="nil"/>
              <w:left w:val="nil"/>
              <w:bottom w:val="nil"/>
              <w:right w:val="nil"/>
            </w:tcBorders>
            <w:shd w:val="clear" w:color="auto" w:fill="auto"/>
            <w:noWrap/>
            <w:vAlign w:val="bottom"/>
            <w:hideMark/>
          </w:tcPr>
          <w:p w14:paraId="26074343"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7FAC2632"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0A424999"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134" w:type="dxa"/>
            <w:tcBorders>
              <w:top w:val="nil"/>
              <w:left w:val="nil"/>
              <w:bottom w:val="nil"/>
              <w:right w:val="nil"/>
            </w:tcBorders>
            <w:shd w:val="clear" w:color="auto" w:fill="auto"/>
            <w:noWrap/>
            <w:vAlign w:val="bottom"/>
            <w:hideMark/>
          </w:tcPr>
          <w:p w14:paraId="2C0E28C2"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276D9E95" w14:textId="77777777" w:rsidTr="00204189">
        <w:trPr>
          <w:trHeight w:val="300"/>
        </w:trPr>
        <w:tc>
          <w:tcPr>
            <w:tcW w:w="960" w:type="dxa"/>
            <w:tcBorders>
              <w:top w:val="nil"/>
              <w:left w:val="nil"/>
              <w:bottom w:val="nil"/>
              <w:right w:val="nil"/>
            </w:tcBorders>
            <w:shd w:val="clear" w:color="auto" w:fill="auto"/>
            <w:noWrap/>
            <w:vAlign w:val="bottom"/>
            <w:hideMark/>
          </w:tcPr>
          <w:p w14:paraId="112165B8"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4947F931"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i36</w:t>
            </w:r>
          </w:p>
        </w:tc>
        <w:tc>
          <w:tcPr>
            <w:tcW w:w="2191" w:type="dxa"/>
            <w:tcBorders>
              <w:top w:val="nil"/>
              <w:left w:val="nil"/>
              <w:bottom w:val="nil"/>
              <w:right w:val="nil"/>
            </w:tcBorders>
            <w:shd w:val="clear" w:color="auto" w:fill="auto"/>
            <w:noWrap/>
            <w:vAlign w:val="bottom"/>
            <w:hideMark/>
          </w:tcPr>
          <w:p w14:paraId="692FB33A" w14:textId="3975E36F"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pozitivní kontrola 1</w:t>
            </w:r>
          </w:p>
        </w:tc>
        <w:tc>
          <w:tcPr>
            <w:tcW w:w="1559" w:type="dxa"/>
            <w:tcBorders>
              <w:top w:val="nil"/>
              <w:left w:val="nil"/>
              <w:bottom w:val="nil"/>
              <w:right w:val="nil"/>
            </w:tcBorders>
            <w:shd w:val="clear" w:color="auto" w:fill="auto"/>
            <w:noWrap/>
            <w:vAlign w:val="bottom"/>
            <w:hideMark/>
          </w:tcPr>
          <w:p w14:paraId="65FB9D8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00D6F54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1853</w:t>
            </w:r>
          </w:p>
        </w:tc>
        <w:tc>
          <w:tcPr>
            <w:tcW w:w="1418" w:type="dxa"/>
            <w:tcBorders>
              <w:top w:val="nil"/>
              <w:left w:val="nil"/>
              <w:bottom w:val="nil"/>
              <w:right w:val="nil"/>
            </w:tcBorders>
            <w:shd w:val="clear" w:color="auto" w:fill="auto"/>
            <w:noWrap/>
            <w:vAlign w:val="bottom"/>
            <w:hideMark/>
          </w:tcPr>
          <w:p w14:paraId="518C3EDE"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5663</w:t>
            </w:r>
          </w:p>
        </w:tc>
        <w:tc>
          <w:tcPr>
            <w:tcW w:w="1134" w:type="dxa"/>
            <w:tcBorders>
              <w:top w:val="nil"/>
              <w:left w:val="nil"/>
              <w:bottom w:val="nil"/>
              <w:right w:val="nil"/>
            </w:tcBorders>
            <w:shd w:val="clear" w:color="auto" w:fill="auto"/>
            <w:noWrap/>
            <w:vAlign w:val="bottom"/>
            <w:hideMark/>
          </w:tcPr>
          <w:p w14:paraId="0C54AC96" w14:textId="66826AE9"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32,7%</w:t>
            </w:r>
          </w:p>
        </w:tc>
      </w:tr>
      <w:tr w:rsidR="00204189" w:rsidRPr="00B2369D" w14:paraId="46084C0E" w14:textId="77777777" w:rsidTr="00204189">
        <w:trPr>
          <w:trHeight w:val="300"/>
        </w:trPr>
        <w:tc>
          <w:tcPr>
            <w:tcW w:w="960" w:type="dxa"/>
            <w:tcBorders>
              <w:top w:val="nil"/>
              <w:left w:val="nil"/>
              <w:bottom w:val="nil"/>
              <w:right w:val="nil"/>
            </w:tcBorders>
            <w:shd w:val="clear" w:color="auto" w:fill="auto"/>
            <w:noWrap/>
            <w:vAlign w:val="bottom"/>
            <w:hideMark/>
          </w:tcPr>
          <w:p w14:paraId="3369746D"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6FA43936"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i38</w:t>
            </w:r>
          </w:p>
        </w:tc>
        <w:tc>
          <w:tcPr>
            <w:tcW w:w="2191" w:type="dxa"/>
            <w:tcBorders>
              <w:top w:val="nil"/>
              <w:left w:val="nil"/>
              <w:bottom w:val="nil"/>
              <w:right w:val="nil"/>
            </w:tcBorders>
            <w:shd w:val="clear" w:color="auto" w:fill="auto"/>
            <w:noWrap/>
            <w:vAlign w:val="bottom"/>
            <w:hideMark/>
          </w:tcPr>
          <w:p w14:paraId="0A33AEA1" w14:textId="7B813A7B"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wt </w:t>
            </w:r>
            <w:r w:rsidR="00B2369D" w:rsidRPr="00B2369D">
              <w:rPr>
                <w:rFonts w:eastAsia="Times New Roman" w:cstheme="minorHAnsi"/>
                <w:color w:val="000000"/>
                <w:sz w:val="20"/>
                <w:szCs w:val="20"/>
              </w:rPr>
              <w:t>k</w:t>
            </w:r>
            <w:r w:rsidRPr="00B2369D">
              <w:rPr>
                <w:rFonts w:eastAsia="Times New Roman" w:cstheme="minorHAnsi"/>
                <w:color w:val="000000"/>
                <w:sz w:val="20"/>
                <w:szCs w:val="20"/>
              </w:rPr>
              <w:t>ontrol</w:t>
            </w:r>
            <w:r w:rsidR="00B2369D" w:rsidRPr="00B2369D">
              <w:rPr>
                <w:rFonts w:eastAsia="Times New Roman" w:cstheme="minorHAnsi"/>
                <w:color w:val="000000"/>
                <w:sz w:val="20"/>
                <w:szCs w:val="20"/>
              </w:rPr>
              <w:t>a</w:t>
            </w:r>
            <w:r w:rsidRPr="00B2369D">
              <w:rPr>
                <w:rFonts w:eastAsia="Times New Roman" w:cstheme="minorHAnsi"/>
                <w:color w:val="000000"/>
                <w:sz w:val="20"/>
                <w:szCs w:val="20"/>
              </w:rPr>
              <w:t xml:space="preserve"> 1</w:t>
            </w:r>
          </w:p>
        </w:tc>
        <w:tc>
          <w:tcPr>
            <w:tcW w:w="1559" w:type="dxa"/>
            <w:tcBorders>
              <w:top w:val="nil"/>
              <w:left w:val="nil"/>
              <w:bottom w:val="nil"/>
              <w:right w:val="nil"/>
            </w:tcBorders>
            <w:shd w:val="clear" w:color="auto" w:fill="auto"/>
            <w:noWrap/>
            <w:vAlign w:val="bottom"/>
            <w:hideMark/>
          </w:tcPr>
          <w:p w14:paraId="7BBEFA13"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wt</w:t>
            </w:r>
          </w:p>
        </w:tc>
        <w:tc>
          <w:tcPr>
            <w:tcW w:w="1276" w:type="dxa"/>
            <w:tcBorders>
              <w:top w:val="nil"/>
              <w:left w:val="nil"/>
              <w:bottom w:val="nil"/>
              <w:right w:val="nil"/>
            </w:tcBorders>
            <w:shd w:val="clear" w:color="auto" w:fill="auto"/>
            <w:noWrap/>
            <w:vAlign w:val="bottom"/>
            <w:hideMark/>
          </w:tcPr>
          <w:p w14:paraId="688CB5D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5</w:t>
            </w:r>
          </w:p>
        </w:tc>
        <w:tc>
          <w:tcPr>
            <w:tcW w:w="1418" w:type="dxa"/>
            <w:tcBorders>
              <w:top w:val="nil"/>
              <w:left w:val="nil"/>
              <w:bottom w:val="nil"/>
              <w:right w:val="nil"/>
            </w:tcBorders>
            <w:shd w:val="clear" w:color="auto" w:fill="auto"/>
            <w:noWrap/>
            <w:vAlign w:val="bottom"/>
            <w:hideMark/>
          </w:tcPr>
          <w:p w14:paraId="79280A22"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4258</w:t>
            </w:r>
          </w:p>
        </w:tc>
        <w:tc>
          <w:tcPr>
            <w:tcW w:w="1134" w:type="dxa"/>
            <w:tcBorders>
              <w:top w:val="nil"/>
              <w:left w:val="nil"/>
              <w:bottom w:val="nil"/>
              <w:right w:val="nil"/>
            </w:tcBorders>
            <w:shd w:val="clear" w:color="auto" w:fill="auto"/>
            <w:noWrap/>
            <w:vAlign w:val="bottom"/>
            <w:hideMark/>
          </w:tcPr>
          <w:p w14:paraId="1019BA2F" w14:textId="7001B4A5"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0,1%</w:t>
            </w:r>
          </w:p>
        </w:tc>
      </w:tr>
      <w:tr w:rsidR="00204189" w:rsidRPr="00B2369D" w14:paraId="5EC7D96E" w14:textId="77777777" w:rsidTr="00204189">
        <w:trPr>
          <w:trHeight w:val="300"/>
        </w:trPr>
        <w:tc>
          <w:tcPr>
            <w:tcW w:w="960" w:type="dxa"/>
            <w:tcBorders>
              <w:top w:val="nil"/>
              <w:left w:val="nil"/>
              <w:bottom w:val="nil"/>
              <w:right w:val="nil"/>
            </w:tcBorders>
            <w:shd w:val="clear" w:color="auto" w:fill="auto"/>
            <w:noWrap/>
            <w:vAlign w:val="bottom"/>
            <w:hideMark/>
          </w:tcPr>
          <w:p w14:paraId="475A8AA7"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77861323"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i41</w:t>
            </w:r>
          </w:p>
        </w:tc>
        <w:tc>
          <w:tcPr>
            <w:tcW w:w="2191" w:type="dxa"/>
            <w:tcBorders>
              <w:top w:val="nil"/>
              <w:left w:val="nil"/>
              <w:bottom w:val="nil"/>
              <w:right w:val="nil"/>
            </w:tcBorders>
            <w:shd w:val="clear" w:color="auto" w:fill="auto"/>
            <w:noWrap/>
            <w:vAlign w:val="bottom"/>
            <w:hideMark/>
          </w:tcPr>
          <w:p w14:paraId="6D992A30" w14:textId="7B970E92"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neg. kontr. fr. DNA</w:t>
            </w:r>
          </w:p>
        </w:tc>
        <w:tc>
          <w:tcPr>
            <w:tcW w:w="1559" w:type="dxa"/>
            <w:tcBorders>
              <w:top w:val="nil"/>
              <w:left w:val="nil"/>
              <w:bottom w:val="nil"/>
              <w:right w:val="nil"/>
            </w:tcBorders>
            <w:shd w:val="clear" w:color="auto" w:fill="auto"/>
            <w:noWrap/>
            <w:vAlign w:val="bottom"/>
            <w:hideMark/>
          </w:tcPr>
          <w:p w14:paraId="27F452AC"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6314653A"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w:t>
            </w:r>
          </w:p>
        </w:tc>
        <w:tc>
          <w:tcPr>
            <w:tcW w:w="1418" w:type="dxa"/>
            <w:tcBorders>
              <w:top w:val="nil"/>
              <w:left w:val="nil"/>
              <w:bottom w:val="nil"/>
              <w:right w:val="nil"/>
            </w:tcBorders>
            <w:shd w:val="clear" w:color="auto" w:fill="auto"/>
            <w:noWrap/>
            <w:vAlign w:val="bottom"/>
            <w:hideMark/>
          </w:tcPr>
          <w:p w14:paraId="207C4C9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4</w:t>
            </w:r>
          </w:p>
        </w:tc>
        <w:tc>
          <w:tcPr>
            <w:tcW w:w="1134" w:type="dxa"/>
            <w:tcBorders>
              <w:top w:val="nil"/>
              <w:left w:val="nil"/>
              <w:bottom w:val="nil"/>
              <w:right w:val="nil"/>
            </w:tcBorders>
            <w:shd w:val="clear" w:color="auto" w:fill="auto"/>
            <w:noWrap/>
            <w:vAlign w:val="bottom"/>
            <w:hideMark/>
          </w:tcPr>
          <w:p w14:paraId="5B942E7A"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6388A7C6" w14:textId="77777777" w:rsidTr="00204189">
        <w:trPr>
          <w:trHeight w:val="300"/>
        </w:trPr>
        <w:tc>
          <w:tcPr>
            <w:tcW w:w="960" w:type="dxa"/>
            <w:tcBorders>
              <w:top w:val="nil"/>
              <w:left w:val="nil"/>
              <w:bottom w:val="nil"/>
              <w:right w:val="nil"/>
            </w:tcBorders>
            <w:shd w:val="clear" w:color="auto" w:fill="auto"/>
            <w:noWrap/>
            <w:vAlign w:val="bottom"/>
            <w:hideMark/>
          </w:tcPr>
          <w:p w14:paraId="33ED4C5E"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FR124</w:t>
            </w:r>
          </w:p>
        </w:tc>
        <w:tc>
          <w:tcPr>
            <w:tcW w:w="960" w:type="dxa"/>
            <w:tcBorders>
              <w:top w:val="nil"/>
              <w:left w:val="nil"/>
              <w:bottom w:val="nil"/>
              <w:right w:val="nil"/>
            </w:tcBorders>
            <w:shd w:val="clear" w:color="auto" w:fill="auto"/>
            <w:noWrap/>
            <w:vAlign w:val="bottom"/>
            <w:hideMark/>
          </w:tcPr>
          <w:p w14:paraId="31979235"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i42</w:t>
            </w:r>
          </w:p>
        </w:tc>
        <w:tc>
          <w:tcPr>
            <w:tcW w:w="2191" w:type="dxa"/>
            <w:tcBorders>
              <w:top w:val="nil"/>
              <w:left w:val="nil"/>
              <w:bottom w:val="nil"/>
              <w:right w:val="nil"/>
            </w:tcBorders>
            <w:shd w:val="clear" w:color="auto" w:fill="auto"/>
            <w:noWrap/>
            <w:vAlign w:val="bottom"/>
            <w:hideMark/>
          </w:tcPr>
          <w:p w14:paraId="1ED0CFDA" w14:textId="07937A78"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pozitivní kontrola 1</w:t>
            </w:r>
          </w:p>
        </w:tc>
        <w:tc>
          <w:tcPr>
            <w:tcW w:w="1559" w:type="dxa"/>
            <w:tcBorders>
              <w:top w:val="nil"/>
              <w:left w:val="nil"/>
              <w:bottom w:val="nil"/>
              <w:right w:val="nil"/>
            </w:tcBorders>
            <w:shd w:val="clear" w:color="auto" w:fill="auto"/>
            <w:noWrap/>
            <w:vAlign w:val="bottom"/>
            <w:hideMark/>
          </w:tcPr>
          <w:p w14:paraId="4BC2947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wt</w:t>
            </w:r>
          </w:p>
        </w:tc>
        <w:tc>
          <w:tcPr>
            <w:tcW w:w="1276" w:type="dxa"/>
            <w:tcBorders>
              <w:top w:val="nil"/>
              <w:left w:val="nil"/>
              <w:bottom w:val="nil"/>
              <w:right w:val="nil"/>
            </w:tcBorders>
            <w:shd w:val="clear" w:color="auto" w:fill="auto"/>
            <w:noWrap/>
            <w:vAlign w:val="bottom"/>
            <w:hideMark/>
          </w:tcPr>
          <w:p w14:paraId="02C5A060"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2352</w:t>
            </w:r>
          </w:p>
        </w:tc>
        <w:tc>
          <w:tcPr>
            <w:tcW w:w="1418" w:type="dxa"/>
            <w:tcBorders>
              <w:top w:val="nil"/>
              <w:left w:val="nil"/>
              <w:bottom w:val="nil"/>
              <w:right w:val="nil"/>
            </w:tcBorders>
            <w:shd w:val="clear" w:color="auto" w:fill="auto"/>
            <w:noWrap/>
            <w:vAlign w:val="bottom"/>
            <w:hideMark/>
          </w:tcPr>
          <w:p w14:paraId="72A636D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7490</w:t>
            </w:r>
          </w:p>
        </w:tc>
        <w:tc>
          <w:tcPr>
            <w:tcW w:w="1134" w:type="dxa"/>
            <w:tcBorders>
              <w:top w:val="nil"/>
              <w:left w:val="nil"/>
              <w:bottom w:val="nil"/>
              <w:right w:val="nil"/>
            </w:tcBorders>
            <w:shd w:val="clear" w:color="auto" w:fill="auto"/>
            <w:noWrap/>
            <w:vAlign w:val="bottom"/>
            <w:hideMark/>
          </w:tcPr>
          <w:p w14:paraId="6D940B76" w14:textId="0CDD2E63"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31,4%</w:t>
            </w:r>
          </w:p>
        </w:tc>
      </w:tr>
      <w:tr w:rsidR="00204189" w:rsidRPr="00B2369D" w14:paraId="5F568B04" w14:textId="77777777" w:rsidTr="00204189">
        <w:trPr>
          <w:trHeight w:val="300"/>
        </w:trPr>
        <w:tc>
          <w:tcPr>
            <w:tcW w:w="960" w:type="dxa"/>
            <w:tcBorders>
              <w:top w:val="nil"/>
              <w:left w:val="nil"/>
              <w:bottom w:val="nil"/>
              <w:right w:val="nil"/>
            </w:tcBorders>
            <w:shd w:val="clear" w:color="auto" w:fill="auto"/>
            <w:noWrap/>
            <w:vAlign w:val="bottom"/>
            <w:hideMark/>
          </w:tcPr>
          <w:p w14:paraId="0C994527"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6EFEA40F"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i30</w:t>
            </w:r>
          </w:p>
        </w:tc>
        <w:tc>
          <w:tcPr>
            <w:tcW w:w="2191" w:type="dxa"/>
            <w:tcBorders>
              <w:top w:val="nil"/>
              <w:left w:val="nil"/>
              <w:bottom w:val="nil"/>
              <w:right w:val="nil"/>
            </w:tcBorders>
            <w:shd w:val="clear" w:color="auto" w:fill="auto"/>
            <w:noWrap/>
            <w:vAlign w:val="bottom"/>
            <w:hideMark/>
          </w:tcPr>
          <w:p w14:paraId="39E8CAD0" w14:textId="5CF0D5C0"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wt kontrola 2</w:t>
            </w:r>
          </w:p>
        </w:tc>
        <w:tc>
          <w:tcPr>
            <w:tcW w:w="1559" w:type="dxa"/>
            <w:tcBorders>
              <w:top w:val="nil"/>
              <w:left w:val="nil"/>
              <w:bottom w:val="nil"/>
              <w:right w:val="nil"/>
            </w:tcBorders>
            <w:shd w:val="clear" w:color="auto" w:fill="auto"/>
            <w:noWrap/>
            <w:vAlign w:val="bottom"/>
            <w:hideMark/>
          </w:tcPr>
          <w:p w14:paraId="32B94EAD"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wt</w:t>
            </w:r>
          </w:p>
        </w:tc>
        <w:tc>
          <w:tcPr>
            <w:tcW w:w="1276" w:type="dxa"/>
            <w:tcBorders>
              <w:top w:val="nil"/>
              <w:left w:val="nil"/>
              <w:bottom w:val="nil"/>
              <w:right w:val="nil"/>
            </w:tcBorders>
            <w:shd w:val="clear" w:color="auto" w:fill="auto"/>
            <w:noWrap/>
            <w:vAlign w:val="bottom"/>
            <w:hideMark/>
          </w:tcPr>
          <w:p w14:paraId="0A0C16C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7</w:t>
            </w:r>
          </w:p>
        </w:tc>
        <w:tc>
          <w:tcPr>
            <w:tcW w:w="1418" w:type="dxa"/>
            <w:tcBorders>
              <w:top w:val="nil"/>
              <w:left w:val="nil"/>
              <w:bottom w:val="nil"/>
              <w:right w:val="nil"/>
            </w:tcBorders>
            <w:shd w:val="clear" w:color="auto" w:fill="auto"/>
            <w:noWrap/>
            <w:vAlign w:val="bottom"/>
            <w:hideMark/>
          </w:tcPr>
          <w:p w14:paraId="0CD247D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3569</w:t>
            </w:r>
          </w:p>
        </w:tc>
        <w:tc>
          <w:tcPr>
            <w:tcW w:w="1134" w:type="dxa"/>
            <w:tcBorders>
              <w:top w:val="nil"/>
              <w:left w:val="nil"/>
              <w:bottom w:val="nil"/>
              <w:right w:val="nil"/>
            </w:tcBorders>
            <w:shd w:val="clear" w:color="auto" w:fill="auto"/>
            <w:noWrap/>
            <w:vAlign w:val="bottom"/>
            <w:hideMark/>
          </w:tcPr>
          <w:p w14:paraId="7A1A55B2" w14:textId="415B807D"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0,2%</w:t>
            </w:r>
          </w:p>
        </w:tc>
      </w:tr>
      <w:tr w:rsidR="00204189" w:rsidRPr="00B2369D" w14:paraId="4CA0DDB9" w14:textId="77777777" w:rsidTr="00204189">
        <w:trPr>
          <w:trHeight w:val="300"/>
        </w:trPr>
        <w:tc>
          <w:tcPr>
            <w:tcW w:w="960" w:type="dxa"/>
            <w:tcBorders>
              <w:top w:val="nil"/>
              <w:left w:val="nil"/>
              <w:bottom w:val="nil"/>
              <w:right w:val="nil"/>
            </w:tcBorders>
            <w:shd w:val="clear" w:color="auto" w:fill="auto"/>
            <w:noWrap/>
            <w:vAlign w:val="bottom"/>
            <w:hideMark/>
          </w:tcPr>
          <w:p w14:paraId="1620145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67B7FE34"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i32</w:t>
            </w:r>
          </w:p>
        </w:tc>
        <w:tc>
          <w:tcPr>
            <w:tcW w:w="2191" w:type="dxa"/>
            <w:tcBorders>
              <w:top w:val="nil"/>
              <w:left w:val="nil"/>
              <w:bottom w:val="nil"/>
              <w:right w:val="nil"/>
            </w:tcBorders>
            <w:shd w:val="clear" w:color="auto" w:fill="auto"/>
            <w:noWrap/>
            <w:vAlign w:val="bottom"/>
            <w:hideMark/>
          </w:tcPr>
          <w:p w14:paraId="189FF320" w14:textId="25373789"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pozitivní kontrola 1</w:t>
            </w:r>
          </w:p>
        </w:tc>
        <w:tc>
          <w:tcPr>
            <w:tcW w:w="1559" w:type="dxa"/>
            <w:tcBorders>
              <w:top w:val="nil"/>
              <w:left w:val="nil"/>
              <w:bottom w:val="nil"/>
              <w:right w:val="nil"/>
            </w:tcBorders>
            <w:shd w:val="clear" w:color="auto" w:fill="auto"/>
            <w:noWrap/>
            <w:vAlign w:val="bottom"/>
            <w:hideMark/>
          </w:tcPr>
          <w:p w14:paraId="4B3ECB1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43033C7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1290</w:t>
            </w:r>
          </w:p>
        </w:tc>
        <w:tc>
          <w:tcPr>
            <w:tcW w:w="1418" w:type="dxa"/>
            <w:tcBorders>
              <w:top w:val="nil"/>
              <w:left w:val="nil"/>
              <w:bottom w:val="nil"/>
              <w:right w:val="nil"/>
            </w:tcBorders>
            <w:shd w:val="clear" w:color="auto" w:fill="auto"/>
            <w:noWrap/>
            <w:vAlign w:val="bottom"/>
            <w:hideMark/>
          </w:tcPr>
          <w:p w14:paraId="6E32FFF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3994</w:t>
            </w:r>
          </w:p>
        </w:tc>
        <w:tc>
          <w:tcPr>
            <w:tcW w:w="1134" w:type="dxa"/>
            <w:tcBorders>
              <w:top w:val="nil"/>
              <w:left w:val="nil"/>
              <w:bottom w:val="nil"/>
              <w:right w:val="nil"/>
            </w:tcBorders>
            <w:shd w:val="clear" w:color="auto" w:fill="auto"/>
            <w:noWrap/>
            <w:vAlign w:val="bottom"/>
            <w:hideMark/>
          </w:tcPr>
          <w:p w14:paraId="359267B2" w14:textId="05C295E1"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32,3%</w:t>
            </w:r>
          </w:p>
        </w:tc>
      </w:tr>
      <w:tr w:rsidR="00204189" w:rsidRPr="00B2369D" w14:paraId="601383ED" w14:textId="77777777" w:rsidTr="00204189">
        <w:trPr>
          <w:trHeight w:val="300"/>
        </w:trPr>
        <w:tc>
          <w:tcPr>
            <w:tcW w:w="960" w:type="dxa"/>
            <w:tcBorders>
              <w:top w:val="nil"/>
              <w:left w:val="nil"/>
              <w:bottom w:val="nil"/>
              <w:right w:val="nil"/>
            </w:tcBorders>
            <w:shd w:val="clear" w:color="auto" w:fill="auto"/>
            <w:noWrap/>
            <w:vAlign w:val="bottom"/>
            <w:hideMark/>
          </w:tcPr>
          <w:p w14:paraId="5266D5AD"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4E203506"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i36</w:t>
            </w:r>
          </w:p>
        </w:tc>
        <w:tc>
          <w:tcPr>
            <w:tcW w:w="2191" w:type="dxa"/>
            <w:tcBorders>
              <w:top w:val="nil"/>
              <w:left w:val="nil"/>
              <w:bottom w:val="nil"/>
              <w:right w:val="nil"/>
            </w:tcBorders>
            <w:shd w:val="clear" w:color="auto" w:fill="auto"/>
            <w:noWrap/>
            <w:vAlign w:val="bottom"/>
            <w:hideMark/>
          </w:tcPr>
          <w:p w14:paraId="449F0597" w14:textId="2BAE100D"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wt kontrola 2</w:t>
            </w:r>
          </w:p>
        </w:tc>
        <w:tc>
          <w:tcPr>
            <w:tcW w:w="1559" w:type="dxa"/>
            <w:tcBorders>
              <w:top w:val="nil"/>
              <w:left w:val="nil"/>
              <w:bottom w:val="nil"/>
              <w:right w:val="nil"/>
            </w:tcBorders>
            <w:shd w:val="clear" w:color="auto" w:fill="auto"/>
            <w:noWrap/>
            <w:vAlign w:val="bottom"/>
            <w:hideMark/>
          </w:tcPr>
          <w:p w14:paraId="23A6469A"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wt</w:t>
            </w:r>
          </w:p>
        </w:tc>
        <w:tc>
          <w:tcPr>
            <w:tcW w:w="1276" w:type="dxa"/>
            <w:tcBorders>
              <w:top w:val="nil"/>
              <w:left w:val="nil"/>
              <w:bottom w:val="nil"/>
              <w:right w:val="nil"/>
            </w:tcBorders>
            <w:shd w:val="clear" w:color="auto" w:fill="auto"/>
            <w:noWrap/>
            <w:vAlign w:val="bottom"/>
            <w:hideMark/>
          </w:tcPr>
          <w:p w14:paraId="3CEF462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w:t>
            </w:r>
          </w:p>
        </w:tc>
        <w:tc>
          <w:tcPr>
            <w:tcW w:w="1418" w:type="dxa"/>
            <w:tcBorders>
              <w:top w:val="nil"/>
              <w:left w:val="nil"/>
              <w:bottom w:val="nil"/>
              <w:right w:val="nil"/>
            </w:tcBorders>
            <w:shd w:val="clear" w:color="auto" w:fill="auto"/>
            <w:noWrap/>
            <w:vAlign w:val="bottom"/>
            <w:hideMark/>
          </w:tcPr>
          <w:p w14:paraId="4262451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1268</w:t>
            </w:r>
          </w:p>
        </w:tc>
        <w:tc>
          <w:tcPr>
            <w:tcW w:w="1134" w:type="dxa"/>
            <w:tcBorders>
              <w:top w:val="nil"/>
              <w:left w:val="nil"/>
              <w:bottom w:val="nil"/>
              <w:right w:val="nil"/>
            </w:tcBorders>
            <w:shd w:val="clear" w:color="auto" w:fill="auto"/>
            <w:noWrap/>
            <w:vAlign w:val="bottom"/>
            <w:hideMark/>
          </w:tcPr>
          <w:p w14:paraId="4F00784A" w14:textId="39901526"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0,2%</w:t>
            </w:r>
          </w:p>
        </w:tc>
      </w:tr>
      <w:tr w:rsidR="00204189" w:rsidRPr="00B2369D" w14:paraId="6C386224" w14:textId="77777777" w:rsidTr="00204189">
        <w:trPr>
          <w:trHeight w:val="300"/>
        </w:trPr>
        <w:tc>
          <w:tcPr>
            <w:tcW w:w="960" w:type="dxa"/>
            <w:tcBorders>
              <w:top w:val="nil"/>
              <w:left w:val="nil"/>
              <w:bottom w:val="nil"/>
              <w:right w:val="nil"/>
            </w:tcBorders>
            <w:shd w:val="clear" w:color="auto" w:fill="auto"/>
            <w:noWrap/>
            <w:vAlign w:val="bottom"/>
            <w:hideMark/>
          </w:tcPr>
          <w:p w14:paraId="67B8FB27"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3E88022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i38</w:t>
            </w:r>
          </w:p>
        </w:tc>
        <w:tc>
          <w:tcPr>
            <w:tcW w:w="2191" w:type="dxa"/>
            <w:tcBorders>
              <w:top w:val="nil"/>
              <w:left w:val="nil"/>
              <w:bottom w:val="nil"/>
              <w:right w:val="nil"/>
            </w:tcBorders>
            <w:shd w:val="clear" w:color="auto" w:fill="auto"/>
            <w:noWrap/>
            <w:vAlign w:val="bottom"/>
            <w:hideMark/>
          </w:tcPr>
          <w:p w14:paraId="02C6623E" w14:textId="18D53758"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w:t>
            </w:r>
            <w:r w:rsidR="00345350" w:rsidRPr="00B2369D">
              <w:rPr>
                <w:rFonts w:eastAsia="Times New Roman" w:cstheme="minorHAnsi"/>
                <w:color w:val="000000"/>
                <w:sz w:val="20"/>
                <w:szCs w:val="20"/>
              </w:rPr>
              <w:t>zitivní</w:t>
            </w:r>
            <w:r w:rsidRPr="00B2369D">
              <w:rPr>
                <w:rFonts w:eastAsia="Times New Roman" w:cstheme="minorHAnsi"/>
                <w:color w:val="000000"/>
                <w:sz w:val="20"/>
                <w:szCs w:val="20"/>
              </w:rPr>
              <w:t xml:space="preserve"> kontrola 1</w:t>
            </w:r>
          </w:p>
        </w:tc>
        <w:tc>
          <w:tcPr>
            <w:tcW w:w="1559" w:type="dxa"/>
            <w:tcBorders>
              <w:top w:val="nil"/>
              <w:left w:val="nil"/>
              <w:bottom w:val="nil"/>
              <w:right w:val="nil"/>
            </w:tcBorders>
            <w:shd w:val="clear" w:color="auto" w:fill="auto"/>
            <w:noWrap/>
            <w:vAlign w:val="bottom"/>
            <w:hideMark/>
          </w:tcPr>
          <w:p w14:paraId="0FB3851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7506AA43"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1539</w:t>
            </w:r>
          </w:p>
        </w:tc>
        <w:tc>
          <w:tcPr>
            <w:tcW w:w="1418" w:type="dxa"/>
            <w:tcBorders>
              <w:top w:val="nil"/>
              <w:left w:val="nil"/>
              <w:bottom w:val="nil"/>
              <w:right w:val="nil"/>
            </w:tcBorders>
            <w:shd w:val="clear" w:color="auto" w:fill="auto"/>
            <w:noWrap/>
            <w:vAlign w:val="bottom"/>
            <w:hideMark/>
          </w:tcPr>
          <w:p w14:paraId="1BBEBF6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4829</w:t>
            </w:r>
          </w:p>
        </w:tc>
        <w:tc>
          <w:tcPr>
            <w:tcW w:w="1134" w:type="dxa"/>
            <w:tcBorders>
              <w:top w:val="nil"/>
              <w:left w:val="nil"/>
              <w:bottom w:val="nil"/>
              <w:right w:val="nil"/>
            </w:tcBorders>
            <w:shd w:val="clear" w:color="auto" w:fill="auto"/>
            <w:noWrap/>
            <w:vAlign w:val="bottom"/>
            <w:hideMark/>
          </w:tcPr>
          <w:p w14:paraId="7FC2B8CC" w14:textId="6FDA73F4"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31,9%</w:t>
            </w:r>
          </w:p>
        </w:tc>
      </w:tr>
      <w:tr w:rsidR="00204189" w:rsidRPr="00B2369D" w14:paraId="6EAF62C6" w14:textId="77777777" w:rsidTr="00204189">
        <w:trPr>
          <w:trHeight w:val="300"/>
        </w:trPr>
        <w:tc>
          <w:tcPr>
            <w:tcW w:w="960" w:type="dxa"/>
            <w:tcBorders>
              <w:top w:val="nil"/>
              <w:left w:val="nil"/>
              <w:bottom w:val="nil"/>
              <w:right w:val="nil"/>
            </w:tcBorders>
            <w:shd w:val="clear" w:color="auto" w:fill="auto"/>
            <w:noWrap/>
            <w:vAlign w:val="bottom"/>
            <w:hideMark/>
          </w:tcPr>
          <w:p w14:paraId="4A19FEFB"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6257BF6B"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i36</w:t>
            </w:r>
          </w:p>
        </w:tc>
        <w:tc>
          <w:tcPr>
            <w:tcW w:w="2191" w:type="dxa"/>
            <w:tcBorders>
              <w:top w:val="nil"/>
              <w:left w:val="nil"/>
              <w:bottom w:val="nil"/>
              <w:right w:val="nil"/>
            </w:tcBorders>
            <w:shd w:val="clear" w:color="auto" w:fill="auto"/>
            <w:noWrap/>
            <w:vAlign w:val="bottom"/>
            <w:hideMark/>
          </w:tcPr>
          <w:p w14:paraId="5B575CB6" w14:textId="446CAD19"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wt kontrola 2</w:t>
            </w:r>
          </w:p>
        </w:tc>
        <w:tc>
          <w:tcPr>
            <w:tcW w:w="1559" w:type="dxa"/>
            <w:tcBorders>
              <w:top w:val="nil"/>
              <w:left w:val="nil"/>
              <w:bottom w:val="nil"/>
              <w:right w:val="nil"/>
            </w:tcBorders>
            <w:shd w:val="clear" w:color="auto" w:fill="auto"/>
            <w:noWrap/>
            <w:vAlign w:val="bottom"/>
            <w:hideMark/>
          </w:tcPr>
          <w:p w14:paraId="418CA11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wt</w:t>
            </w:r>
          </w:p>
        </w:tc>
        <w:tc>
          <w:tcPr>
            <w:tcW w:w="1276" w:type="dxa"/>
            <w:tcBorders>
              <w:top w:val="nil"/>
              <w:left w:val="nil"/>
              <w:bottom w:val="nil"/>
              <w:right w:val="nil"/>
            </w:tcBorders>
            <w:shd w:val="clear" w:color="auto" w:fill="auto"/>
            <w:noWrap/>
            <w:vAlign w:val="bottom"/>
            <w:hideMark/>
          </w:tcPr>
          <w:p w14:paraId="4B0CA33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7</w:t>
            </w:r>
          </w:p>
        </w:tc>
        <w:tc>
          <w:tcPr>
            <w:tcW w:w="1418" w:type="dxa"/>
            <w:tcBorders>
              <w:top w:val="nil"/>
              <w:left w:val="nil"/>
              <w:bottom w:val="nil"/>
              <w:right w:val="nil"/>
            </w:tcBorders>
            <w:shd w:val="clear" w:color="auto" w:fill="auto"/>
            <w:noWrap/>
            <w:vAlign w:val="bottom"/>
            <w:hideMark/>
          </w:tcPr>
          <w:p w14:paraId="3EDDF668"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4761</w:t>
            </w:r>
          </w:p>
        </w:tc>
        <w:tc>
          <w:tcPr>
            <w:tcW w:w="1134" w:type="dxa"/>
            <w:tcBorders>
              <w:top w:val="nil"/>
              <w:left w:val="nil"/>
              <w:bottom w:val="nil"/>
              <w:right w:val="nil"/>
            </w:tcBorders>
            <w:shd w:val="clear" w:color="auto" w:fill="auto"/>
            <w:noWrap/>
            <w:vAlign w:val="bottom"/>
            <w:hideMark/>
          </w:tcPr>
          <w:p w14:paraId="6442B890" w14:textId="03B82F8A"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r w:rsidR="00B2369D" w:rsidRPr="00B2369D">
              <w:rPr>
                <w:rFonts w:eastAsia="Times New Roman" w:cstheme="minorHAnsi"/>
                <w:color w:val="000000"/>
                <w:sz w:val="20"/>
                <w:szCs w:val="20"/>
              </w:rPr>
              <w:t>,</w:t>
            </w:r>
            <w:r w:rsidRPr="00B2369D">
              <w:rPr>
                <w:rFonts w:eastAsia="Times New Roman" w:cstheme="minorHAnsi"/>
                <w:color w:val="000000"/>
                <w:sz w:val="20"/>
                <w:szCs w:val="20"/>
              </w:rPr>
              <w:t>1%</w:t>
            </w:r>
          </w:p>
        </w:tc>
      </w:tr>
      <w:tr w:rsidR="00204189" w:rsidRPr="00B2369D" w14:paraId="4CB9FAFE" w14:textId="77777777" w:rsidTr="00204189">
        <w:trPr>
          <w:trHeight w:val="300"/>
        </w:trPr>
        <w:tc>
          <w:tcPr>
            <w:tcW w:w="960" w:type="dxa"/>
            <w:tcBorders>
              <w:top w:val="nil"/>
              <w:left w:val="nil"/>
              <w:bottom w:val="nil"/>
              <w:right w:val="nil"/>
            </w:tcBorders>
            <w:shd w:val="clear" w:color="auto" w:fill="auto"/>
            <w:noWrap/>
            <w:vAlign w:val="bottom"/>
            <w:hideMark/>
          </w:tcPr>
          <w:p w14:paraId="596D267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4B686EBA"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i42</w:t>
            </w:r>
          </w:p>
        </w:tc>
        <w:tc>
          <w:tcPr>
            <w:tcW w:w="2191" w:type="dxa"/>
            <w:tcBorders>
              <w:top w:val="nil"/>
              <w:left w:val="nil"/>
              <w:bottom w:val="nil"/>
              <w:right w:val="nil"/>
            </w:tcBorders>
            <w:shd w:val="clear" w:color="auto" w:fill="auto"/>
            <w:noWrap/>
            <w:vAlign w:val="bottom"/>
            <w:hideMark/>
          </w:tcPr>
          <w:p w14:paraId="006CBFD3" w14:textId="09966144"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pozitivní kontrola 1</w:t>
            </w:r>
          </w:p>
        </w:tc>
        <w:tc>
          <w:tcPr>
            <w:tcW w:w="1559" w:type="dxa"/>
            <w:tcBorders>
              <w:top w:val="nil"/>
              <w:left w:val="nil"/>
              <w:bottom w:val="nil"/>
              <w:right w:val="nil"/>
            </w:tcBorders>
            <w:shd w:val="clear" w:color="auto" w:fill="auto"/>
            <w:noWrap/>
            <w:vAlign w:val="bottom"/>
            <w:hideMark/>
          </w:tcPr>
          <w:p w14:paraId="6707A47E"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2B3E6160"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1651</w:t>
            </w:r>
          </w:p>
        </w:tc>
        <w:tc>
          <w:tcPr>
            <w:tcW w:w="1418" w:type="dxa"/>
            <w:tcBorders>
              <w:top w:val="nil"/>
              <w:left w:val="nil"/>
              <w:bottom w:val="nil"/>
              <w:right w:val="nil"/>
            </w:tcBorders>
            <w:shd w:val="clear" w:color="auto" w:fill="auto"/>
            <w:noWrap/>
            <w:vAlign w:val="bottom"/>
            <w:hideMark/>
          </w:tcPr>
          <w:p w14:paraId="132A588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5077</w:t>
            </w:r>
          </w:p>
        </w:tc>
        <w:tc>
          <w:tcPr>
            <w:tcW w:w="1134" w:type="dxa"/>
            <w:tcBorders>
              <w:top w:val="nil"/>
              <w:left w:val="nil"/>
              <w:bottom w:val="nil"/>
              <w:right w:val="nil"/>
            </w:tcBorders>
            <w:shd w:val="clear" w:color="auto" w:fill="auto"/>
            <w:noWrap/>
            <w:vAlign w:val="bottom"/>
            <w:hideMark/>
          </w:tcPr>
          <w:p w14:paraId="5A92CC71" w14:textId="6108E135"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32</w:t>
            </w:r>
            <w:r w:rsidR="00B2369D" w:rsidRPr="00B2369D">
              <w:rPr>
                <w:rFonts w:eastAsia="Times New Roman" w:cstheme="minorHAnsi"/>
                <w:color w:val="000000"/>
                <w:sz w:val="20"/>
                <w:szCs w:val="20"/>
              </w:rPr>
              <w:t>,</w:t>
            </w:r>
            <w:r w:rsidRPr="00B2369D">
              <w:rPr>
                <w:rFonts w:eastAsia="Times New Roman" w:cstheme="minorHAnsi"/>
                <w:color w:val="000000"/>
                <w:sz w:val="20"/>
                <w:szCs w:val="20"/>
              </w:rPr>
              <w:t>5%</w:t>
            </w:r>
          </w:p>
        </w:tc>
      </w:tr>
      <w:tr w:rsidR="00204189" w:rsidRPr="00B2369D" w14:paraId="4A64E62D" w14:textId="77777777" w:rsidTr="00204189">
        <w:trPr>
          <w:trHeight w:val="300"/>
        </w:trPr>
        <w:tc>
          <w:tcPr>
            <w:tcW w:w="960" w:type="dxa"/>
            <w:tcBorders>
              <w:top w:val="nil"/>
              <w:left w:val="nil"/>
              <w:bottom w:val="nil"/>
              <w:right w:val="nil"/>
            </w:tcBorders>
            <w:shd w:val="clear" w:color="auto" w:fill="auto"/>
            <w:noWrap/>
            <w:vAlign w:val="bottom"/>
            <w:hideMark/>
          </w:tcPr>
          <w:p w14:paraId="15DECA5A"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1F059DA3"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i31</w:t>
            </w:r>
          </w:p>
        </w:tc>
        <w:tc>
          <w:tcPr>
            <w:tcW w:w="2191" w:type="dxa"/>
            <w:tcBorders>
              <w:top w:val="nil"/>
              <w:left w:val="nil"/>
              <w:bottom w:val="nil"/>
              <w:right w:val="nil"/>
            </w:tcBorders>
            <w:shd w:val="clear" w:color="auto" w:fill="auto"/>
            <w:noWrap/>
            <w:vAlign w:val="bottom"/>
            <w:hideMark/>
          </w:tcPr>
          <w:p w14:paraId="357D3FDF" w14:textId="3CC79DC3"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210816B2"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4E5B657B"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2351101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15</w:t>
            </w:r>
          </w:p>
        </w:tc>
        <w:tc>
          <w:tcPr>
            <w:tcW w:w="1134" w:type="dxa"/>
            <w:tcBorders>
              <w:top w:val="nil"/>
              <w:left w:val="nil"/>
              <w:bottom w:val="nil"/>
              <w:right w:val="nil"/>
            </w:tcBorders>
            <w:shd w:val="clear" w:color="auto" w:fill="auto"/>
            <w:noWrap/>
            <w:vAlign w:val="bottom"/>
            <w:hideMark/>
          </w:tcPr>
          <w:p w14:paraId="77E2946C"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54C2D57E" w14:textId="77777777" w:rsidTr="00204189">
        <w:trPr>
          <w:trHeight w:val="300"/>
        </w:trPr>
        <w:tc>
          <w:tcPr>
            <w:tcW w:w="960" w:type="dxa"/>
            <w:tcBorders>
              <w:top w:val="nil"/>
              <w:left w:val="nil"/>
              <w:bottom w:val="nil"/>
              <w:right w:val="nil"/>
            </w:tcBorders>
            <w:shd w:val="clear" w:color="auto" w:fill="auto"/>
            <w:noWrap/>
            <w:vAlign w:val="bottom"/>
            <w:hideMark/>
          </w:tcPr>
          <w:p w14:paraId="1BDF1867"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58B7E8E7"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i33</w:t>
            </w:r>
          </w:p>
        </w:tc>
        <w:tc>
          <w:tcPr>
            <w:tcW w:w="2191" w:type="dxa"/>
            <w:tcBorders>
              <w:top w:val="nil"/>
              <w:left w:val="nil"/>
              <w:bottom w:val="nil"/>
              <w:right w:val="nil"/>
            </w:tcBorders>
            <w:shd w:val="clear" w:color="auto" w:fill="auto"/>
            <w:noWrap/>
            <w:vAlign w:val="bottom"/>
            <w:hideMark/>
          </w:tcPr>
          <w:p w14:paraId="226EDCAE" w14:textId="70D329FF"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1214D53B"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4444FFFD"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261D78A9"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134" w:type="dxa"/>
            <w:tcBorders>
              <w:top w:val="nil"/>
              <w:left w:val="nil"/>
              <w:bottom w:val="nil"/>
              <w:right w:val="nil"/>
            </w:tcBorders>
            <w:shd w:val="clear" w:color="auto" w:fill="auto"/>
            <w:noWrap/>
            <w:vAlign w:val="bottom"/>
            <w:hideMark/>
          </w:tcPr>
          <w:p w14:paraId="53AAA683"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4C17EFA0" w14:textId="77777777" w:rsidTr="00204189">
        <w:trPr>
          <w:trHeight w:val="300"/>
        </w:trPr>
        <w:tc>
          <w:tcPr>
            <w:tcW w:w="960" w:type="dxa"/>
            <w:tcBorders>
              <w:top w:val="nil"/>
              <w:left w:val="nil"/>
              <w:bottom w:val="nil"/>
              <w:right w:val="nil"/>
            </w:tcBorders>
            <w:shd w:val="clear" w:color="auto" w:fill="auto"/>
            <w:noWrap/>
            <w:vAlign w:val="bottom"/>
            <w:hideMark/>
          </w:tcPr>
          <w:p w14:paraId="51851DD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FR122</w:t>
            </w:r>
          </w:p>
        </w:tc>
        <w:tc>
          <w:tcPr>
            <w:tcW w:w="960" w:type="dxa"/>
            <w:tcBorders>
              <w:top w:val="nil"/>
              <w:left w:val="nil"/>
              <w:bottom w:val="nil"/>
              <w:right w:val="nil"/>
            </w:tcBorders>
            <w:shd w:val="clear" w:color="auto" w:fill="auto"/>
            <w:noWrap/>
            <w:vAlign w:val="bottom"/>
            <w:hideMark/>
          </w:tcPr>
          <w:p w14:paraId="7AD582A2"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i35</w:t>
            </w:r>
          </w:p>
        </w:tc>
        <w:tc>
          <w:tcPr>
            <w:tcW w:w="2191" w:type="dxa"/>
            <w:tcBorders>
              <w:top w:val="nil"/>
              <w:left w:val="nil"/>
              <w:bottom w:val="nil"/>
              <w:right w:val="nil"/>
            </w:tcBorders>
            <w:shd w:val="clear" w:color="auto" w:fill="auto"/>
            <w:noWrap/>
            <w:vAlign w:val="bottom"/>
            <w:hideMark/>
          </w:tcPr>
          <w:p w14:paraId="6C018B64" w14:textId="252A237A"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124D75FD"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40B42BB9"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5AFE369E"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134" w:type="dxa"/>
            <w:tcBorders>
              <w:top w:val="nil"/>
              <w:left w:val="nil"/>
              <w:bottom w:val="nil"/>
              <w:right w:val="nil"/>
            </w:tcBorders>
            <w:shd w:val="clear" w:color="auto" w:fill="auto"/>
            <w:noWrap/>
            <w:vAlign w:val="bottom"/>
            <w:hideMark/>
          </w:tcPr>
          <w:p w14:paraId="6582202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0909D507" w14:textId="77777777" w:rsidTr="00204189">
        <w:trPr>
          <w:trHeight w:val="300"/>
        </w:trPr>
        <w:tc>
          <w:tcPr>
            <w:tcW w:w="960" w:type="dxa"/>
            <w:tcBorders>
              <w:top w:val="nil"/>
              <w:left w:val="nil"/>
              <w:bottom w:val="nil"/>
              <w:right w:val="nil"/>
            </w:tcBorders>
            <w:shd w:val="clear" w:color="auto" w:fill="auto"/>
            <w:noWrap/>
            <w:vAlign w:val="bottom"/>
            <w:hideMark/>
          </w:tcPr>
          <w:p w14:paraId="4D50B234"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2BD15001"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i30</w:t>
            </w:r>
          </w:p>
        </w:tc>
        <w:tc>
          <w:tcPr>
            <w:tcW w:w="2191" w:type="dxa"/>
            <w:tcBorders>
              <w:top w:val="nil"/>
              <w:left w:val="nil"/>
              <w:bottom w:val="nil"/>
              <w:right w:val="nil"/>
            </w:tcBorders>
            <w:shd w:val="clear" w:color="auto" w:fill="auto"/>
            <w:noWrap/>
            <w:vAlign w:val="bottom"/>
            <w:hideMark/>
          </w:tcPr>
          <w:p w14:paraId="17F70B69" w14:textId="799A5FBD"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7B7D74D6"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16F830B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w:t>
            </w:r>
          </w:p>
        </w:tc>
        <w:tc>
          <w:tcPr>
            <w:tcW w:w="1418" w:type="dxa"/>
            <w:tcBorders>
              <w:top w:val="nil"/>
              <w:left w:val="nil"/>
              <w:bottom w:val="nil"/>
              <w:right w:val="nil"/>
            </w:tcBorders>
            <w:shd w:val="clear" w:color="auto" w:fill="auto"/>
            <w:noWrap/>
            <w:vAlign w:val="bottom"/>
            <w:hideMark/>
          </w:tcPr>
          <w:p w14:paraId="4A711FB7"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5</w:t>
            </w:r>
          </w:p>
        </w:tc>
        <w:tc>
          <w:tcPr>
            <w:tcW w:w="1134" w:type="dxa"/>
            <w:tcBorders>
              <w:top w:val="nil"/>
              <w:left w:val="nil"/>
              <w:bottom w:val="nil"/>
              <w:right w:val="nil"/>
            </w:tcBorders>
            <w:shd w:val="clear" w:color="auto" w:fill="auto"/>
            <w:noWrap/>
            <w:vAlign w:val="bottom"/>
            <w:hideMark/>
          </w:tcPr>
          <w:p w14:paraId="70DA7D67"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35EDBF0D" w14:textId="77777777" w:rsidTr="00204189">
        <w:trPr>
          <w:trHeight w:val="300"/>
        </w:trPr>
        <w:tc>
          <w:tcPr>
            <w:tcW w:w="960" w:type="dxa"/>
            <w:tcBorders>
              <w:top w:val="nil"/>
              <w:left w:val="nil"/>
              <w:bottom w:val="nil"/>
              <w:right w:val="nil"/>
            </w:tcBorders>
            <w:shd w:val="clear" w:color="auto" w:fill="auto"/>
            <w:noWrap/>
            <w:vAlign w:val="bottom"/>
            <w:hideMark/>
          </w:tcPr>
          <w:p w14:paraId="593E23B7"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3FED09D5"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i31</w:t>
            </w:r>
          </w:p>
        </w:tc>
        <w:tc>
          <w:tcPr>
            <w:tcW w:w="2191" w:type="dxa"/>
            <w:tcBorders>
              <w:top w:val="nil"/>
              <w:left w:val="nil"/>
              <w:bottom w:val="nil"/>
              <w:right w:val="nil"/>
            </w:tcBorders>
            <w:shd w:val="clear" w:color="auto" w:fill="auto"/>
            <w:noWrap/>
            <w:vAlign w:val="bottom"/>
            <w:hideMark/>
          </w:tcPr>
          <w:p w14:paraId="039F0EDE" w14:textId="6D3EA1D8"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080A1000"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0514901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00E79B4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7</w:t>
            </w:r>
          </w:p>
        </w:tc>
        <w:tc>
          <w:tcPr>
            <w:tcW w:w="1134" w:type="dxa"/>
            <w:tcBorders>
              <w:top w:val="nil"/>
              <w:left w:val="nil"/>
              <w:bottom w:val="nil"/>
              <w:right w:val="nil"/>
            </w:tcBorders>
            <w:shd w:val="clear" w:color="auto" w:fill="auto"/>
            <w:noWrap/>
            <w:vAlign w:val="bottom"/>
            <w:hideMark/>
          </w:tcPr>
          <w:p w14:paraId="503C574B"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1C9D12CD" w14:textId="77777777" w:rsidTr="00204189">
        <w:trPr>
          <w:trHeight w:val="300"/>
        </w:trPr>
        <w:tc>
          <w:tcPr>
            <w:tcW w:w="960" w:type="dxa"/>
            <w:tcBorders>
              <w:top w:val="nil"/>
              <w:left w:val="nil"/>
              <w:bottom w:val="nil"/>
              <w:right w:val="nil"/>
            </w:tcBorders>
            <w:shd w:val="clear" w:color="auto" w:fill="auto"/>
            <w:noWrap/>
            <w:vAlign w:val="bottom"/>
            <w:hideMark/>
          </w:tcPr>
          <w:p w14:paraId="7CC71CC0"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7DA6F971"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i32</w:t>
            </w:r>
          </w:p>
        </w:tc>
        <w:tc>
          <w:tcPr>
            <w:tcW w:w="2191" w:type="dxa"/>
            <w:tcBorders>
              <w:top w:val="nil"/>
              <w:left w:val="nil"/>
              <w:bottom w:val="nil"/>
              <w:right w:val="nil"/>
            </w:tcBorders>
            <w:shd w:val="clear" w:color="auto" w:fill="auto"/>
            <w:noWrap/>
            <w:vAlign w:val="bottom"/>
            <w:hideMark/>
          </w:tcPr>
          <w:p w14:paraId="09BC6275" w14:textId="53A5C072"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1B19E677"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4BAB3367"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01DFDDE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134" w:type="dxa"/>
            <w:tcBorders>
              <w:top w:val="nil"/>
              <w:left w:val="nil"/>
              <w:bottom w:val="nil"/>
              <w:right w:val="nil"/>
            </w:tcBorders>
            <w:shd w:val="clear" w:color="auto" w:fill="auto"/>
            <w:noWrap/>
            <w:vAlign w:val="bottom"/>
            <w:hideMark/>
          </w:tcPr>
          <w:p w14:paraId="04506E1D"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491C168D" w14:textId="77777777" w:rsidTr="00204189">
        <w:trPr>
          <w:trHeight w:val="300"/>
        </w:trPr>
        <w:tc>
          <w:tcPr>
            <w:tcW w:w="960" w:type="dxa"/>
            <w:tcBorders>
              <w:top w:val="nil"/>
              <w:left w:val="nil"/>
              <w:bottom w:val="nil"/>
              <w:right w:val="nil"/>
            </w:tcBorders>
            <w:shd w:val="clear" w:color="auto" w:fill="auto"/>
            <w:noWrap/>
            <w:vAlign w:val="bottom"/>
            <w:hideMark/>
          </w:tcPr>
          <w:p w14:paraId="50E6F8C9"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47E31C0F"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i33</w:t>
            </w:r>
          </w:p>
        </w:tc>
        <w:tc>
          <w:tcPr>
            <w:tcW w:w="2191" w:type="dxa"/>
            <w:tcBorders>
              <w:top w:val="nil"/>
              <w:left w:val="nil"/>
              <w:bottom w:val="nil"/>
              <w:right w:val="nil"/>
            </w:tcBorders>
            <w:shd w:val="clear" w:color="auto" w:fill="auto"/>
            <w:noWrap/>
            <w:vAlign w:val="bottom"/>
            <w:hideMark/>
          </w:tcPr>
          <w:p w14:paraId="6EB8564B" w14:textId="35A41C23"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30D37C33"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3C507B3B"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769463F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w:t>
            </w:r>
          </w:p>
        </w:tc>
        <w:tc>
          <w:tcPr>
            <w:tcW w:w="1134" w:type="dxa"/>
            <w:tcBorders>
              <w:top w:val="nil"/>
              <w:left w:val="nil"/>
              <w:bottom w:val="nil"/>
              <w:right w:val="nil"/>
            </w:tcBorders>
            <w:shd w:val="clear" w:color="auto" w:fill="auto"/>
            <w:noWrap/>
            <w:vAlign w:val="bottom"/>
            <w:hideMark/>
          </w:tcPr>
          <w:p w14:paraId="35CB08C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23A228A6" w14:textId="77777777" w:rsidTr="00204189">
        <w:trPr>
          <w:trHeight w:val="300"/>
        </w:trPr>
        <w:tc>
          <w:tcPr>
            <w:tcW w:w="960" w:type="dxa"/>
            <w:tcBorders>
              <w:top w:val="nil"/>
              <w:left w:val="nil"/>
              <w:bottom w:val="nil"/>
              <w:right w:val="nil"/>
            </w:tcBorders>
            <w:shd w:val="clear" w:color="auto" w:fill="auto"/>
            <w:noWrap/>
            <w:vAlign w:val="bottom"/>
            <w:hideMark/>
          </w:tcPr>
          <w:p w14:paraId="559A06C6"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1102B4D2"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i35</w:t>
            </w:r>
          </w:p>
        </w:tc>
        <w:tc>
          <w:tcPr>
            <w:tcW w:w="2191" w:type="dxa"/>
            <w:tcBorders>
              <w:top w:val="nil"/>
              <w:left w:val="nil"/>
              <w:bottom w:val="nil"/>
              <w:right w:val="nil"/>
            </w:tcBorders>
            <w:shd w:val="clear" w:color="auto" w:fill="auto"/>
            <w:noWrap/>
            <w:vAlign w:val="bottom"/>
            <w:hideMark/>
          </w:tcPr>
          <w:p w14:paraId="2FDF9C6E" w14:textId="46C2DBB0"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345350" w:rsidRPr="00B2369D">
              <w:rPr>
                <w:rFonts w:eastAsia="Times New Roman" w:cstheme="minorHAnsi"/>
                <w:color w:val="000000"/>
                <w:sz w:val="20"/>
                <w:szCs w:val="20"/>
              </w:rPr>
              <w:t>k</w:t>
            </w:r>
            <w:r w:rsidRPr="00B2369D">
              <w:rPr>
                <w:rFonts w:eastAsia="Times New Roman" w:cstheme="minorHAnsi"/>
                <w:color w:val="000000"/>
                <w:sz w:val="20"/>
                <w:szCs w:val="20"/>
              </w:rPr>
              <w:t>ontr. no template</w:t>
            </w:r>
          </w:p>
        </w:tc>
        <w:tc>
          <w:tcPr>
            <w:tcW w:w="1559" w:type="dxa"/>
            <w:tcBorders>
              <w:top w:val="nil"/>
              <w:left w:val="nil"/>
              <w:bottom w:val="nil"/>
              <w:right w:val="nil"/>
            </w:tcBorders>
            <w:shd w:val="clear" w:color="auto" w:fill="auto"/>
            <w:noWrap/>
            <w:vAlign w:val="bottom"/>
            <w:hideMark/>
          </w:tcPr>
          <w:p w14:paraId="3080EE05"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5D380949"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418" w:type="dxa"/>
            <w:tcBorders>
              <w:top w:val="nil"/>
              <w:left w:val="nil"/>
              <w:bottom w:val="nil"/>
              <w:right w:val="nil"/>
            </w:tcBorders>
            <w:shd w:val="clear" w:color="auto" w:fill="auto"/>
            <w:noWrap/>
            <w:vAlign w:val="bottom"/>
            <w:hideMark/>
          </w:tcPr>
          <w:p w14:paraId="49C91CB2"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p>
        </w:tc>
        <w:tc>
          <w:tcPr>
            <w:tcW w:w="1134" w:type="dxa"/>
            <w:tcBorders>
              <w:top w:val="nil"/>
              <w:left w:val="nil"/>
              <w:bottom w:val="nil"/>
              <w:right w:val="nil"/>
            </w:tcBorders>
            <w:shd w:val="clear" w:color="auto" w:fill="auto"/>
            <w:noWrap/>
            <w:vAlign w:val="bottom"/>
            <w:hideMark/>
          </w:tcPr>
          <w:p w14:paraId="435EB713"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r w:rsidR="00204189" w:rsidRPr="00B2369D" w14:paraId="214F1EDE" w14:textId="77777777" w:rsidTr="00204189">
        <w:trPr>
          <w:trHeight w:val="300"/>
        </w:trPr>
        <w:tc>
          <w:tcPr>
            <w:tcW w:w="960" w:type="dxa"/>
            <w:tcBorders>
              <w:top w:val="nil"/>
              <w:left w:val="nil"/>
              <w:bottom w:val="nil"/>
              <w:right w:val="nil"/>
            </w:tcBorders>
            <w:shd w:val="clear" w:color="auto" w:fill="auto"/>
            <w:noWrap/>
            <w:vAlign w:val="bottom"/>
            <w:hideMark/>
          </w:tcPr>
          <w:p w14:paraId="1EFE2C7E"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17FD9C7E"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i36</w:t>
            </w:r>
          </w:p>
        </w:tc>
        <w:tc>
          <w:tcPr>
            <w:tcW w:w="2191" w:type="dxa"/>
            <w:tcBorders>
              <w:top w:val="nil"/>
              <w:left w:val="nil"/>
              <w:bottom w:val="nil"/>
              <w:right w:val="nil"/>
            </w:tcBorders>
            <w:shd w:val="clear" w:color="auto" w:fill="auto"/>
            <w:noWrap/>
            <w:vAlign w:val="bottom"/>
            <w:hideMark/>
          </w:tcPr>
          <w:p w14:paraId="77694285" w14:textId="624B08B2"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w:t>
            </w:r>
            <w:r w:rsidR="00345350" w:rsidRPr="00B2369D">
              <w:rPr>
                <w:rFonts w:eastAsia="Times New Roman" w:cstheme="minorHAnsi"/>
                <w:color w:val="000000"/>
                <w:sz w:val="20"/>
                <w:szCs w:val="20"/>
              </w:rPr>
              <w:t>z</w:t>
            </w:r>
            <w:r w:rsidRPr="00B2369D">
              <w:rPr>
                <w:rFonts w:eastAsia="Times New Roman" w:cstheme="minorHAnsi"/>
                <w:color w:val="000000"/>
                <w:sz w:val="20"/>
                <w:szCs w:val="20"/>
              </w:rPr>
              <w:t>itiv</w:t>
            </w:r>
            <w:r w:rsidR="00345350" w:rsidRPr="00B2369D">
              <w:rPr>
                <w:rFonts w:eastAsia="Times New Roman" w:cstheme="minorHAnsi"/>
                <w:color w:val="000000"/>
                <w:sz w:val="20"/>
                <w:szCs w:val="20"/>
              </w:rPr>
              <w:t>ní</w:t>
            </w:r>
            <w:r w:rsidRPr="00B2369D">
              <w:rPr>
                <w:rFonts w:eastAsia="Times New Roman" w:cstheme="minorHAnsi"/>
                <w:color w:val="000000"/>
                <w:sz w:val="20"/>
                <w:szCs w:val="20"/>
              </w:rPr>
              <w:t xml:space="preserve"> </w:t>
            </w:r>
            <w:r w:rsidR="00345350" w:rsidRPr="00B2369D">
              <w:rPr>
                <w:rFonts w:eastAsia="Times New Roman" w:cstheme="minorHAnsi"/>
                <w:color w:val="000000"/>
                <w:sz w:val="20"/>
                <w:szCs w:val="20"/>
              </w:rPr>
              <w:t xml:space="preserve">kontrola </w:t>
            </w:r>
            <w:r w:rsidRPr="00B2369D">
              <w:rPr>
                <w:rFonts w:eastAsia="Times New Roman" w:cstheme="minorHAnsi"/>
                <w:color w:val="000000"/>
                <w:sz w:val="20"/>
                <w:szCs w:val="20"/>
              </w:rPr>
              <w:t>2</w:t>
            </w:r>
          </w:p>
        </w:tc>
        <w:tc>
          <w:tcPr>
            <w:tcW w:w="1559" w:type="dxa"/>
            <w:tcBorders>
              <w:top w:val="nil"/>
              <w:left w:val="nil"/>
              <w:bottom w:val="nil"/>
              <w:right w:val="nil"/>
            </w:tcBorders>
            <w:shd w:val="clear" w:color="auto" w:fill="auto"/>
            <w:noWrap/>
            <w:vAlign w:val="bottom"/>
            <w:hideMark/>
          </w:tcPr>
          <w:p w14:paraId="1C29E3BA"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0E121058"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5744</w:t>
            </w:r>
          </w:p>
        </w:tc>
        <w:tc>
          <w:tcPr>
            <w:tcW w:w="1418" w:type="dxa"/>
            <w:tcBorders>
              <w:top w:val="nil"/>
              <w:left w:val="nil"/>
              <w:bottom w:val="nil"/>
              <w:right w:val="nil"/>
            </w:tcBorders>
            <w:shd w:val="clear" w:color="auto" w:fill="auto"/>
            <w:noWrap/>
            <w:vAlign w:val="bottom"/>
            <w:hideMark/>
          </w:tcPr>
          <w:p w14:paraId="6609B52A"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14602</w:t>
            </w:r>
          </w:p>
        </w:tc>
        <w:tc>
          <w:tcPr>
            <w:tcW w:w="1134" w:type="dxa"/>
            <w:tcBorders>
              <w:top w:val="nil"/>
              <w:left w:val="nil"/>
              <w:bottom w:val="nil"/>
              <w:right w:val="nil"/>
            </w:tcBorders>
            <w:shd w:val="clear" w:color="auto" w:fill="auto"/>
            <w:noWrap/>
            <w:vAlign w:val="bottom"/>
            <w:hideMark/>
          </w:tcPr>
          <w:p w14:paraId="1D780B1D"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0,39</w:t>
            </w:r>
          </w:p>
        </w:tc>
      </w:tr>
      <w:tr w:rsidR="00204189" w:rsidRPr="00B2369D" w14:paraId="0C0C9F8D" w14:textId="77777777" w:rsidTr="00204189">
        <w:trPr>
          <w:trHeight w:val="300"/>
        </w:trPr>
        <w:tc>
          <w:tcPr>
            <w:tcW w:w="960" w:type="dxa"/>
            <w:tcBorders>
              <w:top w:val="nil"/>
              <w:left w:val="nil"/>
              <w:bottom w:val="nil"/>
              <w:right w:val="nil"/>
            </w:tcBorders>
            <w:shd w:val="clear" w:color="auto" w:fill="auto"/>
            <w:noWrap/>
            <w:vAlign w:val="bottom"/>
            <w:hideMark/>
          </w:tcPr>
          <w:p w14:paraId="7360017D"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45260641"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i38</w:t>
            </w:r>
          </w:p>
        </w:tc>
        <w:tc>
          <w:tcPr>
            <w:tcW w:w="2191" w:type="dxa"/>
            <w:tcBorders>
              <w:top w:val="nil"/>
              <w:left w:val="nil"/>
              <w:bottom w:val="nil"/>
              <w:right w:val="nil"/>
            </w:tcBorders>
            <w:shd w:val="clear" w:color="auto" w:fill="auto"/>
            <w:noWrap/>
            <w:vAlign w:val="bottom"/>
            <w:hideMark/>
          </w:tcPr>
          <w:p w14:paraId="5ECAD08A" w14:textId="1E388399"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po</w:t>
            </w:r>
            <w:r w:rsidR="00345350" w:rsidRPr="00B2369D">
              <w:rPr>
                <w:rFonts w:eastAsia="Times New Roman" w:cstheme="minorHAnsi"/>
                <w:color w:val="000000"/>
                <w:sz w:val="20"/>
                <w:szCs w:val="20"/>
              </w:rPr>
              <w:t>zitivní</w:t>
            </w:r>
            <w:r w:rsidRPr="00B2369D">
              <w:rPr>
                <w:rFonts w:eastAsia="Times New Roman" w:cstheme="minorHAnsi"/>
                <w:color w:val="000000"/>
                <w:sz w:val="20"/>
                <w:szCs w:val="20"/>
              </w:rPr>
              <w:t xml:space="preserve"> </w:t>
            </w:r>
            <w:r w:rsidR="00345350" w:rsidRPr="00B2369D">
              <w:rPr>
                <w:rFonts w:eastAsia="Times New Roman" w:cstheme="minorHAnsi"/>
                <w:color w:val="000000"/>
                <w:sz w:val="20"/>
                <w:szCs w:val="20"/>
              </w:rPr>
              <w:t xml:space="preserve">kontrola </w:t>
            </w:r>
            <w:r w:rsidRPr="00B2369D">
              <w:rPr>
                <w:rFonts w:eastAsia="Times New Roman" w:cstheme="minorHAnsi"/>
                <w:color w:val="000000"/>
                <w:sz w:val="20"/>
                <w:szCs w:val="20"/>
              </w:rPr>
              <w:t>1</w:t>
            </w:r>
          </w:p>
        </w:tc>
        <w:tc>
          <w:tcPr>
            <w:tcW w:w="1559" w:type="dxa"/>
            <w:tcBorders>
              <w:top w:val="nil"/>
              <w:left w:val="nil"/>
              <w:bottom w:val="nil"/>
              <w:right w:val="nil"/>
            </w:tcBorders>
            <w:shd w:val="clear" w:color="auto" w:fill="auto"/>
            <w:noWrap/>
            <w:vAlign w:val="bottom"/>
            <w:hideMark/>
          </w:tcPr>
          <w:p w14:paraId="25AF31AD"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IDH1 R132H</w:t>
            </w:r>
          </w:p>
        </w:tc>
        <w:tc>
          <w:tcPr>
            <w:tcW w:w="1276" w:type="dxa"/>
            <w:tcBorders>
              <w:top w:val="nil"/>
              <w:left w:val="nil"/>
              <w:bottom w:val="nil"/>
              <w:right w:val="nil"/>
            </w:tcBorders>
            <w:shd w:val="clear" w:color="auto" w:fill="auto"/>
            <w:noWrap/>
            <w:vAlign w:val="bottom"/>
            <w:hideMark/>
          </w:tcPr>
          <w:p w14:paraId="4D1170C5"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4702</w:t>
            </w:r>
          </w:p>
        </w:tc>
        <w:tc>
          <w:tcPr>
            <w:tcW w:w="1418" w:type="dxa"/>
            <w:tcBorders>
              <w:top w:val="nil"/>
              <w:left w:val="nil"/>
              <w:bottom w:val="nil"/>
              <w:right w:val="nil"/>
            </w:tcBorders>
            <w:shd w:val="clear" w:color="auto" w:fill="auto"/>
            <w:noWrap/>
            <w:vAlign w:val="bottom"/>
            <w:hideMark/>
          </w:tcPr>
          <w:p w14:paraId="312014E0"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15031</w:t>
            </w:r>
          </w:p>
        </w:tc>
        <w:tc>
          <w:tcPr>
            <w:tcW w:w="1134" w:type="dxa"/>
            <w:tcBorders>
              <w:top w:val="nil"/>
              <w:left w:val="nil"/>
              <w:bottom w:val="nil"/>
              <w:right w:val="nil"/>
            </w:tcBorders>
            <w:shd w:val="clear" w:color="auto" w:fill="auto"/>
            <w:noWrap/>
            <w:vAlign w:val="bottom"/>
            <w:hideMark/>
          </w:tcPr>
          <w:p w14:paraId="36CDB103"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0,31</w:t>
            </w:r>
          </w:p>
        </w:tc>
      </w:tr>
      <w:tr w:rsidR="00204189" w:rsidRPr="00B2369D" w14:paraId="0B141FD6" w14:textId="77777777" w:rsidTr="00204189">
        <w:trPr>
          <w:trHeight w:val="300"/>
        </w:trPr>
        <w:tc>
          <w:tcPr>
            <w:tcW w:w="960" w:type="dxa"/>
            <w:tcBorders>
              <w:top w:val="nil"/>
              <w:left w:val="nil"/>
              <w:bottom w:val="nil"/>
              <w:right w:val="nil"/>
            </w:tcBorders>
            <w:shd w:val="clear" w:color="auto" w:fill="auto"/>
            <w:noWrap/>
            <w:vAlign w:val="bottom"/>
            <w:hideMark/>
          </w:tcPr>
          <w:p w14:paraId="5B51A76F"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nil"/>
              <w:right w:val="nil"/>
            </w:tcBorders>
            <w:shd w:val="clear" w:color="auto" w:fill="auto"/>
            <w:noWrap/>
            <w:vAlign w:val="bottom"/>
            <w:hideMark/>
          </w:tcPr>
          <w:p w14:paraId="6691248A"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i41</w:t>
            </w:r>
          </w:p>
        </w:tc>
        <w:tc>
          <w:tcPr>
            <w:tcW w:w="2191" w:type="dxa"/>
            <w:tcBorders>
              <w:top w:val="nil"/>
              <w:left w:val="nil"/>
              <w:bottom w:val="nil"/>
              <w:right w:val="nil"/>
            </w:tcBorders>
            <w:shd w:val="clear" w:color="auto" w:fill="auto"/>
            <w:noWrap/>
            <w:vAlign w:val="bottom"/>
            <w:hideMark/>
          </w:tcPr>
          <w:p w14:paraId="6933AC74" w14:textId="279B6795"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wt kontrola 3</w:t>
            </w:r>
          </w:p>
        </w:tc>
        <w:tc>
          <w:tcPr>
            <w:tcW w:w="1559" w:type="dxa"/>
            <w:tcBorders>
              <w:top w:val="nil"/>
              <w:left w:val="nil"/>
              <w:bottom w:val="nil"/>
              <w:right w:val="nil"/>
            </w:tcBorders>
            <w:shd w:val="clear" w:color="auto" w:fill="auto"/>
            <w:noWrap/>
            <w:vAlign w:val="bottom"/>
            <w:hideMark/>
          </w:tcPr>
          <w:p w14:paraId="7E6BD4AC"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wt</w:t>
            </w:r>
          </w:p>
        </w:tc>
        <w:tc>
          <w:tcPr>
            <w:tcW w:w="1276" w:type="dxa"/>
            <w:tcBorders>
              <w:top w:val="nil"/>
              <w:left w:val="nil"/>
              <w:bottom w:val="nil"/>
              <w:right w:val="nil"/>
            </w:tcBorders>
            <w:shd w:val="clear" w:color="auto" w:fill="auto"/>
            <w:noWrap/>
            <w:vAlign w:val="bottom"/>
            <w:hideMark/>
          </w:tcPr>
          <w:p w14:paraId="09CAD85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26</w:t>
            </w:r>
          </w:p>
        </w:tc>
        <w:tc>
          <w:tcPr>
            <w:tcW w:w="1418" w:type="dxa"/>
            <w:tcBorders>
              <w:top w:val="nil"/>
              <w:left w:val="nil"/>
              <w:bottom w:val="nil"/>
              <w:right w:val="nil"/>
            </w:tcBorders>
            <w:shd w:val="clear" w:color="auto" w:fill="auto"/>
            <w:noWrap/>
            <w:vAlign w:val="bottom"/>
            <w:hideMark/>
          </w:tcPr>
          <w:p w14:paraId="45D9BC2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17907</w:t>
            </w:r>
          </w:p>
        </w:tc>
        <w:tc>
          <w:tcPr>
            <w:tcW w:w="1134" w:type="dxa"/>
            <w:tcBorders>
              <w:top w:val="nil"/>
              <w:left w:val="nil"/>
              <w:bottom w:val="nil"/>
              <w:right w:val="nil"/>
            </w:tcBorders>
            <w:shd w:val="clear" w:color="auto" w:fill="auto"/>
            <w:noWrap/>
            <w:vAlign w:val="bottom"/>
            <w:hideMark/>
          </w:tcPr>
          <w:p w14:paraId="4D13C908" w14:textId="3552459F"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0,1%</w:t>
            </w:r>
          </w:p>
        </w:tc>
      </w:tr>
      <w:tr w:rsidR="00204189" w:rsidRPr="00B2369D" w14:paraId="0542D78B" w14:textId="77777777" w:rsidTr="00204189">
        <w:trPr>
          <w:trHeight w:val="300"/>
        </w:trPr>
        <w:tc>
          <w:tcPr>
            <w:tcW w:w="960" w:type="dxa"/>
            <w:tcBorders>
              <w:top w:val="nil"/>
              <w:left w:val="nil"/>
              <w:bottom w:val="single" w:sz="4" w:space="0" w:color="auto"/>
              <w:right w:val="nil"/>
            </w:tcBorders>
            <w:shd w:val="clear" w:color="auto" w:fill="auto"/>
            <w:noWrap/>
            <w:vAlign w:val="bottom"/>
            <w:hideMark/>
          </w:tcPr>
          <w:p w14:paraId="1E1605BF"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FR120</w:t>
            </w:r>
          </w:p>
        </w:tc>
        <w:tc>
          <w:tcPr>
            <w:tcW w:w="960" w:type="dxa"/>
            <w:tcBorders>
              <w:top w:val="nil"/>
              <w:left w:val="nil"/>
              <w:bottom w:val="single" w:sz="4" w:space="0" w:color="auto"/>
              <w:right w:val="nil"/>
            </w:tcBorders>
            <w:shd w:val="clear" w:color="auto" w:fill="auto"/>
            <w:noWrap/>
            <w:vAlign w:val="bottom"/>
            <w:hideMark/>
          </w:tcPr>
          <w:p w14:paraId="4DE74248"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i42</w:t>
            </w:r>
          </w:p>
        </w:tc>
        <w:tc>
          <w:tcPr>
            <w:tcW w:w="2191" w:type="dxa"/>
            <w:tcBorders>
              <w:top w:val="nil"/>
              <w:left w:val="nil"/>
              <w:bottom w:val="single" w:sz="4" w:space="0" w:color="auto"/>
              <w:right w:val="nil"/>
            </w:tcBorders>
            <w:shd w:val="clear" w:color="auto" w:fill="auto"/>
            <w:noWrap/>
            <w:vAlign w:val="bottom"/>
            <w:hideMark/>
          </w:tcPr>
          <w:p w14:paraId="3BE6B274" w14:textId="29CD624A"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wt kontrola 4</w:t>
            </w:r>
          </w:p>
        </w:tc>
        <w:tc>
          <w:tcPr>
            <w:tcW w:w="1559" w:type="dxa"/>
            <w:tcBorders>
              <w:top w:val="nil"/>
              <w:left w:val="nil"/>
              <w:bottom w:val="single" w:sz="4" w:space="0" w:color="auto"/>
              <w:right w:val="nil"/>
            </w:tcBorders>
            <w:shd w:val="clear" w:color="auto" w:fill="auto"/>
            <w:noWrap/>
            <w:vAlign w:val="bottom"/>
            <w:hideMark/>
          </w:tcPr>
          <w:p w14:paraId="1C58CE0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wt</w:t>
            </w:r>
          </w:p>
        </w:tc>
        <w:tc>
          <w:tcPr>
            <w:tcW w:w="1276" w:type="dxa"/>
            <w:tcBorders>
              <w:top w:val="nil"/>
              <w:left w:val="nil"/>
              <w:bottom w:val="single" w:sz="4" w:space="0" w:color="auto"/>
              <w:right w:val="nil"/>
            </w:tcBorders>
            <w:shd w:val="clear" w:color="auto" w:fill="auto"/>
            <w:noWrap/>
            <w:vAlign w:val="bottom"/>
            <w:hideMark/>
          </w:tcPr>
          <w:p w14:paraId="15E3C93E"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18</w:t>
            </w:r>
          </w:p>
        </w:tc>
        <w:tc>
          <w:tcPr>
            <w:tcW w:w="1418" w:type="dxa"/>
            <w:tcBorders>
              <w:top w:val="nil"/>
              <w:left w:val="nil"/>
              <w:bottom w:val="single" w:sz="4" w:space="0" w:color="auto"/>
              <w:right w:val="nil"/>
            </w:tcBorders>
            <w:shd w:val="clear" w:color="auto" w:fill="auto"/>
            <w:noWrap/>
            <w:vAlign w:val="bottom"/>
            <w:hideMark/>
          </w:tcPr>
          <w:p w14:paraId="5EAC10E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15300</w:t>
            </w:r>
          </w:p>
        </w:tc>
        <w:tc>
          <w:tcPr>
            <w:tcW w:w="1134" w:type="dxa"/>
            <w:tcBorders>
              <w:top w:val="nil"/>
              <w:left w:val="nil"/>
              <w:bottom w:val="single" w:sz="4" w:space="0" w:color="auto"/>
              <w:right w:val="nil"/>
            </w:tcBorders>
            <w:shd w:val="clear" w:color="auto" w:fill="auto"/>
            <w:noWrap/>
            <w:vAlign w:val="bottom"/>
            <w:hideMark/>
          </w:tcPr>
          <w:p w14:paraId="0A12909F" w14:textId="7F8B41A8"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0,1%</w:t>
            </w:r>
          </w:p>
        </w:tc>
      </w:tr>
      <w:tr w:rsidR="00204189" w:rsidRPr="00B2369D" w14:paraId="03BE73E4" w14:textId="77777777" w:rsidTr="00204189">
        <w:trPr>
          <w:trHeight w:val="300"/>
        </w:trPr>
        <w:tc>
          <w:tcPr>
            <w:tcW w:w="960" w:type="dxa"/>
            <w:tcBorders>
              <w:top w:val="nil"/>
              <w:left w:val="nil"/>
              <w:bottom w:val="nil"/>
              <w:right w:val="nil"/>
            </w:tcBorders>
            <w:shd w:val="clear" w:color="auto" w:fill="auto"/>
            <w:noWrap/>
            <w:vAlign w:val="bottom"/>
            <w:hideMark/>
          </w:tcPr>
          <w:p w14:paraId="70539050" w14:textId="77777777" w:rsidR="00204189" w:rsidRPr="00B2369D" w:rsidRDefault="00204189" w:rsidP="00204189">
            <w:pPr>
              <w:spacing w:after="0" w:line="240" w:lineRule="auto"/>
              <w:jc w:val="center"/>
              <w:rPr>
                <w:rFonts w:eastAsia="Times New Roman" w:cstheme="minorHAnsi"/>
                <w:color w:val="000000"/>
                <w:sz w:val="20"/>
                <w:szCs w:val="20"/>
              </w:rPr>
            </w:pPr>
          </w:p>
        </w:tc>
        <w:tc>
          <w:tcPr>
            <w:tcW w:w="960" w:type="dxa"/>
            <w:tcBorders>
              <w:top w:val="nil"/>
              <w:left w:val="nil"/>
              <w:bottom w:val="nil"/>
              <w:right w:val="nil"/>
            </w:tcBorders>
            <w:shd w:val="clear" w:color="auto" w:fill="auto"/>
            <w:noWrap/>
            <w:vAlign w:val="bottom"/>
            <w:hideMark/>
          </w:tcPr>
          <w:p w14:paraId="50D43C55" w14:textId="77777777" w:rsidR="00204189" w:rsidRPr="00B2369D" w:rsidRDefault="00204189" w:rsidP="00204189">
            <w:pPr>
              <w:spacing w:after="0" w:line="240" w:lineRule="auto"/>
              <w:rPr>
                <w:rFonts w:eastAsia="Times New Roman" w:cstheme="minorHAnsi"/>
                <w:sz w:val="20"/>
                <w:szCs w:val="20"/>
              </w:rPr>
            </w:pPr>
          </w:p>
        </w:tc>
        <w:tc>
          <w:tcPr>
            <w:tcW w:w="2191" w:type="dxa"/>
            <w:tcBorders>
              <w:top w:val="nil"/>
              <w:left w:val="nil"/>
              <w:bottom w:val="nil"/>
              <w:right w:val="nil"/>
            </w:tcBorders>
            <w:shd w:val="clear" w:color="auto" w:fill="auto"/>
            <w:noWrap/>
            <w:vAlign w:val="bottom"/>
            <w:hideMark/>
          </w:tcPr>
          <w:p w14:paraId="791B58AD" w14:textId="77777777" w:rsidR="00204189" w:rsidRPr="00B2369D" w:rsidRDefault="00204189" w:rsidP="00204189">
            <w:pPr>
              <w:spacing w:after="0" w:line="240" w:lineRule="auto"/>
              <w:rPr>
                <w:rFonts w:eastAsia="Times New Roman" w:cstheme="minorHAnsi"/>
                <w:sz w:val="20"/>
                <w:szCs w:val="20"/>
              </w:rPr>
            </w:pPr>
          </w:p>
        </w:tc>
        <w:tc>
          <w:tcPr>
            <w:tcW w:w="1559" w:type="dxa"/>
            <w:tcBorders>
              <w:top w:val="nil"/>
              <w:left w:val="nil"/>
              <w:bottom w:val="nil"/>
              <w:right w:val="nil"/>
            </w:tcBorders>
            <w:shd w:val="clear" w:color="auto" w:fill="auto"/>
            <w:noWrap/>
            <w:vAlign w:val="bottom"/>
            <w:hideMark/>
          </w:tcPr>
          <w:p w14:paraId="2925CFD9" w14:textId="77777777" w:rsidR="00204189" w:rsidRPr="00B2369D" w:rsidRDefault="00204189" w:rsidP="00204189">
            <w:pPr>
              <w:spacing w:after="0" w:line="240" w:lineRule="auto"/>
              <w:rPr>
                <w:rFonts w:eastAsia="Times New Roman" w:cstheme="minorHAnsi"/>
                <w:sz w:val="20"/>
                <w:szCs w:val="20"/>
              </w:rPr>
            </w:pPr>
          </w:p>
        </w:tc>
        <w:tc>
          <w:tcPr>
            <w:tcW w:w="1276" w:type="dxa"/>
            <w:tcBorders>
              <w:top w:val="nil"/>
              <w:left w:val="nil"/>
              <w:bottom w:val="nil"/>
              <w:right w:val="nil"/>
            </w:tcBorders>
            <w:shd w:val="clear" w:color="auto" w:fill="auto"/>
            <w:noWrap/>
            <w:vAlign w:val="bottom"/>
            <w:hideMark/>
          </w:tcPr>
          <w:p w14:paraId="2AA379FF"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Average c.395A count </w:t>
            </w:r>
          </w:p>
        </w:tc>
        <w:tc>
          <w:tcPr>
            <w:tcW w:w="1418" w:type="dxa"/>
            <w:tcBorders>
              <w:top w:val="nil"/>
              <w:left w:val="nil"/>
              <w:bottom w:val="nil"/>
              <w:right w:val="nil"/>
            </w:tcBorders>
            <w:shd w:val="clear" w:color="auto" w:fill="auto"/>
            <w:noWrap/>
            <w:vAlign w:val="bottom"/>
            <w:hideMark/>
          </w:tcPr>
          <w:p w14:paraId="5C8BEE06"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Aver. total read count</w:t>
            </w:r>
          </w:p>
        </w:tc>
        <w:tc>
          <w:tcPr>
            <w:tcW w:w="1134" w:type="dxa"/>
            <w:tcBorders>
              <w:top w:val="nil"/>
              <w:left w:val="nil"/>
              <w:bottom w:val="nil"/>
              <w:right w:val="nil"/>
            </w:tcBorders>
            <w:shd w:val="clear" w:color="auto" w:fill="auto"/>
            <w:noWrap/>
            <w:vAlign w:val="bottom"/>
            <w:hideMark/>
          </w:tcPr>
          <w:p w14:paraId="7F373378" w14:textId="77777777"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VAF average +-SD</w:t>
            </w:r>
          </w:p>
        </w:tc>
      </w:tr>
      <w:tr w:rsidR="00204189" w:rsidRPr="00B2369D" w14:paraId="43EC84F4" w14:textId="77777777" w:rsidTr="00204189">
        <w:trPr>
          <w:trHeight w:val="300"/>
        </w:trPr>
        <w:tc>
          <w:tcPr>
            <w:tcW w:w="960" w:type="dxa"/>
            <w:tcBorders>
              <w:top w:val="nil"/>
              <w:left w:val="nil"/>
              <w:bottom w:val="nil"/>
              <w:right w:val="nil"/>
            </w:tcBorders>
            <w:shd w:val="clear" w:color="auto" w:fill="auto"/>
            <w:noWrap/>
            <w:vAlign w:val="bottom"/>
            <w:hideMark/>
          </w:tcPr>
          <w:p w14:paraId="3C709785" w14:textId="77777777" w:rsidR="00204189" w:rsidRPr="00B2369D" w:rsidRDefault="00204189" w:rsidP="00204189">
            <w:pPr>
              <w:spacing w:after="0" w:line="240" w:lineRule="auto"/>
              <w:rPr>
                <w:rFonts w:eastAsia="Times New Roman" w:cstheme="minorHAnsi"/>
                <w:color w:val="000000"/>
                <w:sz w:val="20"/>
                <w:szCs w:val="20"/>
              </w:rPr>
            </w:pPr>
          </w:p>
        </w:tc>
        <w:tc>
          <w:tcPr>
            <w:tcW w:w="960" w:type="dxa"/>
            <w:tcBorders>
              <w:top w:val="nil"/>
              <w:left w:val="nil"/>
              <w:bottom w:val="nil"/>
              <w:right w:val="nil"/>
            </w:tcBorders>
            <w:shd w:val="clear" w:color="auto" w:fill="auto"/>
            <w:noWrap/>
            <w:vAlign w:val="bottom"/>
            <w:hideMark/>
          </w:tcPr>
          <w:p w14:paraId="46718ACE" w14:textId="77777777" w:rsidR="00204189" w:rsidRPr="00B2369D" w:rsidRDefault="00204189" w:rsidP="00204189">
            <w:pPr>
              <w:spacing w:after="0" w:line="240" w:lineRule="auto"/>
              <w:rPr>
                <w:rFonts w:eastAsia="Times New Roman" w:cstheme="minorHAnsi"/>
                <w:sz w:val="20"/>
                <w:szCs w:val="20"/>
              </w:rPr>
            </w:pPr>
          </w:p>
        </w:tc>
        <w:tc>
          <w:tcPr>
            <w:tcW w:w="2191" w:type="dxa"/>
            <w:tcBorders>
              <w:top w:val="nil"/>
              <w:left w:val="nil"/>
              <w:bottom w:val="nil"/>
              <w:right w:val="nil"/>
            </w:tcBorders>
            <w:shd w:val="clear" w:color="auto" w:fill="auto"/>
            <w:noWrap/>
            <w:vAlign w:val="bottom"/>
            <w:hideMark/>
          </w:tcPr>
          <w:p w14:paraId="0CE6D13D" w14:textId="0FA05D3F"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IDH1 R132H po</w:t>
            </w:r>
            <w:r w:rsidR="002A522A" w:rsidRPr="00B2369D">
              <w:rPr>
                <w:rFonts w:eastAsia="Times New Roman" w:cstheme="minorHAnsi"/>
                <w:color w:val="000000"/>
                <w:sz w:val="20"/>
                <w:szCs w:val="20"/>
              </w:rPr>
              <w:t>z</w:t>
            </w:r>
            <w:r w:rsidRPr="00B2369D">
              <w:rPr>
                <w:rFonts w:eastAsia="Times New Roman" w:cstheme="minorHAnsi"/>
                <w:color w:val="000000"/>
                <w:sz w:val="20"/>
                <w:szCs w:val="20"/>
              </w:rPr>
              <w:t>itiv</w:t>
            </w:r>
            <w:r w:rsidR="002A522A" w:rsidRPr="00B2369D">
              <w:rPr>
                <w:rFonts w:eastAsia="Times New Roman" w:cstheme="minorHAnsi"/>
                <w:color w:val="000000"/>
                <w:sz w:val="20"/>
                <w:szCs w:val="20"/>
              </w:rPr>
              <w:t>ní</w:t>
            </w:r>
            <w:r w:rsidRPr="00B2369D">
              <w:rPr>
                <w:rFonts w:eastAsia="Times New Roman" w:cstheme="minorHAnsi"/>
                <w:color w:val="000000"/>
                <w:sz w:val="20"/>
                <w:szCs w:val="20"/>
              </w:rPr>
              <w:t xml:space="preserve"> </w:t>
            </w:r>
            <w:r w:rsidR="002A522A" w:rsidRPr="00B2369D">
              <w:rPr>
                <w:rFonts w:eastAsia="Times New Roman" w:cstheme="minorHAnsi"/>
                <w:color w:val="000000"/>
                <w:sz w:val="20"/>
                <w:szCs w:val="20"/>
              </w:rPr>
              <w:t>k</w:t>
            </w:r>
            <w:r w:rsidRPr="00B2369D">
              <w:rPr>
                <w:rFonts w:eastAsia="Times New Roman" w:cstheme="minorHAnsi"/>
                <w:color w:val="000000"/>
                <w:sz w:val="20"/>
                <w:szCs w:val="20"/>
              </w:rPr>
              <w:t>ontrol</w:t>
            </w:r>
            <w:r w:rsidR="002A522A" w:rsidRPr="00B2369D">
              <w:rPr>
                <w:rFonts w:eastAsia="Times New Roman" w:cstheme="minorHAnsi"/>
                <w:color w:val="000000"/>
                <w:sz w:val="20"/>
                <w:szCs w:val="20"/>
              </w:rPr>
              <w:t>a</w:t>
            </w:r>
            <w:r w:rsidRPr="00B2369D">
              <w:rPr>
                <w:rFonts w:eastAsia="Times New Roman" w:cstheme="minorHAnsi"/>
                <w:color w:val="000000"/>
                <w:sz w:val="20"/>
                <w:szCs w:val="20"/>
              </w:rPr>
              <w:t xml:space="preserve"> 1 (n=8)</w:t>
            </w:r>
          </w:p>
        </w:tc>
        <w:tc>
          <w:tcPr>
            <w:tcW w:w="1559" w:type="dxa"/>
            <w:tcBorders>
              <w:top w:val="nil"/>
              <w:left w:val="nil"/>
              <w:bottom w:val="nil"/>
              <w:right w:val="nil"/>
            </w:tcBorders>
            <w:shd w:val="clear" w:color="auto" w:fill="auto"/>
            <w:noWrap/>
            <w:vAlign w:val="bottom"/>
            <w:hideMark/>
          </w:tcPr>
          <w:p w14:paraId="0DF5C0D1"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27F2D97C"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2134</w:t>
            </w:r>
          </w:p>
        </w:tc>
        <w:tc>
          <w:tcPr>
            <w:tcW w:w="1418" w:type="dxa"/>
            <w:tcBorders>
              <w:top w:val="nil"/>
              <w:left w:val="nil"/>
              <w:bottom w:val="nil"/>
              <w:right w:val="nil"/>
            </w:tcBorders>
            <w:shd w:val="clear" w:color="auto" w:fill="auto"/>
            <w:noWrap/>
            <w:vAlign w:val="bottom"/>
            <w:hideMark/>
          </w:tcPr>
          <w:p w14:paraId="2A8E2F6F"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6131</w:t>
            </w:r>
          </w:p>
        </w:tc>
        <w:tc>
          <w:tcPr>
            <w:tcW w:w="1134" w:type="dxa"/>
            <w:tcBorders>
              <w:top w:val="nil"/>
              <w:left w:val="nil"/>
              <w:bottom w:val="nil"/>
              <w:right w:val="nil"/>
            </w:tcBorders>
            <w:shd w:val="clear" w:color="auto" w:fill="auto"/>
            <w:noWrap/>
            <w:vAlign w:val="bottom"/>
            <w:hideMark/>
          </w:tcPr>
          <w:p w14:paraId="2BBE7072" w14:textId="4124FC4B"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32</w:t>
            </w:r>
            <w:r w:rsidR="002A522A" w:rsidRPr="00B2369D">
              <w:rPr>
                <w:rFonts w:eastAsia="Times New Roman" w:cstheme="minorHAnsi"/>
                <w:color w:val="000000"/>
                <w:sz w:val="20"/>
                <w:szCs w:val="20"/>
              </w:rPr>
              <w:t>,</w:t>
            </w:r>
            <w:r w:rsidRPr="00B2369D">
              <w:rPr>
                <w:rFonts w:eastAsia="Times New Roman" w:cstheme="minorHAnsi"/>
                <w:color w:val="000000"/>
                <w:sz w:val="20"/>
                <w:szCs w:val="20"/>
              </w:rPr>
              <w:t>1% ±0</w:t>
            </w:r>
            <w:r w:rsidR="002A522A" w:rsidRPr="00B2369D">
              <w:rPr>
                <w:rFonts w:eastAsia="Times New Roman" w:cstheme="minorHAnsi"/>
                <w:color w:val="000000"/>
                <w:sz w:val="20"/>
                <w:szCs w:val="20"/>
              </w:rPr>
              <w:t>,</w:t>
            </w:r>
            <w:r w:rsidRPr="00B2369D">
              <w:rPr>
                <w:rFonts w:eastAsia="Times New Roman" w:cstheme="minorHAnsi"/>
                <w:color w:val="000000"/>
                <w:sz w:val="20"/>
                <w:szCs w:val="20"/>
              </w:rPr>
              <w:t xml:space="preserve">6% </w:t>
            </w:r>
          </w:p>
        </w:tc>
      </w:tr>
      <w:tr w:rsidR="00204189" w:rsidRPr="00B2369D" w14:paraId="21797102" w14:textId="77777777" w:rsidTr="00204189">
        <w:trPr>
          <w:trHeight w:val="300"/>
        </w:trPr>
        <w:tc>
          <w:tcPr>
            <w:tcW w:w="960" w:type="dxa"/>
            <w:tcBorders>
              <w:top w:val="nil"/>
              <w:left w:val="nil"/>
              <w:bottom w:val="nil"/>
              <w:right w:val="nil"/>
            </w:tcBorders>
            <w:shd w:val="clear" w:color="auto" w:fill="auto"/>
            <w:noWrap/>
            <w:vAlign w:val="bottom"/>
            <w:hideMark/>
          </w:tcPr>
          <w:p w14:paraId="63B55FAD" w14:textId="77777777" w:rsidR="00204189" w:rsidRPr="00B2369D" w:rsidRDefault="00204189" w:rsidP="00204189">
            <w:pPr>
              <w:spacing w:after="0" w:line="240" w:lineRule="auto"/>
              <w:jc w:val="center"/>
              <w:rPr>
                <w:rFonts w:eastAsia="Times New Roman" w:cstheme="minorHAnsi"/>
                <w:color w:val="000000"/>
                <w:sz w:val="20"/>
                <w:szCs w:val="20"/>
              </w:rPr>
            </w:pPr>
          </w:p>
        </w:tc>
        <w:tc>
          <w:tcPr>
            <w:tcW w:w="960" w:type="dxa"/>
            <w:tcBorders>
              <w:top w:val="nil"/>
              <w:left w:val="nil"/>
              <w:bottom w:val="nil"/>
              <w:right w:val="nil"/>
            </w:tcBorders>
            <w:shd w:val="clear" w:color="auto" w:fill="auto"/>
            <w:noWrap/>
            <w:vAlign w:val="bottom"/>
            <w:hideMark/>
          </w:tcPr>
          <w:p w14:paraId="40246449" w14:textId="77777777" w:rsidR="00204189" w:rsidRPr="00B2369D" w:rsidRDefault="00204189" w:rsidP="00204189">
            <w:pPr>
              <w:spacing w:after="0" w:line="240" w:lineRule="auto"/>
              <w:rPr>
                <w:rFonts w:eastAsia="Times New Roman" w:cstheme="minorHAnsi"/>
                <w:sz w:val="20"/>
                <w:szCs w:val="20"/>
              </w:rPr>
            </w:pPr>
          </w:p>
        </w:tc>
        <w:tc>
          <w:tcPr>
            <w:tcW w:w="2191" w:type="dxa"/>
            <w:tcBorders>
              <w:top w:val="nil"/>
              <w:left w:val="nil"/>
              <w:bottom w:val="nil"/>
              <w:right w:val="nil"/>
            </w:tcBorders>
            <w:shd w:val="clear" w:color="auto" w:fill="auto"/>
            <w:noWrap/>
            <w:vAlign w:val="bottom"/>
            <w:hideMark/>
          </w:tcPr>
          <w:p w14:paraId="4F2828B3" w14:textId="18E6E1F1"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wt </w:t>
            </w:r>
            <w:r w:rsidR="002A522A" w:rsidRPr="00B2369D">
              <w:rPr>
                <w:rFonts w:eastAsia="Times New Roman" w:cstheme="minorHAnsi"/>
                <w:color w:val="000000"/>
                <w:sz w:val="20"/>
                <w:szCs w:val="20"/>
              </w:rPr>
              <w:t>k</w:t>
            </w:r>
            <w:r w:rsidRPr="00B2369D">
              <w:rPr>
                <w:rFonts w:eastAsia="Times New Roman" w:cstheme="minorHAnsi"/>
                <w:color w:val="000000"/>
                <w:sz w:val="20"/>
                <w:szCs w:val="20"/>
              </w:rPr>
              <w:t>ontrol</w:t>
            </w:r>
            <w:r w:rsidR="002A522A" w:rsidRPr="00B2369D">
              <w:rPr>
                <w:rFonts w:eastAsia="Times New Roman" w:cstheme="minorHAnsi"/>
                <w:color w:val="000000"/>
                <w:sz w:val="20"/>
                <w:szCs w:val="20"/>
              </w:rPr>
              <w:t>y</w:t>
            </w:r>
            <w:r w:rsidRPr="00B2369D">
              <w:rPr>
                <w:rFonts w:eastAsia="Times New Roman" w:cstheme="minorHAnsi"/>
                <w:color w:val="000000"/>
                <w:sz w:val="20"/>
                <w:szCs w:val="20"/>
              </w:rPr>
              <w:t xml:space="preserve"> (n=6)</w:t>
            </w:r>
          </w:p>
        </w:tc>
        <w:tc>
          <w:tcPr>
            <w:tcW w:w="1559" w:type="dxa"/>
            <w:tcBorders>
              <w:top w:val="nil"/>
              <w:left w:val="nil"/>
              <w:bottom w:val="nil"/>
              <w:right w:val="nil"/>
            </w:tcBorders>
            <w:shd w:val="clear" w:color="auto" w:fill="auto"/>
            <w:noWrap/>
            <w:vAlign w:val="bottom"/>
            <w:hideMark/>
          </w:tcPr>
          <w:p w14:paraId="52AE2F3F"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7F57640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8</w:t>
            </w:r>
          </w:p>
        </w:tc>
        <w:tc>
          <w:tcPr>
            <w:tcW w:w="1418" w:type="dxa"/>
            <w:tcBorders>
              <w:top w:val="nil"/>
              <w:left w:val="nil"/>
              <w:bottom w:val="nil"/>
              <w:right w:val="nil"/>
            </w:tcBorders>
            <w:shd w:val="clear" w:color="auto" w:fill="auto"/>
            <w:noWrap/>
            <w:vAlign w:val="bottom"/>
            <w:hideMark/>
          </w:tcPr>
          <w:p w14:paraId="56A4EF61"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12259</w:t>
            </w:r>
          </w:p>
        </w:tc>
        <w:tc>
          <w:tcPr>
            <w:tcW w:w="1134" w:type="dxa"/>
            <w:tcBorders>
              <w:top w:val="nil"/>
              <w:left w:val="nil"/>
              <w:bottom w:val="nil"/>
              <w:right w:val="nil"/>
            </w:tcBorders>
            <w:shd w:val="clear" w:color="auto" w:fill="auto"/>
            <w:noWrap/>
            <w:vAlign w:val="bottom"/>
            <w:hideMark/>
          </w:tcPr>
          <w:p w14:paraId="108034E2" w14:textId="23BB17E6"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r w:rsidR="002A522A" w:rsidRPr="00B2369D">
              <w:rPr>
                <w:rFonts w:eastAsia="Times New Roman" w:cstheme="minorHAnsi"/>
                <w:color w:val="000000"/>
                <w:sz w:val="20"/>
                <w:szCs w:val="20"/>
              </w:rPr>
              <w:t>,</w:t>
            </w:r>
            <w:r w:rsidRPr="00B2369D">
              <w:rPr>
                <w:rFonts w:eastAsia="Times New Roman" w:cstheme="minorHAnsi"/>
                <w:color w:val="000000"/>
                <w:sz w:val="20"/>
                <w:szCs w:val="20"/>
              </w:rPr>
              <w:t>17%± 0</w:t>
            </w:r>
            <w:r w:rsidR="002A522A" w:rsidRPr="00B2369D">
              <w:rPr>
                <w:rFonts w:eastAsia="Times New Roman" w:cstheme="minorHAnsi"/>
                <w:color w:val="000000"/>
                <w:sz w:val="20"/>
                <w:szCs w:val="20"/>
              </w:rPr>
              <w:t>,</w:t>
            </w:r>
            <w:r w:rsidRPr="00B2369D">
              <w:rPr>
                <w:rFonts w:eastAsia="Times New Roman" w:cstheme="minorHAnsi"/>
                <w:color w:val="000000"/>
                <w:sz w:val="20"/>
                <w:szCs w:val="20"/>
              </w:rPr>
              <w:t xml:space="preserve">04%  </w:t>
            </w:r>
          </w:p>
        </w:tc>
      </w:tr>
      <w:tr w:rsidR="00204189" w:rsidRPr="00B2369D" w14:paraId="7B8C753D" w14:textId="77777777" w:rsidTr="00204189">
        <w:trPr>
          <w:trHeight w:val="300"/>
        </w:trPr>
        <w:tc>
          <w:tcPr>
            <w:tcW w:w="960" w:type="dxa"/>
            <w:tcBorders>
              <w:top w:val="nil"/>
              <w:left w:val="nil"/>
              <w:bottom w:val="nil"/>
              <w:right w:val="nil"/>
            </w:tcBorders>
            <w:shd w:val="clear" w:color="auto" w:fill="auto"/>
            <w:noWrap/>
            <w:vAlign w:val="bottom"/>
            <w:hideMark/>
          </w:tcPr>
          <w:p w14:paraId="4AF12853" w14:textId="77777777" w:rsidR="00204189" w:rsidRPr="00B2369D" w:rsidRDefault="00204189" w:rsidP="00204189">
            <w:pPr>
              <w:spacing w:after="0" w:line="240" w:lineRule="auto"/>
              <w:jc w:val="center"/>
              <w:rPr>
                <w:rFonts w:eastAsia="Times New Roman" w:cstheme="minorHAnsi"/>
                <w:color w:val="000000"/>
                <w:sz w:val="20"/>
                <w:szCs w:val="20"/>
              </w:rPr>
            </w:pPr>
          </w:p>
        </w:tc>
        <w:tc>
          <w:tcPr>
            <w:tcW w:w="960" w:type="dxa"/>
            <w:tcBorders>
              <w:top w:val="nil"/>
              <w:left w:val="nil"/>
              <w:bottom w:val="nil"/>
              <w:right w:val="nil"/>
            </w:tcBorders>
            <w:shd w:val="clear" w:color="auto" w:fill="auto"/>
            <w:noWrap/>
            <w:vAlign w:val="bottom"/>
            <w:hideMark/>
          </w:tcPr>
          <w:p w14:paraId="20A4E6C0" w14:textId="77777777" w:rsidR="00204189" w:rsidRPr="00B2369D" w:rsidRDefault="00204189" w:rsidP="00204189">
            <w:pPr>
              <w:spacing w:after="0" w:line="240" w:lineRule="auto"/>
              <w:rPr>
                <w:rFonts w:eastAsia="Times New Roman" w:cstheme="minorHAnsi"/>
                <w:sz w:val="20"/>
                <w:szCs w:val="20"/>
              </w:rPr>
            </w:pPr>
          </w:p>
        </w:tc>
        <w:tc>
          <w:tcPr>
            <w:tcW w:w="2191" w:type="dxa"/>
            <w:tcBorders>
              <w:top w:val="nil"/>
              <w:left w:val="nil"/>
              <w:bottom w:val="nil"/>
              <w:right w:val="nil"/>
            </w:tcBorders>
            <w:shd w:val="clear" w:color="auto" w:fill="auto"/>
            <w:noWrap/>
            <w:vAlign w:val="bottom"/>
            <w:hideMark/>
          </w:tcPr>
          <w:p w14:paraId="71350B1F" w14:textId="347839A0" w:rsidR="00204189" w:rsidRPr="00B2369D" w:rsidRDefault="00204189" w:rsidP="00204189">
            <w:pPr>
              <w:spacing w:after="0" w:line="240" w:lineRule="auto"/>
              <w:rPr>
                <w:rFonts w:eastAsia="Times New Roman" w:cstheme="minorHAnsi"/>
                <w:color w:val="000000"/>
                <w:sz w:val="20"/>
                <w:szCs w:val="20"/>
              </w:rPr>
            </w:pPr>
            <w:r w:rsidRPr="00B2369D">
              <w:rPr>
                <w:rFonts w:eastAsia="Times New Roman" w:cstheme="minorHAnsi"/>
                <w:color w:val="000000"/>
                <w:sz w:val="20"/>
                <w:szCs w:val="20"/>
              </w:rPr>
              <w:t xml:space="preserve">neg. </w:t>
            </w:r>
            <w:r w:rsidR="002A522A" w:rsidRPr="00B2369D">
              <w:rPr>
                <w:rFonts w:eastAsia="Times New Roman" w:cstheme="minorHAnsi"/>
                <w:color w:val="000000"/>
                <w:sz w:val="20"/>
                <w:szCs w:val="20"/>
              </w:rPr>
              <w:t>k</w:t>
            </w:r>
            <w:r w:rsidRPr="00B2369D">
              <w:rPr>
                <w:rFonts w:eastAsia="Times New Roman" w:cstheme="minorHAnsi"/>
                <w:color w:val="000000"/>
                <w:sz w:val="20"/>
                <w:szCs w:val="20"/>
              </w:rPr>
              <w:t>ontrol</w:t>
            </w:r>
            <w:r w:rsidR="002A522A" w:rsidRPr="00B2369D">
              <w:rPr>
                <w:rFonts w:eastAsia="Times New Roman" w:cstheme="minorHAnsi"/>
                <w:color w:val="000000"/>
                <w:sz w:val="20"/>
                <w:szCs w:val="20"/>
              </w:rPr>
              <w:t>a</w:t>
            </w:r>
            <w:r w:rsidRPr="00B2369D">
              <w:rPr>
                <w:rFonts w:eastAsia="Times New Roman" w:cstheme="minorHAnsi"/>
                <w:color w:val="000000"/>
                <w:sz w:val="20"/>
                <w:szCs w:val="20"/>
              </w:rPr>
              <w:t>: n</w:t>
            </w:r>
            <w:r w:rsidR="002A522A" w:rsidRPr="00B2369D">
              <w:rPr>
                <w:rFonts w:eastAsia="Times New Roman" w:cstheme="minorHAnsi"/>
                <w:color w:val="000000"/>
                <w:sz w:val="20"/>
                <w:szCs w:val="20"/>
              </w:rPr>
              <w:t>e</w:t>
            </w:r>
            <w:r w:rsidRPr="00B2369D">
              <w:rPr>
                <w:rFonts w:eastAsia="Times New Roman" w:cstheme="minorHAnsi"/>
                <w:color w:val="000000"/>
                <w:sz w:val="20"/>
                <w:szCs w:val="20"/>
              </w:rPr>
              <w:t xml:space="preserve"> template/fr. DNA (n=12)</w:t>
            </w:r>
          </w:p>
        </w:tc>
        <w:tc>
          <w:tcPr>
            <w:tcW w:w="1559" w:type="dxa"/>
            <w:tcBorders>
              <w:top w:val="nil"/>
              <w:left w:val="nil"/>
              <w:bottom w:val="nil"/>
              <w:right w:val="nil"/>
            </w:tcBorders>
            <w:shd w:val="clear" w:color="auto" w:fill="auto"/>
            <w:noWrap/>
            <w:vAlign w:val="bottom"/>
            <w:hideMark/>
          </w:tcPr>
          <w:p w14:paraId="1AF88705" w14:textId="77777777" w:rsidR="00204189" w:rsidRPr="00B2369D" w:rsidRDefault="00204189" w:rsidP="00204189">
            <w:pPr>
              <w:spacing w:after="0" w:line="240" w:lineRule="auto"/>
              <w:rPr>
                <w:rFonts w:eastAsia="Times New Roman" w:cstheme="minorHAnsi"/>
                <w:color w:val="000000"/>
                <w:sz w:val="20"/>
                <w:szCs w:val="20"/>
              </w:rPr>
            </w:pPr>
          </w:p>
        </w:tc>
        <w:tc>
          <w:tcPr>
            <w:tcW w:w="1276" w:type="dxa"/>
            <w:tcBorders>
              <w:top w:val="nil"/>
              <w:left w:val="nil"/>
              <w:bottom w:val="nil"/>
              <w:right w:val="nil"/>
            </w:tcBorders>
            <w:shd w:val="clear" w:color="auto" w:fill="auto"/>
            <w:noWrap/>
            <w:vAlign w:val="bottom"/>
            <w:hideMark/>
          </w:tcPr>
          <w:p w14:paraId="4B608DE0" w14:textId="52F3D6B2"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0</w:t>
            </w:r>
            <w:r w:rsidR="002A522A" w:rsidRPr="00B2369D">
              <w:rPr>
                <w:rFonts w:eastAsia="Times New Roman" w:cstheme="minorHAnsi"/>
                <w:color w:val="000000"/>
                <w:sz w:val="20"/>
                <w:szCs w:val="20"/>
              </w:rPr>
              <w:t>,</w:t>
            </w:r>
            <w:r w:rsidRPr="00B2369D">
              <w:rPr>
                <w:rFonts w:eastAsia="Times New Roman" w:cstheme="minorHAnsi"/>
                <w:color w:val="000000"/>
                <w:sz w:val="20"/>
                <w:szCs w:val="20"/>
              </w:rPr>
              <w:t>2</w:t>
            </w:r>
          </w:p>
        </w:tc>
        <w:tc>
          <w:tcPr>
            <w:tcW w:w="1418" w:type="dxa"/>
            <w:tcBorders>
              <w:top w:val="nil"/>
              <w:left w:val="nil"/>
              <w:bottom w:val="nil"/>
              <w:right w:val="nil"/>
            </w:tcBorders>
            <w:shd w:val="clear" w:color="auto" w:fill="auto"/>
            <w:noWrap/>
            <w:vAlign w:val="bottom"/>
            <w:hideMark/>
          </w:tcPr>
          <w:p w14:paraId="522FBA04"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44199</w:t>
            </w:r>
          </w:p>
        </w:tc>
        <w:tc>
          <w:tcPr>
            <w:tcW w:w="1134" w:type="dxa"/>
            <w:tcBorders>
              <w:top w:val="nil"/>
              <w:left w:val="nil"/>
              <w:bottom w:val="nil"/>
              <w:right w:val="nil"/>
            </w:tcBorders>
            <w:shd w:val="clear" w:color="auto" w:fill="auto"/>
            <w:noWrap/>
            <w:vAlign w:val="bottom"/>
            <w:hideMark/>
          </w:tcPr>
          <w:p w14:paraId="0C001E06" w14:textId="77777777" w:rsidR="00204189" w:rsidRPr="00B2369D" w:rsidRDefault="00204189" w:rsidP="00204189">
            <w:pPr>
              <w:spacing w:after="0" w:line="240" w:lineRule="auto"/>
              <w:jc w:val="center"/>
              <w:rPr>
                <w:rFonts w:eastAsia="Times New Roman" w:cstheme="minorHAnsi"/>
                <w:color w:val="000000"/>
                <w:sz w:val="20"/>
                <w:szCs w:val="20"/>
              </w:rPr>
            </w:pPr>
            <w:r w:rsidRPr="00B2369D">
              <w:rPr>
                <w:rFonts w:eastAsia="Times New Roman" w:cstheme="minorHAnsi"/>
                <w:color w:val="000000"/>
                <w:sz w:val="20"/>
                <w:szCs w:val="20"/>
              </w:rPr>
              <w:t>NA</w:t>
            </w:r>
          </w:p>
        </w:tc>
      </w:tr>
    </w:tbl>
    <w:p w14:paraId="2438BA07" w14:textId="77777777" w:rsidR="007E518A" w:rsidRPr="0047704E" w:rsidRDefault="007E518A" w:rsidP="009A0DEA">
      <w:pPr>
        <w:tabs>
          <w:tab w:val="left" w:pos="975"/>
        </w:tabs>
        <w:rPr>
          <w:sz w:val="6"/>
          <w:szCs w:val="6"/>
        </w:rPr>
      </w:pPr>
    </w:p>
    <w:p w14:paraId="49FF592B" w14:textId="2328C65D" w:rsidR="009A0DEA" w:rsidRDefault="007E518A" w:rsidP="009A0DEA">
      <w:pPr>
        <w:tabs>
          <w:tab w:val="left" w:pos="975"/>
        </w:tabs>
      </w:pPr>
      <w:r w:rsidRPr="0047704E">
        <w:rPr>
          <w:sz w:val="20"/>
          <w:szCs w:val="20"/>
        </w:rPr>
        <w:t xml:space="preserve">VAF – </w:t>
      </w:r>
      <w:r w:rsidR="0047704E" w:rsidRPr="0047704E">
        <w:rPr>
          <w:sz w:val="20"/>
          <w:szCs w:val="20"/>
        </w:rPr>
        <w:t>frakce alelové varianty/</w:t>
      </w:r>
      <w:r w:rsidRPr="0047704E">
        <w:rPr>
          <w:sz w:val="20"/>
          <w:szCs w:val="20"/>
        </w:rPr>
        <w:t>variant allele fraction, NA</w:t>
      </w:r>
      <w:r w:rsidRPr="00BA6BD5">
        <w:rPr>
          <w:sz w:val="20"/>
          <w:szCs w:val="20"/>
        </w:rPr>
        <w:t xml:space="preserve"> – nedetekovatelné, SD – standardní odchylka.</w:t>
      </w:r>
    </w:p>
    <w:p w14:paraId="3E6E61C2" w14:textId="77777777" w:rsidR="00C406A1" w:rsidRDefault="00C406A1" w:rsidP="009A0DEA">
      <w:pPr>
        <w:tabs>
          <w:tab w:val="left" w:pos="975"/>
        </w:tabs>
      </w:pPr>
    </w:p>
    <w:p w14:paraId="3BA77C1E" w14:textId="4FD2A550" w:rsidR="00992AE0" w:rsidRDefault="00204189" w:rsidP="00204189">
      <w:pPr>
        <w:pStyle w:val="Nadpis3"/>
      </w:pPr>
      <w:bookmarkStart w:id="82" w:name="_Toc88741493"/>
      <w:r>
        <w:t>Diskuze</w:t>
      </w:r>
      <w:bookmarkEnd w:id="82"/>
    </w:p>
    <w:p w14:paraId="75E2CF17" w14:textId="044820C0" w:rsidR="00534214" w:rsidRDefault="002C6BD6" w:rsidP="00A41347">
      <w:pPr>
        <w:jc w:val="both"/>
      </w:pPr>
      <w:r w:rsidRPr="002C6BD6">
        <w:t xml:space="preserve">Integrace </w:t>
      </w:r>
      <w:r>
        <w:t xml:space="preserve">fenotypových a genotypových parametrů do klasifikace nádorů CNS značně zlepšilo diagnózu. Četnost varianty mutace </w:t>
      </w:r>
      <w:r w:rsidRPr="002C6BD6">
        <w:rPr>
          <w:i/>
          <w:iCs/>
        </w:rPr>
        <w:t xml:space="preserve">IDH1 </w:t>
      </w:r>
      <w:r>
        <w:t>R132H je udávána okolo 90 % (v naší studova</w:t>
      </w:r>
      <w:r w:rsidR="00A41347">
        <w:t>n</w:t>
      </w:r>
      <w:r>
        <w:t>é populaci byla frekvence 91 %) a právě tuto mutaci lze detekovat imunohistochemických vyšetřením</w:t>
      </w:r>
      <w:r w:rsidR="00403A59">
        <w:fldChar w:fldCharType="begin" w:fldLock="1"/>
      </w:r>
      <w:r w:rsidR="00403A59">
        <w:instrText>ADDIN CSL_CITATION {"citationItems":[{"id":"ITEM-1","itemData":{"DOI":"10.5858/arpa.2017-0449-RA","ISSN":"15432165","PMID":"29775073","abstract":"Diffuse gliomas comprise the bulk of \"brain cancer\" in adults. The recent update to the 4th edition of the World Health Organization's classification of tumors of the central nervous system reflects an unprecedented change in the landscape of the diagnosis and management of diffuse gliomas that will affect all those involved in the management and care of patients. Of the recently discovered gene alterations, mutations in the Krebs cycle enzymes isocitrate dehydrogenases (IDHs) 1 and 2 have fundamentally changed the way the gliomas are understood and classified. Incorporating information on a few genetic parameters (IDH, ATRX and/or p53, and chromosome 1p19q codeletion), a relatively straightforward diagnostic algorithm has been generated with robust and reproducible results that correlate with patients' survival far better than relying on conventional histology alone. Evidence also supports the conclusion that the vast majority of diffuse gliomas without IDH mutations (IDH-wild-type astrocytomas) behave like IDH-wild-type glioblastomas (\"molecular GBM\"). Together, these changes reflect a big shift in the practice of diagnostic neuropathology in which tumor risk stratification aligns better with molecular information than histology/grading. The purpose of this review is to provide the readers with a brief synopsis of the changes in the 2016 World Health Organization update with an emphasis on diffuse gliomas and to summarize key gene abnormalities on which these classifications are based. Practical points involved in dayto-day diagnostic workup are also discussed, along with a comparison of the various diagnostic tests, including immunohistochemistry, with an emphasis on targeted next-generation sequencing panel technology as a future universal approach.","author":[{"dropping-particle":"","family":"Lee","given":"Sunhee C.","non-dropping-particle":"","parse-names":false,"suffix":""}],"container-title":"Archives of Pathology and Laboratory Medicine","id":"ITEM-1","issue":"7","issued":{"date-parts":[["2018","7","1"]]},"page":"804-814","publisher":"College of American Pathologists","title":"Diffuse gliomas for nonneuropathologists: The new integrated molecular diagnostics","type":"paper-conference","volume":"142"},"uris":["http://www.mendeley.com/documents/?uuid=c80fa218-710f-301e-a448-bb54141e198d"]}],"mendeley":{"formattedCitation":"&lt;sup&gt;232&lt;/sup&gt;","plainTextFormattedCitation":"232","previouslyFormattedCitation":"&lt;sup&gt;232&lt;/sup&gt;"},"properties":{"noteIndex":0},"schema":"https://github.com/citation-style-language/schema/raw/master/csl-citation.json"}</w:instrText>
      </w:r>
      <w:r w:rsidR="00403A59">
        <w:fldChar w:fldCharType="separate"/>
      </w:r>
      <w:r w:rsidR="00403A59" w:rsidRPr="00403A59">
        <w:rPr>
          <w:noProof/>
          <w:vertAlign w:val="superscript"/>
        </w:rPr>
        <w:t>232</w:t>
      </w:r>
      <w:r w:rsidR="00403A59">
        <w:fldChar w:fldCharType="end"/>
      </w:r>
      <w:r>
        <w:t xml:space="preserve">. </w:t>
      </w:r>
      <w:r w:rsidR="00A41347">
        <w:t xml:space="preserve">IHC detekce varianty </w:t>
      </w:r>
      <w:r w:rsidR="00A41347" w:rsidRPr="008C2C46">
        <w:rPr>
          <w:i/>
          <w:iCs/>
        </w:rPr>
        <w:t>IDH1</w:t>
      </w:r>
      <w:r w:rsidR="00A41347">
        <w:t xml:space="preserve"> R132H byla provedena za pomoci protilátky DIA-H09, u které je udávaná očekávaná míra </w:t>
      </w:r>
      <w:r w:rsidR="00BA6BD5">
        <w:t>skutečně pozitivní</w:t>
      </w:r>
      <w:r w:rsidR="008C2C46">
        <w:t>ch vzorků</w:t>
      </w:r>
      <w:r w:rsidR="00A41347">
        <w:t xml:space="preserve"> okolo 88-99 %. </w:t>
      </w:r>
      <w:r w:rsidR="008C2C46">
        <w:t>Za předpokladu</w:t>
      </w:r>
      <w:r w:rsidR="00A41347" w:rsidRPr="00A41347">
        <w:t xml:space="preserve">, že všechny vzorky </w:t>
      </w:r>
      <w:r w:rsidR="00A41347">
        <w:t>označené</w:t>
      </w:r>
      <w:r w:rsidR="00A41347" w:rsidRPr="00A41347">
        <w:t xml:space="preserve"> jako </w:t>
      </w:r>
      <w:r w:rsidR="00A41347" w:rsidRPr="00A41347">
        <w:rPr>
          <w:i/>
          <w:iCs/>
        </w:rPr>
        <w:t>IDH1</w:t>
      </w:r>
      <w:r w:rsidR="00A41347" w:rsidRPr="00A41347">
        <w:t xml:space="preserve"> R132H pozitivní </w:t>
      </w:r>
      <w:r w:rsidR="00A41347">
        <w:t xml:space="preserve">dle </w:t>
      </w:r>
      <w:r w:rsidR="00A41347" w:rsidRPr="00A41347">
        <w:t xml:space="preserve">IHC by byly také </w:t>
      </w:r>
      <w:r w:rsidR="00A41347" w:rsidRPr="008C2C46">
        <w:rPr>
          <w:i/>
          <w:iCs/>
        </w:rPr>
        <w:t>IDH1</w:t>
      </w:r>
      <w:r w:rsidR="00A41347" w:rsidRPr="00A41347">
        <w:t xml:space="preserve"> R132H pozitivní sekvenováním, míra shody metod sekvenování a IHC by byla 94</w:t>
      </w:r>
      <w:r w:rsidR="00A41347">
        <w:t xml:space="preserve"> </w:t>
      </w:r>
      <w:r w:rsidR="00A41347" w:rsidRPr="00A41347">
        <w:t xml:space="preserve">% (60/64). </w:t>
      </w:r>
      <w:r w:rsidR="00A41347">
        <w:t xml:space="preserve">Kromě zmiňované varianty R132H </w:t>
      </w:r>
      <w:r w:rsidR="00534214">
        <w:t>j</w:t>
      </w:r>
      <w:r w:rsidR="00A41347" w:rsidRPr="00A41347">
        <w:t xml:space="preserve">e známa řada dalších </w:t>
      </w:r>
      <w:r w:rsidR="00534214">
        <w:t>mutací</w:t>
      </w:r>
      <w:r w:rsidR="00A41347" w:rsidRPr="00A41347">
        <w:t xml:space="preserve"> </w:t>
      </w:r>
      <w:r w:rsidR="00A41347" w:rsidRPr="00B81FB7">
        <w:rPr>
          <w:i/>
          <w:iCs/>
        </w:rPr>
        <w:t>IDH1</w:t>
      </w:r>
      <w:r w:rsidR="00A41347" w:rsidRPr="00A41347">
        <w:t>, včetně R132C (jejichž frekvence u pacientů s gliomem je kolem 3</w:t>
      </w:r>
      <w:r w:rsidR="00A41347">
        <w:t xml:space="preserve"> </w:t>
      </w:r>
      <w:r w:rsidR="00A41347" w:rsidRPr="00A41347">
        <w:t>%; v</w:t>
      </w:r>
      <w:r w:rsidR="00A41347">
        <w:t xml:space="preserve"> naší</w:t>
      </w:r>
      <w:r w:rsidR="00A41347" w:rsidRPr="00A41347">
        <w:t xml:space="preserve"> studované populaci to byl</w:t>
      </w:r>
      <w:r w:rsidR="00B81FB7">
        <w:t>o</w:t>
      </w:r>
      <w:r w:rsidR="00A41347" w:rsidRPr="00A41347">
        <w:t xml:space="preserve"> 3</w:t>
      </w:r>
      <w:r w:rsidR="00BA6BD5">
        <w:t xml:space="preserve"> </w:t>
      </w:r>
      <w:r w:rsidR="00A41347" w:rsidRPr="00A41347">
        <w:t>%), R132S (frekvence v této práci: 1</w:t>
      </w:r>
      <w:r w:rsidR="0098449D">
        <w:t xml:space="preserve"> </w:t>
      </w:r>
      <w:r w:rsidR="00A41347" w:rsidRPr="00A41347">
        <w:t xml:space="preserve">%) a R132G a R132L (jejichž </w:t>
      </w:r>
      <w:r w:rsidR="00A41347">
        <w:t>udávaná</w:t>
      </w:r>
      <w:r w:rsidR="00A41347" w:rsidRPr="00A41347">
        <w:t xml:space="preserve"> frekvence </w:t>
      </w:r>
      <w:r w:rsidR="00A41347">
        <w:t>je v obou případech</w:t>
      </w:r>
      <w:r w:rsidR="00A41347" w:rsidRPr="00A41347">
        <w:t xml:space="preserve"> kolem 1%; v této práci neby</w:t>
      </w:r>
      <w:r w:rsidR="00A41347">
        <w:t>la ani jedna varianta detekována</w:t>
      </w:r>
      <w:r w:rsidR="00A41347" w:rsidRPr="00A41347">
        <w:t xml:space="preserve">). </w:t>
      </w:r>
      <w:r w:rsidR="00A41347" w:rsidRPr="00534214">
        <w:t xml:space="preserve">Varianty </w:t>
      </w:r>
      <w:r w:rsidR="00A41347" w:rsidRPr="00B81FB7">
        <w:rPr>
          <w:i/>
          <w:iCs/>
        </w:rPr>
        <w:t>IDH2</w:t>
      </w:r>
      <w:r w:rsidR="00A41347" w:rsidRPr="00534214">
        <w:t xml:space="preserve"> jsou méně časté, přičemž R172K byl</w:t>
      </w:r>
      <w:r w:rsidR="00534214" w:rsidRPr="00534214">
        <w:t>a</w:t>
      </w:r>
      <w:r w:rsidR="00A41347" w:rsidRPr="00534214">
        <w:t xml:space="preserve"> pozorován</w:t>
      </w:r>
      <w:r w:rsidR="00534214" w:rsidRPr="00534214">
        <w:t>a</w:t>
      </w:r>
      <w:r w:rsidR="00A41347" w:rsidRPr="00534214">
        <w:t xml:space="preserve"> u 3</w:t>
      </w:r>
      <w:r w:rsidR="00B81FB7">
        <w:t xml:space="preserve"> </w:t>
      </w:r>
      <w:r w:rsidR="00A41347" w:rsidRPr="00534214">
        <w:t>% pacientů s gliomem (3</w:t>
      </w:r>
      <w:r w:rsidR="00534214" w:rsidRPr="00534214">
        <w:t xml:space="preserve"> </w:t>
      </w:r>
      <w:r w:rsidR="00A41347" w:rsidRPr="00534214">
        <w:t>% v naší studii), R172M (1</w:t>
      </w:r>
      <w:r w:rsidR="00B81FB7">
        <w:t xml:space="preserve"> </w:t>
      </w:r>
      <w:r w:rsidR="00A41347" w:rsidRPr="00534214">
        <w:t>% v naší studii), R172W (v naší studii</w:t>
      </w:r>
      <w:r w:rsidR="00534214" w:rsidRPr="00534214">
        <w:t xml:space="preserve"> nebyla nalezena</w:t>
      </w:r>
      <w:r w:rsidR="00A41347" w:rsidRPr="00534214">
        <w:t>) a R172S (</w:t>
      </w:r>
      <w:r w:rsidR="00534214" w:rsidRPr="00534214">
        <w:t>v naší studii nebyla nalezena</w:t>
      </w:r>
      <w:r w:rsidR="00A41347" w:rsidRPr="00534214">
        <w:t>) s frekvencemi přibližně 1</w:t>
      </w:r>
      <w:r w:rsidR="00403A59">
        <w:t xml:space="preserve"> </w:t>
      </w:r>
      <w:r w:rsidR="00A41347" w:rsidRPr="00534214">
        <w:t>%</w:t>
      </w:r>
      <w:r w:rsidR="00403A59" w:rsidRPr="00403A59">
        <w:fldChar w:fldCharType="begin" w:fldLock="1"/>
      </w:r>
      <w:r w:rsidR="00403A59" w:rsidRPr="00403A59">
        <w:instrText>ADDIN CSL_CITATION {"citationItems":[{"id":"ITEM-1","itemData":{"DOI":"10.1007/s10014-014-0197-x","ISSN":"1433-7398","PMID":"25008158","abstract":"Somatic mutations of isocitrate dehydrogenase 1 and 2 (IDH1/2) are strongly associated with pathological subtypes, genetic profiles, and clinical features in gliomas. The IDH1/2 status is currently regarded as one of the most important molecular markers in gliomas and should be assessed accurately and robustly. However, the methods used for IDH1/2 testing are not fully standardized. The purpose of this paper is to review the clinical significance of IDH1/2 mutations and the methods used for IDH1/2 testing. The optimal method for IDH1/2 testing varies depending on a number of factors, including the purpose, sample types, sample number, or laboratory equipment. It is therefore important to acknowledge the advantages and disadvantages of each method.","author":[{"dropping-particle":"","family":"Arita","given":"Hideyuki","non-dropping-particle":"","parse-names":false,"suffix":""},{"dropping-particle":"","family":"Narita","given":"Yoshitaka","non-dropping-particle":"","parse-names":false,"suffix":""},{"dropping-particle":"","family":"Yoshida","given":"Akihiko","non-dropping-particle":"","parse-names":false,"suffix":""},{"dropping-particle":"","family":"Hashimoto","given":"Naoya","non-dropping-particle":"","parse-names":false,"suffix":""},{"dropping-particle":"","family":"Yoshimine","given":"Toshiki","non-dropping-particle":"","parse-names":false,"suffix":""},{"dropping-particle":"","family":"Ichimura","given":"Koichi","non-dropping-particle":"","parse-names":false,"suffix":""}],"container-title":"Brain Tumor Pathology","id":"ITEM-1","issue":"2","issued":{"date-parts":[["2015","4","10"]]},"page":"79-89","publisher":"Springer-Verlag Tokyo","title":"IDH1/2 mutation detection in gliomas","type":"article-journal","volume":"32"},"uris":["http://www.mendeley.com/documents/?uuid=f60b86e5-d936-42e0-8fc7-afb4c85a5f85"]}],"mendeley":{"formattedCitation":"&lt;sup&gt;78&lt;/sup&gt;","plainTextFormattedCitation":"78","previouslyFormattedCitation":"&lt;sup&gt;78&lt;/sup&gt;"},"properties":{"noteIndex":0},"schema":"https://github.com/citation-style-language/schema/raw/master/csl-citation.json"}</w:instrText>
      </w:r>
      <w:r w:rsidR="00403A59" w:rsidRPr="00403A59">
        <w:fldChar w:fldCharType="separate"/>
      </w:r>
      <w:r w:rsidR="00403A59" w:rsidRPr="00403A59">
        <w:rPr>
          <w:noProof/>
          <w:vertAlign w:val="superscript"/>
        </w:rPr>
        <w:t>78</w:t>
      </w:r>
      <w:r w:rsidR="00403A59" w:rsidRPr="00403A59">
        <w:fldChar w:fldCharType="end"/>
      </w:r>
      <w:r w:rsidR="00A41347" w:rsidRPr="00403A59">
        <w:t xml:space="preserve">. </w:t>
      </w:r>
      <w:r w:rsidR="00534214" w:rsidRPr="00534214">
        <w:t xml:space="preserve">Naše data se shodují s již </w:t>
      </w:r>
      <w:r w:rsidR="00534214">
        <w:t xml:space="preserve">dříve </w:t>
      </w:r>
      <w:r w:rsidR="00D50A81">
        <w:t>publikovanými</w:t>
      </w:r>
      <w:r w:rsidR="00534214" w:rsidRPr="00534214">
        <w:t xml:space="preserve"> výsledky </w:t>
      </w:r>
      <w:r w:rsidR="00B81FB7">
        <w:t>četnosti</w:t>
      </w:r>
      <w:r w:rsidR="00534214" w:rsidRPr="00534214">
        <w:t xml:space="preserve"> a frekvence </w:t>
      </w:r>
      <w:r w:rsidR="00B81FB7">
        <w:t xml:space="preserve">jednotlivých variant </w:t>
      </w:r>
      <w:r w:rsidR="00534214" w:rsidRPr="00534214">
        <w:t xml:space="preserve">mutací </w:t>
      </w:r>
      <w:r w:rsidR="00534214" w:rsidRPr="00B81FB7">
        <w:rPr>
          <w:i/>
          <w:iCs/>
        </w:rPr>
        <w:t>IDH</w:t>
      </w:r>
      <w:r w:rsidR="00534214" w:rsidRPr="00534214">
        <w:t xml:space="preserve"> u gliomů. </w:t>
      </w:r>
    </w:p>
    <w:p w14:paraId="0709B581" w14:textId="2DB7D31D" w:rsidR="00534214" w:rsidRDefault="00534214" w:rsidP="00144684">
      <w:pPr>
        <w:jc w:val="both"/>
        <w:rPr>
          <w:highlight w:val="yellow"/>
        </w:rPr>
      </w:pPr>
      <w:r>
        <w:t>Status</w:t>
      </w:r>
      <w:r w:rsidRPr="00534214">
        <w:t xml:space="preserve"> </w:t>
      </w:r>
      <w:r w:rsidRPr="00534214">
        <w:rPr>
          <w:i/>
          <w:iCs/>
        </w:rPr>
        <w:t xml:space="preserve">IDH1 </w:t>
      </w:r>
      <w:r w:rsidRPr="00534214">
        <w:t>je zásadní pro diagnostiku a výběr vhodné strategie léčby. Prvním krokem při léčbě gliomu je obvykle provedení bezpečn</w:t>
      </w:r>
      <w:r>
        <w:t>é</w:t>
      </w:r>
      <w:r w:rsidRPr="00534214">
        <w:t xml:space="preserve"> radikální resekce, která poskytne dosta</w:t>
      </w:r>
      <w:r w:rsidR="00F31FEC">
        <w:t>te</w:t>
      </w:r>
      <w:r>
        <w:t>čné množství</w:t>
      </w:r>
      <w:r w:rsidRPr="00534214">
        <w:t xml:space="preserve"> nádorové tkáně pro </w:t>
      </w:r>
      <w:r w:rsidRPr="00144684">
        <w:t xml:space="preserve">spolehlivou diagnostiku. Bez ohledu na grade nádoru by mělo být </w:t>
      </w:r>
      <w:r w:rsidR="00F31FEC" w:rsidRPr="00144684">
        <w:t xml:space="preserve">pohlíženo </w:t>
      </w:r>
      <w:r w:rsidR="00144684" w:rsidRPr="00144684">
        <w:t xml:space="preserve">na </w:t>
      </w:r>
      <w:r w:rsidRPr="00B81FB7">
        <w:rPr>
          <w:i/>
          <w:iCs/>
        </w:rPr>
        <w:t>IDH</w:t>
      </w:r>
      <w:r w:rsidRPr="00144684">
        <w:t xml:space="preserve"> wild type gliomy </w:t>
      </w:r>
      <w:r w:rsidR="00144684" w:rsidRPr="00144684">
        <w:t>jako na glioblastom a měl</w:t>
      </w:r>
      <w:r w:rsidR="00F31FEC">
        <w:t>y</w:t>
      </w:r>
      <w:r w:rsidR="00144684" w:rsidRPr="00144684">
        <w:t xml:space="preserve"> by být léčen</w:t>
      </w:r>
      <w:r w:rsidR="00F31FEC">
        <w:t>y</w:t>
      </w:r>
      <w:r w:rsidR="00144684" w:rsidRPr="00144684">
        <w:t xml:space="preserve"> </w:t>
      </w:r>
      <w:r w:rsidRPr="00144684">
        <w:t>agresivní chemoradioterapií podle Stuppova protokolu. Léčba gliomů exprimujících mutované varia</w:t>
      </w:r>
      <w:r w:rsidR="00144684" w:rsidRPr="00144684">
        <w:t>nty</w:t>
      </w:r>
      <w:r w:rsidRPr="00144684">
        <w:t xml:space="preserve"> </w:t>
      </w:r>
      <w:r w:rsidRPr="00144684">
        <w:rPr>
          <w:i/>
          <w:iCs/>
        </w:rPr>
        <w:t>IDH</w:t>
      </w:r>
      <w:r w:rsidRPr="00144684">
        <w:t xml:space="preserve"> by se měla řídit </w:t>
      </w:r>
      <w:r w:rsidR="00144684">
        <w:t>dle</w:t>
      </w:r>
      <w:r w:rsidR="00144684" w:rsidRPr="00144684">
        <w:t xml:space="preserve"> </w:t>
      </w:r>
      <w:r w:rsidRPr="00144684">
        <w:t xml:space="preserve">klinických a molekulárních </w:t>
      </w:r>
      <w:r w:rsidR="00144684" w:rsidRPr="00144684">
        <w:t>markerů</w:t>
      </w:r>
      <w:r w:rsidRPr="00144684">
        <w:t xml:space="preserve">. U radikálně resekovaných nádorů nízkého </w:t>
      </w:r>
      <w:r w:rsidR="00B81FB7">
        <w:t>gradu</w:t>
      </w:r>
      <w:r w:rsidRPr="00144684">
        <w:t xml:space="preserve">, které vykazují jak </w:t>
      </w:r>
      <w:r w:rsidR="00144684" w:rsidRPr="00144684">
        <w:t xml:space="preserve">kodeleci </w:t>
      </w:r>
      <w:r w:rsidRPr="00144684">
        <w:t xml:space="preserve">1p /19q, tak mutaci </w:t>
      </w:r>
      <w:r w:rsidRPr="00B81FB7">
        <w:rPr>
          <w:i/>
          <w:iCs/>
        </w:rPr>
        <w:t>IDH</w:t>
      </w:r>
      <w:r w:rsidRPr="00144684">
        <w:t xml:space="preserve">, lze dokonce uvažovat o úplném vynechání onkoterapie a </w:t>
      </w:r>
      <w:r w:rsidR="00144684" w:rsidRPr="00144684">
        <w:t>pouze</w:t>
      </w:r>
      <w:r w:rsidRPr="00144684">
        <w:t xml:space="preserve"> doporučit sledování </w:t>
      </w:r>
      <w:r w:rsidR="00144684" w:rsidRPr="00144684">
        <w:t xml:space="preserve">stavu </w:t>
      </w:r>
      <w:r w:rsidR="00403A59">
        <w:t>pa</w:t>
      </w:r>
      <w:r w:rsidR="00144684" w:rsidRPr="00144684">
        <w:t>cienta</w:t>
      </w:r>
      <w:r w:rsidR="00403A59" w:rsidRPr="00403A59">
        <w:fldChar w:fldCharType="begin" w:fldLock="1"/>
      </w:r>
      <w:r w:rsidR="00403A59">
        <w:instrText>ADDIN CSL_CITATION {"citationItems":[{"id":"ITEM-1","itemData":{"DOI":"10.1016/S1470-2045(17)30194-8","ISSN":"14702045","PMID":"28483413","abstract":"The European Association for Neuro-Oncology guideline provides recommendations for the clinical care of adult patients with astrocytic and oligodendroglial gliomas, including glioblastomas. The guideline is based on the 2016 WHO classification of tumours of the central nervous system and on scientific developments since the 2014 guideline. The recommendations focus on pathological and radiological diagnostics, and the main treatment modalities of surgery, radiotherapy, and pharmacotherapy. In this guideline we have also integrated the results from contemporary clinical trials that have changed clinical practice. The guideline aims to provide guidance for diagnostic and management decisions, while limiting unnecessary treatments and costs. The recommendations are a resource for professionals involved in the management of patients with glioma, for patients and caregivers, and for health-care providers in Europe. The implementation of this guideline requires multidisciplinary structures of care, and defined processes of diagnosis and treatment.","author":[{"dropping-particle":"","family":"Weller","given":"Michael","non-dropping-particle":"","parse-names":false,"suffix":""},{"dropping-particle":"","family":"Bent","given":"Martin","non-dropping-particle":"van den","parse-names":false,"suffix":""},{"dropping-particle":"","family":"Tonn","given":"Jörg C","non-dropping-particle":"","parse-names":false,"suffix":""},{"dropping-particle":"","family":"Stupp","given":"Roger","non-dropping-particle":"","parse-names":false,"suffix":""},{"dropping-particle":"","family":"Preusser","given":"Matthias","non-dropping-particle":"","parse-names":false,"suffix":""},{"dropping-particle":"","family":"Cohen-Jonathan-Moyal","given":"Elizabeth","non-dropping-particle":"","parse-names":false,"suffix":""},{"dropping-particle":"","family":"Henriksson","given":"Roger","non-dropping-particle":"","parse-names":false,"suffix":""},{"dropping-particle":"Le","family":"Rhun","given":"Emilie","non-dropping-particle":"","parse-names":false,"suffix":""},{"dropping-particle":"","family":"Balana","given":"Carmen","non-dropping-particle":"","parse-names":false,"suffix":""},{"dropping-particle":"","family":"Chinot","given":"Olivier","non-dropping-particle":"","parse-names":false,"suffix":""},{"dropping-particle":"","family":"Bendszus","given":"Martin","non-dropping-particle":"","parse-names":false,"suffix":""},{"dropping-particle":"","family":"Reijneveld","given":"Jaap C","non-dropping-particle":"","parse-names":false,"suffix":""},{"dropping-particle":"","family":"Dhermain","given":"Frederick","non-dropping-particle":"","parse-names":false,"suffix":""},{"dropping-particle":"","family":"French","given":"Pim","non-dropping-particle":"","parse-names":false,"suffix":""},{"dropping-particle":"","family":"Marosi","given":"Christine","non-dropping-particle":"","parse-names":false,"suffix":""},{"dropping-particle":"","family":"Watts","given":"Colin","non-dropping-particle":"","parse-names":false,"suffix":""},{"dropping-particle":"","family":"Oberg","given":"Ingela","non-dropping-particle":"","parse-names":false,"suffix":""},{"dropping-particle":"","family":"Pilkington","given":"Geoffrey","non-dropping-particle":"","parse-names":false,"suffix":""},{"dropping-particle":"","family":"Baumert","given":"Brigitta G","non-dropping-particle":"","parse-names":false,"suffix":""},{"dropping-particle":"","family":"Taphoorn","given":"Martin J B","non-dropping-particle":"","parse-names":false,"suffix":""},{"dropping-particle":"","family":"Hegi","given":"Monika","non-dropping-particle":"","parse-names":false,"suffix":""},{"dropping-particle":"","family":"Westphal","given":"Manfred","non-dropping-particle":"","parse-names":false,"suffix":""},{"dropping-particle":"","family":"Reifenberger","given":"Guido","non-dropping-particle":"","parse-names":false,"suffix":""},{"dropping-particle":"","family":"Soffietti","given":"Riccardo","non-dropping-particle":"","parse-names":false,"suffix":""},{"dropping-particle":"","family":"Wick","given":"Wolfgang","non-dropping-particle":"","parse-names":false,"suffix":""},{"dropping-particle":"","family":"European Association for Neuro-Oncology (EANO) Task Force on Gliomas","given":"","non-dropping-particle":"","parse-names":false,"suffix":""}],"container-title":"The Lancet Oncology","id":"ITEM-1","issue":"6","issued":{"date-parts":[["2017","6"]]},"page":"e315-e329","title":"European Association for Neuro-Oncology (EANO) guideline on the diagnosis and treatment of adult astrocytic and oligodendroglial gliomas","type":"article-journal","volume":"18"},"uris":["http://www.mendeley.com/documents/?uuid=2338aded-1ccb-3b0b-8017-8d4a93b5402d"]}],"mendeley":{"formattedCitation":"&lt;sup&gt;233&lt;/sup&gt;","plainTextFormattedCitation":"233","previouslyFormattedCitation":"&lt;sup&gt;233&lt;/sup&gt;"},"properties":{"noteIndex":0},"schema":"https://github.com/citation-style-language/schema/raw/master/csl-citation.json"}</w:instrText>
      </w:r>
      <w:r w:rsidR="00403A59" w:rsidRPr="00403A59">
        <w:fldChar w:fldCharType="separate"/>
      </w:r>
      <w:r w:rsidR="00403A59" w:rsidRPr="00403A59">
        <w:rPr>
          <w:noProof/>
          <w:vertAlign w:val="superscript"/>
        </w:rPr>
        <w:t>233</w:t>
      </w:r>
      <w:r w:rsidR="00403A59" w:rsidRPr="00403A59">
        <w:fldChar w:fldCharType="end"/>
      </w:r>
      <w:r w:rsidR="00403A59" w:rsidRPr="00403A59">
        <w:t>.</w:t>
      </w:r>
    </w:p>
    <w:p w14:paraId="635101B6" w14:textId="6F87E0B6" w:rsidR="00F31FEC" w:rsidRDefault="00A24C44" w:rsidP="00F31FEC">
      <w:pPr>
        <w:jc w:val="both"/>
        <w:rPr>
          <w:highlight w:val="yellow"/>
        </w:rPr>
      </w:pPr>
      <w:r w:rsidRPr="00A24C44">
        <w:t xml:space="preserve">Jak je uvedeno výše, přesné určení statusu </w:t>
      </w:r>
      <w:r w:rsidRPr="00B81FB7">
        <w:rPr>
          <w:i/>
          <w:iCs/>
        </w:rPr>
        <w:t>IDH</w:t>
      </w:r>
      <w:r w:rsidRPr="00A24C44">
        <w:t xml:space="preserve"> je nesmírně důležité pro výběr efektivní léčebné strategie </w:t>
      </w:r>
      <w:r w:rsidR="00B81FB7" w:rsidRPr="00A24C44">
        <w:t xml:space="preserve">a určení prognózy </w:t>
      </w:r>
      <w:r w:rsidRPr="00A24C44">
        <w:t>pacient</w:t>
      </w:r>
      <w:r w:rsidR="00B81FB7">
        <w:t xml:space="preserve">ů </w:t>
      </w:r>
      <w:r w:rsidRPr="00A24C44">
        <w:t>s difuzním gliome</w:t>
      </w:r>
      <w:r w:rsidR="00B81FB7">
        <w:t>m</w:t>
      </w:r>
      <w:r w:rsidRPr="00A24C44">
        <w:t xml:space="preserve">. </w:t>
      </w:r>
      <w:r>
        <w:t xml:space="preserve">Finanční zátěž diagnostiky gliomů vzrůstá z důvodu </w:t>
      </w:r>
      <w:r w:rsidR="00B81FB7">
        <w:t xml:space="preserve">složitosti a </w:t>
      </w:r>
      <w:r>
        <w:t xml:space="preserve">velkého množství laboratorních metod. WHO doporučuje testování všech IHC </w:t>
      </w:r>
      <w:r w:rsidRPr="00B81FB7">
        <w:rPr>
          <w:i/>
          <w:iCs/>
        </w:rPr>
        <w:t>IDH</w:t>
      </w:r>
      <w:r>
        <w:t xml:space="preserve"> negativních vzorků pacientů mladších 55 let, což v naší studii čítá 63 pacientů z 275 (23 %). </w:t>
      </w:r>
      <w:r w:rsidRPr="00A24C44">
        <w:t xml:space="preserve">Naše studie také zahrnovala 4 vzorky z 12, u nichž bylo prokázáno, že jsou </w:t>
      </w:r>
      <w:r>
        <w:t xml:space="preserve">dle sekvenace </w:t>
      </w:r>
      <w:r w:rsidRPr="00A24C44">
        <w:rPr>
          <w:i/>
          <w:iCs/>
        </w:rPr>
        <w:t>IDH1</w:t>
      </w:r>
      <w:r w:rsidRPr="00A24C44">
        <w:t xml:space="preserve"> R132H pozitivn</w:t>
      </w:r>
      <w:r>
        <w:t>í</w:t>
      </w:r>
      <w:r w:rsidRPr="00A24C44">
        <w:t xml:space="preserve">. </w:t>
      </w:r>
      <w:r>
        <w:t>Tyt</w:t>
      </w:r>
      <w:r w:rsidR="00B81FB7">
        <w:t>o</w:t>
      </w:r>
      <w:r>
        <w:t xml:space="preserve"> výsledky</w:t>
      </w:r>
      <w:r w:rsidRPr="00A24C44">
        <w:t xml:space="preserve"> naznačují, že </w:t>
      </w:r>
      <w:r>
        <w:t>dochází k úspoře více než</w:t>
      </w:r>
      <w:r w:rsidRPr="00A24C44">
        <w:t xml:space="preserve"> dv</w:t>
      </w:r>
      <w:r>
        <w:t>ou</w:t>
      </w:r>
      <w:r w:rsidRPr="00A24C44">
        <w:t xml:space="preserve"> třetin</w:t>
      </w:r>
      <w:r>
        <w:t xml:space="preserve"> </w:t>
      </w:r>
      <w:r w:rsidRPr="00A24C44">
        <w:t>nákladů a s přiměřenou účinností jsou odhaleny méně časté mutace a falešné negativ</w:t>
      </w:r>
      <w:r>
        <w:t>ní vzorky</w:t>
      </w:r>
      <w:r w:rsidRPr="00A24C44">
        <w:t xml:space="preserve">. </w:t>
      </w:r>
      <w:r w:rsidR="00F31FEC">
        <w:t>Tyto údaje potvrzují, že je vhodné doplnit standardní IHC meto</w:t>
      </w:r>
      <w:r w:rsidR="00F31FEC" w:rsidRPr="00F31FEC">
        <w:t>du o genetické sekvenování k potvrzení výsledků a minimalizaci rizika falešně negativních vzorků. Pomocí dvou</w:t>
      </w:r>
      <w:r w:rsidR="00F31FEC" w:rsidRPr="00A24C44">
        <w:t xml:space="preserve"> různých molekulárních přístupů </w:t>
      </w:r>
      <w:r w:rsidR="00F31FEC">
        <w:t>sekvenace byl</w:t>
      </w:r>
      <w:r w:rsidR="00B81FB7">
        <w:t>a</w:t>
      </w:r>
      <w:r w:rsidR="00F31FEC">
        <w:t xml:space="preserve"> potvrzen</w:t>
      </w:r>
      <w:r w:rsidR="00B81FB7">
        <w:t>a</w:t>
      </w:r>
      <w:r w:rsidR="00F31FEC">
        <w:t xml:space="preserve"> </w:t>
      </w:r>
      <w:r w:rsidR="00F31FEC" w:rsidRPr="00A24C44">
        <w:t>vysok</w:t>
      </w:r>
      <w:r w:rsidR="00F31FEC">
        <w:t>á</w:t>
      </w:r>
      <w:r w:rsidR="00F31FEC" w:rsidRPr="00A24C44">
        <w:t xml:space="preserve"> </w:t>
      </w:r>
      <w:r w:rsidR="00F31FEC">
        <w:t>frekvence</w:t>
      </w:r>
      <w:r w:rsidR="00F31FEC" w:rsidRPr="00A24C44">
        <w:t xml:space="preserve"> variant </w:t>
      </w:r>
      <w:r w:rsidR="00F31FEC" w:rsidRPr="00F31FEC">
        <w:rPr>
          <w:i/>
          <w:iCs/>
        </w:rPr>
        <w:t>IDH1</w:t>
      </w:r>
      <w:r w:rsidR="00F31FEC" w:rsidRPr="00A24C44">
        <w:t xml:space="preserve"> u pacientů s gliomem mladší</w:t>
      </w:r>
      <w:r w:rsidR="00F31FEC">
        <w:t>ch</w:t>
      </w:r>
      <w:r w:rsidR="00F31FEC" w:rsidRPr="00A24C44">
        <w:t xml:space="preserve"> 55 let.</w:t>
      </w:r>
    </w:p>
    <w:p w14:paraId="2B376D87" w14:textId="5D63F2AB" w:rsidR="00445EE5" w:rsidRDefault="00144684" w:rsidP="00F31FEC">
      <w:pPr>
        <w:jc w:val="both"/>
      </w:pPr>
      <w:r w:rsidRPr="00144684">
        <w:t xml:space="preserve">Imunohistochemické určení mutace </w:t>
      </w:r>
      <w:r w:rsidRPr="00B81FB7">
        <w:rPr>
          <w:i/>
          <w:iCs/>
        </w:rPr>
        <w:t>IDH1</w:t>
      </w:r>
      <w:r w:rsidRPr="00144684">
        <w:t xml:space="preserve"> R132H selhalo u 11/275 (4 %) vzorků </w:t>
      </w:r>
      <w:r w:rsidR="0098449D">
        <w:t>v</w:t>
      </w:r>
      <w:r w:rsidRPr="00144684">
        <w:t> naší kohort</w:t>
      </w:r>
      <w:r w:rsidR="0098449D">
        <w:t xml:space="preserve">ě, což mohlo být způsobeno </w:t>
      </w:r>
      <w:r w:rsidR="00445EE5">
        <w:t>chybou v laboratorní</w:t>
      </w:r>
      <w:r w:rsidR="0098449D">
        <w:t>m</w:t>
      </w:r>
      <w:r w:rsidR="00445EE5">
        <w:t xml:space="preserve"> </w:t>
      </w:r>
      <w:r w:rsidR="0098449D">
        <w:t>postupu</w:t>
      </w:r>
      <w:r w:rsidR="00445EE5">
        <w:t xml:space="preserve"> nebo nevhodným zpracováním tkáně. Z tohoto důvodu je vhodné integrovat druhý kontrolní bod, kterým je sekvenace stěžejních genů zapojených do molekulárně histologické definice gliomů. </w:t>
      </w:r>
      <w:r w:rsidR="00445EE5" w:rsidRPr="00445EE5">
        <w:t xml:space="preserve">Tento dvoustupňový postup lze použít také pro další geny vyšetřované </w:t>
      </w:r>
      <w:r w:rsidR="00445EE5">
        <w:t>u</w:t>
      </w:r>
      <w:r w:rsidR="00445EE5" w:rsidRPr="00445EE5">
        <w:t xml:space="preserve"> gliom</w:t>
      </w:r>
      <w:r w:rsidR="00445EE5">
        <w:t>ů</w:t>
      </w:r>
      <w:r w:rsidR="00445EE5" w:rsidRPr="00445EE5">
        <w:t>, jako je alfa-talasemie/syndrom mentální retardace vázaný na X (ATRX) nebo telomerázová reverzní transkriptáza (TERT).</w:t>
      </w:r>
    </w:p>
    <w:p w14:paraId="46BB883A" w14:textId="67F5B779" w:rsidR="00D50A81" w:rsidRDefault="00445EE5" w:rsidP="00D50A81">
      <w:pPr>
        <w:jc w:val="both"/>
      </w:pPr>
      <w:r w:rsidRPr="00445EE5">
        <w:t xml:space="preserve">Na základě současné klasifikace nádorů CNS a rozvoje masivně paralelního sekvenování, </w:t>
      </w:r>
      <w:r w:rsidR="002A56FF">
        <w:t xml:space="preserve">je vhodné využívat </w:t>
      </w:r>
      <w:r w:rsidR="00B245D8">
        <w:t xml:space="preserve">genové panely vyrobené na míru pro </w:t>
      </w:r>
      <w:r w:rsidR="00B245D8" w:rsidRPr="00445EE5">
        <w:t>pochopení molekulárního pozadí</w:t>
      </w:r>
      <w:r w:rsidR="00B245D8">
        <w:t xml:space="preserve"> u gliomů</w:t>
      </w:r>
      <w:r w:rsidR="00403A59">
        <w:fldChar w:fldCharType="begin" w:fldLock="1"/>
      </w:r>
      <w:r w:rsidR="00C21F70">
        <w:instrText>ADDIN CSL_CITATION {"citationItems":[{"id":"ITEM-1","itemData":{"DOI":"10.1111/bpa.12367","ISSN":"1750-3639","PMID":"26919320","abstract":"Current classification of gliomas is based on histological criteria according to the World Health Organization (WHO) classification of tumors of the central nervous system. Over the past years, characteristic genetic profiles have been identified in various glioma types. These can refine tumor diagnostics and provide important prognostic and predictive information. We report on the establishment and validation of gene panel next generation sequencing (NGS) for the molecular diagnostics of gliomas. We designed a glioma-tailored gene panel covering 660 amplicons derived from 20 genes frequently aberrant in different glioma types. Sensitivity and specificity of glioma gene panel NGS for detection of DNA sequence variants and copy number changes were validated by single gene analyses. NGS-based mutation detection was optimized for application on formalin-fixed paraffin-embedded tissue specimens including small stereotactic biopsy samples. NGS data obtained in a retrospective analysis of 121 gliomas allowed for their molecular classification into distinct biological groups, including (i) isocitrate dehydrogenase gene (IDH) 1 or 2 mutant astrocytic gliomas with frequent α-thalassemia/mental retardation syndrome X-linked (ATRX) and tumor protein p53 (TP53) gene mutations, (ii) IDH mutant oligodendroglial tumors with 1p/19q codeletion, telomerase reverse transcriptase (TERT) promoter mutation and frequent Drosophila homolog of capicua (CIC) gene mutation, as well as (iii) IDH wildtype glioblastomas with frequent TERT promoter mutation, phosphatase and tensin homolog (PTEN) mutation and/or epidermal growth factor receptor (EGFR) amplification. Oligoastrocytic gliomas were genetically assigned to either of these groups. Our findings implicate gene panel NGS as a promising diagnostic technique that may facilitate integrated histological and molecular glioma classification.","author":[{"dropping-particle":"","family":"Zacher","given":"Angela","non-dropping-particle":"","parse-names":false,"suffix":""},{"dropping-particle":"","family":"Kaulich","given":"Kerstin","non-dropping-particle":"","parse-names":false,"suffix":""},{"dropping-particle":"","family":"Stepanow","given":"Stefanie","non-dropping-particle":"","parse-names":false,"suffix":""},{"dropping-particle":"","family":"Wolter","given":"Marietta","non-dropping-particle":"","parse-names":false,"suffix":""},{"dropping-particle":"","family":"Köhrer","given":"Karl","non-dropping-particle":"","parse-names":false,"suffix":""},{"dropping-particle":"","family":"Felsberg","given":"Jörg","non-dropping-particle":"","parse-names":false,"suffix":""},{"dropping-particle":"","family":"Malzkorn","given":"Bastian","non-dropping-particle":"","parse-names":false,"suffix":""},{"dropping-particle":"","family":"Reifenberger","given":"Guido","non-dropping-particle":"","parse-names":false,"suffix":""}],"container-title":"Brain pathology (Zurich, Switzerland)","id":"ITEM-1","issue":"2","issued":{"date-parts":[["2017"]]},"page":"146-159","title":"Molecular Diagnostics of Gliomas Using Next Generation Sequencing of a Glioma-Tailored Gene Panel.","type":"article-journal","volume":"27"},"uris":["http://www.mendeley.com/documents/?uuid=5e044d12-efd4-3b69-87af-90c758684eb9"]},{"id":"ITEM-2","itemData":{"DOI":"10.1007/s11060-019-03114-1","ISSN":"15737373","abstract":"Purpose: The TruSight Tumor 170 (TST-170) panel consists of a DNA workflow for the identification of single-nucleotide variants, small insertions and deletions, and copy number variation, as well as a panel of 55 genes for a RNA workflow for the identification of splice variants and gene fusions. To date, the application of TST-170 in diffuse gliomas (DGs) has not been described. Methods: We analyzed 135 samples of DG, which were diagnosed by WHO criteria based on histological features and conventional molecular tests including immunostaining, 1p/19q FISH, and analysis of MGMT methylation and TERT promoter mutation. Results: A total of 135 cases consisted of 38 IDH-mutant [17 astrocytoma (AC), 13 oligodendroglioma (OD) and eight glioblastoma (GBM)], 87 IDH-wildtype (six AC, three OD and 78 GBM), and 10 diffuse midline glioma, H3K27M-mutant. DNA analysis enabled the detection of all mutations identified in these samples by conventional techniques, and the results were highly comparable to the known mutations in each subtype. RNA analysis detected four fusion genes including PTPRZ1–MET, FGFR3–TACC3, FAM131B–BRAF, and RET–CCDC6 and one splicing variant (EGFR vIII mutant). Clustered copy number loss in 1p and 19q loci genes were detected in 1p/19q-codeleted OD. Conclusions: The application of TST-170 panel based NGS in clinical and laboratory setting is expected to improve diagnostic accuracy and prognostication. Most benefits are expected in IDH-wildtype DG, a group of genetically heterogenous tumors harboring DNA sequence changes, copy number alterations, and fusions in a large number of oncogenes and tumor suppressor genes.","author":[{"dropping-particle":"","family":"Na","given":"Kiyong","non-dropping-particle":"","parse-names":false,"suffix":""},{"dropping-particle":"","family":"Kim","given":"Hyun Soo","non-dropping-particle":"","parse-names":false,"suffix":""},{"dropping-particle":"","family":"Shim","given":"Hyo Sup","non-dropping-particle":"","parse-names":false,"suffix":""},{"dropping-particle":"","family":"Chang","given":"Jong Hee","non-dropping-particle":"","parse-names":false,"suffix":""},{"dropping-particle":"","family":"Kang","given":"Seok Gu","non-dropping-particle":"","parse-names":false,"suffix":""},{"dropping-particle":"","family":"Kim","given":"Se Hoon","non-dropping-particle":"","parse-names":false,"suffix":""}],"container-title":"Journal of Neuro-Oncology","id":"ITEM-2","issue":"3","issued":{"date-parts":[["2019","5","1"]]},"page":"445-454","publisher":"Springer New York LLC","title":"Targeted next-generation sequencing panel (TruSight Tumor 170) in diffuse glioma: a single institutional experience of 135 cases","type":"article-journal","volume":"142"},"uris":["http://www.mendeley.com/documents/?uuid=985766fc-0936-36e4-88d6-43d4481cc85b"]}],"mendeley":{"formattedCitation":"&lt;sup&gt;234,235&lt;/sup&gt;","plainTextFormattedCitation":"234,235","previouslyFormattedCitation":"&lt;sup&gt;234,235&lt;/sup&gt;"},"properties":{"noteIndex":0},"schema":"https://github.com/citation-style-language/schema/raw/master/csl-citation.json"}</w:instrText>
      </w:r>
      <w:r w:rsidR="00403A59">
        <w:fldChar w:fldCharType="separate"/>
      </w:r>
      <w:r w:rsidR="00403A59" w:rsidRPr="00403A59">
        <w:rPr>
          <w:noProof/>
          <w:vertAlign w:val="superscript"/>
        </w:rPr>
        <w:t>234,235</w:t>
      </w:r>
      <w:r w:rsidR="00403A59">
        <w:fldChar w:fldCharType="end"/>
      </w:r>
      <w:r w:rsidR="00403A59">
        <w:t>.</w:t>
      </w:r>
      <w:r w:rsidR="00C21F70" w:rsidRPr="00C21F70">
        <w:t xml:space="preserve"> </w:t>
      </w:r>
      <w:r w:rsidR="00C21F70">
        <w:t>Prokázali jsme,</w:t>
      </w:r>
      <w:r w:rsidR="00C21F70" w:rsidRPr="00263647">
        <w:t xml:space="preserve"> že </w:t>
      </w:r>
      <w:r w:rsidR="00C21F70">
        <w:t>přesnost informací v</w:t>
      </w:r>
      <w:r w:rsidR="0098449D">
        <w:t xml:space="preserve"> klinice gliomů </w:t>
      </w:r>
      <w:r w:rsidR="00C21F70" w:rsidRPr="00263647">
        <w:t>se zvyšuj</w:t>
      </w:r>
      <w:r w:rsidR="00C21F70">
        <w:t>e</w:t>
      </w:r>
      <w:r w:rsidR="00C21F70" w:rsidRPr="00263647">
        <w:t xml:space="preserve"> dokonce pouze testování</w:t>
      </w:r>
      <w:r w:rsidR="00C21F70">
        <w:t>m</w:t>
      </w:r>
      <w:r w:rsidR="00C21F70" w:rsidRPr="00263647">
        <w:t xml:space="preserve"> genů</w:t>
      </w:r>
      <w:r w:rsidR="00C21F70" w:rsidRPr="00C21F70">
        <w:rPr>
          <w:i/>
          <w:iCs/>
        </w:rPr>
        <w:t xml:space="preserve"> IDH1</w:t>
      </w:r>
      <w:r w:rsidR="00C21F70" w:rsidRPr="00263647">
        <w:t xml:space="preserve"> a </w:t>
      </w:r>
      <w:r w:rsidR="00C21F70" w:rsidRPr="00C21F70">
        <w:rPr>
          <w:i/>
          <w:iCs/>
        </w:rPr>
        <w:t>IDH2</w:t>
      </w:r>
      <w:r w:rsidR="00C21F70" w:rsidRPr="00263647">
        <w:t>.</w:t>
      </w:r>
      <w:r w:rsidR="00C21F70">
        <w:t xml:space="preserve"> </w:t>
      </w:r>
      <w:r w:rsidR="00263647" w:rsidRPr="00263647">
        <w:t xml:space="preserve">Naše metoda </w:t>
      </w:r>
      <w:r w:rsidR="00263647">
        <w:t>f</w:t>
      </w:r>
      <w:r w:rsidR="00263647" w:rsidRPr="00263647">
        <w:t xml:space="preserve">ast IDH MPS </w:t>
      </w:r>
      <w:r w:rsidR="00263647">
        <w:t>vy</w:t>
      </w:r>
      <w:r w:rsidR="00263647" w:rsidRPr="00263647">
        <w:t>kazuje shodné výsledky</w:t>
      </w:r>
      <w:r w:rsidR="00263647">
        <w:t xml:space="preserve"> s</w:t>
      </w:r>
      <w:r w:rsidR="00263647" w:rsidRPr="00263647">
        <w:t xml:space="preserve"> Nextera XT</w:t>
      </w:r>
      <w:r w:rsidR="00263647">
        <w:t xml:space="preserve"> metodou</w:t>
      </w:r>
      <w:r w:rsidR="00263647" w:rsidRPr="00263647">
        <w:t>. Příprav</w:t>
      </w:r>
      <w:r w:rsidR="00263647">
        <w:t>a</w:t>
      </w:r>
      <w:r w:rsidR="00263647" w:rsidRPr="00263647">
        <w:t xml:space="preserve"> knihovny </w:t>
      </w:r>
      <w:r w:rsidR="00263647">
        <w:t>Fast</w:t>
      </w:r>
      <w:r w:rsidR="00263647" w:rsidRPr="00263647">
        <w:t xml:space="preserve"> IDH zahrnuje pouze jeden krok (PCR amplifikace s purifikací, celkem přibližně 3 hodiny)</w:t>
      </w:r>
      <w:r w:rsidR="00263647">
        <w:t>,</w:t>
      </w:r>
      <w:r w:rsidR="00263647" w:rsidRPr="00263647">
        <w:t xml:space="preserve"> narozdíl od metody Nextera XT (1. PCR amplifikace s purifikací, 2. tagmentace a 3. indexování PCR amplifikace s purifikací, celkem přibližně 7 hodin), snižuje se i pravděpodobnost technické chybovosti </w:t>
      </w:r>
      <w:r w:rsidR="0098449D">
        <w:t xml:space="preserve">a </w:t>
      </w:r>
      <w:r w:rsidR="00263647" w:rsidRPr="00263647">
        <w:t xml:space="preserve">je zredukována doba potřebná k provedení </w:t>
      </w:r>
      <w:r w:rsidR="00263647">
        <w:t>metody</w:t>
      </w:r>
      <w:r w:rsidR="00263647" w:rsidRPr="00263647">
        <w:t xml:space="preserve">. Celkově metoda fast IDH poskytuje vyšší nákladovou efektivitu díky rychlejšímu zpracování vzorků a bude brzy licencována k prodeji. </w:t>
      </w:r>
      <w:r w:rsidR="00431D9B" w:rsidRPr="00263647">
        <w:t>Vzhledem</w:t>
      </w:r>
      <w:r w:rsidR="00431D9B" w:rsidRPr="00431D9B">
        <w:t xml:space="preserve"> k vysokým nákladům na sekven</w:t>
      </w:r>
      <w:r w:rsidR="0098449D">
        <w:t>ační</w:t>
      </w:r>
      <w:r w:rsidR="00431D9B">
        <w:t xml:space="preserve"> chemii</w:t>
      </w:r>
      <w:r w:rsidR="00431D9B" w:rsidRPr="00431D9B">
        <w:t xml:space="preserve"> jsme v naší laboratoři použili nejmenší průtokovou kyvetu (MiSEQ nano) s cenou 380 - 500 eur</w:t>
      </w:r>
      <w:r w:rsidR="00431D9B">
        <w:t xml:space="preserve"> pro</w:t>
      </w:r>
      <w:r w:rsidR="00431D9B" w:rsidRPr="00431D9B">
        <w:t xml:space="preserve"> dos</w:t>
      </w:r>
      <w:r w:rsidR="00431D9B">
        <w:t>ažení</w:t>
      </w:r>
      <w:r w:rsidR="00431D9B" w:rsidRPr="00431D9B">
        <w:t xml:space="preserve"> nákladové efektivity metody. </w:t>
      </w:r>
      <w:r w:rsidR="00263647">
        <w:t>Co se týče rutinní diagnostiky</w:t>
      </w:r>
      <w:r w:rsidR="00263647" w:rsidRPr="00263647">
        <w:t>, o</w:t>
      </w:r>
      <w:r w:rsidR="00431D9B" w:rsidRPr="00263647">
        <w:t xml:space="preserve">bvykle se sekvenují 2-4 vzorky pro </w:t>
      </w:r>
      <w:r w:rsidR="00263647" w:rsidRPr="00263647">
        <w:t>vyšetření mutací</w:t>
      </w:r>
      <w:r w:rsidR="00431D9B" w:rsidRPr="00263647">
        <w:t xml:space="preserve"> </w:t>
      </w:r>
      <w:r w:rsidR="00431D9B" w:rsidRPr="0098449D">
        <w:rPr>
          <w:i/>
          <w:iCs/>
        </w:rPr>
        <w:t>IDH1/2</w:t>
      </w:r>
      <w:r w:rsidR="00431D9B" w:rsidRPr="00263647">
        <w:t xml:space="preserve"> v </w:t>
      </w:r>
      <w:r w:rsidR="00263647" w:rsidRPr="00263647">
        <w:t>jednom</w:t>
      </w:r>
      <w:r w:rsidR="00431D9B" w:rsidRPr="00263647">
        <w:t xml:space="preserve"> běhu (jednou týdně nebo každý druhý týden). Proto</w:t>
      </w:r>
      <w:r w:rsidR="00431D9B" w:rsidRPr="00431D9B">
        <w:t xml:space="preserve"> je nezbytné kombinovat sekvenování </w:t>
      </w:r>
      <w:r w:rsidR="00431D9B" w:rsidRPr="0098449D">
        <w:rPr>
          <w:i/>
          <w:iCs/>
        </w:rPr>
        <w:t>IDH1/2</w:t>
      </w:r>
      <w:r w:rsidR="00431D9B" w:rsidRPr="00431D9B">
        <w:t xml:space="preserve"> i se sekvenováním dalších genů, jako jsou </w:t>
      </w:r>
      <w:r w:rsidR="00431D9B" w:rsidRPr="00431D9B">
        <w:rPr>
          <w:i/>
          <w:iCs/>
        </w:rPr>
        <w:t>KRAS</w:t>
      </w:r>
      <w:r w:rsidR="00431D9B" w:rsidRPr="00431D9B">
        <w:t xml:space="preserve">, </w:t>
      </w:r>
      <w:r w:rsidR="00431D9B" w:rsidRPr="00431D9B">
        <w:rPr>
          <w:i/>
          <w:iCs/>
        </w:rPr>
        <w:t>NRAS</w:t>
      </w:r>
      <w:r w:rsidR="00431D9B" w:rsidRPr="00431D9B">
        <w:t xml:space="preserve">, </w:t>
      </w:r>
      <w:r w:rsidR="00431D9B" w:rsidRPr="00431D9B">
        <w:rPr>
          <w:i/>
          <w:iCs/>
        </w:rPr>
        <w:t>BRAF</w:t>
      </w:r>
      <w:r w:rsidR="00431D9B" w:rsidRPr="00431D9B">
        <w:t xml:space="preserve"> (rakovina tlustého střeva), </w:t>
      </w:r>
      <w:r w:rsidR="00431D9B" w:rsidRPr="0098449D">
        <w:rPr>
          <w:i/>
          <w:iCs/>
        </w:rPr>
        <w:t>EGFR</w:t>
      </w:r>
      <w:r w:rsidR="00431D9B" w:rsidRPr="00431D9B">
        <w:t xml:space="preserve"> a </w:t>
      </w:r>
      <w:r w:rsidR="00431D9B" w:rsidRPr="0098449D">
        <w:rPr>
          <w:i/>
          <w:iCs/>
        </w:rPr>
        <w:t>BRAF</w:t>
      </w:r>
      <w:r w:rsidR="00431D9B" w:rsidRPr="00431D9B">
        <w:t xml:space="preserve"> (rakovina plic) nebo </w:t>
      </w:r>
      <w:r w:rsidR="00431D9B" w:rsidRPr="0098449D">
        <w:rPr>
          <w:i/>
          <w:iCs/>
        </w:rPr>
        <w:t>BRCA1/2</w:t>
      </w:r>
      <w:r w:rsidR="00431D9B" w:rsidRPr="00431D9B">
        <w:t xml:space="preserve"> (rakovina vaječníků</w:t>
      </w:r>
      <w:r w:rsidR="0094630F">
        <w:t xml:space="preserve"> a prsu</w:t>
      </w:r>
      <w:r w:rsidR="00431D9B" w:rsidRPr="00431D9B">
        <w:t>).</w:t>
      </w:r>
      <w:r w:rsidR="00263647">
        <w:t xml:space="preserve"> </w:t>
      </w:r>
      <w:r w:rsidR="00431D9B" w:rsidRPr="00431D9B">
        <w:t>Při sekvenování 16 vzorků je cena sekvenování u obou metod přibližně 30 eur za vzorek. Náklady na přípravu knihovny, pracovní náklady a provozní náklady tvoří přibližně polovinu celkových nákladů</w:t>
      </w:r>
      <w:r w:rsidR="00FD6D74">
        <w:t xml:space="preserve"> (15 eur)</w:t>
      </w:r>
      <w:r w:rsidR="00431D9B" w:rsidRPr="00431D9B">
        <w:t>. Příprava knihovny pomocí NexteraXT stojí kolem 50 EUR za vzorek.</w:t>
      </w:r>
      <w:r w:rsidR="0094630F">
        <w:t xml:space="preserve"> </w:t>
      </w:r>
      <w:r w:rsidR="00431D9B">
        <w:t>Jakmile bude</w:t>
      </w:r>
      <w:r w:rsidR="00431D9B" w:rsidRPr="00431D9B">
        <w:t xml:space="preserve"> fast</w:t>
      </w:r>
      <w:r w:rsidR="00431D9B">
        <w:t xml:space="preserve"> </w:t>
      </w:r>
      <w:r w:rsidR="00431D9B" w:rsidRPr="00431D9B">
        <w:t>IDH</w:t>
      </w:r>
      <w:r w:rsidR="00431D9B">
        <w:t xml:space="preserve"> kit</w:t>
      </w:r>
      <w:r w:rsidR="00431D9B" w:rsidRPr="00431D9B">
        <w:t xml:space="preserve"> komerčně dostupn</w:t>
      </w:r>
      <w:r w:rsidR="00431D9B">
        <w:t>ý</w:t>
      </w:r>
      <w:r w:rsidR="00431D9B" w:rsidRPr="00431D9B">
        <w:t xml:space="preserve">, očekávané náklady na vzorek </w:t>
      </w:r>
      <w:r w:rsidR="00431D9B">
        <w:t>budou</w:t>
      </w:r>
      <w:r w:rsidR="00431D9B" w:rsidRPr="00431D9B">
        <w:t xml:space="preserve"> 30 - 60 eur. Celkové náklady na sekvenování IDH1</w:t>
      </w:r>
      <w:r w:rsidR="00431D9B">
        <w:t>/</w:t>
      </w:r>
      <w:r w:rsidR="00431D9B" w:rsidRPr="00431D9B">
        <w:t>2 by dnes byly asi 100 eur nebo dokonce méně.</w:t>
      </w:r>
      <w:r w:rsidR="00431D9B">
        <w:t xml:space="preserve"> </w:t>
      </w:r>
      <w:r w:rsidR="00F31FEC" w:rsidRPr="00F31FEC">
        <w:t>Což vede k</w:t>
      </w:r>
      <w:r w:rsidR="00F31FEC">
        <w:t> </w:t>
      </w:r>
      <w:r w:rsidR="00F31FEC" w:rsidRPr="00F31FEC">
        <w:t>otázce</w:t>
      </w:r>
      <w:r w:rsidR="00F31FEC">
        <w:t xml:space="preserve"> nad současnou platností modelu publikovaného </w:t>
      </w:r>
      <w:r w:rsidR="00D50A81">
        <w:t>DeWitt z roku 2017</w:t>
      </w:r>
      <w:r w:rsidR="00C21F70">
        <w:fldChar w:fldCharType="begin" w:fldLock="1"/>
      </w:r>
      <w:r w:rsidR="00B2369D">
        <w:instrText>ADDIN CSL_CITATION {"citationItems":[{"id":"ITEM-1","itemData":{"DOI":"10.1093/neuonc/nox120","PMID":"29016871","author":[{"dropping-particle":"","family":"Dewitt","given":"John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K.","non-dropping-particle":"","parse-names":false,"suffix":""}],"container-title":"Neuro-Oncology","id":"ITEM-1","issue":"12","issued":{"date-parts":[["2017"]]},"page":"1640-1650","publisher":"Oxford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mendeley":{"formattedCitation":"&lt;sup&gt;87&lt;/sup&gt;","plainTextFormattedCitation":"87","previouslyFormattedCitation":"&lt;sup&gt;87&lt;/sup&gt;"},"properties":{"noteIndex":0},"schema":"https://github.com/citation-style-language/schema/raw/master/csl-citation.json"}</w:instrText>
      </w:r>
      <w:r w:rsidR="00C21F70">
        <w:fldChar w:fldCharType="separate"/>
      </w:r>
      <w:r w:rsidR="00C21F70" w:rsidRPr="00C21F70">
        <w:rPr>
          <w:noProof/>
          <w:vertAlign w:val="superscript"/>
        </w:rPr>
        <w:t>87</w:t>
      </w:r>
      <w:r w:rsidR="00C21F70">
        <w:fldChar w:fldCharType="end"/>
      </w:r>
      <w:r w:rsidR="00D50A81">
        <w:t xml:space="preserve">, který je založen na nákladech za NGS čítajících </w:t>
      </w:r>
      <w:r w:rsidR="00D50A81" w:rsidRPr="00D50A81">
        <w:t>1800 USD (~ 1500 eur)</w:t>
      </w:r>
      <w:r w:rsidR="00D50A81">
        <w:t>.</w:t>
      </w:r>
      <w:r w:rsidR="00D50A81" w:rsidRPr="00D50A81">
        <w:t xml:space="preserve"> I když by to mohlo znít kontroverzně, předpokládáme, že by měly být v dnešní době analyzovány</w:t>
      </w:r>
      <w:r w:rsidR="00D50A81">
        <w:t xml:space="preserve"> pomocí </w:t>
      </w:r>
      <w:r w:rsidR="00D50A81" w:rsidRPr="00D50A81">
        <w:t>MPS i nádory pacientů starších 55 let a postupně by mohl</w:t>
      </w:r>
      <w:r w:rsidR="00D50A81">
        <w:t>o</w:t>
      </w:r>
      <w:r w:rsidR="00D50A81" w:rsidRPr="00D50A81">
        <w:t xml:space="preserve"> NGS</w:t>
      </w:r>
      <w:r w:rsidR="00D50A81">
        <w:t xml:space="preserve"> zcela nahradit imunohistochemické vyšetření </w:t>
      </w:r>
      <w:r w:rsidR="00D50A81" w:rsidRPr="00B85C8E">
        <w:t>IDH</w:t>
      </w:r>
      <w:r w:rsidR="00D50A81" w:rsidRPr="00D50A81">
        <w:t xml:space="preserve"> IHC</w:t>
      </w:r>
      <w:r w:rsidR="00D50A81">
        <w:t xml:space="preserve">. Jediným limitem naší práce může být fakt, že jsme v naší práci nesekvenovali </w:t>
      </w:r>
      <w:r w:rsidR="00D50A81" w:rsidRPr="00D50A81">
        <w:t>IHC w</w:t>
      </w:r>
      <w:r w:rsidR="00D50A81">
        <w:t xml:space="preserve">ild </w:t>
      </w:r>
      <w:r w:rsidR="00D50A81" w:rsidRPr="00D50A81">
        <w:t>t</w:t>
      </w:r>
      <w:r w:rsidR="00D50A81">
        <w:t>ype</w:t>
      </w:r>
      <w:r w:rsidR="00D50A81" w:rsidRPr="00D50A81">
        <w:t xml:space="preserve"> vzorky pacientů starších 55 let pro</w:t>
      </w:r>
      <w:r w:rsidR="00D50A81">
        <w:t xml:space="preserve"> odhalení nekanonických mutací nebo falešně negativncích vzorků. </w:t>
      </w:r>
    </w:p>
    <w:p w14:paraId="4C5AB46A" w14:textId="63DF2281" w:rsidR="005C3A50" w:rsidRPr="005C3A50" w:rsidRDefault="005C3A50" w:rsidP="005C3A50"/>
    <w:p w14:paraId="48CC6C9D" w14:textId="0573E564" w:rsidR="00204189" w:rsidRDefault="00204189" w:rsidP="00204189">
      <w:pPr>
        <w:pStyle w:val="Nadpis3"/>
      </w:pPr>
      <w:bookmarkStart w:id="83" w:name="_Toc88741494"/>
      <w:r>
        <w:t>Závěr</w:t>
      </w:r>
      <w:bookmarkEnd w:id="83"/>
    </w:p>
    <w:p w14:paraId="5228918F" w14:textId="4B794445" w:rsidR="00D7358C" w:rsidRDefault="00D7358C" w:rsidP="00D7358C">
      <w:pPr>
        <w:tabs>
          <w:tab w:val="left" w:pos="975"/>
        </w:tabs>
        <w:jc w:val="both"/>
      </w:pPr>
      <w:r w:rsidRPr="00D7358C">
        <w:t>Přesn</w:t>
      </w:r>
      <w:r>
        <w:t xml:space="preserve">é určení </w:t>
      </w:r>
      <w:r w:rsidRPr="00D7358C">
        <w:t>difúzních gliomů je zásadní pro identifikaci vhodn</w:t>
      </w:r>
      <w:r>
        <w:t>é</w:t>
      </w:r>
      <w:r w:rsidRPr="00D7358C">
        <w:t xml:space="preserve"> terapi</w:t>
      </w:r>
      <w:r>
        <w:t xml:space="preserve">e. </w:t>
      </w:r>
      <w:r w:rsidRPr="00D7358C">
        <w:t xml:space="preserve">Gliomy jsou klasifikovány pomocí WHO </w:t>
      </w:r>
      <w:r>
        <w:t xml:space="preserve">klasifikace nádorů CNS </w:t>
      </w:r>
      <w:r w:rsidRPr="00D7358C">
        <w:t xml:space="preserve">z roku 2016, který je založen na přítomnosti validovaných biomarkerů </w:t>
      </w:r>
      <w:r>
        <w:t>zahrnujících</w:t>
      </w:r>
      <w:r w:rsidRPr="00D7358C">
        <w:t xml:space="preserve"> mutac</w:t>
      </w:r>
      <w:r w:rsidR="002C6BD6">
        <w:t>e</w:t>
      </w:r>
      <w:r w:rsidRPr="00D7358C">
        <w:t xml:space="preserve"> </w:t>
      </w:r>
      <w:r w:rsidRPr="00B85C8E">
        <w:rPr>
          <w:i/>
          <w:iCs/>
        </w:rPr>
        <w:t>IDH</w:t>
      </w:r>
      <w:r w:rsidRPr="00D7358C">
        <w:t xml:space="preserve"> a </w:t>
      </w:r>
      <w:r w:rsidR="002C6BD6">
        <w:t>ko</w:t>
      </w:r>
      <w:r w:rsidR="002C6BD6" w:rsidRPr="00D7358C">
        <w:t>delec</w:t>
      </w:r>
      <w:r w:rsidR="002C6BD6">
        <w:t>i</w:t>
      </w:r>
      <w:r w:rsidR="002C6BD6" w:rsidRPr="00D7358C">
        <w:t xml:space="preserve"> </w:t>
      </w:r>
      <w:r w:rsidRPr="00D7358C">
        <w:t>1p/19</w:t>
      </w:r>
      <w:r>
        <w:t>q</w:t>
      </w:r>
      <w:r w:rsidRPr="00D7358C">
        <w:t xml:space="preserve">. </w:t>
      </w:r>
      <w:r>
        <w:t>Pro</w:t>
      </w:r>
      <w:r w:rsidRPr="00D7358C">
        <w:t xml:space="preserve">kázali jsme, že vzácné varianty </w:t>
      </w:r>
      <w:r w:rsidRPr="00B85C8E">
        <w:rPr>
          <w:i/>
          <w:iCs/>
        </w:rPr>
        <w:t>IDH1/2</w:t>
      </w:r>
      <w:r w:rsidRPr="00D7358C">
        <w:t xml:space="preserve"> se vyskytují u pacientů s nádory CNS, což potvrzuje předchozí </w:t>
      </w:r>
      <w:r w:rsidR="002C6BD6">
        <w:t>objevy</w:t>
      </w:r>
      <w:r w:rsidRPr="00D7358C">
        <w:t xml:space="preserve">. Naše laboratoř provádí sekvenování DNA nádorů </w:t>
      </w:r>
      <w:r>
        <w:t>označených</w:t>
      </w:r>
      <w:r w:rsidRPr="00D7358C">
        <w:t xml:space="preserve"> </w:t>
      </w:r>
      <w:r w:rsidR="002C6BD6">
        <w:t xml:space="preserve">jako </w:t>
      </w:r>
      <w:r w:rsidRPr="00D7358C">
        <w:t xml:space="preserve">IHC IDH1-negativní u pacientů mladších 55 let a tento </w:t>
      </w:r>
      <w:r>
        <w:t xml:space="preserve">postup </w:t>
      </w:r>
      <w:r w:rsidRPr="00D7358C">
        <w:t xml:space="preserve">doporučujeme </w:t>
      </w:r>
      <w:r w:rsidR="00B85C8E">
        <w:t xml:space="preserve">i </w:t>
      </w:r>
      <w:r w:rsidRPr="00D7358C">
        <w:t xml:space="preserve">dalším laboratořím, které </w:t>
      </w:r>
      <w:r w:rsidR="00B85C8E">
        <w:t>mají za cíl</w:t>
      </w:r>
      <w:r w:rsidRPr="00D7358C">
        <w:t xml:space="preserve"> přesnou molekulární diagnostiku.</w:t>
      </w:r>
    </w:p>
    <w:p w14:paraId="6D277BAF" w14:textId="03EF25F7" w:rsidR="00144684" w:rsidRPr="00B85C8E" w:rsidRDefault="00144684" w:rsidP="00144684">
      <w:pPr>
        <w:pStyle w:val="Nadpis3"/>
      </w:pPr>
      <w:bookmarkStart w:id="84" w:name="_Toc88741495"/>
      <w:r w:rsidRPr="00B85C8E">
        <w:t>Podíl autora dizertační práce na daném tématu</w:t>
      </w:r>
      <w:bookmarkEnd w:id="84"/>
    </w:p>
    <w:p w14:paraId="79E7B509" w14:textId="31F8693B" w:rsidR="00B85C8E" w:rsidRDefault="00B85C8E" w:rsidP="00B85C8E">
      <w:pPr>
        <w:jc w:val="both"/>
      </w:pPr>
      <w:r w:rsidRPr="00B85C8E">
        <w:t>Uvedená studie je publikována v časopise Applied Immunohistochemistry &amp; Molecular Morphology pod názvem IDH1/2 mutations in Czech patients with diffuse gliomas: a single centre retrospective massively parallel sequencing analysis (viz Přílohy). Autorka se podílela na designu a koordinaci studie</w:t>
      </w:r>
      <w:r>
        <w:t xml:space="preserve"> včetně provedení vyšetření všech vzorků pomocí sekvenování a FISH</w:t>
      </w:r>
      <w:r w:rsidR="00C22540">
        <w:t>.</w:t>
      </w:r>
      <w:r w:rsidR="00C22540" w:rsidRPr="00C22540">
        <w:t xml:space="preserve"> </w:t>
      </w:r>
      <w:r w:rsidR="00C22540">
        <w:t>Zpracovala výsledky a následně rukopis studie.</w:t>
      </w:r>
    </w:p>
    <w:p w14:paraId="33A5789C" w14:textId="21BCF964" w:rsidR="00B85C8E" w:rsidRPr="00B85C8E" w:rsidRDefault="00B85C8E" w:rsidP="00B85C8E">
      <w:pPr>
        <w:pStyle w:val="Odstavecseseznamem"/>
        <w:spacing w:line="480" w:lineRule="auto"/>
        <w:ind w:left="360"/>
        <w:jc w:val="both"/>
      </w:pPr>
    </w:p>
    <w:p w14:paraId="1C023FD3" w14:textId="77777777" w:rsidR="00C406A1" w:rsidRDefault="00C406A1" w:rsidP="005712FF">
      <w:pPr>
        <w:tabs>
          <w:tab w:val="left" w:pos="975"/>
        </w:tabs>
        <w:sectPr w:rsidR="00C406A1">
          <w:pgSz w:w="11906" w:h="16838"/>
          <w:pgMar w:top="1417" w:right="1417" w:bottom="1417" w:left="1417" w:header="708" w:footer="708" w:gutter="0"/>
          <w:cols w:space="708"/>
          <w:docGrid w:linePitch="360"/>
        </w:sectPr>
      </w:pPr>
    </w:p>
    <w:p w14:paraId="64A6EAC7" w14:textId="4A7E4ED9" w:rsidR="003E1A73" w:rsidRDefault="003E1A73" w:rsidP="00C406A1">
      <w:pPr>
        <w:pStyle w:val="Nadpis2"/>
      </w:pPr>
      <w:bookmarkStart w:id="85" w:name="_Toc88741496"/>
      <w:r w:rsidRPr="005712FF">
        <w:t xml:space="preserve">Vliv genových aberací na přežití u pacientů s resekovaným glioblastomem </w:t>
      </w:r>
      <w:r w:rsidRPr="006357AA">
        <w:rPr>
          <w:i/>
          <w:iCs/>
        </w:rPr>
        <w:t>IDH</w:t>
      </w:r>
      <w:r w:rsidRPr="005712FF">
        <w:t xml:space="preserve"> wild</w:t>
      </w:r>
      <w:r w:rsidR="006243FC">
        <w:t xml:space="preserve"> </w:t>
      </w:r>
      <w:r w:rsidRPr="005712FF">
        <w:t>type</w:t>
      </w:r>
      <w:r w:rsidR="005712FF" w:rsidRPr="005712FF">
        <w:t xml:space="preserve"> z jednoho centra</w:t>
      </w:r>
      <w:bookmarkEnd w:id="85"/>
    </w:p>
    <w:p w14:paraId="56B9620C" w14:textId="445E3C89" w:rsidR="005712FF" w:rsidRDefault="005712FF" w:rsidP="00562F69">
      <w:pPr>
        <w:pStyle w:val="Nadpis3"/>
      </w:pPr>
      <w:bookmarkStart w:id="86" w:name="_Toc66472651"/>
      <w:bookmarkStart w:id="87" w:name="_Toc66472736"/>
      <w:bookmarkStart w:id="88" w:name="_Toc67127788"/>
      <w:bookmarkStart w:id="89" w:name="_Toc67129099"/>
      <w:bookmarkStart w:id="90" w:name="_Toc67129960"/>
      <w:bookmarkStart w:id="91" w:name="_Toc66472654"/>
      <w:bookmarkStart w:id="92" w:name="_Toc66472739"/>
      <w:bookmarkStart w:id="93" w:name="_Toc67127791"/>
      <w:bookmarkStart w:id="94" w:name="_Toc67129102"/>
      <w:bookmarkStart w:id="95" w:name="_Toc67129963"/>
      <w:bookmarkStart w:id="96" w:name="_Toc88741497"/>
      <w:bookmarkEnd w:id="86"/>
      <w:bookmarkEnd w:id="87"/>
      <w:bookmarkEnd w:id="88"/>
      <w:bookmarkEnd w:id="89"/>
      <w:bookmarkEnd w:id="90"/>
      <w:bookmarkEnd w:id="91"/>
      <w:bookmarkEnd w:id="92"/>
      <w:bookmarkEnd w:id="93"/>
      <w:bookmarkEnd w:id="94"/>
      <w:bookmarkEnd w:id="95"/>
      <w:r w:rsidRPr="005712FF">
        <w:t>Úvod</w:t>
      </w:r>
      <w:bookmarkEnd w:id="96"/>
    </w:p>
    <w:p w14:paraId="3C33FD66" w14:textId="1371552C" w:rsidR="005712FF" w:rsidRDefault="005712FF" w:rsidP="00E4770F">
      <w:pPr>
        <w:jc w:val="both"/>
      </w:pPr>
      <w:r>
        <w:t xml:space="preserve">Glioblastom (GBM) je vysoce invazivní </w:t>
      </w:r>
      <w:r w:rsidR="00E4770F">
        <w:t>typ nádoru, který není možné kompletně resekovat</w:t>
      </w:r>
      <w:r w:rsidR="00592460">
        <w:fldChar w:fldCharType="begin" w:fldLock="1"/>
      </w:r>
      <w:r w:rsidR="00C21F70">
        <w:instrText>ADDIN CSL_CITATION {"citationItems":[{"id":"ITEM-1","itemData":{"DOI":"10.1007/s00401-007-0243-4","ISSN":"00016322","PMID":"17618441","abstract":"The fourth edition of the World Health Organization (WHO) classification of tumours of the central nervous system, published in 2007, lists several new entities, including angiocentric glioma, papillary glioneuronal tumour, rosette-forming glioneuronal tumour of the fourth ventricle, papillary tumour of the pineal region, pituicytoma and spindle cell oncocytoma of the adenohypophysis. Histological variants were added if there was evidence of a different age distribution, location, genetic profile or clinical behaviour; these included pilomyxoid astrocytoma, anaplastic medulloblastoma and medulloblastoma with extensive nodularity. The WHO grading scheme and the sections on genetic profiles were updated and the rhabdoid tumour predisposition syndrome was added to the list of familial tumour syndromes typically involving the nervous system. As in the previous, 2000 edition of the WHO 'Blue Book', the classification is accompanied by a concise commentary on clinico-pathological characteristics of each tumour type. The 2007 WHO classification is based on the consensus of an international Working Group of 25 pathologists and geneticists, as well as contributions from more than 70 international experts overall, and is presented as the standard for the definition of brain tumours to the clinical oncology and cancer research communities world-wide. © Springer-Verlag 2007.","author":[{"dropping-particle":"","family":"Louis","given":"David N.","non-dropping-particle":"","parse-names":false,"suffix":""},{"dropping-particle":"","family":"Ohgaki","given":"Hiroko","non-dropping-particle":"","parse-names":false,"suffix":""},{"dropping-particle":"","family":"Wiestler","given":"Otmar D.","non-dropping-particle":"","parse-names":false,"suffix":""},{"dropping-particle":"","family":"Cavenee","given":"Webster K.","non-dropping-particle":"","parse-names":false,"suffix":""},{"dropping-particle":"","family":"Burger","given":"Peter C.","non-dropping-particle":"","parse-names":false,"suffix":""},{"dropping-particle":"","family":"Jouvet","given":"Anne","non-dropping-particle":"","parse-names":false,"suffix":""},{"dropping-particle":"","family":"Scheithauer","given":"Bernd W.","non-dropping-particle":"","parse-names":false,"suffix":""},{"dropping-particle":"","family":"Kleihues","given":"Paul","non-dropping-particle":"","parse-names":false,"suffix":""}],"container-title":"Acta Neuropathologica","id":"ITEM-1","issue":"2","issued":{"date-parts":[["2007","8"]]},"page":"97-109","publisher":"Springer","title":"The 2007 WHO classification of tumours of the central nervous system","type":"article","volume":"114"},"uris":["http://www.mendeley.com/documents/?uuid=44b3a17a-fd3f-3a02-9a06-f8240bacf4b6"]},{"id":"ITEM-2","itemData":{"DOI":"10.1158/1055-9965.EPI-14-0275","ISSN":"10559965","PMID":"25053711","abstract":"Glioblastoma multiforme (GBM) is the most common and aggressive primary central nervous system malignancy with a median survival of 15 months. The average incidence rate of GBM is 3.19/100,000 population, and the median age of diagnosis is 64 years. Incidence is higher in men and individuals of white race and non-Hispanic ethnicity. Many genetic and environmental factors have been studied in GBM, but the majority are sporadic, and no risk factor accounting for a large proportion of GBMs has been identified. However, several favorable clinical prognostic factors are identified, including younger age at diagnosis, cerebellar location, high performance status, and maximal tumor resection. GBMs comprise of primary and secondary subtypes, which evolve through different genetic pathways, affect patients at different ages, and have differences in outcomes. We report the current epidemiology of GBM with new data from the Central Brain Tumor Registry of the United States 2006 to 2010 as well as demonstrate and discuss trends in incidence and survival. We also provide a concise review on molecular markers in GBM that have helped distinguish biologically similar subtypes of GBM and have prognostic and predictive value.","author":[{"dropping-particle":"","family":"Thakkar","given":"Jigisha P.","non-dropping-particle":"","parse-names":false,"suffix":""},{"dropping-particle":"","family":"Dolecek","given":"Therese A.","non-dropping-particle":"","parse-names":false,"suffix":""},{"dropping-particle":"","family":"Horbinski","given":"Craig","non-dropping-particle":"","parse-names":false,"suffix":""},{"dropping-particle":"","family":"Ostrom","given":"Quinn T.","non-dropping-particle":"","parse-names":false,"suffix":""},{"dropping-particle":"","family":"Lightner","given":"Donita D.","non-dropping-particle":"","parse-names":false,"suffix":""},{"dropping-particle":"","family":"Barnholtz-Sloan","given":"Jill S.","non-dropping-particle":"","parse-names":false,"suffix":""},{"dropping-particle":"","family":"Villano","given":"John L.","non-dropping-particle":"","parse-names":false,"suffix":""}],"container-title":"Cancer Epidemiology Biomarkers and Prevention","id":"ITEM-2","issue":"10","issued":{"date-parts":[["2014","10","1"]]},"page":"1985-1996","publisher":"American Association for Cancer Research Inc.","title":"Epidemiologic and molecular prognostic review of glioblastoma","type":"article","volume":"23"},"uris":["http://www.mendeley.com/documents/?uuid=81082d55-e86f-35a5-b7e6-1d6752cd73d0"]},{"id":"ITEM-3","itemData":{"DOI":"10.1101/gad.187922.112","ISSN":"08909369","PMID":"22508724","abstract":"Glioblastoma is both the most common and lethal primary malignant brain tumor. Extensive multiplatform genomic characterization has provided a higher-resolution picture of the molecular alterations underlying this disease. These studies provide the emerging view that \"glioblastoma\" represents several histologically similar yet molecularly heterogeneous diseases, which influences taxonomic classification systems, prognosis, and therapeutic decisions. © 2012 by Cold Spring Harbor Laboratory Press.","author":[{"dropping-particle":"","family":"Dunn","given":"Gavin P.","non-dropping-particle":"","parse-names":false,"suffix":""},{"dropping-particle":"","family":"Rinne","given":"Mikael L.","non-dropping-particle":"","parse-names":false,"suffix":""},{"dropping-particle":"","family":"Wykosky","given":"Jill","non-dropping-particle":"","parse-names":false,"suffix":""},{"dropping-particle":"","family":"Genovese","given":"Giannicola","non-dropping-particle":"","parse-names":false,"suffix":""},{"dropping-particle":"","family":"Quayle","given":"Steven N.","non-dropping-particle":"","parse-names":false,"suffix":""},{"dropping-particle":"","family":"Dunn","given":"Ian F.","non-dropping-particle":"","parse-names":false,"suffix":""},{"dropping-particle":"","family":"Agarwalla","given":"Pankaj K.","non-dropping-particle":"","parse-names":false,"suffix":""},{"dropping-particle":"","family":"Chheda","given":"Milan G.","non-dropping-particle":"","parse-names":false,"suffix":""},{"dropping-particle":"","family":"Campos","given":"Benito","non-dropping-particle":"","parse-names":false,"suffix":""},{"dropping-particle":"","family":"Wang","given":"Alan","non-dropping-particle":"","parse-names":false,"suffix":""},{"dropping-particle":"","family":"Brennan","given":"Cameron","non-dropping-particle":"","parse-names":false,"suffix":""},{"dropping-particle":"","family":"Ligon","given":"Keith L.","non-dropping-particle":"","parse-names":false,"suffix":""},{"dropping-particle":"","family":"Furnari","given":"Frank","non-dropping-particle":"","parse-names":false,"suffix":""},{"dropping-particle":"","family":"Cavene","given":"Webster K.","non-dropping-particle":"","parse-names":false,"suffix":""},{"dropping-particle":"","family":"Depinho","given":"Ronald A.","non-dropping-particle":"","parse-names":false,"suffix":""},{"dropping-particle":"","family":"Chin","given":"Lynda","non-dropping-particle":"","parse-names":false,"suffix":""},{"dropping-particle":"","family":"Hah","given":"William C.","non-dropping-particle":"","parse-names":false,"suffix":""}],"container-title":"Genes and Development","id":"ITEM-3","issue":"8","issued":{"date-parts":[["2012"]]},"page":"756-784","publisher":"Cold Spring Harbor Laboratory Press","title":"Emerging insights into the molecular and cellular basis of glioblastoma","type":"article-journal","volume":"26"},"uris":["http://www.mendeley.com/documents/?uuid=4d7ca92d-d457-3667-8a50-e204dbf14dc1"]}],"mendeley":{"formattedCitation":"&lt;sup&gt;9,236,237&lt;/sup&gt;","plainTextFormattedCitation":"9,236,237","previouslyFormattedCitation":"&lt;sup&gt;9,236,237&lt;/sup&gt;"},"properties":{"noteIndex":0},"schema":"https://github.com/citation-style-language/schema/raw/master/csl-citation.json"}</w:instrText>
      </w:r>
      <w:r w:rsidR="00592460">
        <w:fldChar w:fldCharType="separate"/>
      </w:r>
      <w:r w:rsidR="00403A59" w:rsidRPr="00403A59">
        <w:rPr>
          <w:noProof/>
          <w:vertAlign w:val="superscript"/>
        </w:rPr>
        <w:t>9,236,237</w:t>
      </w:r>
      <w:r w:rsidR="00592460">
        <w:fldChar w:fldCharType="end"/>
      </w:r>
      <w:r w:rsidR="00E4770F">
        <w:t xml:space="preserve">. Z tohoto důvodu mají pacienti s GBM špatnou prognózu s mediánem přežití okolo 12 měsíců. Za rizikové faktory rozvoje gliomu jsou považovány pokročilý věk, mužské pohlaví, </w:t>
      </w:r>
      <w:r w:rsidR="008F1049" w:rsidRPr="008F1049">
        <w:t>europoidní</w:t>
      </w:r>
      <w:r w:rsidR="00E4770F" w:rsidRPr="008F1049">
        <w:t xml:space="preserve"> rasa,</w:t>
      </w:r>
      <w:r w:rsidR="00E4770F">
        <w:t xml:space="preserve"> expozice ionizující</w:t>
      </w:r>
      <w:r w:rsidR="0050425C">
        <w:t>ho</w:t>
      </w:r>
      <w:r w:rsidR="00E4770F">
        <w:t xml:space="preserve"> záření a kouření</w:t>
      </w:r>
      <w:r w:rsidR="00592460">
        <w:fldChar w:fldCharType="begin" w:fldLock="1"/>
      </w:r>
      <w:r w:rsidR="00C21F70">
        <w:instrText>ADDIN CSL_CITATION {"citationItems":[{"id":"ITEM-1","itemData":{"DOI":"10.1038/bjc.2013.611","ISSN":"00070920","PMID":"24335921","abstract":"Background:Although cigarette smoking and alcohol drinking increase the risk of several cancers and certain components of cigarette smoke and alcohol can penetrate the blood-brain barrier, it remains unclear whether these exposures influence the risk of glioma.Methods:We examined the associations between cigarette smoking, alcohol intake, and risk of glioma in the National Institutes of Health-AARP Diet and Health Study, a prospective study of 477 095 US men and women ages 50-71 years at baseline. Hazard ratios (HRs) and 95% confidence intervals (CIs) were calculated using models with age as the time metric and adjusted for sex, race/ethnicity, education, and marital status.Results:During a median 10.5 person-years of follow-up, 492 men and 212 women were diagnosed with first primary glioma. Among men, current, heavier smoking was associated with a reduced risk of glioma compared with never smoking, but this was based on only nine cases. No associations were observed between smoking behaviours and glioma risk in women. Greater alcohol consumption was associated with a decreased risk of glioma, particularly among men (&gt;2 drinks per day vs &lt;1 drink per week: HR=0.67, 95% CI=0.51-0.90).Conclusion: Smoking and alcohol drinking do not appear to increase the risk of glioma. © 2014 Cancer Research UK.","author":[{"dropping-particle":"","family":"Braganza","given":"M. Z.","non-dropping-particle":"","parse-names":false,"suffix":""},{"dropping-particle":"","family":"Rajaraman","given":"P.","non-dropping-particle":"","parse-names":false,"suffix":""},{"dropping-particle":"","family":"Park","given":"Y.","non-dropping-particle":"","parse-names":false,"suffix":""},{"dropping-particle":"","family":"Inskip","given":"P. D.","non-dropping-particle":"","parse-names":false,"suffix":""},{"dropping-particle":"","family":"Freedman","given":"N. D.","non-dropping-particle":"","parse-names":false,"suffix":""},{"dropping-particle":"","family":"Hollenbeck","given":"A. R.","non-dropping-particle":"","parse-names":false,"suffix":""},{"dropping-particle":"","family":"González","given":"A. Berrington","non-dropping-particle":"De","parse-names":false,"suffix":""},{"dropping-particle":"","family":"Kitahara","given":"C. M.","non-dropping-particle":"","parse-names":false,"suffix":""}],"container-title":"British Journal of Cancer","id":"ITEM-1","issue":"1","issued":{"date-parts":[["2014"]]},"page":"242-248","publisher":"Br J Cancer","title":"Cigarette smoking, alcohol intake, and risk of glioma in the NIH-AARP diet and health study","type":"article-journal","volume":"110"},"uris":["http://www.mendeley.com/documents/?uuid=ee35f699-3a95-392f-8b39-4c5e89b4e61c"]},{"id":"ITEM-2","itemData":{"DOI":"10.1093/neuonc/nov146","ISSN":"15235866","PMID":"26409568","abstract":"Background Smoking increases the risk of numerous cancers; however, an association of smoking with adult gliomas has not been found in a population. Methods This case-control study included 4556 glioma cases (ICD-9 code 191.0-191.9) aged ≥30 years and 9112 controls from a national survey of smoking and mortality in China in 1989-1991. Controls from 325 255 surviving spouses of all-cause deaths were randomly assigned to cases in each of 103 areas according to sex and age groups at a ratio of 2:1. Smoking information was ascertained retrospectively by interviewing surviving spouses. Results After adjustment for confounders, smoking increased the risk of glioma deaths by 11% (odds ratio [OR] = 1.11; 95% confidence interval [CI]: 1.03-1.21). Compared with non-smokers; the increased risk was 9% (OR = 1.09; 95% CI: 0.99-1.20) in men and 16% (OR = 1.16; 95% CI: 1.00-1.36) in women. The risk increased with age and doses. For individuals aged ≥50 years, smoking was associated with higher risk of glioma death by 25% (OR = 1.25; 95% CI: 1.15-1.38); this increased risk for smokers who smoked ≥20 cigarettes daily for ≥30 years was 53% (OR = 1.53; 95% CI: 1.34-1.74). There were similar findings in both men and women and with either pathology-based or non-pathology-based comparisons. Conclusions This study indicates that smoking is associated with glioma deaths in the Chinese population. Long-term heavy smoking could be a factor for risk stratification in individuals attending brain tumor clinics.","author":[{"dropping-particle":"","family":"Hou","given":"Lei","non-dropping-particle":"","parse-names":false,"suffix":""},{"dropping-particle":"","family":"Jiang","given":"Jingmei","non-dropping-particle":"","parse-names":false,"suffix":""},{"dropping-particle":"","family":"Liu","given":"Boqi","non-dropping-particle":"","parse-names":false,"suffix":""},{"dropping-particle":"","family":"Han","given":"Wei","non-dropping-particle":"","parse-names":false,"suffix":""},{"dropping-particle":"","family":"Wu","given":"Yanping","non-dropping-particle":"","parse-names":false,"suffix":""},{"dropping-particle":"","family":"Zou","given":"Xiaonong","non-dropping-particle":"","parse-names":false,"suffix":""},{"dropping-particle":"","family":"Nasca","given":"Philip C.","non-dropping-particle":"","parse-names":false,"suffix":""},{"dropping-particle":"","family":"Xue","given":"Fang","non-dropping-particle":"","parse-names":false,"suffix":""},{"dropping-particle":"","family":"Chen","given":"Yuanli","non-dropping-particle":"","parse-names":false,"suffix":""},{"dropping-particle":"","family":"Zhang","given":"Biao","non-dropping-particle":"","parse-names":false,"suffix":""},{"dropping-particle":"","family":"Pang","given":"Haiyu","non-dropping-particle":"","parse-names":false,"suffix":""},{"dropping-particle":"","family":"Wang","given":"Yuyan","non-dropping-particle":"","parse-names":false,"suffix":""},{"dropping-particle":"","family":"Wang","given":"Zixing","non-dropping-particle":"","parse-names":false,"suffix":""},{"dropping-particle":"","family":"Li","given":"Junyao","non-dropping-particle":"","parse-names":false,"suffix":""}],"container-title":"Neuro-Oncology","id":"ITEM-2","issue":"1","issued":{"date-parts":[["2016","1","1"]]},"page":"105-113","publisher":"Oxford University Press","title":"Smoking and adult glioma: A population-based case-control study in China","type":"article-journal","volume":"18"},"uris":["http://www.mendeley.com/documents/?uuid=83b3d750-a3a0-386d-8d5b-530ae8024544"]}],"mendeley":{"formattedCitation":"&lt;sup&gt;65,238&lt;/sup&gt;","plainTextFormattedCitation":"65,238","previouslyFormattedCitation":"&lt;sup&gt;65,238&lt;/sup&gt;"},"properties":{"noteIndex":0},"schema":"https://github.com/citation-style-language/schema/raw/master/csl-citation.json"}</w:instrText>
      </w:r>
      <w:r w:rsidR="00592460">
        <w:fldChar w:fldCharType="separate"/>
      </w:r>
      <w:r w:rsidR="00403A59" w:rsidRPr="00403A59">
        <w:rPr>
          <w:noProof/>
          <w:vertAlign w:val="superscript"/>
        </w:rPr>
        <w:t>65,238</w:t>
      </w:r>
      <w:r w:rsidR="00592460">
        <w:fldChar w:fldCharType="end"/>
      </w:r>
      <w:r w:rsidR="00E4770F">
        <w:t xml:space="preserve">. </w:t>
      </w:r>
      <w:r w:rsidR="001313DA">
        <w:t xml:space="preserve">Naopak klinické faktory jako jsou nižší </w:t>
      </w:r>
      <w:r w:rsidR="001313DA" w:rsidRPr="001313DA">
        <w:t xml:space="preserve">věk, </w:t>
      </w:r>
      <w:r w:rsidR="009A57B2">
        <w:t>performance status</w:t>
      </w:r>
      <w:r w:rsidR="001313DA" w:rsidRPr="001313DA">
        <w:t>,</w:t>
      </w:r>
      <w:r w:rsidR="001313DA">
        <w:t xml:space="preserve"> maximální celkové resekce a adjuvantní léčba jsou spojovány s lepší prognózou u neselektovaných pacientů s GBM</w:t>
      </w:r>
      <w:r w:rsidR="00592460">
        <w:fldChar w:fldCharType="begin" w:fldLock="1"/>
      </w:r>
      <w:r w:rsidR="00C21F70">
        <w:instrText>ADDIN CSL_CITATION {"citationItems":[{"id":"ITEM-1","itemData":{"DOI":"10.1016/S1470-2045(09)70025-7","ISSN":"14702045","PMID":"19269895","abstract":"Background: In 2004, a randomised phase III trial by the European Organisation for Research and Treatment of Cancer (EORTC) and National Cancer Institute of Canada Clinical Trials Group (NCIC) reported improved median and 2-year survival for patients with glioblastoma treated with concomitant and adjuvant temozolomide and radiotherapy. We report the final results with a median follow-up of more than 5 years. Methods: Adult patients with newly diagnosed glioblastoma were randomly assigned to receive either standard radiotherapy or identical radiotherapy with concomitant temozolomide followed by up to six cycles of adjuvant temozolomide. The methylation status of the methyl-guanine methyl transferase gene, MGMT, was determined retrospectively from the tumour tissue of 206 patients. The primary endpoint was overall survival. Analyses were by intention to treat. This trial is registered with Clinicaltrials.gov, number NCT00006353. Findings: Between Aug 17, 2000, and March 22, 2002, 573 patients were assigned to treatment. 278 (97%) of 286 patients in the radiotherapy alone group and 254 (89%) of 287 in the combined-treatment group died during 5 years of follow-up. Overall survival was 27·2% (95% CI 22·2-32·5) at 2 years, 16·0% (12·0-20·6) at 3 years, 12·1% (8·5-16·4) at 4 years, and 9·8% (6·4-14·0) at 5 years with temozolomide, versus 10·9% (7·6-14·8), 4·4% (2·4-7·2), 3·0% (1·4-5·7), and 1·9% (0·6-4·4) with radiotherapy alone (hazard ratio 0·6, 95% CI 0·5-0·7; p&lt;0·0001). A benefit of combined therapy was recorded in all clinical prognostic subgroups, including patients aged 60-70 years. Methylation of the MGMT promoter was the strongest predictor for outcome and benefit from temozolomide chemotherapy. Interpretation: Benefits of adjuvant temozolomide with radiotherapy lasted throughout 5 years of follow-up. A few patients in favourable prognostic categories survive longer than 5 years. MGMT methylation status identifies patients most likely to benefit from the addition of temozolomide. Funding: EORTC, NCIC, Nélia and Amadeo Barletta Foundation, Schering-Plough. © 2009 Elsevier Ltd. All rights reserved.","author":[{"dropping-particle":"","family":"Stupp","given":"Roger","non-dropping-particle":"","parse-names":false,"suffix":""},{"dropping-particle":"","family":"Hegi","given":"Monika E.","non-dropping-particle":"","parse-names":false,"suffix":""},{"dropping-particle":"","family":"Mason","given":"Warren P.","non-dropping-particle":"","parse-names":false,"suffix":""},{"dropping-particle":"","family":"Bent","given":"Martin J.","non-dropping-particle":"van den","parse-names":false,"suffix":""},{"dropping-particle":"","family":"Taphoorn","given":"Martin JB","non-dropping-particle":"","parse-names":false,"suffix":""},{"dropping-particle":"","family":"Janzer","given":"Robert C.","non-dropping-particle":"","parse-names":false,"suffix":""},{"dropping-particle":"","family":"Ludwin","given":"Samuel K.","non-dropping-particle":"","parse-names":false,"suffix":""},{"dropping-particle":"","family":"Allgeier","given":"Anouk","non-dropping-particle":"","parse-names":false,"suffix":""},{"dropping-particle":"","family":"Fisher","given":"Barbara","non-dropping-particle":"","parse-names":false,"suffix":""},{"dropping-particle":"","family":"Belanger","given":"Karl","non-dropping-particle":"","parse-names":false,"suffix":""},{"dropping-particle":"","family":"Hau","given":"Peter","non-dropping-particle":"","parse-names":false,"suffix":""},{"dropping-particle":"","family":"Brandes","given":"Alba A.","non-dropping-particle":"","parse-names":false,"suffix":""},{"dropping-particle":"","family":"Gijtenbeek","given":"Johanna","non-dropping-particle":"","parse-names":false,"suffix":""},{"dropping-particle":"","family":"Marosi","given":"Christine","non-dropping-particle":"","parse-names":false,"suffix":""},{"dropping-particle":"","family":"Vecht","given":"Charles J.","non-dropping-particle":"","parse-names":false,"suffix":""},{"dropping-particle":"","family":"Mokhtari","given":"Karima","non-dropping-particle":"","parse-names":false,"suffix":""},{"dropping-particle":"","family":"Wesseling","given":"Pieter","non-dropping-particle":"","parse-names":false,"suffix":""},{"dropping-particle":"","family":"Villa","given":"Salvador","non-dropping-particle":"","parse-names":false,"suffix":""},{"dropping-particle":"","family":"Eisenhauer","given":"Elizabeth","non-dropping-particle":"","parse-names":false,"suffix":""},{"dropping-particle":"","family":"Gorlia","given":"Thierry","non-dropping-particle":"","parse-names":false,"suffix":""},{"dropping-particle":"","family":"Weller","given":"Michael","non-dropping-particle":"","parse-names":false,"suffix":""},{"dropping-particle":"","family":"Lacombe","given":"Denis","non-dropping-particle":"","parse-names":false,"suffix":""},{"dropping-particle":"","family":"Cairncross","given":"J. Gregory","non-dropping-particle":"","parse-names":false,"suffix":""},{"dropping-particle":"","family":"Mirimanoff","given":"René Olivier","non-dropping-particle":"","parse-names":false,"suffix":""}],"container-title":"The Lancet Oncology","id":"ITEM-1","issue":"5","issued":{"date-parts":[["2009"]]},"page":"459-466","publisher":"Lancet Publishing Group","title":"Effects of radiotherapy with concomitant and adjuvant temozolomide versus radiotherapy alone on survival in glioblastoma in a randomised phase III study: 5-year analysis of the EORTC-NCIC trial","type":"article-journal","volume":"10"},"uris":["http://www.mendeley.com/documents/?uuid=d07850ab-3f41-3567-8b8e-06af35b2be21"]},{"id":"ITEM-2","itemData":{"DOI":"10.1186/s12885-019-6511-6","ISSN":"14712407","PMID":"31941467","abstract":"Background: The prognosis of glioma is poor, despite recent advances in diagnosis and treatment of the disease. It is important to investigate the clinical characteristics and prognostic factors of glioma so as to provide basis for treatment and management of patients. Method: A total of 335 patients with glioma were included in this study. These patients were admitted to the medical center between November 2015 and December 2018. The clinical data, including demographic data, tumor characteristics, treatment strategy, expression pattern of tumor markers, and survival data, were retrospectively reviewed. Survival data were analyzed using Kaplan-Meier curves with log-rank test, while multivariate analysis Cox regression model was used to investigate risk factors for mortality. Results: In this patient cohort, glioblastoma (40%), diffuse glioma (14.6%) and oligodendroglioma (9.6%) were the most common pathological types. The expression of Ki-67 was associated with several clinicopathological parameters (e.g. tumor type, grade, and number of lesions). In addition, Ki-67 correlated with the mortality within the first year of the post-treatment follow-up (P &lt; 0.001). Kaplan-Maier analysis revealed that older patients (≥ 45 years) displayed worse prognosis than those aged under 45 years (P = 0.038). Dismal prognosis was also associated with clinical parameters, including high tumor grade, multiple lesions, and Karnofsky performance score (KPS). Multivariate analysis showed that low KPS (&lt; 85) increased the risk of mortality by 2.3 folds with a 95% CI of 1.141 to 4.776 (P = 0.020). Low tumor grade (grade 1-2) oppositely reduced the mortality risk by 0.22 folds (95% CI, 0.065 to 0.763, P = 0.0168). Conclusion: KPS and tumor grade were independent prognostic factors in patients with gliomas.","author":[{"dropping-particle":"","family":"Liang","given":"Jianfeng","non-dropping-particle":"","parse-names":false,"suffix":""},{"dropping-particle":"","family":"Lv","given":"Xiaomin","non-dropping-particle":"","parse-names":false,"suffix":""},{"dropping-particle":"","family":"Lu","given":"Changyu","non-dropping-particle":"","parse-names":false,"suffix":""},{"dropping-particle":"","family":"Ye","given":"Xun","non-dropping-particle":"","parse-names":false,"suffix":""},{"dropping-particle":"","family":"Chen","given":"Xiaolin","non-dropping-particle":"","parse-names":false,"suffix":""},{"dropping-particle":"","family":"Fu","given":"Jia","non-dropping-particle":"","parse-names":false,"suffix":""},{"dropping-particle":"","family":"Luo","given":"Chenghua","non-dropping-particle":"","parse-names":false,"suffix":""},{"dropping-particle":"","family":"Zhao","given":"Yuanli","non-dropping-particle":"","parse-names":false,"suffix":""}],"container-title":"BMC Cancer","id":"ITEM-2","issue":"1","issued":{"date-parts":[["2020","1","15"]]},"page":"35","publisher":"BioMed Central Ltd.","title":"Prognostic factors of patients with Gliomas- A n analysis on 335 patients with Glioblastoma and other forms of Gliomas","type":"article-journal","volume":"20"},"uris":["http://www.mendeley.com/documents/?uuid=a2c28d24-3e1a-37d3-8b4e-ce0dcb405bc6"]},{"id":"ITEM-3","itemData":{"DOI":"10.3389/fonc.2019.00963","ISSN":"2234943X","abstract":"Glioblastoma multiforme (GBM) is the most common and aggressive malignant primary brain tumour in humans and has a very poor prognosis. The existing treatments have had limited success in increasing overall survival. Thus, identifying and understanding the key molecule(s) responsible for the malignant phenotype of GBM will yield new potential therapeutic targets. The treatment of brain tumours faces unique challenges, including the presence of the blood brain barrier (BBB), which limits the concentration of drugs that can reach the site of the tumour. Nevertheless, several promising treatments have been shown to cross the BBB and have shown promising pre-clinical results. This review will outline the status of several of these promising targeted therapies.","author":[{"dropping-particle":"","family":"Taylor","given":"Olivia G.","non-dropping-particle":"","parse-names":false,"suffix":""},{"dropping-particle":"","family":"Brzozowski","given":"Joshua S.","non-dropping-particle":"","parse-names":false,"suffix":""},{"dropping-particle":"","family":"Skelding","given":"Kathryn A.","non-dropping-particle":"","parse-names":false,"suffix":""}],"container-title":"Frontiers in Oncology","id":"ITEM-3","issue":"SEP","issued":{"date-parts":[["2019","9","1"]]},"page":"963","publisher":"Frontiers Media S.A.","title":"Glioblastoma multiforme: An overview of emerging therapeutic targets","type":"article","volume":"9"},"uris":["http://www.mendeley.com/documents/?uuid=e2bcf748-7ced-3bbc-9b8b-d2687ce0bab4"]},{"id":"ITEM-4","itemData":{"DOI":"10.3390/cells8080863","ISSN":"20734409","PMID":"31405017","abstract":"Glioblastoma multiforme is the most aggressive malignant tumor of the central nervous system. Due to the absence of effective pharmacological and surgical treatments, the identification of early diagnostic and prognostic biomarkers is of key importance to improve the survival rate of patients and to develop new personalized treatments. On these bases, the aim of this review article is to summarize the current knowledge regarding the application of molecular biology and proteomics techniques for the identification of novel biomarkers through the analysis of different biological samples obtained from glioblastoma patients, including DNA, microRNAs, proteins, small molecules, circulating tumor cells, extracellular vesicles, etc. Both benefits and pitfalls of molecular biology and proteomics analyses are discussed, including the different mass spectrometry-based analytical techniques, highlighting how these investigation strategies are powerful tools to study the biology of glioblastoma, as well as to develop advanced methods for the management of this pathology.","author":[{"dropping-particle":"","family":"Silantyev","given":"Artemiy S.","non-dropping-particle":"","parse-names":false,"suffix":""},{"dropping-particle":"","family":"Falzone","given":"Luca","non-dropping-particle":"","parse-names":false,"suffix":""},{"dropping-particle":"","family":"Libra","given":"Massimo","non-dropping-particle":"","parse-names":false,"suffix":""},{"dropping-particle":"","family":"Gurina","given":"Olga I.","non-dropping-particle":"","parse-names":false,"suffix":""},{"dropping-particle":"","family":"Kardashova","given":"Karina Sh","non-dropping-particle":"","parse-names":false,"suffix":""},{"dropping-particle":"","family":"Nikolouzakis","given":"Taxiarchis K.","non-dropping-particle":"","parse-names":false,"suffix":""},{"dropping-particle":"","family":"Nosyrev","given":"Alexander E.","non-dropping-particle":"","parse-names":false,"suffix":""},{"dropping-particle":"","family":"Sutton","given":"Christopher W.","non-dropping-particle":"","parse-names":false,"suffix":""},{"dropping-particle":"","family":"Mitsias","given":"Panayiotis D.","non-dropping-particle":"","parse-names":false,"suffix":""},{"dropping-particle":"","family":"Tsatsakis","given":"Aristides","non-dropping-particle":"","parse-names":false,"suffix":""}],"container-title":"Cells","id":"ITEM-4","issue":"8","issued":{"date-parts":[["2019","8","9"]]},"publisher":"NLM (Medline)","title":"Current and Future Trends on Diagnosis and Prognosis of Glioblastoma: From Molecular Biology to Proteomics","type":"article","volume":"8"},"uris":["http://www.mendeley.com/documents/?uuid=c029e3cf-93fc-3683-96f8-141add8e0674"]}],"mendeley":{"formattedCitation":"&lt;sup&gt;239–242&lt;/sup&gt;","plainTextFormattedCitation":"239–242","previouslyFormattedCitation":"&lt;sup&gt;239–242&lt;/sup&gt;"},"properties":{"noteIndex":0},"schema":"https://github.com/citation-style-language/schema/raw/master/csl-citation.json"}</w:instrText>
      </w:r>
      <w:r w:rsidR="00592460">
        <w:fldChar w:fldCharType="separate"/>
      </w:r>
      <w:r w:rsidR="00403A59" w:rsidRPr="00403A59">
        <w:rPr>
          <w:noProof/>
          <w:vertAlign w:val="superscript"/>
        </w:rPr>
        <w:t>239–242</w:t>
      </w:r>
      <w:r w:rsidR="00592460">
        <w:fldChar w:fldCharType="end"/>
      </w:r>
      <w:r w:rsidR="001313DA">
        <w:t xml:space="preserve">. </w:t>
      </w:r>
    </w:p>
    <w:p w14:paraId="20FBD7FF" w14:textId="3AE51A60" w:rsidR="001313DA" w:rsidRDefault="001313DA" w:rsidP="00E4770F">
      <w:pPr>
        <w:jc w:val="both"/>
      </w:pPr>
      <w:r>
        <w:t xml:space="preserve">Glioblastomy mohou být klasifikovány na základě statusu </w:t>
      </w:r>
      <w:r w:rsidRPr="0050425C">
        <w:rPr>
          <w:i/>
          <w:iCs/>
        </w:rPr>
        <w:t>IDH</w:t>
      </w:r>
      <w:r>
        <w:t>. GBM s wild type (wt) IDH jsou charakterizovány mutacemi v </w:t>
      </w:r>
      <w:r w:rsidRPr="0050425C">
        <w:rPr>
          <w:i/>
          <w:iCs/>
        </w:rPr>
        <w:t>TP53</w:t>
      </w:r>
      <w:r>
        <w:t xml:space="preserve">, </w:t>
      </w:r>
      <w:r w:rsidRPr="0050425C">
        <w:rPr>
          <w:i/>
          <w:iCs/>
        </w:rPr>
        <w:t>PTEN</w:t>
      </w:r>
      <w:r>
        <w:t xml:space="preserve"> a/nebo kompletní ztrátou chromozomu 10, homozygotními delecemi </w:t>
      </w:r>
      <w:r w:rsidRPr="0050425C">
        <w:rPr>
          <w:i/>
          <w:iCs/>
        </w:rPr>
        <w:t>CDKN2A</w:t>
      </w:r>
      <w:r>
        <w:t>/</w:t>
      </w:r>
      <w:r w:rsidRPr="0050425C">
        <w:rPr>
          <w:i/>
          <w:iCs/>
        </w:rPr>
        <w:t>CDKN2B</w:t>
      </w:r>
      <w:r>
        <w:t xml:space="preserve">, mutacemi nebo přemírou exprese </w:t>
      </w:r>
      <w:r w:rsidRPr="0050425C">
        <w:rPr>
          <w:i/>
          <w:iCs/>
        </w:rPr>
        <w:t>EGFR</w:t>
      </w:r>
      <w:r>
        <w:t xml:space="preserve"> a/nebo navýšením </w:t>
      </w:r>
      <w:r w:rsidR="0050425C">
        <w:t xml:space="preserve">počtu </w:t>
      </w:r>
      <w:r w:rsidR="008E46EE">
        <w:t>chromozomového raménka</w:t>
      </w:r>
      <w:r>
        <w:t xml:space="preserve"> 7p, mutacemi </w:t>
      </w:r>
      <w:r w:rsidRPr="0050425C">
        <w:rPr>
          <w:i/>
          <w:iCs/>
        </w:rPr>
        <w:t>PDGFRA1</w:t>
      </w:r>
      <w:r>
        <w:t xml:space="preserve">, mutacemi </w:t>
      </w:r>
      <w:r w:rsidRPr="0050425C">
        <w:rPr>
          <w:i/>
          <w:iCs/>
        </w:rPr>
        <w:t>NF1</w:t>
      </w:r>
      <w:r>
        <w:t xml:space="preserve">, </w:t>
      </w:r>
      <w:r w:rsidR="0042538F">
        <w:t xml:space="preserve">amplifikací </w:t>
      </w:r>
      <w:r w:rsidR="0042538F" w:rsidRPr="0050425C">
        <w:rPr>
          <w:i/>
          <w:iCs/>
        </w:rPr>
        <w:t>MDM2</w:t>
      </w:r>
      <w:r w:rsidR="0042538F">
        <w:t xml:space="preserve"> a metylací promotoru </w:t>
      </w:r>
      <w:r w:rsidR="0042538F" w:rsidRPr="0050425C">
        <w:rPr>
          <w:i/>
          <w:iCs/>
        </w:rPr>
        <w:t>MGMT</w:t>
      </w:r>
      <w:r w:rsidR="00E37F7E">
        <w:fldChar w:fldCharType="begin" w:fldLock="1"/>
      </w:r>
      <w:r w:rsidR="00C21F70">
        <w:instrText>ADDIN CSL_CITATION {"citationItems":[{"id":"ITEM-1","itemData":{"DOI":"10.1038/s41582-019-0220-2","ISSN":"17594766","PMID":"31227792","abstract":"The WHO 2007 glioma classification system (based primarily on tumour histology) resulted in considerable interobserver variability and substantial variation in patient survival within grades. Furthermore, few risk factors for glioma were known. Discoveries over the past decade have deepened our understanding of the molecular alterations underlying glioma and have led to the identification of numerous genetic risk factors. The advances in molecular characterization of glioma have reframed our understanding of its biology and led to the development of a new classification system for glioma. The WHO 2016 classification system comprises five glioma subtypes, categorized by both tumour morphology and molecular genetic information, which led to reduced misclassification and improved consistency of outcomes within glioma subtypes. To date, 25 risk loci for glioma have been identified and several rare inherited mutations that might cause glioma in some families have been discovered. This Review focuses on the two dominant trends in glioma science: the characterization of diagnostic and prognostic tumour markers and the identification of genetic and other risk factors. An overview of the many challenges still facing glioma researchers is also included.","author":[{"dropping-particle":"","family":"Molinaro","given":"Annette M.","non-dropping-particle":"","parse-names":false,"suffix":""},{"dropping-particle":"","family":"Taylor","given":"Jennie W.","non-dropping-particle":"","parse-names":false,"suffix":""},{"dropping-particle":"","family":"Wiencke","given":"John K.","non-dropping-particle":"","parse-names":false,"suffix":""},{"dropping-particle":"","family":"Wrensch","given":"Margaret R.","non-dropping-particle":"","parse-names":false,"suffix":""}],"container-title":"Nature Reviews Neurology","id":"ITEM-1","issue":"7","issued":{"date-parts":[["2019","7","1"]]},"page":"405-417","publisher":"Nature Publishing Group","title":"Genetic and molecular epidemiology of adult diffuse glioma","type":"article","volume":"15"},"uris":["http://www.mendeley.com/documents/?uuid=bf8861bc-a074-31c8-ad09-f0c51523bc0e"]}],"mendeley":{"formattedCitation":"&lt;sup&gt;243&lt;/sup&gt;","plainTextFormattedCitation":"243","previouslyFormattedCitation":"&lt;sup&gt;243&lt;/sup&gt;"},"properties":{"noteIndex":0},"schema":"https://github.com/citation-style-language/schema/raw/master/csl-citation.json"}</w:instrText>
      </w:r>
      <w:r w:rsidR="00E37F7E">
        <w:fldChar w:fldCharType="separate"/>
      </w:r>
      <w:r w:rsidR="00403A59" w:rsidRPr="00403A59">
        <w:rPr>
          <w:noProof/>
          <w:vertAlign w:val="superscript"/>
        </w:rPr>
        <w:t>243</w:t>
      </w:r>
      <w:r w:rsidR="00E37F7E">
        <w:fldChar w:fldCharType="end"/>
      </w:r>
      <w:r w:rsidR="0042538F">
        <w:t xml:space="preserve">.  </w:t>
      </w:r>
    </w:p>
    <w:p w14:paraId="6A4F11BE" w14:textId="763D7D68" w:rsidR="0042538F" w:rsidRDefault="0042538F" w:rsidP="00E4770F">
      <w:pPr>
        <w:jc w:val="both"/>
      </w:pPr>
      <w:r>
        <w:t>Předmětem této populační studie z jednoho centra bylo určit vliv vybraných genetických aberací a klinických faktorů na přežití u resekovaných pacientů s GBM</w:t>
      </w:r>
      <w:r w:rsidR="009A57B2" w:rsidRPr="009A57B2">
        <w:t xml:space="preserve"> </w:t>
      </w:r>
      <w:r w:rsidR="009A57B2">
        <w:t>IDH wt</w:t>
      </w:r>
      <w:r>
        <w:t xml:space="preserve">, kteří byli po resekci léčeni různými způsoby. </w:t>
      </w:r>
      <w:r w:rsidR="00D03C91">
        <w:t>Klinické postupy vycházející z klasifikace WHO z roku 2007 byly updatovány dle současných doporučení klasifikace WHO</w:t>
      </w:r>
      <w:r w:rsidR="00E37F7E" w:rsidRPr="00E37F7E">
        <w:t xml:space="preserve"> </w:t>
      </w:r>
      <w:r w:rsidR="00E37F7E">
        <w:t>založené na statusu IDH</w:t>
      </w:r>
      <w:r w:rsidR="00D03C91">
        <w:t xml:space="preserve"> z roku 2016 </w:t>
      </w:r>
      <w:r w:rsidR="00592460">
        <w:fldChar w:fldCharType="begin" w:fldLock="1"/>
      </w:r>
      <w:r w:rsidR="00F90F1D">
        <w:instrText>ADDIN CSL_CITATION {"citationItems":[{"id":"ITEM-1","itemData":{"DOI":"10.1007/s00401-016-1545-1","ISSN":"14320533","PMID":"27157931","abstract":"The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Neuropathologica","id":"ITEM-1","issue":"6","issued":{"date-parts":[["2016","6","1"]]},"page":"803-820","publisher":"Springer Verlag","title":"The 2016 World Health Organization Classification of Tumors of the Central Nervous System: a summary","type":"article","volume":"131"},"uris":["http://www.mendeley.com/documents/?uuid=61d17050-a6fc-32c6-ad78-ea3ccfc131ec"]},{"id":"ITEM-2","itemData":{"DOI":"10.1093/neuonc/nox120","PMID":"29016871","author":[{"dropping-particle":"","family":"Dewitt","given":"John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K.","non-dropping-particle":"","parse-names":false,"suffix":""}],"container-title":"Neuro-Oncology","id":"ITEM-2","issue":"12","issued":{"date-parts":[["2017"]]},"page":"1640-1650","publisher":"Oxford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mendeley":{"formattedCitation":"&lt;sup&gt;41,87&lt;/sup&gt;","plainTextFormattedCitation":"41,87","previouslyFormattedCitation":"&lt;sup&gt;41,87&lt;/sup&gt;"},"properties":{"noteIndex":0},"schema":"https://github.com/citation-style-language/schema/raw/master/csl-citation.json"}</w:instrText>
      </w:r>
      <w:r w:rsidR="00592460">
        <w:fldChar w:fldCharType="separate"/>
      </w:r>
      <w:r w:rsidR="00CB0011" w:rsidRPr="00CB0011">
        <w:rPr>
          <w:noProof/>
          <w:vertAlign w:val="superscript"/>
        </w:rPr>
        <w:t>41,87</w:t>
      </w:r>
      <w:r w:rsidR="00592460">
        <w:fldChar w:fldCharType="end"/>
      </w:r>
      <w:r w:rsidR="00D03C91">
        <w:t xml:space="preserve">. </w:t>
      </w:r>
    </w:p>
    <w:p w14:paraId="2AD778A0" w14:textId="77777777" w:rsidR="00592460" w:rsidRDefault="00592460" w:rsidP="00E4770F">
      <w:pPr>
        <w:jc w:val="both"/>
      </w:pPr>
    </w:p>
    <w:p w14:paraId="46841802" w14:textId="095C3043" w:rsidR="00D03C91" w:rsidRDefault="00D03C91" w:rsidP="00FD1E4F">
      <w:pPr>
        <w:pStyle w:val="Nadpis3"/>
        <w:ind w:left="709" w:hanging="709"/>
      </w:pPr>
      <w:bookmarkStart w:id="97" w:name="_Toc88741498"/>
      <w:r>
        <w:t>Materiál a metodika</w:t>
      </w:r>
      <w:bookmarkEnd w:id="97"/>
    </w:p>
    <w:p w14:paraId="2D2B3A18" w14:textId="039FEADF" w:rsidR="00592460" w:rsidRDefault="00592460" w:rsidP="00FD1E4F">
      <w:pPr>
        <w:pStyle w:val="Nadpis4"/>
        <w:ind w:left="993" w:hanging="1020"/>
      </w:pPr>
      <w:bookmarkStart w:id="98" w:name="_Toc88741499"/>
      <w:r>
        <w:t>Pacienti</w:t>
      </w:r>
      <w:bookmarkEnd w:id="98"/>
    </w:p>
    <w:p w14:paraId="352BCBFD" w14:textId="4EC2C697" w:rsidR="00E37F7E" w:rsidRDefault="00592460" w:rsidP="009A57B2">
      <w:pPr>
        <w:jc w:val="both"/>
      </w:pPr>
      <w:r>
        <w:t xml:space="preserve">Informace o všech </w:t>
      </w:r>
      <w:r w:rsidR="0085302B">
        <w:t xml:space="preserve">pacientech s gliomy léčených ve Fakultní nemocnici Olomouc, Česká republika, byly sbírány prospektivně a systematicky od roku 2006. </w:t>
      </w:r>
      <w:r w:rsidR="009A57B2">
        <w:t xml:space="preserve">Tato práce je zaměřena na supratentoriální GBM </w:t>
      </w:r>
      <w:r w:rsidR="009A57B2" w:rsidRPr="0050425C">
        <w:rPr>
          <w:i/>
          <w:iCs/>
        </w:rPr>
        <w:t>IDH</w:t>
      </w:r>
      <w:r w:rsidR="009A57B2">
        <w:t xml:space="preserve"> w</w:t>
      </w:r>
      <w:r w:rsidR="0050425C">
        <w:t xml:space="preserve">ild </w:t>
      </w:r>
      <w:r w:rsidR="009A57B2">
        <w:t>t</w:t>
      </w:r>
      <w:r w:rsidR="0050425C">
        <w:t>ype</w:t>
      </w:r>
      <w:r w:rsidR="009A57B2">
        <w:t xml:space="preserve"> u dospělých pacientů, kteří podstoupili resekci a onkoterapii v období mezi červnem 2006 a červnem 2015. Informace o klinickém sta</w:t>
      </w:r>
      <w:r w:rsidR="006647A5">
        <w:t xml:space="preserve">tusu </w:t>
      </w:r>
      <w:r w:rsidR="009A57B2">
        <w:t>pacientů (KS, PS WHO a status kouření) byly sbírány spolu s daty z</w:t>
      </w:r>
      <w:r w:rsidR="000B71EB">
        <w:t>e</w:t>
      </w:r>
      <w:r w:rsidR="009A57B2">
        <w:t> </w:t>
      </w:r>
      <w:r w:rsidR="000B71EB">
        <w:t xml:space="preserve">zobrazovacích metod, </w:t>
      </w:r>
      <w:r w:rsidR="009A57B2">
        <w:t>histologie</w:t>
      </w:r>
      <w:r w:rsidR="000B71EB">
        <w:t xml:space="preserve"> </w:t>
      </w:r>
      <w:r w:rsidR="009A57B2">
        <w:t>a cytogenetický</w:t>
      </w:r>
      <w:r w:rsidR="000B71EB">
        <w:t>ch</w:t>
      </w:r>
      <w:r w:rsidR="009A57B2">
        <w:t xml:space="preserve"> aberac</w:t>
      </w:r>
      <w:r w:rsidR="000B71EB">
        <w:t>í</w:t>
      </w:r>
      <w:r w:rsidR="000B71EB" w:rsidRPr="000B71EB">
        <w:t xml:space="preserve"> </w:t>
      </w:r>
      <w:r w:rsidR="000B71EB">
        <w:t>nádorů</w:t>
      </w:r>
      <w:r w:rsidR="009A57B2">
        <w:t>.</w:t>
      </w:r>
      <w:r w:rsidR="000B71EB">
        <w:t xml:space="preserve"> Všichni pacienti podstoupili brzkou post-operativní magnetic</w:t>
      </w:r>
      <w:r w:rsidR="006647A5">
        <w:t>kou</w:t>
      </w:r>
      <w:r w:rsidR="000B71EB">
        <w:t xml:space="preserve"> rezonanc</w:t>
      </w:r>
      <w:r w:rsidR="006647A5">
        <w:t>i</w:t>
      </w:r>
      <w:r w:rsidR="000B71EB">
        <w:t xml:space="preserve"> (do 72hodin) ke stanovení radikality resekce. </w:t>
      </w:r>
      <w:r w:rsidR="00E37F7E">
        <w:t xml:space="preserve">Devatenáct pacientů bylo reoperováno v průběhu jednoho týdne od první operace. </w:t>
      </w:r>
      <w:r w:rsidR="00294BFB" w:rsidRPr="008F1049">
        <w:t>Odstranění více než 80 % nádoru bylo v této studii považováno za nejnižší možný resekovaný objem nádoru</w:t>
      </w:r>
      <w:r w:rsidR="00E37F7E" w:rsidRPr="008F1049">
        <w:fldChar w:fldCharType="begin" w:fldLock="1"/>
      </w:r>
      <w:r w:rsidR="00C21F70">
        <w:instrText>ADDIN CSL_CITATION {"citationItems":[{"id":"ITEM-1","itemData":{"DOI":"10.1227/01.neu.0000318159.21731.cf","ISSN":"0148396X","PMID":"18496181","abstract":"OBJECTIVE: There is still no general consensus in the literature regarding the role of extent of glioma resection in improving patient outcome. Although the importance of resection in obtaining tissue diagnosis and alleviating symptoms is clear, a lack of Class I evidence prevents similar certainty in assessing the influence of extent of resection. METHODS: We reviewed every major clinical publication since 1990 on the role of extent of resection in glioma outcome. RESULTS: Twenty-eight high-grade glioma articles and 10 low-grade glioma articles were examined in terms of quality of evidence, expected extent of resection, and survival benefit. CONCLUSION: Despite persistent limitations in the quality of data, mounting evidence suggests that more extensive surgical resection is associated with longer life expectancy for both low- and high-grade gliomas.","author":[{"dropping-particle":"","family":"Sanai","given":"Nader","non-dropping-particle":"","parse-names":false,"suffix":""},{"dropping-particle":"","family":"Berger","given":"Mitchel S.","non-dropping-particle":"","parse-names":false,"suffix":""}],"container-title":"Neurosurgery","id":"ITEM-1","issue":"4","issued":{"date-parts":[["2008","4"]]},"page":"753-764","publisher":"Neurosurgery","title":"Glioma extent of resection and its impact on patient outcome","type":"article","volume":"62"},"uris":["http://www.mendeley.com/documents/?uuid=3677404c-587b-3c00-8cf3-728c6bd573ed"]},{"id":"ITEM-2","itemData":{"DOI":"10.3171/2011.2.JNS10998","ISSN":"00223085","PMID":"21417701","abstract":"Object. The value of extent of resection (EOR) in improving survival in patients with glioblastoma multiforme (GBM) remains controversial. Specifically, it is unclear what proportion of contrast-enhancing tumor must be resected for a survival advantage and how much survival improves beyond this threshold. The authors attempt to define these values for the patient with newly diagnosed GBM in the modern neurosurgical era. Methods. The authors identified 500 consecutive newly diagnosed patients with supratentorial GBM treated at the University of California, San Francisco between 1997 and 2009. Clinical, radiographic, and outcome parameters were measured for each case, including MR imaging-based volumetric tumor analysis. Results. The patients had a median age of 60 years and presented with a median Karnofsky Performance Scale (KPS) score of 80. The mean clinical follow-up period was 15.3 months, and no patient was unaccounted for. All patients underwent resection followed by chemotherapy and radiation therapy. The median postoperative tumor volume was 2.3 cm3, equating to a 96% EOR. The median overall survival was 12.2 months. Using Cox proportional hazards analysis, age, KPS score, and EOR were predictive of survival (p &lt; 0.0001). A significant survival advantage was seen with as little as 78% EOR, and stepwise improvement in survival was evident even in the 95%-100% EOR range. A recursive partitioning analysis validated these findings and provided additional risk stratification parameters related to age, EOR, and tumor burden. Conclusions. For patients with newly diagnosed GBMs, aggressive EOR equates to improvement in overall survival, even at the highest levels of resection. Interestingly, subtotal resections as low as 78% also correspond to a survival benefit.","author":[{"dropping-particle":"","family":"Sanai","given":"Nader","non-dropping-particle":"","parse-names":false,"suffix":""},{"dropping-particle":"","family":"Polley","given":"Mei Yin","non-dropping-particle":"","parse-names":false,"suffix":""},{"dropping-particle":"","family":"McDermott","given":"Michael W.","non-dropping-particle":"","parse-names":false,"suffix":""},{"dropping-particle":"","family":"Parsa","given":"Andrew T.","non-dropping-particle":"","parse-names":false,"suffix":""},{"dropping-particle":"","family":"Berger","given":"Mitchel S.","non-dropping-particle":"","parse-names":false,"suffix":""}],"container-title":"Journal of Neurosurgery","id":"ITEM-2","issue":"1","issued":{"date-parts":[["2011","7"]]},"page":"3-8","publisher":"J Neurosurg","title":"An extent of resection threshold for newly diagnosed glioblastomas: Clinical article","type":"article-journal","volume":"115"},"uris":["http://www.mendeley.com/documents/?uuid=ce5f2257-b8c2-3cf3-93c3-350689a437cd"]}],"mendeley":{"formattedCitation":"&lt;sup&gt;244,245&lt;/sup&gt;","plainTextFormattedCitation":"244,245","previouslyFormattedCitation":"&lt;sup&gt;244,245&lt;/sup&gt;"},"properties":{"noteIndex":0},"schema":"https://github.com/citation-style-language/schema/raw/master/csl-citation.json"}</w:instrText>
      </w:r>
      <w:r w:rsidR="00E37F7E" w:rsidRPr="008F1049">
        <w:fldChar w:fldCharType="separate"/>
      </w:r>
      <w:r w:rsidR="00403A59" w:rsidRPr="00403A59">
        <w:rPr>
          <w:noProof/>
          <w:vertAlign w:val="superscript"/>
        </w:rPr>
        <w:t>244,245</w:t>
      </w:r>
      <w:r w:rsidR="00E37F7E" w:rsidRPr="008F1049">
        <w:fldChar w:fldCharType="end"/>
      </w:r>
      <w:r w:rsidR="000B71EB" w:rsidRPr="008F1049">
        <w:t>.</w:t>
      </w:r>
      <w:r w:rsidR="00294BFB" w:rsidRPr="008F1049">
        <w:t xml:space="preserve"> Na</w:t>
      </w:r>
      <w:r w:rsidR="00294BFB">
        <w:t xml:space="preserve"> základě poloautomatické MRI analýze byl</w:t>
      </w:r>
      <w:r w:rsidR="002C2C9C">
        <w:t>a</w:t>
      </w:r>
      <w:r w:rsidR="00294BFB">
        <w:t xml:space="preserve"> s</w:t>
      </w:r>
      <w:r w:rsidR="002C2C9C">
        <w:t>tanovena</w:t>
      </w:r>
      <w:r w:rsidR="00294BFB">
        <w:t xml:space="preserve"> míra resekce v rozmezí 84 % - 100 % s mediánem čítajícím 8</w:t>
      </w:r>
      <w:r w:rsidR="00E37F7E">
        <w:t>5,6</w:t>
      </w:r>
      <w:r w:rsidR="00294BFB">
        <w:t xml:space="preserve"> %. Medián postoperativního objemu bylo 2,9 ml. </w:t>
      </w:r>
      <w:r w:rsidR="00FC271E">
        <w:t>Cílem bylo každého pacienta léčit standardní agresivní onkoterapi</w:t>
      </w:r>
      <w:r w:rsidR="006647A5">
        <w:t>í</w:t>
      </w:r>
      <w:r w:rsidR="00FC271E">
        <w:t xml:space="preserve">, avšak pouze část pacientů byla schopna podstoupit Stuppův protokol. Velké množství pacientů progradovalo už před nebo v průběhu počáteční fáze onkoterapie. Pacienti byli celkem rozděleni </w:t>
      </w:r>
      <w:r w:rsidR="006647A5">
        <w:t>do</w:t>
      </w:r>
      <w:r w:rsidR="00FC271E">
        <w:t xml:space="preserve"> tř</w:t>
      </w:r>
      <w:r w:rsidR="006647A5">
        <w:t>í</w:t>
      </w:r>
      <w:r w:rsidR="00FC271E">
        <w:t xml:space="preserve"> skupin: bez terapie, s chemoradioterapií a v semipaliativním režimu se samotnou radioterapií v rozmezí 34 – 60 Gy</w:t>
      </w:r>
      <w:r w:rsidR="00FC271E">
        <w:fldChar w:fldCharType="begin" w:fldLock="1"/>
      </w:r>
      <w:r w:rsidR="00C21F70">
        <w:instrText>ADDIN CSL_CITATION {"citationItems":[{"id":"ITEM-1","itemData":{"DOI":"10.1007/s11060-020-03612-7","ISSN":"15737373","PMID":"33215344","abstract":"Target population: These recommendations apply to adult patients diagnosed with newly diagnosed glioblastoma. Question 1: In adult patients (aged 65 and under) with newly diagnosed glioblastoma, is the addition of radiation therapy (RT) more beneficial than management without RT in improving survival? Recommendations: Level I: Radiation therapy (RT) is recommended for the treatment of newly diagnosed malignant glioblastoma in adults. Question 2: In adult patients (aged 65 and under) with newly diagnosed glioblastoma, is the RT regimen of 60 Gy given in 2 Gy daily fractions more beneficial than alternative regimens in providing survival benefit while minimizing toxicity? Recommendations: Level I: Treatment schemes should include dosage of up to 60 Gy given in 2 Gy daily fractions that includes the enhancing area. Question 3: In adult patients (aged 65 and under) with newly diagnosed glioblastoma, is a tailored target volume superior to regional RT for reduction of radiation-induced toxicity while maintaining efficacy? Recommendation: Level II: It is recommended that radiation therapy planning include 1–2 cm margin around the radiographically T1 weighted contrast-enhancing tumor volume or the T2 weighted abnormality on MRI. Level III: Recalculation of the radiation volume during RT treatment may be necessary to reduce the radiated volume of normal brain since the volume of surgical defect will change during the long period of RT. Question 4: In adult patients (aged 65 and under) with newly diagnosed glioblastoma, does the addition of RT of the subventricular zone to standard tumor volume treatment improve tumor control and overall survival? Recommendation: No recommendation can be formulated as there is contradictory evidence in favor of and against intentional radiation of the subventricular zone (SVZ) Question 5: In elderly (age &gt; 65 years) and/or frail patients with newly diagnosed glioblastoma, does the addition of RT to surgical intervention improve disease control and overall survival? Recommendation: Level I: Radiation therapy is recommended for treatment of elderly and frail patients with newly diagnosed glioblastoma to improve overall survival. Question 6: In elderly (age &gt; 65 years) and/or frail patients with newly diagnosed glioblastoma, does modification of RT dose and fractionation scheme from standard regimens decrease toxicity and improve disease control and survival? Recommendation: Level II: Short RT treatment schemes are recommended in f…","author":[{"dropping-particle":"","family":"Ziu","given":"Mateo","non-dropping-particle":"","parse-names":false,"suffix":""},{"dropping-particle":"","family":"Kim","given":"Betty Y.S.","non-dropping-particle":"","parse-names":false,"suffix":""},{"dropping-particle":"","family":"Jiang","given":"Wen","non-dropping-particle":"","parse-names":false,"suffix":""},{"dropping-particle":"","family":"Ryken","given":"Timothy","non-dropping-particle":"","parse-names":false,"suffix":""},{"dropping-particle":"","family":"Olson","given":"Jeffrey J.","non-dropping-particle":"","parse-names":false,"suffix":""}],"container-title":"Journal of Neuro-Oncology","id":"ITEM-1","issue":"2","issued":{"date-parts":[["2020","11","1"]]},"page":"215-267","publisher":"Springer","title":"The role of radiation therapy in treatment of adults with newly diagnosed glioblastoma multiforme: a systematic review and evidence-based clinical practice guideline update","type":"article","volume":"150"},"uris":["http://www.mendeley.com/documents/?uuid=43937ad9-eed5-35e0-9a3d-e81c7218a8fa"]}],"mendeley":{"formattedCitation":"&lt;sup&gt;246&lt;/sup&gt;","plainTextFormattedCitation":"246","previouslyFormattedCitation":"&lt;sup&gt;246&lt;/sup&gt;"},"properties":{"noteIndex":0},"schema":"https://github.com/citation-style-language/schema/raw/master/csl-citation.json"}</w:instrText>
      </w:r>
      <w:r w:rsidR="00FC271E">
        <w:fldChar w:fldCharType="separate"/>
      </w:r>
      <w:r w:rsidR="00403A59" w:rsidRPr="00403A59">
        <w:rPr>
          <w:noProof/>
          <w:vertAlign w:val="superscript"/>
        </w:rPr>
        <w:t>246</w:t>
      </w:r>
      <w:r w:rsidR="00FC271E">
        <w:fldChar w:fldCharType="end"/>
      </w:r>
      <w:r w:rsidR="00FC271E">
        <w:t>. Stratifikace kohorty založené na aplikovaném onkologickém režimu je uvedena na Obrázku 9. Po resekci následovala periodická kontrola provedená každé 3 měsíce pomocí magnetické rezonance až do smrti pacienta.</w:t>
      </w:r>
    </w:p>
    <w:p w14:paraId="69A21067" w14:textId="5B7F2B7F" w:rsidR="00592460" w:rsidRDefault="00584714" w:rsidP="00584714">
      <w:pPr>
        <w:jc w:val="center"/>
      </w:pPr>
      <w:r>
        <w:rPr>
          <w:noProof/>
        </w:rPr>
        <w:drawing>
          <wp:inline distT="0" distB="0" distL="0" distR="0" wp14:anchorId="3682EF8C" wp14:editId="561B23E9">
            <wp:extent cx="4781550" cy="3232501"/>
            <wp:effectExtent l="0" t="0" r="0" b="635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20">
                      <a:extLst>
                        <a:ext uri="{28A0092B-C50C-407E-A947-70E740481C1C}">
                          <a14:useLocalDpi xmlns:a14="http://schemas.microsoft.com/office/drawing/2010/main" val="0"/>
                        </a:ext>
                      </a:extLst>
                    </a:blip>
                    <a:stretch>
                      <a:fillRect/>
                    </a:stretch>
                  </pic:blipFill>
                  <pic:spPr>
                    <a:xfrm>
                      <a:off x="0" y="0"/>
                      <a:ext cx="4789704" cy="3238014"/>
                    </a:xfrm>
                    <a:prstGeom prst="rect">
                      <a:avLst/>
                    </a:prstGeom>
                  </pic:spPr>
                </pic:pic>
              </a:graphicData>
            </a:graphic>
          </wp:inline>
        </w:drawing>
      </w:r>
    </w:p>
    <w:p w14:paraId="77AF9367" w14:textId="02F03EAB" w:rsidR="000B71EB" w:rsidRPr="000B71EB" w:rsidRDefault="00306B65" w:rsidP="008B00E9">
      <w:pPr>
        <w:rPr>
          <w:sz w:val="20"/>
          <w:szCs w:val="20"/>
        </w:rPr>
      </w:pPr>
      <w:bookmarkStart w:id="99" w:name="_Toc67162696"/>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9</w:t>
      </w:r>
      <w:r w:rsidRPr="00306B65">
        <w:rPr>
          <w:b/>
          <w:bCs/>
          <w:sz w:val="20"/>
          <w:szCs w:val="20"/>
        </w:rPr>
        <w:fldChar w:fldCharType="end"/>
      </w:r>
      <w:r w:rsidRPr="00306B65">
        <w:rPr>
          <w:b/>
          <w:bCs/>
          <w:sz w:val="20"/>
          <w:szCs w:val="20"/>
        </w:rPr>
        <w:t>:</w:t>
      </w:r>
      <w:r>
        <w:rPr>
          <w:b/>
          <w:bCs/>
          <w:sz w:val="20"/>
          <w:szCs w:val="20"/>
        </w:rPr>
        <w:t xml:space="preserve"> </w:t>
      </w:r>
      <w:r w:rsidR="000B71EB" w:rsidRPr="000B71EB">
        <w:rPr>
          <w:sz w:val="20"/>
          <w:szCs w:val="20"/>
        </w:rPr>
        <w:t xml:space="preserve">Stratifikace </w:t>
      </w:r>
      <w:r w:rsidR="00E12577">
        <w:rPr>
          <w:sz w:val="20"/>
          <w:szCs w:val="20"/>
        </w:rPr>
        <w:t>kohorty pacientů založen</w:t>
      </w:r>
      <w:r w:rsidR="006647A5">
        <w:rPr>
          <w:sz w:val="20"/>
          <w:szCs w:val="20"/>
        </w:rPr>
        <w:t>á</w:t>
      </w:r>
      <w:r w:rsidR="00E12577">
        <w:rPr>
          <w:sz w:val="20"/>
          <w:szCs w:val="20"/>
        </w:rPr>
        <w:t xml:space="preserve"> na léčebné modalitě spolu s detaily u aplikované léčby.</w:t>
      </w:r>
      <w:bookmarkEnd w:id="99"/>
      <w:r w:rsidR="00E12577">
        <w:rPr>
          <w:sz w:val="20"/>
          <w:szCs w:val="20"/>
        </w:rPr>
        <w:t xml:space="preserve"> </w:t>
      </w:r>
    </w:p>
    <w:p w14:paraId="092B3798" w14:textId="6F48A875" w:rsidR="005712FF" w:rsidRDefault="00584714" w:rsidP="00584714">
      <w:pPr>
        <w:jc w:val="both"/>
      </w:pPr>
      <w:r>
        <w:t>Vzorky nádorové tkáně byly sbírány jak FFPE</w:t>
      </w:r>
      <w:r w:rsidR="008E46EE">
        <w:t>,</w:t>
      </w:r>
      <w:r>
        <w:t xml:space="preserve"> tak v čerstvě zmražené formě</w:t>
      </w:r>
      <w:r w:rsidR="008E46EE">
        <w:t xml:space="preserve"> (-80 </w:t>
      </w:r>
      <w:r w:rsidR="008E46EE" w:rsidRPr="00056B69">
        <w:t>°C</w:t>
      </w:r>
      <w:r w:rsidR="008E46EE">
        <w:t>)</w:t>
      </w:r>
      <w:r>
        <w:t>. Klinický stav a informace o kontrole pomocí magnetické rezonance byly sbírány v pravidelných tříměsíčních intervalech. Status kouření byl získán z preoperačního dotazníku. Pacienti byli klasifikováni jako nekuřáci (</w:t>
      </w:r>
      <w:r w:rsidRPr="003959FE">
        <w:t>83/132 = 62</w:t>
      </w:r>
      <w:r w:rsidR="006647A5">
        <w:t>,</w:t>
      </w:r>
      <w:r w:rsidRPr="003959FE">
        <w:t>9 %</w:t>
      </w:r>
      <w:r>
        <w:t>) za předpokladu, že nikdy nekouřili nebo přestali kouřit před pěti lety od diagnózy; zbylí pacienti (</w:t>
      </w:r>
      <w:r w:rsidRPr="003959FE">
        <w:t>49/132 = 37</w:t>
      </w:r>
      <w:r w:rsidR="006647A5">
        <w:t>,</w:t>
      </w:r>
      <w:r w:rsidRPr="003959FE">
        <w:t>1 %)</w:t>
      </w:r>
      <w:r>
        <w:t xml:space="preserve"> byli označeni jako kuřáci. Všechny nádory byly klasifikovány dvěma lokálními patology</w:t>
      </w:r>
      <w:r w:rsidR="00AC749E">
        <w:t xml:space="preserve"> dle</w:t>
      </w:r>
      <w:r>
        <w:t xml:space="preserve"> nejnovější WHO klasifikace nádorů CNS</w:t>
      </w:r>
      <w:r w:rsidR="00AC749E">
        <w:t xml:space="preserve">. Imunohistochemická analýza </w:t>
      </w:r>
      <w:r w:rsidR="00AC749E" w:rsidRPr="006647A5">
        <w:rPr>
          <w:i/>
          <w:iCs/>
        </w:rPr>
        <w:t>IDH1</w:t>
      </w:r>
      <w:r w:rsidR="00AC749E">
        <w:t xml:space="preserve"> R132H a Ki67</w:t>
      </w:r>
      <w:r w:rsidR="00294BFB">
        <w:t xml:space="preserve"> </w:t>
      </w:r>
      <w:r w:rsidR="00AC749E">
        <w:t>byla zahrnuta do standardní procedury klasifikace. Všichni pacienti podepsali formulář o informovaném souhlasu.</w:t>
      </w:r>
    </w:p>
    <w:p w14:paraId="6DA984AA" w14:textId="77777777" w:rsidR="00F37BA5" w:rsidRDefault="00F37BA5" w:rsidP="00584714">
      <w:pPr>
        <w:jc w:val="both"/>
      </w:pPr>
    </w:p>
    <w:p w14:paraId="4A6C111C" w14:textId="6F03087D" w:rsidR="00294BFB" w:rsidRDefault="00F37BA5" w:rsidP="00174B72">
      <w:pPr>
        <w:pStyle w:val="Nadpis4"/>
      </w:pPr>
      <w:bookmarkStart w:id="100" w:name="_Toc88741500"/>
      <w:r>
        <w:t xml:space="preserve">Imunohistochemické stanovení statusu </w:t>
      </w:r>
      <w:r w:rsidRPr="006647A5">
        <w:rPr>
          <w:i/>
        </w:rPr>
        <w:t>IDH1</w:t>
      </w:r>
      <w:r>
        <w:t xml:space="preserve"> R132H</w:t>
      </w:r>
      <w:bookmarkEnd w:id="100"/>
    </w:p>
    <w:p w14:paraId="6269A303" w14:textId="273BCE96" w:rsidR="00F37BA5" w:rsidRDefault="00F37BA5" w:rsidP="00584714">
      <w:pPr>
        <w:jc w:val="both"/>
      </w:pPr>
      <w:r>
        <w:t xml:space="preserve">Kohorta </w:t>
      </w:r>
      <w:r w:rsidR="008E46EE">
        <w:t xml:space="preserve">byla </w:t>
      </w:r>
      <w:r>
        <w:t xml:space="preserve">složená z pacientů s GBM se statusem </w:t>
      </w:r>
      <w:r w:rsidRPr="006647A5">
        <w:rPr>
          <w:i/>
          <w:iCs/>
        </w:rPr>
        <w:t>IDH</w:t>
      </w:r>
      <w:r>
        <w:t xml:space="preserve"> wild type dle diagnostických kritérií WHO 2016.  Tkáňové řezy o tloušťce 1-2 </w:t>
      </w:r>
      <w:r>
        <w:rPr>
          <w:rFonts w:cstheme="minorHAnsi"/>
        </w:rPr>
        <w:t>µ</w:t>
      </w:r>
      <w:r>
        <w:t xml:space="preserve">m ošetřeny za použití PT link system (Agilent) při teplotě 97 </w:t>
      </w:r>
      <w:r w:rsidRPr="00056B69">
        <w:t>°C</w:t>
      </w:r>
      <w:r>
        <w:t>, pH 9 po dobu 20 min pro odkrytí epitopu. Peroxid vodíku</w:t>
      </w:r>
      <w:r w:rsidRPr="00056B69">
        <w:t xml:space="preserve"> byl použit na blokování endogenní peroxidázové aktivity</w:t>
      </w:r>
      <w:r>
        <w:t>. Řezy byly následně ošetřeny primární protilátkou Anti-IDH1R132H klon H09 (Dianova, Hamburg, Německo) v ředicím poměru 1</w:t>
      </w:r>
      <w:r w:rsidR="006647A5">
        <w:t>:</w:t>
      </w:r>
      <w:r>
        <w:t>100 po dobu 20 min při pokojové teplotě. EnVision Flex</w:t>
      </w:r>
      <w:r w:rsidRPr="00797F47">
        <w:rPr>
          <w:bCs/>
        </w:rPr>
        <w:t>+</w:t>
      </w:r>
      <w:r w:rsidR="005B241A">
        <w:rPr>
          <w:bCs/>
        </w:rPr>
        <w:t xml:space="preserve">, Mouse, High pH (Agilent DAKO) bylo použito k amplifikaci signálu primární protilátky. Řezy byly poté ošetřeny </w:t>
      </w:r>
      <w:r w:rsidR="006647A5">
        <w:rPr>
          <w:bCs/>
        </w:rPr>
        <w:t>na</w:t>
      </w:r>
      <w:r w:rsidR="005B241A">
        <w:rPr>
          <w:bCs/>
        </w:rPr>
        <w:t xml:space="preserve"> 20 min sekundární protilátkou, EnVision Flex/HRP (Agilent DAKO) a pro vizualizaci byl použito </w:t>
      </w:r>
      <w:r w:rsidR="005B241A" w:rsidRPr="00797F47">
        <w:rPr>
          <w:bCs/>
        </w:rPr>
        <w:t>DAB+ Substrate Chromogen</w:t>
      </w:r>
      <w:r w:rsidR="005B241A">
        <w:rPr>
          <w:bCs/>
        </w:rPr>
        <w:t xml:space="preserve"> Syst</w:t>
      </w:r>
      <w:r w:rsidR="006647A5">
        <w:rPr>
          <w:bCs/>
        </w:rPr>
        <w:t>e</w:t>
      </w:r>
      <w:r w:rsidR="005B241A">
        <w:rPr>
          <w:bCs/>
        </w:rPr>
        <w:t>m (Agilent DAKO).</w:t>
      </w:r>
    </w:p>
    <w:p w14:paraId="4AEFCC43" w14:textId="77777777" w:rsidR="00F37BA5" w:rsidRDefault="00F37BA5" w:rsidP="00584714">
      <w:pPr>
        <w:jc w:val="both"/>
      </w:pPr>
    </w:p>
    <w:p w14:paraId="5A542B82" w14:textId="6F842302" w:rsidR="00AC749E" w:rsidRDefault="00AC749E" w:rsidP="00174B72">
      <w:pPr>
        <w:pStyle w:val="Nadpis4"/>
      </w:pPr>
      <w:bookmarkStart w:id="101" w:name="_Toc88741501"/>
      <w:r>
        <w:t xml:space="preserve">Imunohistochemické vyšetření </w:t>
      </w:r>
      <w:r w:rsidR="00294BFB">
        <w:t xml:space="preserve">statusu </w:t>
      </w:r>
      <w:r w:rsidR="00F37BA5" w:rsidRPr="006647A5">
        <w:rPr>
          <w:i/>
        </w:rPr>
        <w:t>Ki67</w:t>
      </w:r>
      <w:bookmarkEnd w:id="101"/>
    </w:p>
    <w:p w14:paraId="0D198814" w14:textId="6F39E362" w:rsidR="00AC749E" w:rsidRDefault="000F6FAB" w:rsidP="00584714">
      <w:pPr>
        <w:jc w:val="both"/>
        <w:rPr>
          <w:bCs/>
        </w:rPr>
      </w:pPr>
      <w:r>
        <w:t xml:space="preserve">Tkáňové řezy o tloušťce 1-2 </w:t>
      </w:r>
      <w:r>
        <w:rPr>
          <w:rFonts w:cstheme="minorHAnsi"/>
        </w:rPr>
        <w:t>µ</w:t>
      </w:r>
      <w:r>
        <w:t xml:space="preserve">m byly </w:t>
      </w:r>
      <w:r w:rsidR="00056B69">
        <w:t xml:space="preserve">tepelně indukovány k odmaskování epitopu pomocí citrátového pufru (pH 6) po dobu 10 min při </w:t>
      </w:r>
      <w:r w:rsidR="00056B69" w:rsidRPr="00056B69">
        <w:t xml:space="preserve">120 °C. </w:t>
      </w:r>
      <w:r w:rsidR="00F37BA5">
        <w:t>Peroxid vodíku</w:t>
      </w:r>
      <w:r w:rsidR="00056B69" w:rsidRPr="00056B69">
        <w:t xml:space="preserve"> byl použit na blokování endogenní peroxidázové aktivity (</w:t>
      </w:r>
      <w:r w:rsidR="00056B69">
        <w:t>m</w:t>
      </w:r>
      <w:r w:rsidR="00056B69" w:rsidRPr="00056B69">
        <w:t>yší/</w:t>
      </w:r>
      <w:r w:rsidR="00056B69">
        <w:t>k</w:t>
      </w:r>
      <w:r w:rsidR="00056B69" w:rsidRPr="00056B69">
        <w:t>ráličí ImmunoDetector DAB HRP Brown System, Bio SB)</w:t>
      </w:r>
      <w:r w:rsidR="00056B69">
        <w:t>. Řezy byly následně ošetřeny po dobu 30 min primárními protilát</w:t>
      </w:r>
      <w:r w:rsidR="00F37BA5">
        <w:t>kou</w:t>
      </w:r>
      <w:r w:rsidR="00056B69">
        <w:t xml:space="preserve">, Ki67, klon MIB-1 (Agilent DAKO), ředění 1:200. Poté následovalo značení sekundární protilátkou </w:t>
      </w:r>
      <w:r w:rsidR="00056B69" w:rsidRPr="00056B69">
        <w:t>(</w:t>
      </w:r>
      <w:r w:rsidR="00056B69">
        <w:t>m</w:t>
      </w:r>
      <w:r w:rsidR="00056B69" w:rsidRPr="00056B69">
        <w:t>yší/</w:t>
      </w:r>
      <w:r w:rsidR="00056B69">
        <w:t>k</w:t>
      </w:r>
      <w:r w:rsidR="00056B69" w:rsidRPr="00056B69">
        <w:t>ráličí ImmunoDetector DAB HRP Brown System, Bio SB)</w:t>
      </w:r>
      <w:r w:rsidR="00797F47">
        <w:t xml:space="preserve"> po dobu 30 min, reakce byla vizualizována pomocí </w:t>
      </w:r>
      <w:r w:rsidR="00797F47" w:rsidRPr="00797F47">
        <w:rPr>
          <w:bCs/>
        </w:rPr>
        <w:t>DAB+ Substrate Chromogen.</w:t>
      </w:r>
    </w:p>
    <w:p w14:paraId="2B830ADA" w14:textId="6DFF71ED" w:rsidR="000F6FAB" w:rsidRDefault="000F6FAB" w:rsidP="00584714">
      <w:pPr>
        <w:jc w:val="both"/>
      </w:pPr>
    </w:p>
    <w:p w14:paraId="7BC29066" w14:textId="52CBF007" w:rsidR="000F6FAB" w:rsidRDefault="000F6FAB" w:rsidP="00174B72">
      <w:pPr>
        <w:pStyle w:val="Nadpis4"/>
      </w:pPr>
      <w:bookmarkStart w:id="102" w:name="_Toc88741502"/>
      <w:r>
        <w:t xml:space="preserve">Genotypizace </w:t>
      </w:r>
      <w:r w:rsidRPr="006647A5">
        <w:rPr>
          <w:i/>
        </w:rPr>
        <w:t>IDH1</w:t>
      </w:r>
      <w:r>
        <w:t xml:space="preserve"> R132 a </w:t>
      </w:r>
      <w:r w:rsidRPr="006647A5">
        <w:rPr>
          <w:i/>
        </w:rPr>
        <w:t>IDH2</w:t>
      </w:r>
      <w:r>
        <w:t xml:space="preserve"> R172</w:t>
      </w:r>
      <w:bookmarkEnd w:id="102"/>
    </w:p>
    <w:p w14:paraId="74C42690" w14:textId="0F690C29" w:rsidR="000F6FAB" w:rsidRDefault="000F6FAB" w:rsidP="00056B69">
      <w:pPr>
        <w:jc w:val="both"/>
        <w:rPr>
          <w:bCs/>
        </w:rPr>
      </w:pPr>
      <w:r>
        <w:t xml:space="preserve">DNA byla vyizolována </w:t>
      </w:r>
      <w:r w:rsidR="005836F8">
        <w:t>pomocí Roche Cobas</w:t>
      </w:r>
      <w:r w:rsidR="005836F8">
        <w:rPr>
          <w:rFonts w:cstheme="minorHAnsi"/>
        </w:rPr>
        <w:t>®</w:t>
      </w:r>
      <w:r w:rsidR="005836F8">
        <w:t xml:space="preserve"> kitu </w:t>
      </w:r>
      <w:r w:rsidR="00056B0D">
        <w:t>a Cobas</w:t>
      </w:r>
      <w:r w:rsidR="00056B0D">
        <w:rPr>
          <w:rFonts w:cstheme="minorHAnsi"/>
        </w:rPr>
        <w:t xml:space="preserve">® DNA sample preparation kitu dle instrukcí </w:t>
      </w:r>
      <w:r w:rsidR="006647A5">
        <w:rPr>
          <w:rFonts w:cstheme="minorHAnsi"/>
        </w:rPr>
        <w:t>v</w:t>
      </w:r>
      <w:r w:rsidR="00056B0D">
        <w:rPr>
          <w:rFonts w:cstheme="minorHAnsi"/>
        </w:rPr>
        <w:t xml:space="preserve">ýrobce. qPCR amplifikace byla provedena pomocí </w:t>
      </w:r>
      <w:r w:rsidR="006647A5">
        <w:rPr>
          <w:rFonts w:cstheme="minorHAnsi"/>
        </w:rPr>
        <w:t xml:space="preserve">celkové DNA o objemu </w:t>
      </w:r>
      <w:r w:rsidR="00056B0D">
        <w:rPr>
          <w:rFonts w:cstheme="minorHAnsi"/>
        </w:rPr>
        <w:t>1 µl nebo 5 µl (v závislosti na DNA koncentraci</w:t>
      </w:r>
      <w:r w:rsidR="0083344F">
        <w:rPr>
          <w:rFonts w:cstheme="minorHAnsi"/>
        </w:rPr>
        <w:t>,</w:t>
      </w:r>
      <w:r w:rsidR="00056B0D">
        <w:rPr>
          <w:rFonts w:cstheme="minorHAnsi"/>
        </w:rPr>
        <w:t xml:space="preserve"> </w:t>
      </w:r>
      <w:r w:rsidR="00056B0D" w:rsidRPr="00056B0D">
        <w:rPr>
          <w:rFonts w:cstheme="minorHAnsi"/>
        </w:rPr>
        <w:t>&gt; 30 ng/μl nebo &gt; 10 ng/μl</w:t>
      </w:r>
      <w:r w:rsidR="00056B0D">
        <w:rPr>
          <w:rFonts w:cstheme="minorHAnsi"/>
        </w:rPr>
        <w:t xml:space="preserve">) s </w:t>
      </w:r>
      <w:r w:rsidR="00056B0D" w:rsidRPr="00056B0D">
        <w:rPr>
          <w:bCs/>
        </w:rPr>
        <w:t xml:space="preserve">Thermo-Start Taq DNA Polymerase (ThermoFisher Scientific, 1U), 10X PCR Thermo-Start Buffer (ThermoFisher Scientific), MgCl2 (ThermoFisher Scientific), dNTPs (Bioline) a EvaGreen 20x (Biotinium). </w:t>
      </w:r>
      <w:r w:rsidR="00056B0D">
        <w:rPr>
          <w:bCs/>
        </w:rPr>
        <w:t>Pro multiplex PCR amplifikaci (</w:t>
      </w:r>
      <w:r w:rsidR="00056B0D" w:rsidRPr="0083344F">
        <w:rPr>
          <w:bCs/>
          <w:i/>
          <w:iCs/>
        </w:rPr>
        <w:t>IDH1</w:t>
      </w:r>
      <w:r w:rsidR="00056B0D">
        <w:rPr>
          <w:bCs/>
        </w:rPr>
        <w:t xml:space="preserve"> a </w:t>
      </w:r>
      <w:r w:rsidR="00056B0D" w:rsidRPr="0083344F">
        <w:rPr>
          <w:bCs/>
          <w:i/>
          <w:iCs/>
        </w:rPr>
        <w:t>IDH2</w:t>
      </w:r>
      <w:r w:rsidR="00056B0D">
        <w:rPr>
          <w:bCs/>
        </w:rPr>
        <w:t xml:space="preserve"> reakce) byly násl</w:t>
      </w:r>
      <w:r w:rsidR="0083344F">
        <w:rPr>
          <w:bCs/>
        </w:rPr>
        <w:t>e</w:t>
      </w:r>
      <w:r w:rsidR="00056B0D">
        <w:rPr>
          <w:bCs/>
        </w:rPr>
        <w:t xml:space="preserve">dující podmínky:  </w:t>
      </w:r>
      <w:r w:rsidR="00056B0D" w:rsidRPr="00056B0D">
        <w:rPr>
          <w:bCs/>
        </w:rPr>
        <w:t xml:space="preserve">95 °C </w:t>
      </w:r>
      <w:r w:rsidR="00056B0D">
        <w:rPr>
          <w:bCs/>
        </w:rPr>
        <w:t xml:space="preserve"> po dobu </w:t>
      </w:r>
      <w:r w:rsidR="00056B0D" w:rsidRPr="00056B0D">
        <w:rPr>
          <w:bCs/>
        </w:rPr>
        <w:t xml:space="preserve">2 min 15 s, </w:t>
      </w:r>
      <w:r w:rsidR="00056B0D">
        <w:rPr>
          <w:bCs/>
        </w:rPr>
        <w:t>poté</w:t>
      </w:r>
      <w:r w:rsidR="00056B0D" w:rsidRPr="00056B0D">
        <w:rPr>
          <w:bCs/>
        </w:rPr>
        <w:t xml:space="preserve"> 40 cy</w:t>
      </w:r>
      <w:r w:rsidR="00056B0D">
        <w:rPr>
          <w:bCs/>
        </w:rPr>
        <w:t>klů</w:t>
      </w:r>
      <w:r w:rsidR="00056B0D" w:rsidRPr="00056B0D">
        <w:rPr>
          <w:bCs/>
        </w:rPr>
        <w:t xml:space="preserve"> </w:t>
      </w:r>
      <w:r w:rsidR="00056B0D">
        <w:rPr>
          <w:bCs/>
        </w:rPr>
        <w:t>po</w:t>
      </w:r>
      <w:r w:rsidR="00056B0D" w:rsidRPr="00056B0D">
        <w:rPr>
          <w:bCs/>
        </w:rPr>
        <w:t xml:space="preserve"> 15 s</w:t>
      </w:r>
      <w:r w:rsidR="00056B0D">
        <w:rPr>
          <w:bCs/>
        </w:rPr>
        <w:t> při teplotě</w:t>
      </w:r>
      <w:r w:rsidR="00056B0D" w:rsidRPr="00056B0D">
        <w:rPr>
          <w:bCs/>
        </w:rPr>
        <w:t xml:space="preserve"> 95 °C, 30 s </w:t>
      </w:r>
      <w:r w:rsidR="00056B0D">
        <w:rPr>
          <w:bCs/>
        </w:rPr>
        <w:t>při</w:t>
      </w:r>
      <w:r w:rsidR="00056B0D" w:rsidRPr="00056B0D">
        <w:rPr>
          <w:bCs/>
        </w:rPr>
        <w:t xml:space="preserve"> 62 °C a 30 s </w:t>
      </w:r>
      <w:r w:rsidR="00056B0D">
        <w:rPr>
          <w:bCs/>
        </w:rPr>
        <w:t>při</w:t>
      </w:r>
      <w:r w:rsidR="00056B0D" w:rsidRPr="00056B0D">
        <w:rPr>
          <w:bCs/>
        </w:rPr>
        <w:t xml:space="preserve"> 72 °C (FAM </w:t>
      </w:r>
      <w:r w:rsidR="00056B0D">
        <w:rPr>
          <w:bCs/>
        </w:rPr>
        <w:t>kanál</w:t>
      </w:r>
      <w:r w:rsidR="00C5461F">
        <w:rPr>
          <w:bCs/>
        </w:rPr>
        <w:t xml:space="preserve"> při sledování fluorcence</w:t>
      </w:r>
      <w:r w:rsidR="00056B0D" w:rsidRPr="00056B0D">
        <w:rPr>
          <w:bCs/>
        </w:rPr>
        <w:t xml:space="preserve">), </w:t>
      </w:r>
      <w:r w:rsidR="00C5461F">
        <w:rPr>
          <w:bCs/>
        </w:rPr>
        <w:t>následované</w:t>
      </w:r>
      <w:r w:rsidR="00056B0D" w:rsidRPr="00056B0D">
        <w:rPr>
          <w:bCs/>
        </w:rPr>
        <w:t xml:space="preserve"> fin</w:t>
      </w:r>
      <w:r w:rsidR="00C5461F">
        <w:rPr>
          <w:bCs/>
        </w:rPr>
        <w:t>ální</w:t>
      </w:r>
      <w:r w:rsidR="00056B0D" w:rsidRPr="00056B0D">
        <w:rPr>
          <w:bCs/>
        </w:rPr>
        <w:t xml:space="preserve"> in</w:t>
      </w:r>
      <w:r w:rsidR="00C5461F">
        <w:rPr>
          <w:bCs/>
        </w:rPr>
        <w:t>k</w:t>
      </w:r>
      <w:r w:rsidR="00056B0D" w:rsidRPr="00056B0D">
        <w:rPr>
          <w:bCs/>
        </w:rPr>
        <w:t>uba</w:t>
      </w:r>
      <w:r w:rsidR="00C5461F">
        <w:rPr>
          <w:bCs/>
        </w:rPr>
        <w:t>cí</w:t>
      </w:r>
      <w:r w:rsidR="00056B0D" w:rsidRPr="00056B0D">
        <w:rPr>
          <w:bCs/>
        </w:rPr>
        <w:t xml:space="preserve"> </w:t>
      </w:r>
      <w:r w:rsidR="00C5461F">
        <w:rPr>
          <w:bCs/>
        </w:rPr>
        <w:t>po dobu</w:t>
      </w:r>
      <w:r w:rsidR="00056B0D" w:rsidRPr="00056B0D">
        <w:rPr>
          <w:bCs/>
        </w:rPr>
        <w:t xml:space="preserve"> 5 min </w:t>
      </w:r>
      <w:r w:rsidR="00C5461F">
        <w:rPr>
          <w:bCs/>
        </w:rPr>
        <w:t>při</w:t>
      </w:r>
      <w:r w:rsidR="00056B0D" w:rsidRPr="00056B0D">
        <w:rPr>
          <w:bCs/>
        </w:rPr>
        <w:t xml:space="preserve"> 72 °C a melting </w:t>
      </w:r>
      <w:r w:rsidR="00C5461F">
        <w:rPr>
          <w:bCs/>
        </w:rPr>
        <w:t>křivka od</w:t>
      </w:r>
      <w:r w:rsidR="00056B0D" w:rsidRPr="00056B0D">
        <w:rPr>
          <w:bCs/>
        </w:rPr>
        <w:t xml:space="preserve"> 60 °C </w:t>
      </w:r>
      <w:r w:rsidR="00C5461F">
        <w:rPr>
          <w:bCs/>
        </w:rPr>
        <w:t>do</w:t>
      </w:r>
      <w:r w:rsidR="00056B0D" w:rsidRPr="00056B0D">
        <w:rPr>
          <w:bCs/>
        </w:rPr>
        <w:t xml:space="preserve"> 95 °C </w:t>
      </w:r>
      <w:r w:rsidR="00C5461F">
        <w:rPr>
          <w:bCs/>
        </w:rPr>
        <w:t>při</w:t>
      </w:r>
      <w:r w:rsidR="00056B0D" w:rsidRPr="00056B0D">
        <w:rPr>
          <w:bCs/>
        </w:rPr>
        <w:t xml:space="preserve"> </w:t>
      </w:r>
      <w:r w:rsidR="00C5461F">
        <w:rPr>
          <w:bCs/>
        </w:rPr>
        <w:t>sledování</w:t>
      </w:r>
      <w:r w:rsidR="00056B0D" w:rsidRPr="00056B0D">
        <w:rPr>
          <w:bCs/>
        </w:rPr>
        <w:t xml:space="preserve"> fluorescence FAM </w:t>
      </w:r>
      <w:r w:rsidR="00C5461F">
        <w:rPr>
          <w:bCs/>
        </w:rPr>
        <w:t>kanál</w:t>
      </w:r>
      <w:r w:rsidR="0083344F">
        <w:rPr>
          <w:bCs/>
        </w:rPr>
        <w:t>em</w:t>
      </w:r>
      <w:r w:rsidR="00C5461F">
        <w:rPr>
          <w:bCs/>
        </w:rPr>
        <w:t xml:space="preserve"> při</w:t>
      </w:r>
      <w:r w:rsidR="00056B0D" w:rsidRPr="00056B0D">
        <w:rPr>
          <w:bCs/>
        </w:rPr>
        <w:t xml:space="preserve"> 0.5 °C.  </w:t>
      </w:r>
      <w:r w:rsidR="00C5461F">
        <w:rPr>
          <w:bCs/>
        </w:rPr>
        <w:t xml:space="preserve">Po amplifikaci následovalo pročištění amplikonů pomocí </w:t>
      </w:r>
      <w:r w:rsidR="00C5461F" w:rsidRPr="00056B0D">
        <w:rPr>
          <w:bCs/>
        </w:rPr>
        <w:t>QIAquick PCR Purification Kit (Hilden, GER, QIAGEN)</w:t>
      </w:r>
      <w:r w:rsidR="00C5461F">
        <w:rPr>
          <w:bCs/>
        </w:rPr>
        <w:t>. Koncentrace produktu byla změřena pomocí</w:t>
      </w:r>
      <w:r w:rsidR="00056B0D" w:rsidRPr="00056B0D">
        <w:rPr>
          <w:bCs/>
        </w:rPr>
        <w:t xml:space="preserve"> Qubit 2.0 HS DNA kit (Invitrogen). </w:t>
      </w:r>
      <w:r w:rsidR="00C5461F">
        <w:rPr>
          <w:bCs/>
        </w:rPr>
        <w:t>Sekvenační knihovna byla zředěna a denaturována 0,1 M NaOH (D</w:t>
      </w:r>
      <w:r w:rsidR="00FC271E">
        <w:rPr>
          <w:bCs/>
        </w:rPr>
        <w:t>N</w:t>
      </w:r>
      <w:r w:rsidR="00C5461F">
        <w:rPr>
          <w:bCs/>
        </w:rPr>
        <w:t>A koncentrace</w:t>
      </w:r>
      <w:r w:rsidR="0083344F">
        <w:rPr>
          <w:bCs/>
        </w:rPr>
        <w:t xml:space="preserve"> = </w:t>
      </w:r>
      <w:r w:rsidR="00C5461F">
        <w:rPr>
          <w:bCs/>
        </w:rPr>
        <w:t xml:space="preserve">10 </w:t>
      </w:r>
      <w:r w:rsidR="00C5461F" w:rsidRPr="00056B0D">
        <w:rPr>
          <w:bCs/>
        </w:rPr>
        <w:t>μM</w:t>
      </w:r>
      <w:r w:rsidR="00C5461F">
        <w:rPr>
          <w:bCs/>
        </w:rPr>
        <w:t xml:space="preserve">). Knihovna obsahovala přibližně stejná množství každého vzorku. </w:t>
      </w:r>
      <w:r w:rsidR="00056B69">
        <w:rPr>
          <w:bCs/>
        </w:rPr>
        <w:t xml:space="preserve">Sekvenování bylo provedeno pomocí </w:t>
      </w:r>
      <w:r w:rsidR="00056B0D" w:rsidRPr="00056B0D">
        <w:rPr>
          <w:bCs/>
        </w:rPr>
        <w:t>Illumina MiSeq platform</w:t>
      </w:r>
      <w:r w:rsidR="00056B69">
        <w:rPr>
          <w:bCs/>
        </w:rPr>
        <w:t>y</w:t>
      </w:r>
      <w:r w:rsidR="00056B0D" w:rsidRPr="00056B0D">
        <w:rPr>
          <w:bCs/>
        </w:rPr>
        <w:t xml:space="preserve"> </w:t>
      </w:r>
      <w:r w:rsidR="00056B69">
        <w:rPr>
          <w:bCs/>
        </w:rPr>
        <w:t>využívající</w:t>
      </w:r>
      <w:r w:rsidR="00056B0D" w:rsidRPr="00056B0D">
        <w:rPr>
          <w:bCs/>
        </w:rPr>
        <w:t xml:space="preserve"> the MiSeq V2 Nano 300 bp </w:t>
      </w:r>
      <w:r w:rsidR="00056B69">
        <w:rPr>
          <w:bCs/>
        </w:rPr>
        <w:t>nebo</w:t>
      </w:r>
      <w:r w:rsidR="00056B0D" w:rsidRPr="00056B0D">
        <w:rPr>
          <w:bCs/>
        </w:rPr>
        <w:t xml:space="preserve"> V3 150 bp </w:t>
      </w:r>
      <w:r w:rsidR="00056B69">
        <w:rPr>
          <w:bCs/>
        </w:rPr>
        <w:t>sekvenační kit a</w:t>
      </w:r>
      <w:r w:rsidR="00056B0D" w:rsidRPr="00056B0D">
        <w:rPr>
          <w:bCs/>
        </w:rPr>
        <w:t xml:space="preserve"> 2 x 75 bp sequen</w:t>
      </w:r>
      <w:r w:rsidR="00056B69">
        <w:rPr>
          <w:bCs/>
        </w:rPr>
        <w:t>ační</w:t>
      </w:r>
      <w:r w:rsidR="00056B0D" w:rsidRPr="00056B0D">
        <w:rPr>
          <w:bCs/>
        </w:rPr>
        <w:t xml:space="preserve"> read</w:t>
      </w:r>
      <w:r w:rsidR="00056B69">
        <w:rPr>
          <w:bCs/>
        </w:rPr>
        <w:t>y</w:t>
      </w:r>
      <w:r w:rsidR="00056B0D" w:rsidRPr="00056B0D">
        <w:rPr>
          <w:bCs/>
        </w:rPr>
        <w:t xml:space="preserve">. </w:t>
      </w:r>
      <w:r w:rsidR="00056B69">
        <w:rPr>
          <w:bCs/>
        </w:rPr>
        <w:t xml:space="preserve">Výsledky sekvenací byly analyzovány pomocí </w:t>
      </w:r>
      <w:r w:rsidR="00056B0D" w:rsidRPr="00056B0D">
        <w:rPr>
          <w:bCs/>
        </w:rPr>
        <w:t>Somatic Variant Caller fun</w:t>
      </w:r>
      <w:r w:rsidR="00056B69">
        <w:rPr>
          <w:bCs/>
        </w:rPr>
        <w:t>kce</w:t>
      </w:r>
      <w:r w:rsidR="00056B0D" w:rsidRPr="00056B0D">
        <w:rPr>
          <w:bCs/>
        </w:rPr>
        <w:t xml:space="preserve"> </w:t>
      </w:r>
      <w:r w:rsidR="00056B69">
        <w:rPr>
          <w:bCs/>
        </w:rPr>
        <w:t xml:space="preserve">z </w:t>
      </w:r>
      <w:r w:rsidR="00056B0D" w:rsidRPr="00056B0D">
        <w:rPr>
          <w:bCs/>
        </w:rPr>
        <w:t>MiSeq Reporter softwar</w:t>
      </w:r>
      <w:r w:rsidR="00056B69">
        <w:rPr>
          <w:bCs/>
        </w:rPr>
        <w:t>ového</w:t>
      </w:r>
      <w:r w:rsidR="00056B0D" w:rsidRPr="00056B0D">
        <w:rPr>
          <w:bCs/>
        </w:rPr>
        <w:t xml:space="preserve"> </w:t>
      </w:r>
      <w:r w:rsidR="00056B69">
        <w:rPr>
          <w:bCs/>
        </w:rPr>
        <w:t>balíčku</w:t>
      </w:r>
      <w:r w:rsidR="00056B0D" w:rsidRPr="00056B0D">
        <w:rPr>
          <w:bCs/>
        </w:rPr>
        <w:t xml:space="preserve">. </w:t>
      </w:r>
      <w:r w:rsidR="00056B69">
        <w:rPr>
          <w:bCs/>
        </w:rPr>
        <w:t xml:space="preserve">Získané vcf soubory byly zpracovány pomocí </w:t>
      </w:r>
      <w:r w:rsidR="00056B0D" w:rsidRPr="00056B0D">
        <w:rPr>
          <w:bCs/>
        </w:rPr>
        <w:t>Excel (Microsoft). Muta</w:t>
      </w:r>
      <w:r w:rsidR="00056B69">
        <w:rPr>
          <w:bCs/>
        </w:rPr>
        <w:t>ce</w:t>
      </w:r>
      <w:r w:rsidR="00056B0D" w:rsidRPr="00056B0D">
        <w:rPr>
          <w:bCs/>
        </w:rPr>
        <w:t xml:space="preserve"> </w:t>
      </w:r>
      <w:r w:rsidR="00056B0D" w:rsidRPr="0083344F">
        <w:rPr>
          <w:bCs/>
          <w:i/>
          <w:iCs/>
        </w:rPr>
        <w:t>IDH1</w:t>
      </w:r>
      <w:r w:rsidR="00056B0D" w:rsidRPr="00056B0D">
        <w:rPr>
          <w:bCs/>
        </w:rPr>
        <w:t xml:space="preserve"> a </w:t>
      </w:r>
      <w:r w:rsidR="00056B0D" w:rsidRPr="0083344F">
        <w:rPr>
          <w:bCs/>
          <w:i/>
          <w:iCs/>
        </w:rPr>
        <w:t>IDH2</w:t>
      </w:r>
      <w:r w:rsidR="00056B0D" w:rsidRPr="00056B0D">
        <w:rPr>
          <w:bCs/>
        </w:rPr>
        <w:t xml:space="preserve"> gen</w:t>
      </w:r>
      <w:r w:rsidR="00056B69">
        <w:rPr>
          <w:bCs/>
        </w:rPr>
        <w:t>ů</w:t>
      </w:r>
      <w:r w:rsidR="00056B0D" w:rsidRPr="00056B0D">
        <w:rPr>
          <w:bCs/>
        </w:rPr>
        <w:t xml:space="preserve"> </w:t>
      </w:r>
      <w:r w:rsidR="00056B69">
        <w:rPr>
          <w:bCs/>
        </w:rPr>
        <w:t>byly identifikovány v kodonech 132 a</w:t>
      </w:r>
      <w:r w:rsidR="000921E8">
        <w:rPr>
          <w:bCs/>
        </w:rPr>
        <w:t xml:space="preserve"> </w:t>
      </w:r>
      <w:r w:rsidR="00056B69">
        <w:rPr>
          <w:bCs/>
        </w:rPr>
        <w:t xml:space="preserve">172 s frekvencí </w:t>
      </w:r>
      <w:r w:rsidR="00056B0D" w:rsidRPr="00056B0D">
        <w:rPr>
          <w:bCs/>
        </w:rPr>
        <w:t xml:space="preserve">&gt; 5 % </w:t>
      </w:r>
      <w:r w:rsidR="00056B69">
        <w:rPr>
          <w:bCs/>
        </w:rPr>
        <w:t>a pokrytím</w:t>
      </w:r>
      <w:r w:rsidR="00056B0D" w:rsidRPr="00056B0D">
        <w:rPr>
          <w:bCs/>
        </w:rPr>
        <w:t xml:space="preserve"> &gt;1000.</w:t>
      </w:r>
    </w:p>
    <w:p w14:paraId="7C9E3143" w14:textId="5BD4C6C2" w:rsidR="00797F47" w:rsidRDefault="00797F47" w:rsidP="00056B69">
      <w:pPr>
        <w:jc w:val="both"/>
        <w:rPr>
          <w:bCs/>
        </w:rPr>
      </w:pPr>
    </w:p>
    <w:p w14:paraId="0CD9DE37" w14:textId="50BDFBF1" w:rsidR="00797F47" w:rsidRDefault="00797F47" w:rsidP="00174B72">
      <w:pPr>
        <w:pStyle w:val="Nadpis4"/>
      </w:pPr>
      <w:bookmarkStart w:id="103" w:name="_Toc88741503"/>
      <w:r>
        <w:t>FISH analýza</w:t>
      </w:r>
      <w:bookmarkEnd w:id="103"/>
    </w:p>
    <w:p w14:paraId="23772A70" w14:textId="738387E3" w:rsidR="00797F47" w:rsidRDefault="00797F47" w:rsidP="00056B69">
      <w:pPr>
        <w:jc w:val="both"/>
        <w:rPr>
          <w:bCs/>
        </w:rPr>
      </w:pPr>
      <w:r>
        <w:t xml:space="preserve">FISH analýza byla provedena na FFPE tkáních podle návodu výrobce se sondami </w:t>
      </w:r>
      <w:r w:rsidRPr="00797F47">
        <w:rPr>
          <w:bCs/>
        </w:rPr>
        <w:t xml:space="preserve">LSI 1p36.3, LSI 1q25.2, LSI 9p21.3, LSI 19q13, LSI EGFR, LSI CEP7, LSI MDM2, LSI 10p11.1, LSI BCR, LSI 22q12.2, a LSI CCND1 </w:t>
      </w:r>
      <w:r>
        <w:rPr>
          <w:bCs/>
        </w:rPr>
        <w:t>od firmy</w:t>
      </w:r>
      <w:r w:rsidRPr="00797F47">
        <w:rPr>
          <w:bCs/>
        </w:rPr>
        <w:t xml:space="preserve"> IntellMed, Ltd. (Olomouc, </w:t>
      </w:r>
      <w:r>
        <w:rPr>
          <w:bCs/>
        </w:rPr>
        <w:t>Česká republika</w:t>
      </w:r>
      <w:r w:rsidRPr="00797F47">
        <w:rPr>
          <w:bCs/>
        </w:rPr>
        <w:t xml:space="preserve">) </w:t>
      </w:r>
      <w:r>
        <w:rPr>
          <w:bCs/>
        </w:rPr>
        <w:t>spolu se sondami</w:t>
      </w:r>
      <w:r w:rsidRPr="00797F47">
        <w:rPr>
          <w:bCs/>
        </w:rPr>
        <w:t xml:space="preserve"> LSI TP53, LSI RB1, a</w:t>
      </w:r>
      <w:r w:rsidR="0031269A">
        <w:rPr>
          <w:bCs/>
        </w:rPr>
        <w:t xml:space="preserve"> </w:t>
      </w:r>
      <w:r w:rsidRPr="00797F47">
        <w:rPr>
          <w:bCs/>
        </w:rPr>
        <w:t xml:space="preserve">LSI 13q12.11 </w:t>
      </w:r>
      <w:r>
        <w:rPr>
          <w:bCs/>
        </w:rPr>
        <w:t>od</w:t>
      </w:r>
      <w:r w:rsidRPr="00797F47">
        <w:rPr>
          <w:bCs/>
        </w:rPr>
        <w:t xml:space="preserve"> </w:t>
      </w:r>
      <w:r w:rsidR="0083344F">
        <w:rPr>
          <w:bCs/>
        </w:rPr>
        <w:t xml:space="preserve">firmy </w:t>
      </w:r>
      <w:r w:rsidRPr="00797F47">
        <w:rPr>
          <w:bCs/>
        </w:rPr>
        <w:t>Vysis (Downers Grove, IL, USA).</w:t>
      </w:r>
      <w:r>
        <w:rPr>
          <w:bCs/>
        </w:rPr>
        <w:t xml:space="preserve"> Signály byly detekovány a kvantifikovány pomocí fluorescenčního mikroskopu. Minimálně 100 nepřekrývajících se jader bylo vyšetřeno v každém vzorku.</w:t>
      </w:r>
    </w:p>
    <w:p w14:paraId="7DD181AD" w14:textId="42AB52B2" w:rsidR="00797F47" w:rsidRDefault="00797F47" w:rsidP="00056B69">
      <w:pPr>
        <w:jc w:val="both"/>
        <w:rPr>
          <w:bCs/>
        </w:rPr>
      </w:pPr>
    </w:p>
    <w:p w14:paraId="41905A18" w14:textId="6A2D0B9B" w:rsidR="00797F47" w:rsidRDefault="00797F47" w:rsidP="00174B72">
      <w:pPr>
        <w:pStyle w:val="Nadpis4"/>
      </w:pPr>
      <w:bookmarkStart w:id="104" w:name="_Toc88741504"/>
      <w:r>
        <w:t>Nastavení cut</w:t>
      </w:r>
      <w:r w:rsidR="0083344F">
        <w:t xml:space="preserve"> </w:t>
      </w:r>
      <w:r>
        <w:t>off hodnot počtu kopií</w:t>
      </w:r>
      <w:bookmarkEnd w:id="104"/>
    </w:p>
    <w:p w14:paraId="7335D1F4" w14:textId="3291C4FD" w:rsidR="00797F47" w:rsidRDefault="00797F47" w:rsidP="00056B69">
      <w:pPr>
        <w:jc w:val="both"/>
        <w:rPr>
          <w:bCs/>
        </w:rPr>
      </w:pPr>
      <w:r>
        <w:rPr>
          <w:bCs/>
        </w:rPr>
        <w:t xml:space="preserve">Současné terapeutické protokoly pro gliomy postrádají </w:t>
      </w:r>
      <w:r w:rsidR="00525F5E">
        <w:rPr>
          <w:bCs/>
        </w:rPr>
        <w:t>standardní cut</w:t>
      </w:r>
      <w:r w:rsidR="0083344F">
        <w:rPr>
          <w:bCs/>
        </w:rPr>
        <w:t xml:space="preserve"> </w:t>
      </w:r>
      <w:r w:rsidR="00525F5E">
        <w:rPr>
          <w:bCs/>
        </w:rPr>
        <w:t>off hodnoty pro molekulární aberace.</w:t>
      </w:r>
      <w:r w:rsidR="0083344F">
        <w:rPr>
          <w:bCs/>
        </w:rPr>
        <w:t xml:space="preserve"> </w:t>
      </w:r>
      <w:r w:rsidR="00525F5E">
        <w:rPr>
          <w:bCs/>
        </w:rPr>
        <w:t>Z tohoto důvodu byly pro každý marker definovány specifické cut</w:t>
      </w:r>
      <w:r w:rsidR="0083344F">
        <w:rPr>
          <w:bCs/>
        </w:rPr>
        <w:t xml:space="preserve"> </w:t>
      </w:r>
      <w:r w:rsidR="00525F5E">
        <w:rPr>
          <w:bCs/>
        </w:rPr>
        <w:t xml:space="preserve">off hodnoty našeho souboru pomocí maxstat funkce </w:t>
      </w:r>
      <w:r w:rsidR="00525F5E" w:rsidRPr="00525F5E">
        <w:rPr>
          <w:bCs/>
        </w:rPr>
        <w:t>(maxstat R package, ver. 0.7-25)</w:t>
      </w:r>
      <w:r w:rsidR="00525F5E">
        <w:rPr>
          <w:bCs/>
        </w:rPr>
        <w:t xml:space="preserve"> a pomocí </w:t>
      </w:r>
      <w:r w:rsidR="00525F5E" w:rsidRPr="00525F5E">
        <w:rPr>
          <w:bCs/>
        </w:rPr>
        <w:t>surv_cutpoint function (survminer R package, ver. 0.4.3)</w:t>
      </w:r>
      <w:r w:rsidR="00525F5E">
        <w:rPr>
          <w:bCs/>
        </w:rPr>
        <w:t xml:space="preserve"> s defaultní hodnotou 0,1 pro minprop parametr (reprezentující minimální velikost pozorování ve skupině) a data na přežití bez progrese (čas a událost). Dvě skupiny pacientů byly definovány pro každý marker: skupina s nízkým počtem kopií (low copy number, LCN) zahrnující počty kopií rovny nebo pod odhadovanou cut</w:t>
      </w:r>
      <w:r w:rsidR="0083344F">
        <w:rPr>
          <w:bCs/>
        </w:rPr>
        <w:t xml:space="preserve"> </w:t>
      </w:r>
      <w:r w:rsidR="00525F5E">
        <w:rPr>
          <w:bCs/>
        </w:rPr>
        <w:t>off hodnotu, a skupina s vyšším počtem kopií (hight copy number, HCN) zahrnující pacienty s počty kopií přesahující cut</w:t>
      </w:r>
      <w:r w:rsidR="0083344F">
        <w:rPr>
          <w:bCs/>
        </w:rPr>
        <w:t xml:space="preserve"> </w:t>
      </w:r>
      <w:r w:rsidR="00525F5E">
        <w:rPr>
          <w:bCs/>
        </w:rPr>
        <w:t xml:space="preserve">off hodnotu. </w:t>
      </w:r>
    </w:p>
    <w:p w14:paraId="1543D048" w14:textId="659A1413" w:rsidR="00797F47" w:rsidRDefault="00797F47" w:rsidP="00056B69">
      <w:pPr>
        <w:jc w:val="both"/>
        <w:rPr>
          <w:bCs/>
        </w:rPr>
      </w:pPr>
    </w:p>
    <w:p w14:paraId="63010666" w14:textId="4B411C34" w:rsidR="00797F47" w:rsidRDefault="00797F47" w:rsidP="00174B72">
      <w:pPr>
        <w:pStyle w:val="Nadpis4"/>
      </w:pPr>
      <w:bookmarkStart w:id="105" w:name="_Toc88741505"/>
      <w:r>
        <w:t>MGMT metylační status</w:t>
      </w:r>
      <w:bookmarkEnd w:id="105"/>
    </w:p>
    <w:p w14:paraId="0BB429EC" w14:textId="77777777" w:rsidR="007650B6" w:rsidRDefault="00525F5E" w:rsidP="00056B69">
      <w:pPr>
        <w:jc w:val="both"/>
        <w:rPr>
          <w:bCs/>
        </w:rPr>
      </w:pPr>
      <w:r>
        <w:rPr>
          <w:bCs/>
        </w:rPr>
        <w:t xml:space="preserve">Bisulfitová konverze templátové DNA byla provedena pomocí </w:t>
      </w:r>
      <w:r w:rsidRPr="00525F5E">
        <w:rPr>
          <w:bCs/>
        </w:rPr>
        <w:t>EZ DNA methylation Gold Kit dle</w:t>
      </w:r>
      <w:r>
        <w:rPr>
          <w:b/>
        </w:rPr>
        <w:t xml:space="preserve"> </w:t>
      </w:r>
      <w:r w:rsidRPr="00525F5E">
        <w:rPr>
          <w:bCs/>
        </w:rPr>
        <w:t>návodu výrobce</w:t>
      </w:r>
      <w:r>
        <w:rPr>
          <w:bCs/>
        </w:rPr>
        <w:t xml:space="preserve"> (Zymo research, Irvine, USA)</w:t>
      </w:r>
      <w:r w:rsidR="000921E8">
        <w:rPr>
          <w:bCs/>
        </w:rPr>
        <w:t xml:space="preserve"> byla provedena ihned po izolaci DNA z tkáně gliomů za pomocí </w:t>
      </w:r>
      <w:r w:rsidR="000921E8" w:rsidRPr="000921E8">
        <w:rPr>
          <w:bCs/>
        </w:rPr>
        <w:t>DNA Sample Preparation Kit (Roche, Pleasanton, USA).</w:t>
      </w:r>
      <w:r w:rsidR="000921E8">
        <w:rPr>
          <w:bCs/>
        </w:rPr>
        <w:t xml:space="preserve"> MGMT metylace byla detekována za pomocí </w:t>
      </w:r>
      <w:r w:rsidR="000921E8" w:rsidRPr="000921E8">
        <w:rPr>
          <w:bCs/>
        </w:rPr>
        <w:t>MethyLight real-time metylačně-specifické PCR.</w:t>
      </w:r>
      <w:r w:rsidR="000921E8">
        <w:rPr>
          <w:bCs/>
        </w:rPr>
        <w:t xml:space="preserve"> Pro kontrolu integrity DNA, kvality bisulfitové konverze a PCR reakce, byla paralelně analyzována metylace E-cadherinu (CDH1), Alu-M5 a komerčním standardem s metylací a bisulfitově-konvertovanou DNA (Zymo Research). Tato kontrol</w:t>
      </w:r>
      <w:r w:rsidR="007650B6">
        <w:rPr>
          <w:bCs/>
        </w:rPr>
        <w:t>a</w:t>
      </w:r>
      <w:r w:rsidR="000921E8">
        <w:rPr>
          <w:bCs/>
        </w:rPr>
        <w:t xml:space="preserve"> byla provedena zároveň při všech extrakcích z tkáňových vzorků.</w:t>
      </w:r>
      <w:r w:rsidR="00827CBF">
        <w:rPr>
          <w:bCs/>
        </w:rPr>
        <w:t xml:space="preserve"> </w:t>
      </w:r>
    </w:p>
    <w:p w14:paraId="5555E906" w14:textId="1E5C1FDD" w:rsidR="000921E8" w:rsidRDefault="000921E8" w:rsidP="00056B69">
      <w:pPr>
        <w:jc w:val="both"/>
        <w:rPr>
          <w:bCs/>
        </w:rPr>
      </w:pPr>
      <w:r>
        <w:rPr>
          <w:bCs/>
        </w:rPr>
        <w:t>Každ</w:t>
      </w:r>
      <w:r w:rsidR="00AD2FEA">
        <w:rPr>
          <w:bCs/>
        </w:rPr>
        <w:t>á</w:t>
      </w:r>
      <w:r>
        <w:rPr>
          <w:bCs/>
        </w:rPr>
        <w:t xml:space="preserve"> </w:t>
      </w:r>
      <w:r>
        <w:rPr>
          <w:rFonts w:cstheme="minorHAnsi"/>
        </w:rPr>
        <w:t xml:space="preserve">PCR reakce </w:t>
      </w:r>
      <w:r w:rsidR="007650B6">
        <w:rPr>
          <w:rFonts w:cstheme="minorHAnsi"/>
        </w:rPr>
        <w:t xml:space="preserve">o celkovém objemu </w:t>
      </w:r>
      <w:r w:rsidR="007650B6">
        <w:rPr>
          <w:bCs/>
        </w:rPr>
        <w:t xml:space="preserve">10 </w:t>
      </w:r>
      <w:r w:rsidR="007650B6" w:rsidRPr="00056B0D">
        <w:rPr>
          <w:rFonts w:cstheme="minorHAnsi"/>
        </w:rPr>
        <w:t>μ</w:t>
      </w:r>
      <w:r w:rsidR="007650B6">
        <w:rPr>
          <w:rFonts w:cstheme="minorHAnsi"/>
        </w:rPr>
        <w:t xml:space="preserve">l </w:t>
      </w:r>
      <w:r>
        <w:rPr>
          <w:rFonts w:cstheme="minorHAnsi"/>
        </w:rPr>
        <w:t xml:space="preserve">pro detekci </w:t>
      </w:r>
      <w:r w:rsidR="00AD2FEA">
        <w:rPr>
          <w:rFonts w:cstheme="minorHAnsi"/>
        </w:rPr>
        <w:t xml:space="preserve">promotorové </w:t>
      </w:r>
      <w:r>
        <w:rPr>
          <w:rFonts w:cstheme="minorHAnsi"/>
        </w:rPr>
        <w:t xml:space="preserve">metylace MGMT, E-cadherinu a Alu-M5 </w:t>
      </w:r>
      <w:r w:rsidR="00AD2FEA">
        <w:rPr>
          <w:rFonts w:cstheme="minorHAnsi"/>
        </w:rPr>
        <w:t xml:space="preserve">obsahovala </w:t>
      </w:r>
      <w:r w:rsidR="00AD2FEA" w:rsidRPr="00AD2FEA">
        <w:rPr>
          <w:bCs/>
        </w:rPr>
        <w:t>1x PCR buffer (QiaGen, Germany), 1 mM MgCl2, 0</w:t>
      </w:r>
      <w:r w:rsidR="00AD2FEA">
        <w:rPr>
          <w:bCs/>
        </w:rPr>
        <w:t>,</w:t>
      </w:r>
      <w:r w:rsidR="00AD2FEA" w:rsidRPr="00AD2FEA">
        <w:rPr>
          <w:bCs/>
        </w:rPr>
        <w:t>2 mM dNTPs, 0</w:t>
      </w:r>
      <w:r w:rsidR="00AD2FEA">
        <w:rPr>
          <w:bCs/>
        </w:rPr>
        <w:t>,</w:t>
      </w:r>
      <w:r w:rsidR="00AD2FEA" w:rsidRPr="00AD2FEA">
        <w:rPr>
          <w:bCs/>
        </w:rPr>
        <w:t>5 U HotStarTaq (QiaGen)</w:t>
      </w:r>
      <w:r w:rsidR="00AD2FEA">
        <w:rPr>
          <w:bCs/>
        </w:rPr>
        <w:t xml:space="preserve"> a příslušné primery a próby</w:t>
      </w:r>
      <w:r w:rsidR="00AD2FEA" w:rsidRPr="00AD2FEA">
        <w:rPr>
          <w:bCs/>
        </w:rPr>
        <w:t xml:space="preserve"> (Tab</w:t>
      </w:r>
      <w:r w:rsidR="00AD2FEA">
        <w:rPr>
          <w:bCs/>
        </w:rPr>
        <w:t>ulka</w:t>
      </w:r>
      <w:r w:rsidR="00AD2FEA" w:rsidRPr="00AD2FEA">
        <w:rPr>
          <w:bCs/>
        </w:rPr>
        <w:t xml:space="preserve"> </w:t>
      </w:r>
      <w:r w:rsidR="00AA2894">
        <w:rPr>
          <w:bCs/>
        </w:rPr>
        <w:t>8</w:t>
      </w:r>
      <w:r w:rsidR="00AD2FEA" w:rsidRPr="00AD2FEA">
        <w:rPr>
          <w:bCs/>
        </w:rPr>
        <w:t xml:space="preserve">). PCR program </w:t>
      </w:r>
      <w:r w:rsidR="00AD2FEA">
        <w:rPr>
          <w:bCs/>
        </w:rPr>
        <w:t xml:space="preserve">zahrnoval </w:t>
      </w:r>
      <w:r w:rsidR="00AD2FEA" w:rsidRPr="00AD2FEA">
        <w:rPr>
          <w:bCs/>
        </w:rPr>
        <w:t>denatura</w:t>
      </w:r>
      <w:r w:rsidR="00AD2FEA">
        <w:rPr>
          <w:bCs/>
        </w:rPr>
        <w:t>ci</w:t>
      </w:r>
      <w:r w:rsidR="00AD2FEA" w:rsidRPr="00AD2FEA">
        <w:rPr>
          <w:bCs/>
        </w:rPr>
        <w:t xml:space="preserve"> </w:t>
      </w:r>
      <w:r w:rsidR="00AD2FEA">
        <w:rPr>
          <w:bCs/>
        </w:rPr>
        <w:t>při</w:t>
      </w:r>
      <w:r w:rsidR="00AD2FEA" w:rsidRPr="00AD2FEA">
        <w:rPr>
          <w:bCs/>
        </w:rPr>
        <w:t xml:space="preserve"> 95 °C </w:t>
      </w:r>
      <w:r w:rsidR="00AD2FEA">
        <w:rPr>
          <w:bCs/>
        </w:rPr>
        <w:t>po dobu</w:t>
      </w:r>
      <w:r w:rsidR="00AD2FEA" w:rsidRPr="00AD2FEA">
        <w:rPr>
          <w:bCs/>
        </w:rPr>
        <w:t xml:space="preserve"> 15 min</w:t>
      </w:r>
      <w:r w:rsidR="00AD2FEA">
        <w:rPr>
          <w:bCs/>
        </w:rPr>
        <w:t xml:space="preserve"> poté</w:t>
      </w:r>
      <w:r w:rsidR="00AD2FEA" w:rsidRPr="00AD2FEA">
        <w:rPr>
          <w:bCs/>
        </w:rPr>
        <w:t xml:space="preserve"> 40 cy</w:t>
      </w:r>
      <w:r w:rsidR="00AD2FEA">
        <w:rPr>
          <w:bCs/>
        </w:rPr>
        <w:t>klů</w:t>
      </w:r>
      <w:r w:rsidR="00AD2FEA" w:rsidRPr="00AD2FEA">
        <w:rPr>
          <w:bCs/>
        </w:rPr>
        <w:t xml:space="preserve"> </w:t>
      </w:r>
      <w:r w:rsidR="00AD2FEA">
        <w:rPr>
          <w:bCs/>
        </w:rPr>
        <w:t>při</w:t>
      </w:r>
      <w:r w:rsidR="00AD2FEA" w:rsidRPr="00AD2FEA">
        <w:rPr>
          <w:bCs/>
        </w:rPr>
        <w:t xml:space="preserve"> 95 °C </w:t>
      </w:r>
      <w:r w:rsidR="00AD2FEA">
        <w:rPr>
          <w:bCs/>
        </w:rPr>
        <w:t>po dobu</w:t>
      </w:r>
      <w:r w:rsidR="00AD2FEA" w:rsidRPr="00AD2FEA">
        <w:rPr>
          <w:bCs/>
        </w:rPr>
        <w:t xml:space="preserve"> 30 s, 65 °C </w:t>
      </w:r>
      <w:r w:rsidR="00AD2FEA">
        <w:rPr>
          <w:bCs/>
        </w:rPr>
        <w:t>po dobu</w:t>
      </w:r>
      <w:r w:rsidR="00AD2FEA" w:rsidRPr="00AD2FEA">
        <w:rPr>
          <w:bCs/>
        </w:rPr>
        <w:t xml:space="preserve"> 50 s a 72 °C </w:t>
      </w:r>
      <w:r w:rsidR="00AD2FEA">
        <w:rPr>
          <w:bCs/>
        </w:rPr>
        <w:t>po dobu</w:t>
      </w:r>
      <w:r w:rsidR="00AD2FEA" w:rsidRPr="00AD2FEA">
        <w:rPr>
          <w:bCs/>
        </w:rPr>
        <w:t xml:space="preserve"> 60 s.</w:t>
      </w:r>
    </w:p>
    <w:p w14:paraId="5906D83B" w14:textId="15571452" w:rsidR="00512C86" w:rsidRPr="00AD2FEA" w:rsidRDefault="009D5866" w:rsidP="00512C86">
      <w:pPr>
        <w:pStyle w:val="MDPI41tablecaption"/>
        <w:ind w:left="0"/>
        <w:rPr>
          <w:rFonts w:asciiTheme="minorHAnsi" w:eastAsiaTheme="minorEastAsia" w:hAnsiTheme="minorHAnsi" w:cstheme="minorHAnsi"/>
          <w:color w:val="auto"/>
          <w:sz w:val="20"/>
          <w:szCs w:val="20"/>
          <w:lang w:val="cs-CZ" w:eastAsia="cs-CZ" w:bidi="ar-SA"/>
        </w:rPr>
      </w:pPr>
      <w:bookmarkStart w:id="106" w:name="_Toc67162706"/>
      <w:r w:rsidRPr="009D5866">
        <w:rPr>
          <w:rFonts w:asciiTheme="minorHAnsi" w:eastAsiaTheme="minorEastAsia" w:hAnsiTheme="minorHAnsi" w:cstheme="minorBidi"/>
          <w:b/>
          <w:bCs/>
          <w:color w:val="auto"/>
          <w:sz w:val="20"/>
          <w:szCs w:val="20"/>
          <w:lang w:val="cs-CZ" w:eastAsia="cs-CZ" w:bidi="ar-SA"/>
        </w:rPr>
        <w:t xml:space="preserve">Tabulka </w:t>
      </w:r>
      <w:r w:rsidRPr="009D5866">
        <w:rPr>
          <w:rFonts w:asciiTheme="minorHAnsi" w:eastAsiaTheme="minorEastAsia" w:hAnsiTheme="minorHAnsi" w:cstheme="minorBidi"/>
          <w:b/>
          <w:bCs/>
          <w:color w:val="auto"/>
          <w:sz w:val="20"/>
          <w:szCs w:val="20"/>
          <w:lang w:val="cs-CZ" w:eastAsia="cs-CZ" w:bidi="ar-SA"/>
        </w:rPr>
        <w:fldChar w:fldCharType="begin"/>
      </w:r>
      <w:r w:rsidRPr="009D5866">
        <w:rPr>
          <w:rFonts w:asciiTheme="minorHAnsi" w:eastAsiaTheme="minorEastAsia" w:hAnsiTheme="minorHAnsi" w:cstheme="minorBidi"/>
          <w:b/>
          <w:bCs/>
          <w:color w:val="auto"/>
          <w:sz w:val="20"/>
          <w:szCs w:val="20"/>
          <w:lang w:val="cs-CZ" w:eastAsia="cs-CZ" w:bidi="ar-SA"/>
        </w:rPr>
        <w:instrText xml:space="preserve"> SEQ Tabulka \* ARABIC </w:instrText>
      </w:r>
      <w:r w:rsidRPr="009D5866">
        <w:rPr>
          <w:rFonts w:asciiTheme="minorHAnsi" w:eastAsiaTheme="minorEastAsia" w:hAnsiTheme="minorHAnsi" w:cstheme="minorBidi"/>
          <w:b/>
          <w:bCs/>
          <w:color w:val="auto"/>
          <w:sz w:val="20"/>
          <w:szCs w:val="20"/>
          <w:lang w:val="cs-CZ" w:eastAsia="cs-CZ" w:bidi="ar-SA"/>
        </w:rPr>
        <w:fldChar w:fldCharType="separate"/>
      </w:r>
      <w:r w:rsidR="00C43719">
        <w:rPr>
          <w:rFonts w:asciiTheme="minorHAnsi" w:eastAsiaTheme="minorEastAsia" w:hAnsiTheme="minorHAnsi" w:cstheme="minorBidi"/>
          <w:b/>
          <w:bCs/>
          <w:noProof/>
          <w:color w:val="auto"/>
          <w:sz w:val="20"/>
          <w:szCs w:val="20"/>
          <w:lang w:val="cs-CZ" w:eastAsia="cs-CZ" w:bidi="ar-SA"/>
        </w:rPr>
        <w:t>8</w:t>
      </w:r>
      <w:r w:rsidRPr="009D5866">
        <w:rPr>
          <w:rFonts w:asciiTheme="minorHAnsi" w:eastAsiaTheme="minorEastAsia" w:hAnsiTheme="minorHAnsi" w:cstheme="minorBidi"/>
          <w:b/>
          <w:bCs/>
          <w:color w:val="auto"/>
          <w:sz w:val="20"/>
          <w:szCs w:val="20"/>
          <w:lang w:val="cs-CZ" w:eastAsia="cs-CZ" w:bidi="ar-SA"/>
        </w:rPr>
        <w:fldChar w:fldCharType="end"/>
      </w:r>
      <w:r w:rsidRPr="009D5866">
        <w:rPr>
          <w:rFonts w:asciiTheme="minorHAnsi" w:eastAsiaTheme="minorEastAsia" w:hAnsiTheme="minorHAnsi" w:cstheme="minorBidi"/>
          <w:b/>
          <w:bCs/>
          <w:color w:val="auto"/>
          <w:sz w:val="20"/>
          <w:szCs w:val="20"/>
          <w:lang w:val="cs-CZ" w:eastAsia="cs-CZ" w:bidi="ar-SA"/>
        </w:rPr>
        <w:t>:</w:t>
      </w:r>
      <w:r w:rsidRPr="00306B65">
        <w:rPr>
          <w:b/>
          <w:bCs/>
          <w:sz w:val="20"/>
          <w:szCs w:val="20"/>
        </w:rPr>
        <w:t xml:space="preserve"> </w:t>
      </w:r>
      <w:r w:rsidR="00512C86" w:rsidRPr="00AD2FEA">
        <w:rPr>
          <w:rFonts w:asciiTheme="minorHAnsi" w:eastAsiaTheme="minorEastAsia" w:hAnsiTheme="minorHAnsi" w:cstheme="minorHAnsi"/>
          <w:color w:val="auto"/>
          <w:sz w:val="20"/>
          <w:szCs w:val="20"/>
          <w:lang w:val="cs-CZ" w:eastAsia="cs-CZ" w:bidi="ar-SA"/>
        </w:rPr>
        <w:t>Primer</w:t>
      </w:r>
      <w:r w:rsidR="00512C86">
        <w:rPr>
          <w:rFonts w:asciiTheme="minorHAnsi" w:eastAsiaTheme="minorEastAsia" w:hAnsiTheme="minorHAnsi" w:cstheme="minorHAnsi"/>
          <w:color w:val="auto"/>
          <w:sz w:val="20"/>
          <w:szCs w:val="20"/>
          <w:lang w:val="cs-CZ" w:eastAsia="cs-CZ" w:bidi="ar-SA"/>
        </w:rPr>
        <w:t xml:space="preserve">y </w:t>
      </w:r>
      <w:r w:rsidR="00512C86" w:rsidRPr="00AD2FEA">
        <w:rPr>
          <w:rFonts w:asciiTheme="minorHAnsi" w:eastAsiaTheme="minorEastAsia" w:hAnsiTheme="minorHAnsi" w:cstheme="minorHAnsi"/>
          <w:color w:val="auto"/>
          <w:sz w:val="20"/>
          <w:szCs w:val="20"/>
          <w:lang w:val="cs-CZ" w:eastAsia="cs-CZ" w:bidi="ar-SA"/>
        </w:rPr>
        <w:t>a pr</w:t>
      </w:r>
      <w:r w:rsidR="00512C86">
        <w:rPr>
          <w:rFonts w:asciiTheme="minorHAnsi" w:eastAsiaTheme="minorEastAsia" w:hAnsiTheme="minorHAnsi" w:cstheme="minorHAnsi"/>
          <w:color w:val="auto"/>
          <w:sz w:val="20"/>
          <w:szCs w:val="20"/>
          <w:lang w:val="cs-CZ" w:eastAsia="cs-CZ" w:bidi="ar-SA"/>
        </w:rPr>
        <w:t>óby</w:t>
      </w:r>
      <w:r w:rsidR="00512C86" w:rsidRPr="00AD2FEA">
        <w:rPr>
          <w:rFonts w:asciiTheme="minorHAnsi" w:eastAsiaTheme="minorEastAsia" w:hAnsiTheme="minorHAnsi" w:cstheme="minorHAnsi"/>
          <w:color w:val="auto"/>
          <w:sz w:val="20"/>
          <w:szCs w:val="20"/>
          <w:lang w:val="cs-CZ" w:eastAsia="cs-CZ" w:bidi="ar-SA"/>
        </w:rPr>
        <w:t xml:space="preserve"> </w:t>
      </w:r>
      <w:r w:rsidR="00512C86">
        <w:rPr>
          <w:rFonts w:asciiTheme="minorHAnsi" w:eastAsiaTheme="minorEastAsia" w:hAnsiTheme="minorHAnsi" w:cstheme="minorHAnsi"/>
          <w:color w:val="auto"/>
          <w:sz w:val="20"/>
          <w:szCs w:val="20"/>
          <w:lang w:val="cs-CZ" w:eastAsia="cs-CZ" w:bidi="ar-SA"/>
        </w:rPr>
        <w:t>použité k detekci promotorové metylace</w:t>
      </w:r>
      <w:r w:rsidR="00512C86" w:rsidRPr="00AD2FEA">
        <w:rPr>
          <w:rFonts w:asciiTheme="minorHAnsi" w:eastAsiaTheme="minorEastAsia" w:hAnsiTheme="minorHAnsi" w:cstheme="minorHAnsi"/>
          <w:color w:val="auto"/>
          <w:sz w:val="20"/>
          <w:szCs w:val="20"/>
          <w:lang w:val="cs-CZ" w:eastAsia="cs-CZ" w:bidi="ar-SA"/>
        </w:rPr>
        <w:t xml:space="preserve"> </w:t>
      </w:r>
      <w:r w:rsidR="00512C86" w:rsidRPr="00174B72">
        <w:rPr>
          <w:rFonts w:asciiTheme="minorHAnsi" w:eastAsiaTheme="minorEastAsia" w:hAnsiTheme="minorHAnsi" w:cstheme="minorHAnsi"/>
          <w:i/>
          <w:iCs/>
          <w:color w:val="auto"/>
          <w:sz w:val="20"/>
          <w:szCs w:val="20"/>
          <w:lang w:val="cs-CZ" w:eastAsia="cs-CZ" w:bidi="ar-SA"/>
        </w:rPr>
        <w:t>MGMT</w:t>
      </w:r>
      <w:r w:rsidR="00512C86" w:rsidRPr="00AD2FEA">
        <w:rPr>
          <w:rFonts w:asciiTheme="minorHAnsi" w:eastAsiaTheme="minorEastAsia" w:hAnsiTheme="minorHAnsi" w:cstheme="minorHAnsi"/>
          <w:color w:val="auto"/>
          <w:sz w:val="20"/>
          <w:szCs w:val="20"/>
          <w:lang w:val="cs-CZ" w:eastAsia="cs-CZ" w:bidi="ar-SA"/>
        </w:rPr>
        <w:t xml:space="preserve">, </w:t>
      </w:r>
      <w:r w:rsidR="00512C86" w:rsidRPr="00174B72">
        <w:rPr>
          <w:rFonts w:asciiTheme="minorHAnsi" w:eastAsiaTheme="minorEastAsia" w:hAnsiTheme="minorHAnsi" w:cstheme="minorHAnsi"/>
          <w:i/>
          <w:iCs/>
          <w:color w:val="auto"/>
          <w:sz w:val="20"/>
          <w:szCs w:val="20"/>
          <w:lang w:val="cs-CZ" w:eastAsia="cs-CZ" w:bidi="ar-SA"/>
        </w:rPr>
        <w:t>E-cadherin</w:t>
      </w:r>
      <w:r w:rsidR="00512C86" w:rsidRPr="00AD2FEA">
        <w:rPr>
          <w:rFonts w:asciiTheme="minorHAnsi" w:eastAsiaTheme="minorEastAsia" w:hAnsiTheme="minorHAnsi" w:cstheme="minorHAnsi"/>
          <w:color w:val="auto"/>
          <w:sz w:val="20"/>
          <w:szCs w:val="20"/>
          <w:lang w:val="cs-CZ" w:eastAsia="cs-CZ" w:bidi="ar-SA"/>
        </w:rPr>
        <w:t xml:space="preserve"> a</w:t>
      </w:r>
      <w:r w:rsidR="00174B72">
        <w:rPr>
          <w:rFonts w:asciiTheme="minorHAnsi" w:eastAsiaTheme="minorEastAsia" w:hAnsiTheme="minorHAnsi" w:cstheme="minorHAnsi"/>
          <w:color w:val="auto"/>
          <w:sz w:val="20"/>
          <w:szCs w:val="20"/>
          <w:lang w:val="cs-CZ" w:eastAsia="cs-CZ" w:bidi="ar-SA"/>
        </w:rPr>
        <w:t xml:space="preserve"> </w:t>
      </w:r>
      <w:r w:rsidR="00512C86" w:rsidRPr="00174B72">
        <w:rPr>
          <w:rFonts w:asciiTheme="minorHAnsi" w:eastAsiaTheme="minorEastAsia" w:hAnsiTheme="minorHAnsi" w:cstheme="minorHAnsi"/>
          <w:i/>
          <w:iCs/>
          <w:color w:val="auto"/>
          <w:sz w:val="20"/>
          <w:szCs w:val="20"/>
          <w:lang w:val="cs-CZ" w:eastAsia="cs-CZ" w:bidi="ar-SA"/>
        </w:rPr>
        <w:t>Alu-M5</w:t>
      </w:r>
      <w:r w:rsidR="00512C86">
        <w:rPr>
          <w:rFonts w:asciiTheme="minorHAnsi" w:eastAsiaTheme="minorEastAsia" w:hAnsiTheme="minorHAnsi" w:cstheme="minorHAnsi"/>
          <w:color w:val="auto"/>
          <w:sz w:val="20"/>
          <w:szCs w:val="20"/>
          <w:lang w:val="cs-CZ" w:eastAsia="cs-CZ" w:bidi="ar-SA"/>
        </w:rPr>
        <w:t>.</w:t>
      </w:r>
      <w:bookmarkEnd w:id="106"/>
    </w:p>
    <w:tbl>
      <w:tblPr>
        <w:tblW w:w="8591" w:type="dxa"/>
        <w:jc w:val="center"/>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127"/>
        <w:gridCol w:w="1361"/>
        <w:gridCol w:w="3600"/>
        <w:gridCol w:w="1503"/>
      </w:tblGrid>
      <w:tr w:rsidR="00AD2FEA" w:rsidRPr="00D70D4F" w14:paraId="1290B98F" w14:textId="77777777" w:rsidTr="00113397">
        <w:trPr>
          <w:jc w:val="center"/>
        </w:trPr>
        <w:tc>
          <w:tcPr>
            <w:tcW w:w="2127" w:type="dxa"/>
            <w:tcBorders>
              <w:bottom w:val="single" w:sz="4" w:space="0" w:color="auto"/>
            </w:tcBorders>
            <w:shd w:val="clear" w:color="auto" w:fill="auto"/>
            <w:vAlign w:val="center"/>
          </w:tcPr>
          <w:p w14:paraId="3D3023E6" w14:textId="02F62305"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Gen</w:t>
            </w:r>
          </w:p>
        </w:tc>
        <w:tc>
          <w:tcPr>
            <w:tcW w:w="1361" w:type="dxa"/>
            <w:tcBorders>
              <w:bottom w:val="single" w:sz="4" w:space="0" w:color="auto"/>
            </w:tcBorders>
            <w:shd w:val="clear" w:color="auto" w:fill="auto"/>
            <w:vAlign w:val="center"/>
          </w:tcPr>
          <w:p w14:paraId="7ADDFB21"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Primer</w:t>
            </w:r>
          </w:p>
        </w:tc>
        <w:tc>
          <w:tcPr>
            <w:tcW w:w="3600" w:type="dxa"/>
            <w:tcBorders>
              <w:bottom w:val="single" w:sz="4" w:space="0" w:color="auto"/>
            </w:tcBorders>
            <w:vAlign w:val="center"/>
          </w:tcPr>
          <w:p w14:paraId="30F81341" w14:textId="5D42C1AD"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DNA se</w:t>
            </w:r>
            <w:r>
              <w:rPr>
                <w:rFonts w:asciiTheme="minorHAnsi" w:eastAsiaTheme="minorEastAsia" w:hAnsiTheme="minorHAnsi" w:cstheme="minorHAnsi"/>
                <w:snapToGrid/>
                <w:color w:val="auto"/>
                <w:lang w:val="cs-CZ" w:eastAsia="cs-CZ" w:bidi="ar-SA"/>
              </w:rPr>
              <w:t>kvence</w:t>
            </w:r>
          </w:p>
        </w:tc>
        <w:tc>
          <w:tcPr>
            <w:tcW w:w="1503" w:type="dxa"/>
            <w:tcBorders>
              <w:bottom w:val="single" w:sz="4" w:space="0" w:color="auto"/>
            </w:tcBorders>
            <w:shd w:val="clear" w:color="auto" w:fill="auto"/>
            <w:vAlign w:val="center"/>
          </w:tcPr>
          <w:p w14:paraId="38077E9A" w14:textId="63483BD8" w:rsidR="00AD2FEA"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f</w:t>
            </w:r>
            <w:r w:rsidR="00AD2FEA" w:rsidRPr="00AD2FEA">
              <w:rPr>
                <w:rFonts w:asciiTheme="minorHAnsi" w:eastAsiaTheme="minorEastAsia" w:hAnsiTheme="minorHAnsi" w:cstheme="minorHAnsi"/>
                <w:snapToGrid/>
                <w:color w:val="auto"/>
                <w:lang w:val="cs-CZ" w:eastAsia="cs-CZ" w:bidi="ar-SA"/>
              </w:rPr>
              <w:t>in</w:t>
            </w:r>
            <w:r>
              <w:rPr>
                <w:rFonts w:asciiTheme="minorHAnsi" w:eastAsiaTheme="minorEastAsia" w:hAnsiTheme="minorHAnsi" w:cstheme="minorHAnsi"/>
                <w:snapToGrid/>
                <w:color w:val="auto"/>
                <w:lang w:val="cs-CZ" w:eastAsia="cs-CZ" w:bidi="ar-SA"/>
              </w:rPr>
              <w:t>ální</w:t>
            </w:r>
            <w:r w:rsidR="00AD2FEA" w:rsidRPr="00AD2FEA">
              <w:rPr>
                <w:rFonts w:asciiTheme="minorHAnsi" w:eastAsiaTheme="minorEastAsia" w:hAnsiTheme="minorHAnsi" w:cstheme="minorHAnsi"/>
                <w:snapToGrid/>
                <w:color w:val="auto"/>
                <w:lang w:val="cs-CZ" w:eastAsia="cs-CZ" w:bidi="ar-SA"/>
              </w:rPr>
              <w:t xml:space="preserve"> </w:t>
            </w:r>
            <w:r>
              <w:rPr>
                <w:rFonts w:asciiTheme="minorHAnsi" w:eastAsiaTheme="minorEastAsia" w:hAnsiTheme="minorHAnsi" w:cstheme="minorHAnsi"/>
                <w:snapToGrid/>
                <w:color w:val="auto"/>
                <w:lang w:val="cs-CZ" w:eastAsia="cs-CZ" w:bidi="ar-SA"/>
              </w:rPr>
              <w:t>k</w:t>
            </w:r>
            <w:r w:rsidR="00AD2FEA" w:rsidRPr="00AD2FEA">
              <w:rPr>
                <w:rFonts w:asciiTheme="minorHAnsi" w:eastAsiaTheme="minorEastAsia" w:hAnsiTheme="minorHAnsi" w:cstheme="minorHAnsi"/>
                <w:snapToGrid/>
                <w:color w:val="auto"/>
                <w:lang w:val="cs-CZ" w:eastAsia="cs-CZ" w:bidi="ar-SA"/>
              </w:rPr>
              <w:t>oncentra</w:t>
            </w:r>
            <w:r>
              <w:rPr>
                <w:rFonts w:asciiTheme="minorHAnsi" w:eastAsiaTheme="minorEastAsia" w:hAnsiTheme="minorHAnsi" w:cstheme="minorHAnsi"/>
                <w:snapToGrid/>
                <w:color w:val="auto"/>
                <w:lang w:val="cs-CZ" w:eastAsia="cs-CZ" w:bidi="ar-SA"/>
              </w:rPr>
              <w:t xml:space="preserve">ce </w:t>
            </w:r>
            <w:r w:rsidR="00AD2FEA" w:rsidRPr="00AD2FEA">
              <w:rPr>
                <w:rFonts w:asciiTheme="minorHAnsi" w:eastAsiaTheme="minorEastAsia" w:hAnsiTheme="minorHAnsi" w:cstheme="minorHAnsi"/>
                <w:snapToGrid/>
                <w:color w:val="auto"/>
                <w:lang w:val="cs-CZ" w:eastAsia="cs-CZ" w:bidi="ar-SA"/>
              </w:rPr>
              <w:t>(µM)</w:t>
            </w:r>
          </w:p>
        </w:tc>
      </w:tr>
      <w:tr w:rsidR="00AD2FEA" w:rsidRPr="00D70D4F" w14:paraId="53BD01C1" w14:textId="77777777" w:rsidTr="00113397">
        <w:trPr>
          <w:jc w:val="center"/>
        </w:trPr>
        <w:tc>
          <w:tcPr>
            <w:tcW w:w="2127" w:type="dxa"/>
            <w:vMerge w:val="restart"/>
            <w:shd w:val="clear" w:color="auto" w:fill="auto"/>
            <w:vAlign w:val="center"/>
          </w:tcPr>
          <w:p w14:paraId="552B4DBB" w14:textId="492FDAA9"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 xml:space="preserve">metylace promotoru </w:t>
            </w:r>
            <w:r w:rsidRPr="00DD4F81">
              <w:rPr>
                <w:rFonts w:asciiTheme="minorHAnsi" w:eastAsiaTheme="minorEastAsia" w:hAnsiTheme="minorHAnsi" w:cstheme="minorHAnsi"/>
                <w:i/>
                <w:iCs/>
                <w:snapToGrid/>
                <w:color w:val="auto"/>
                <w:lang w:val="cs-CZ" w:eastAsia="cs-CZ" w:bidi="ar-SA"/>
              </w:rPr>
              <w:t>MGMT</w:t>
            </w:r>
          </w:p>
        </w:tc>
        <w:tc>
          <w:tcPr>
            <w:tcW w:w="1361" w:type="dxa"/>
            <w:shd w:val="clear" w:color="auto" w:fill="auto"/>
            <w:vAlign w:val="center"/>
          </w:tcPr>
          <w:p w14:paraId="7951F445" w14:textId="7AE1982E"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f</w:t>
            </w:r>
            <w:r w:rsidRPr="00AD2FEA">
              <w:rPr>
                <w:rFonts w:asciiTheme="minorHAnsi" w:eastAsiaTheme="minorEastAsia" w:hAnsiTheme="minorHAnsi" w:cstheme="minorHAnsi"/>
                <w:snapToGrid/>
                <w:color w:val="auto"/>
                <w:lang w:val="cs-CZ" w:eastAsia="cs-CZ" w:bidi="ar-SA"/>
              </w:rPr>
              <w:t>orward</w:t>
            </w:r>
          </w:p>
        </w:tc>
        <w:tc>
          <w:tcPr>
            <w:tcW w:w="3600" w:type="dxa"/>
          </w:tcPr>
          <w:p w14:paraId="5814E623"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5´- CGAATATACTAAAACAACCCGCG -3´</w:t>
            </w:r>
          </w:p>
        </w:tc>
        <w:tc>
          <w:tcPr>
            <w:tcW w:w="1503" w:type="dxa"/>
            <w:shd w:val="clear" w:color="auto" w:fill="auto"/>
            <w:vAlign w:val="center"/>
          </w:tcPr>
          <w:p w14:paraId="34CDBC49" w14:textId="5FB343A6" w:rsidR="00AD2FEA" w:rsidRPr="00AD2FEA" w:rsidRDefault="002C2C9C"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1,</w:t>
            </w:r>
            <w:r w:rsidR="00AD2FEA" w:rsidRPr="00AD2FEA">
              <w:rPr>
                <w:rFonts w:asciiTheme="minorHAnsi" w:eastAsiaTheme="minorEastAsia" w:hAnsiTheme="minorHAnsi" w:cstheme="minorHAnsi"/>
                <w:snapToGrid/>
                <w:color w:val="auto"/>
                <w:lang w:val="cs-CZ" w:eastAsia="cs-CZ" w:bidi="ar-SA"/>
              </w:rPr>
              <w:t>0</w:t>
            </w:r>
          </w:p>
        </w:tc>
      </w:tr>
      <w:tr w:rsidR="00AD2FEA" w:rsidRPr="00D70D4F" w14:paraId="088358E9" w14:textId="77777777" w:rsidTr="00113397">
        <w:trPr>
          <w:jc w:val="center"/>
        </w:trPr>
        <w:tc>
          <w:tcPr>
            <w:tcW w:w="2127" w:type="dxa"/>
            <w:vMerge/>
            <w:shd w:val="clear" w:color="auto" w:fill="auto"/>
            <w:vAlign w:val="center"/>
          </w:tcPr>
          <w:p w14:paraId="14F91CA9"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p>
        </w:tc>
        <w:tc>
          <w:tcPr>
            <w:tcW w:w="1361" w:type="dxa"/>
            <w:tcBorders>
              <w:bottom w:val="nil"/>
            </w:tcBorders>
            <w:shd w:val="clear" w:color="auto" w:fill="auto"/>
            <w:vAlign w:val="center"/>
          </w:tcPr>
          <w:p w14:paraId="33CD472D" w14:textId="56FD0ED2"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r</w:t>
            </w:r>
            <w:r w:rsidRPr="00AD2FEA">
              <w:rPr>
                <w:rFonts w:asciiTheme="minorHAnsi" w:eastAsiaTheme="minorEastAsia" w:hAnsiTheme="minorHAnsi" w:cstheme="minorHAnsi"/>
                <w:snapToGrid/>
                <w:color w:val="auto"/>
                <w:lang w:val="cs-CZ" w:eastAsia="cs-CZ" w:bidi="ar-SA"/>
              </w:rPr>
              <w:t>everse</w:t>
            </w:r>
          </w:p>
        </w:tc>
        <w:tc>
          <w:tcPr>
            <w:tcW w:w="3600" w:type="dxa"/>
            <w:tcBorders>
              <w:bottom w:val="nil"/>
            </w:tcBorders>
          </w:tcPr>
          <w:p w14:paraId="653063A2"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5´- GTATTTTTTCGGGAGCGAGGC -3´</w:t>
            </w:r>
          </w:p>
        </w:tc>
        <w:tc>
          <w:tcPr>
            <w:tcW w:w="1503" w:type="dxa"/>
            <w:tcBorders>
              <w:bottom w:val="nil"/>
            </w:tcBorders>
            <w:shd w:val="clear" w:color="auto" w:fill="auto"/>
            <w:vAlign w:val="center"/>
          </w:tcPr>
          <w:p w14:paraId="0C6B3956" w14:textId="4BBAF333" w:rsidR="00AD2FEA" w:rsidRPr="00AD2FEA" w:rsidRDefault="00AD2FEA" w:rsidP="002C2C9C">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1</w:t>
            </w:r>
            <w:r w:rsidR="002C2C9C">
              <w:rPr>
                <w:rFonts w:asciiTheme="minorHAnsi" w:eastAsiaTheme="minorEastAsia" w:hAnsiTheme="minorHAnsi" w:cstheme="minorHAnsi"/>
                <w:snapToGrid/>
                <w:color w:val="auto"/>
                <w:lang w:val="cs-CZ" w:eastAsia="cs-CZ" w:bidi="ar-SA"/>
              </w:rPr>
              <w:t>,</w:t>
            </w:r>
            <w:r w:rsidRPr="00AD2FEA">
              <w:rPr>
                <w:rFonts w:asciiTheme="minorHAnsi" w:eastAsiaTheme="minorEastAsia" w:hAnsiTheme="minorHAnsi" w:cstheme="minorHAnsi"/>
                <w:snapToGrid/>
                <w:color w:val="auto"/>
                <w:lang w:val="cs-CZ" w:eastAsia="cs-CZ" w:bidi="ar-SA"/>
              </w:rPr>
              <w:t>0</w:t>
            </w:r>
          </w:p>
        </w:tc>
      </w:tr>
      <w:tr w:rsidR="00AD2FEA" w:rsidRPr="00D70D4F" w14:paraId="1FE22DE2" w14:textId="77777777" w:rsidTr="00113397">
        <w:trPr>
          <w:jc w:val="center"/>
        </w:trPr>
        <w:tc>
          <w:tcPr>
            <w:tcW w:w="2127" w:type="dxa"/>
            <w:vMerge/>
            <w:tcBorders>
              <w:bottom w:val="single" w:sz="4" w:space="0" w:color="auto"/>
            </w:tcBorders>
            <w:shd w:val="clear" w:color="auto" w:fill="auto"/>
            <w:vAlign w:val="center"/>
          </w:tcPr>
          <w:p w14:paraId="31F68CC1"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p>
        </w:tc>
        <w:tc>
          <w:tcPr>
            <w:tcW w:w="1361" w:type="dxa"/>
            <w:tcBorders>
              <w:top w:val="nil"/>
              <w:bottom w:val="single" w:sz="4" w:space="0" w:color="auto"/>
            </w:tcBorders>
            <w:shd w:val="clear" w:color="auto" w:fill="auto"/>
            <w:vAlign w:val="center"/>
          </w:tcPr>
          <w:p w14:paraId="5A82A519" w14:textId="547E308C"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p</w:t>
            </w:r>
            <w:r w:rsidRPr="00AD2FEA">
              <w:rPr>
                <w:rFonts w:asciiTheme="minorHAnsi" w:eastAsiaTheme="minorEastAsia" w:hAnsiTheme="minorHAnsi" w:cstheme="minorHAnsi"/>
                <w:snapToGrid/>
                <w:color w:val="auto"/>
                <w:lang w:val="cs-CZ" w:eastAsia="cs-CZ" w:bidi="ar-SA"/>
              </w:rPr>
              <w:t>r</w:t>
            </w:r>
            <w:r>
              <w:rPr>
                <w:rFonts w:asciiTheme="minorHAnsi" w:eastAsiaTheme="minorEastAsia" w:hAnsiTheme="minorHAnsi" w:cstheme="minorHAnsi"/>
                <w:snapToGrid/>
                <w:color w:val="auto"/>
                <w:lang w:val="cs-CZ" w:eastAsia="cs-CZ" w:bidi="ar-SA"/>
              </w:rPr>
              <w:t>óba</w:t>
            </w:r>
          </w:p>
        </w:tc>
        <w:tc>
          <w:tcPr>
            <w:tcW w:w="3600" w:type="dxa"/>
            <w:tcBorders>
              <w:top w:val="nil"/>
              <w:bottom w:val="single" w:sz="4" w:space="0" w:color="auto"/>
            </w:tcBorders>
          </w:tcPr>
          <w:p w14:paraId="610499E1"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FAM-BHQ-CAAATCCTCGCGATACGCACCGTTTACG</w:t>
            </w:r>
          </w:p>
        </w:tc>
        <w:tc>
          <w:tcPr>
            <w:tcW w:w="1503" w:type="dxa"/>
            <w:tcBorders>
              <w:top w:val="nil"/>
              <w:bottom w:val="single" w:sz="4" w:space="0" w:color="auto"/>
            </w:tcBorders>
            <w:shd w:val="clear" w:color="auto" w:fill="auto"/>
            <w:vAlign w:val="center"/>
          </w:tcPr>
          <w:p w14:paraId="089038DD" w14:textId="3B54A351" w:rsidR="00AD2FEA" w:rsidRPr="00AD2FEA" w:rsidRDefault="002C2C9C"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0,</w:t>
            </w:r>
            <w:r w:rsidR="00AD2FEA" w:rsidRPr="00AD2FEA">
              <w:rPr>
                <w:rFonts w:asciiTheme="minorHAnsi" w:eastAsiaTheme="minorEastAsia" w:hAnsiTheme="minorHAnsi" w:cstheme="minorHAnsi"/>
                <w:snapToGrid/>
                <w:color w:val="auto"/>
                <w:lang w:val="cs-CZ" w:eastAsia="cs-CZ" w:bidi="ar-SA"/>
              </w:rPr>
              <w:t>2</w:t>
            </w:r>
          </w:p>
        </w:tc>
      </w:tr>
      <w:tr w:rsidR="00113397" w:rsidRPr="00D70D4F" w14:paraId="6BED1254" w14:textId="77777777" w:rsidTr="00113397">
        <w:trPr>
          <w:jc w:val="center"/>
        </w:trPr>
        <w:tc>
          <w:tcPr>
            <w:tcW w:w="2127" w:type="dxa"/>
            <w:vMerge w:val="restart"/>
            <w:tcBorders>
              <w:top w:val="single" w:sz="4" w:space="0" w:color="auto"/>
            </w:tcBorders>
            <w:shd w:val="clear" w:color="auto" w:fill="auto"/>
            <w:vAlign w:val="center"/>
          </w:tcPr>
          <w:p w14:paraId="43070866" w14:textId="0E208EA2"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 xml:space="preserve">metylace promotoru </w:t>
            </w:r>
            <w:r w:rsidRPr="00DD4F81">
              <w:rPr>
                <w:rFonts w:asciiTheme="minorHAnsi" w:eastAsiaTheme="minorEastAsia" w:hAnsiTheme="minorHAnsi" w:cstheme="minorHAnsi"/>
                <w:i/>
                <w:iCs/>
                <w:snapToGrid/>
                <w:color w:val="auto"/>
                <w:lang w:val="cs-CZ" w:eastAsia="cs-CZ" w:bidi="ar-SA"/>
              </w:rPr>
              <w:t xml:space="preserve">E-cadherin </w:t>
            </w:r>
          </w:p>
        </w:tc>
        <w:tc>
          <w:tcPr>
            <w:tcW w:w="1361" w:type="dxa"/>
            <w:tcBorders>
              <w:top w:val="single" w:sz="4" w:space="0" w:color="auto"/>
              <w:bottom w:val="nil"/>
            </w:tcBorders>
            <w:shd w:val="clear" w:color="auto" w:fill="auto"/>
            <w:vAlign w:val="center"/>
          </w:tcPr>
          <w:p w14:paraId="7FDA0DF6" w14:textId="4B98A245"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f</w:t>
            </w:r>
            <w:r w:rsidRPr="00AD2FEA">
              <w:rPr>
                <w:rFonts w:asciiTheme="minorHAnsi" w:eastAsiaTheme="minorEastAsia" w:hAnsiTheme="minorHAnsi" w:cstheme="minorHAnsi"/>
                <w:snapToGrid/>
                <w:color w:val="auto"/>
                <w:lang w:val="cs-CZ" w:eastAsia="cs-CZ" w:bidi="ar-SA"/>
              </w:rPr>
              <w:t>orward</w:t>
            </w:r>
          </w:p>
        </w:tc>
        <w:tc>
          <w:tcPr>
            <w:tcW w:w="3600" w:type="dxa"/>
            <w:tcBorders>
              <w:top w:val="single" w:sz="4" w:space="0" w:color="auto"/>
              <w:bottom w:val="nil"/>
            </w:tcBorders>
          </w:tcPr>
          <w:p w14:paraId="6B569F8F" w14:textId="77777777"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5´- AATTTTAGGTTAGAGGGTTATCGCGT -3´</w:t>
            </w:r>
          </w:p>
        </w:tc>
        <w:tc>
          <w:tcPr>
            <w:tcW w:w="1503" w:type="dxa"/>
            <w:tcBorders>
              <w:top w:val="single" w:sz="4" w:space="0" w:color="auto"/>
              <w:bottom w:val="nil"/>
            </w:tcBorders>
            <w:shd w:val="clear" w:color="auto" w:fill="auto"/>
            <w:vAlign w:val="center"/>
          </w:tcPr>
          <w:p w14:paraId="75342144" w14:textId="6E4FB86C" w:rsidR="00113397" w:rsidRPr="00AD2FEA" w:rsidRDefault="00113397" w:rsidP="002C2C9C">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1</w:t>
            </w:r>
            <w:r w:rsidR="002C2C9C">
              <w:rPr>
                <w:rFonts w:asciiTheme="minorHAnsi" w:eastAsiaTheme="minorEastAsia" w:hAnsiTheme="minorHAnsi" w:cstheme="minorHAnsi"/>
                <w:snapToGrid/>
                <w:color w:val="auto"/>
                <w:lang w:val="cs-CZ" w:eastAsia="cs-CZ" w:bidi="ar-SA"/>
              </w:rPr>
              <w:t>,</w:t>
            </w:r>
            <w:r w:rsidRPr="00AD2FEA">
              <w:rPr>
                <w:rFonts w:asciiTheme="minorHAnsi" w:eastAsiaTheme="minorEastAsia" w:hAnsiTheme="minorHAnsi" w:cstheme="minorHAnsi"/>
                <w:snapToGrid/>
                <w:color w:val="auto"/>
                <w:lang w:val="cs-CZ" w:eastAsia="cs-CZ" w:bidi="ar-SA"/>
              </w:rPr>
              <w:t>0</w:t>
            </w:r>
          </w:p>
        </w:tc>
      </w:tr>
      <w:tr w:rsidR="00113397" w:rsidRPr="00D70D4F" w14:paraId="09FD7AE0" w14:textId="77777777" w:rsidTr="00113397">
        <w:trPr>
          <w:jc w:val="center"/>
        </w:trPr>
        <w:tc>
          <w:tcPr>
            <w:tcW w:w="2127" w:type="dxa"/>
            <w:vMerge/>
            <w:shd w:val="clear" w:color="auto" w:fill="auto"/>
            <w:vAlign w:val="center"/>
          </w:tcPr>
          <w:p w14:paraId="00E51EA0" w14:textId="77777777"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p>
        </w:tc>
        <w:tc>
          <w:tcPr>
            <w:tcW w:w="1361" w:type="dxa"/>
            <w:tcBorders>
              <w:top w:val="nil"/>
              <w:bottom w:val="nil"/>
            </w:tcBorders>
            <w:shd w:val="clear" w:color="auto" w:fill="auto"/>
            <w:vAlign w:val="center"/>
          </w:tcPr>
          <w:p w14:paraId="70D48836" w14:textId="4BD13C17"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r</w:t>
            </w:r>
            <w:r w:rsidRPr="00AD2FEA">
              <w:rPr>
                <w:rFonts w:asciiTheme="minorHAnsi" w:eastAsiaTheme="minorEastAsia" w:hAnsiTheme="minorHAnsi" w:cstheme="minorHAnsi"/>
                <w:snapToGrid/>
                <w:color w:val="auto"/>
                <w:lang w:val="cs-CZ" w:eastAsia="cs-CZ" w:bidi="ar-SA"/>
              </w:rPr>
              <w:t>everse</w:t>
            </w:r>
          </w:p>
        </w:tc>
        <w:tc>
          <w:tcPr>
            <w:tcW w:w="3600" w:type="dxa"/>
            <w:tcBorders>
              <w:top w:val="nil"/>
              <w:bottom w:val="nil"/>
            </w:tcBorders>
          </w:tcPr>
          <w:p w14:paraId="247A6047" w14:textId="77777777"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5´- TCCCCAAAACGAAACTAACGAC -3´</w:t>
            </w:r>
          </w:p>
        </w:tc>
        <w:tc>
          <w:tcPr>
            <w:tcW w:w="1503" w:type="dxa"/>
            <w:tcBorders>
              <w:top w:val="nil"/>
              <w:bottom w:val="nil"/>
            </w:tcBorders>
            <w:shd w:val="clear" w:color="auto" w:fill="auto"/>
            <w:vAlign w:val="center"/>
          </w:tcPr>
          <w:p w14:paraId="05CC4EF3" w14:textId="31714107" w:rsidR="00113397" w:rsidRPr="00AD2FEA" w:rsidRDefault="00113397" w:rsidP="002C2C9C">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1</w:t>
            </w:r>
            <w:r w:rsidR="002C2C9C">
              <w:rPr>
                <w:rFonts w:asciiTheme="minorHAnsi" w:eastAsiaTheme="minorEastAsia" w:hAnsiTheme="minorHAnsi" w:cstheme="minorHAnsi"/>
                <w:snapToGrid/>
                <w:color w:val="auto"/>
                <w:lang w:val="cs-CZ" w:eastAsia="cs-CZ" w:bidi="ar-SA"/>
              </w:rPr>
              <w:t>,</w:t>
            </w:r>
            <w:r w:rsidRPr="00AD2FEA">
              <w:rPr>
                <w:rFonts w:asciiTheme="minorHAnsi" w:eastAsiaTheme="minorEastAsia" w:hAnsiTheme="minorHAnsi" w:cstheme="minorHAnsi"/>
                <w:snapToGrid/>
                <w:color w:val="auto"/>
                <w:lang w:val="cs-CZ" w:eastAsia="cs-CZ" w:bidi="ar-SA"/>
              </w:rPr>
              <w:t>0</w:t>
            </w:r>
          </w:p>
        </w:tc>
      </w:tr>
      <w:tr w:rsidR="00113397" w:rsidRPr="00D70D4F" w14:paraId="4A22AECB" w14:textId="77777777" w:rsidTr="00113397">
        <w:trPr>
          <w:jc w:val="center"/>
        </w:trPr>
        <w:tc>
          <w:tcPr>
            <w:tcW w:w="2127" w:type="dxa"/>
            <w:vMerge/>
            <w:tcBorders>
              <w:bottom w:val="single" w:sz="4" w:space="0" w:color="auto"/>
            </w:tcBorders>
            <w:shd w:val="clear" w:color="auto" w:fill="auto"/>
            <w:vAlign w:val="center"/>
          </w:tcPr>
          <w:p w14:paraId="5C5F987F" w14:textId="77777777"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p>
        </w:tc>
        <w:tc>
          <w:tcPr>
            <w:tcW w:w="1361" w:type="dxa"/>
            <w:tcBorders>
              <w:top w:val="nil"/>
              <w:bottom w:val="single" w:sz="4" w:space="0" w:color="auto"/>
            </w:tcBorders>
            <w:shd w:val="clear" w:color="auto" w:fill="auto"/>
            <w:vAlign w:val="center"/>
          </w:tcPr>
          <w:p w14:paraId="5A6A3805" w14:textId="441248A9"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próba</w:t>
            </w:r>
          </w:p>
        </w:tc>
        <w:tc>
          <w:tcPr>
            <w:tcW w:w="3600" w:type="dxa"/>
            <w:tcBorders>
              <w:top w:val="nil"/>
              <w:bottom w:val="single" w:sz="4" w:space="0" w:color="auto"/>
            </w:tcBorders>
          </w:tcPr>
          <w:p w14:paraId="37F409A2" w14:textId="77777777" w:rsidR="00113397"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FAM-BHQ-CGCCCACCCGACCTCGCAT</w:t>
            </w:r>
          </w:p>
        </w:tc>
        <w:tc>
          <w:tcPr>
            <w:tcW w:w="1503" w:type="dxa"/>
            <w:tcBorders>
              <w:top w:val="nil"/>
              <w:bottom w:val="single" w:sz="4" w:space="0" w:color="auto"/>
            </w:tcBorders>
            <w:shd w:val="clear" w:color="auto" w:fill="auto"/>
            <w:vAlign w:val="center"/>
          </w:tcPr>
          <w:p w14:paraId="28226252" w14:textId="0412AC24" w:rsidR="00113397" w:rsidRPr="00AD2FEA" w:rsidRDefault="002C2C9C"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0,</w:t>
            </w:r>
            <w:r w:rsidR="00113397" w:rsidRPr="00AD2FEA">
              <w:rPr>
                <w:rFonts w:asciiTheme="minorHAnsi" w:eastAsiaTheme="minorEastAsia" w:hAnsiTheme="minorHAnsi" w:cstheme="minorHAnsi"/>
                <w:snapToGrid/>
                <w:color w:val="auto"/>
                <w:lang w:val="cs-CZ" w:eastAsia="cs-CZ" w:bidi="ar-SA"/>
              </w:rPr>
              <w:t>2</w:t>
            </w:r>
          </w:p>
        </w:tc>
      </w:tr>
      <w:tr w:rsidR="00AD2FEA" w:rsidRPr="00D70D4F" w14:paraId="481DFF94" w14:textId="77777777" w:rsidTr="00113397">
        <w:trPr>
          <w:jc w:val="center"/>
        </w:trPr>
        <w:tc>
          <w:tcPr>
            <w:tcW w:w="2127" w:type="dxa"/>
            <w:vMerge w:val="restart"/>
            <w:tcBorders>
              <w:top w:val="single" w:sz="4" w:space="0" w:color="auto"/>
            </w:tcBorders>
            <w:shd w:val="clear" w:color="auto" w:fill="auto"/>
          </w:tcPr>
          <w:p w14:paraId="052D96B0" w14:textId="77777777" w:rsidR="00113397"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 xml:space="preserve">metylace promotoru </w:t>
            </w:r>
          </w:p>
          <w:p w14:paraId="2F9874C5" w14:textId="70F514D8" w:rsidR="00AD2FEA" w:rsidRPr="00DD4F81" w:rsidRDefault="00AD2FEA" w:rsidP="000E083A">
            <w:pPr>
              <w:pStyle w:val="MDPI42tablebody"/>
              <w:spacing w:line="240" w:lineRule="auto"/>
              <w:rPr>
                <w:rFonts w:asciiTheme="minorHAnsi" w:eastAsiaTheme="minorEastAsia" w:hAnsiTheme="minorHAnsi" w:cstheme="minorHAnsi"/>
                <w:i/>
                <w:iCs/>
                <w:snapToGrid/>
                <w:color w:val="auto"/>
                <w:lang w:val="cs-CZ" w:eastAsia="cs-CZ" w:bidi="ar-SA"/>
              </w:rPr>
            </w:pPr>
            <w:r w:rsidRPr="00DD4F81">
              <w:rPr>
                <w:rFonts w:asciiTheme="minorHAnsi" w:eastAsiaTheme="minorEastAsia" w:hAnsiTheme="minorHAnsi" w:cstheme="minorHAnsi"/>
                <w:i/>
                <w:iCs/>
                <w:snapToGrid/>
                <w:color w:val="auto"/>
                <w:lang w:val="cs-CZ" w:eastAsia="cs-CZ" w:bidi="ar-SA"/>
              </w:rPr>
              <w:t xml:space="preserve">Alu-M5 </w:t>
            </w:r>
          </w:p>
        </w:tc>
        <w:tc>
          <w:tcPr>
            <w:tcW w:w="1361" w:type="dxa"/>
            <w:tcBorders>
              <w:top w:val="single" w:sz="4" w:space="0" w:color="auto"/>
              <w:bottom w:val="nil"/>
            </w:tcBorders>
            <w:shd w:val="clear" w:color="auto" w:fill="auto"/>
            <w:vAlign w:val="center"/>
          </w:tcPr>
          <w:p w14:paraId="06C466F0" w14:textId="66F7BDA2" w:rsidR="00AD2FEA"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f</w:t>
            </w:r>
            <w:r w:rsidR="00AD2FEA" w:rsidRPr="00AD2FEA">
              <w:rPr>
                <w:rFonts w:asciiTheme="minorHAnsi" w:eastAsiaTheme="minorEastAsia" w:hAnsiTheme="minorHAnsi" w:cstheme="minorHAnsi"/>
                <w:snapToGrid/>
                <w:color w:val="auto"/>
                <w:lang w:val="cs-CZ" w:eastAsia="cs-CZ" w:bidi="ar-SA"/>
              </w:rPr>
              <w:t>orward</w:t>
            </w:r>
          </w:p>
        </w:tc>
        <w:tc>
          <w:tcPr>
            <w:tcW w:w="3600" w:type="dxa"/>
            <w:tcBorders>
              <w:top w:val="single" w:sz="4" w:space="0" w:color="auto"/>
              <w:bottom w:val="nil"/>
            </w:tcBorders>
          </w:tcPr>
          <w:p w14:paraId="37ADAF99"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5´- GGTATGATGGCGTATGTTTGT -3´</w:t>
            </w:r>
          </w:p>
        </w:tc>
        <w:tc>
          <w:tcPr>
            <w:tcW w:w="1503" w:type="dxa"/>
            <w:tcBorders>
              <w:top w:val="single" w:sz="4" w:space="0" w:color="auto"/>
              <w:bottom w:val="nil"/>
            </w:tcBorders>
            <w:shd w:val="clear" w:color="auto" w:fill="auto"/>
            <w:vAlign w:val="center"/>
          </w:tcPr>
          <w:p w14:paraId="1D365315" w14:textId="506D373C" w:rsidR="00AD2FEA" w:rsidRPr="00AD2FEA" w:rsidRDefault="002C2C9C"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0,</w:t>
            </w:r>
            <w:r w:rsidR="00AD2FEA" w:rsidRPr="00AD2FEA">
              <w:rPr>
                <w:rFonts w:asciiTheme="minorHAnsi" w:eastAsiaTheme="minorEastAsia" w:hAnsiTheme="minorHAnsi" w:cstheme="minorHAnsi"/>
                <w:snapToGrid/>
                <w:color w:val="auto"/>
                <w:lang w:val="cs-CZ" w:eastAsia="cs-CZ" w:bidi="ar-SA"/>
              </w:rPr>
              <w:t>17</w:t>
            </w:r>
          </w:p>
        </w:tc>
      </w:tr>
      <w:tr w:rsidR="00AD2FEA" w:rsidRPr="00D70D4F" w14:paraId="1BC40DA8" w14:textId="77777777" w:rsidTr="00113397">
        <w:trPr>
          <w:jc w:val="center"/>
        </w:trPr>
        <w:tc>
          <w:tcPr>
            <w:tcW w:w="2127" w:type="dxa"/>
            <w:vMerge/>
            <w:shd w:val="clear" w:color="auto" w:fill="auto"/>
          </w:tcPr>
          <w:p w14:paraId="41E2BE63"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p>
        </w:tc>
        <w:tc>
          <w:tcPr>
            <w:tcW w:w="1361" w:type="dxa"/>
            <w:tcBorders>
              <w:top w:val="nil"/>
              <w:bottom w:val="nil"/>
            </w:tcBorders>
            <w:shd w:val="clear" w:color="auto" w:fill="auto"/>
            <w:vAlign w:val="center"/>
          </w:tcPr>
          <w:p w14:paraId="32AEABD7" w14:textId="3E2B090F" w:rsidR="00AD2FEA"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r</w:t>
            </w:r>
            <w:r w:rsidR="00AD2FEA" w:rsidRPr="00AD2FEA">
              <w:rPr>
                <w:rFonts w:asciiTheme="minorHAnsi" w:eastAsiaTheme="minorEastAsia" w:hAnsiTheme="minorHAnsi" w:cstheme="minorHAnsi"/>
                <w:snapToGrid/>
                <w:color w:val="auto"/>
                <w:lang w:val="cs-CZ" w:eastAsia="cs-CZ" w:bidi="ar-SA"/>
              </w:rPr>
              <w:t>everse</w:t>
            </w:r>
          </w:p>
        </w:tc>
        <w:tc>
          <w:tcPr>
            <w:tcW w:w="3600" w:type="dxa"/>
            <w:tcBorders>
              <w:top w:val="nil"/>
              <w:bottom w:val="nil"/>
            </w:tcBorders>
          </w:tcPr>
          <w:p w14:paraId="720322B5"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5´- GACTCACCACAACTTCCAC -3´</w:t>
            </w:r>
          </w:p>
        </w:tc>
        <w:tc>
          <w:tcPr>
            <w:tcW w:w="1503" w:type="dxa"/>
            <w:tcBorders>
              <w:top w:val="nil"/>
              <w:bottom w:val="nil"/>
            </w:tcBorders>
            <w:shd w:val="clear" w:color="auto" w:fill="auto"/>
            <w:vAlign w:val="center"/>
          </w:tcPr>
          <w:p w14:paraId="7D575E28" w14:textId="09582A0D" w:rsidR="00AD2FEA" w:rsidRPr="00AD2FEA" w:rsidRDefault="002C2C9C"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0,</w:t>
            </w:r>
            <w:r w:rsidR="00AD2FEA" w:rsidRPr="00AD2FEA">
              <w:rPr>
                <w:rFonts w:asciiTheme="minorHAnsi" w:eastAsiaTheme="minorEastAsia" w:hAnsiTheme="minorHAnsi" w:cstheme="minorHAnsi"/>
                <w:snapToGrid/>
                <w:color w:val="auto"/>
                <w:lang w:val="cs-CZ" w:eastAsia="cs-CZ" w:bidi="ar-SA"/>
              </w:rPr>
              <w:t>17</w:t>
            </w:r>
          </w:p>
        </w:tc>
      </w:tr>
      <w:tr w:rsidR="00AD2FEA" w:rsidRPr="00D70D4F" w14:paraId="3C4C5F3D" w14:textId="77777777" w:rsidTr="00113397">
        <w:trPr>
          <w:jc w:val="center"/>
        </w:trPr>
        <w:tc>
          <w:tcPr>
            <w:tcW w:w="2127" w:type="dxa"/>
            <w:vMerge/>
            <w:shd w:val="clear" w:color="auto" w:fill="auto"/>
            <w:vAlign w:val="center"/>
          </w:tcPr>
          <w:p w14:paraId="4B4CB9E0"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p>
        </w:tc>
        <w:tc>
          <w:tcPr>
            <w:tcW w:w="1361" w:type="dxa"/>
            <w:tcBorders>
              <w:top w:val="nil"/>
            </w:tcBorders>
            <w:shd w:val="clear" w:color="auto" w:fill="auto"/>
            <w:vAlign w:val="center"/>
          </w:tcPr>
          <w:p w14:paraId="5983AA07" w14:textId="3C72A369" w:rsidR="00AD2FEA" w:rsidRPr="00AD2FEA" w:rsidRDefault="00113397"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p</w:t>
            </w:r>
            <w:r w:rsidR="00AD2FEA" w:rsidRPr="00AD2FEA">
              <w:rPr>
                <w:rFonts w:asciiTheme="minorHAnsi" w:eastAsiaTheme="minorEastAsia" w:hAnsiTheme="minorHAnsi" w:cstheme="minorHAnsi"/>
                <w:snapToGrid/>
                <w:color w:val="auto"/>
                <w:lang w:val="cs-CZ" w:eastAsia="cs-CZ" w:bidi="ar-SA"/>
              </w:rPr>
              <w:t>r</w:t>
            </w:r>
            <w:r>
              <w:rPr>
                <w:rFonts w:asciiTheme="minorHAnsi" w:eastAsiaTheme="minorEastAsia" w:hAnsiTheme="minorHAnsi" w:cstheme="minorHAnsi"/>
                <w:snapToGrid/>
                <w:color w:val="auto"/>
                <w:lang w:val="cs-CZ" w:eastAsia="cs-CZ" w:bidi="ar-SA"/>
              </w:rPr>
              <w:t>óba</w:t>
            </w:r>
          </w:p>
        </w:tc>
        <w:tc>
          <w:tcPr>
            <w:tcW w:w="3600" w:type="dxa"/>
            <w:tcBorders>
              <w:top w:val="nil"/>
            </w:tcBorders>
          </w:tcPr>
          <w:p w14:paraId="2B1EBEB6" w14:textId="77777777" w:rsidR="00AD2FEA" w:rsidRPr="00AD2FEA" w:rsidRDefault="00AD2FEA" w:rsidP="000E083A">
            <w:pPr>
              <w:pStyle w:val="MDPI42tablebody"/>
              <w:spacing w:line="240" w:lineRule="auto"/>
              <w:rPr>
                <w:rFonts w:asciiTheme="minorHAnsi" w:eastAsiaTheme="minorEastAsia" w:hAnsiTheme="minorHAnsi" w:cstheme="minorHAnsi"/>
                <w:snapToGrid/>
                <w:color w:val="auto"/>
                <w:lang w:val="cs-CZ" w:eastAsia="cs-CZ" w:bidi="ar-SA"/>
              </w:rPr>
            </w:pPr>
            <w:r w:rsidRPr="00AD2FEA">
              <w:rPr>
                <w:rFonts w:asciiTheme="minorHAnsi" w:eastAsiaTheme="minorEastAsia" w:hAnsiTheme="minorHAnsi" w:cstheme="minorHAnsi"/>
                <w:snapToGrid/>
                <w:color w:val="auto"/>
                <w:lang w:val="cs-CZ" w:eastAsia="cs-CZ" w:bidi="ar-SA"/>
              </w:rPr>
              <w:t>FAM-BHQ-AAACGATTCTCCTACCTCAACCTCCCGAA</w:t>
            </w:r>
          </w:p>
        </w:tc>
        <w:tc>
          <w:tcPr>
            <w:tcW w:w="1503" w:type="dxa"/>
            <w:tcBorders>
              <w:top w:val="nil"/>
            </w:tcBorders>
            <w:shd w:val="clear" w:color="auto" w:fill="auto"/>
            <w:vAlign w:val="center"/>
          </w:tcPr>
          <w:p w14:paraId="558722BC" w14:textId="23E3C601" w:rsidR="00AD2FEA" w:rsidRPr="00AD2FEA" w:rsidRDefault="002C2C9C" w:rsidP="000E083A">
            <w:pPr>
              <w:pStyle w:val="MDPI42tablebody"/>
              <w:spacing w:line="240" w:lineRule="auto"/>
              <w:rPr>
                <w:rFonts w:asciiTheme="minorHAnsi" w:eastAsiaTheme="minorEastAsia" w:hAnsiTheme="minorHAnsi" w:cstheme="minorHAnsi"/>
                <w:snapToGrid/>
                <w:color w:val="auto"/>
                <w:lang w:val="cs-CZ" w:eastAsia="cs-CZ" w:bidi="ar-SA"/>
              </w:rPr>
            </w:pPr>
            <w:r>
              <w:rPr>
                <w:rFonts w:asciiTheme="minorHAnsi" w:eastAsiaTheme="minorEastAsia" w:hAnsiTheme="minorHAnsi" w:cstheme="minorHAnsi"/>
                <w:snapToGrid/>
                <w:color w:val="auto"/>
                <w:lang w:val="cs-CZ" w:eastAsia="cs-CZ" w:bidi="ar-SA"/>
              </w:rPr>
              <w:t>0,</w:t>
            </w:r>
            <w:r w:rsidR="00AD2FEA" w:rsidRPr="00AD2FEA">
              <w:rPr>
                <w:rFonts w:asciiTheme="minorHAnsi" w:eastAsiaTheme="minorEastAsia" w:hAnsiTheme="minorHAnsi" w:cstheme="minorHAnsi"/>
                <w:snapToGrid/>
                <w:color w:val="auto"/>
                <w:lang w:val="cs-CZ" w:eastAsia="cs-CZ" w:bidi="ar-SA"/>
              </w:rPr>
              <w:t>03</w:t>
            </w:r>
          </w:p>
        </w:tc>
      </w:tr>
    </w:tbl>
    <w:p w14:paraId="275FA574" w14:textId="77777777" w:rsidR="00525F5E" w:rsidRDefault="00525F5E" w:rsidP="00056B69">
      <w:pPr>
        <w:jc w:val="both"/>
        <w:rPr>
          <w:bCs/>
        </w:rPr>
      </w:pPr>
    </w:p>
    <w:p w14:paraId="65181726" w14:textId="6288E7D1" w:rsidR="00797F47" w:rsidRPr="005712FF" w:rsidRDefault="00797F47" w:rsidP="00174B72">
      <w:pPr>
        <w:pStyle w:val="Nadpis4"/>
      </w:pPr>
      <w:bookmarkStart w:id="107" w:name="_Toc88741506"/>
      <w:r>
        <w:t>Statistická an</w:t>
      </w:r>
      <w:r w:rsidR="000921E8">
        <w:t>a</w:t>
      </w:r>
      <w:r>
        <w:t>lýza</w:t>
      </w:r>
      <w:bookmarkEnd w:id="107"/>
      <w:r w:rsidR="00C542F3">
        <w:t xml:space="preserve">   </w:t>
      </w:r>
    </w:p>
    <w:p w14:paraId="1BB98B83" w14:textId="078645FC" w:rsidR="007650B6" w:rsidRDefault="00BB6EF8" w:rsidP="007650B6">
      <w:pPr>
        <w:tabs>
          <w:tab w:val="left" w:pos="975"/>
        </w:tabs>
        <w:jc w:val="both"/>
        <w:rPr>
          <w:bCs/>
        </w:rPr>
      </w:pPr>
      <w:r w:rsidRPr="00BB6EF8">
        <w:rPr>
          <w:bCs/>
        </w:rPr>
        <w:t xml:space="preserve">Všechny statistické analýzy byly </w:t>
      </w:r>
      <w:r>
        <w:rPr>
          <w:bCs/>
        </w:rPr>
        <w:t xml:space="preserve">provedeny za pomocí </w:t>
      </w:r>
      <w:r w:rsidRPr="00BB6EF8">
        <w:rPr>
          <w:bCs/>
        </w:rPr>
        <w:t xml:space="preserve">R Statistical Software, Version </w:t>
      </w:r>
      <w:r w:rsidR="007650B6">
        <w:rPr>
          <w:bCs/>
        </w:rPr>
        <w:t>4</w:t>
      </w:r>
      <w:r w:rsidRPr="00BB6EF8">
        <w:rPr>
          <w:bCs/>
        </w:rPr>
        <w:t>.</w:t>
      </w:r>
      <w:r w:rsidR="007650B6">
        <w:rPr>
          <w:bCs/>
        </w:rPr>
        <w:t>0</w:t>
      </w:r>
      <w:r w:rsidRPr="00BB6EF8">
        <w:rPr>
          <w:bCs/>
        </w:rPr>
        <w:t>.</w:t>
      </w:r>
      <w:r w:rsidR="007650B6">
        <w:rPr>
          <w:bCs/>
        </w:rPr>
        <w:t>3</w:t>
      </w:r>
      <w:r w:rsidRPr="00BB6EF8">
        <w:rPr>
          <w:bCs/>
        </w:rPr>
        <w:t xml:space="preserve"> (www.r-project.org). Pearson’s chi-</w:t>
      </w:r>
      <w:r>
        <w:rPr>
          <w:bCs/>
        </w:rPr>
        <w:t>kvadrát</w:t>
      </w:r>
      <w:r w:rsidRPr="00BB6EF8">
        <w:rPr>
          <w:bCs/>
        </w:rPr>
        <w:t xml:space="preserve"> a Fisher</w:t>
      </w:r>
      <w:r w:rsidR="00827CBF">
        <w:rPr>
          <w:bCs/>
        </w:rPr>
        <w:t>ův</w:t>
      </w:r>
      <w:r w:rsidRPr="00BB6EF8">
        <w:rPr>
          <w:bCs/>
        </w:rPr>
        <w:t xml:space="preserve"> exa</w:t>
      </w:r>
      <w:r>
        <w:rPr>
          <w:bCs/>
        </w:rPr>
        <w:t>ktní</w:t>
      </w:r>
      <w:r w:rsidRPr="00BB6EF8">
        <w:rPr>
          <w:bCs/>
        </w:rPr>
        <w:t xml:space="preserve"> test </w:t>
      </w:r>
      <w:r>
        <w:rPr>
          <w:bCs/>
        </w:rPr>
        <w:t>byly použity</w:t>
      </w:r>
      <w:r w:rsidR="00F9663E">
        <w:rPr>
          <w:bCs/>
        </w:rPr>
        <w:t xml:space="preserve"> k</w:t>
      </w:r>
      <w:r>
        <w:rPr>
          <w:bCs/>
        </w:rPr>
        <w:t xml:space="preserve"> testování spojitosti mezi molekulárními markery a přežitím pro všechny pacienty a pro pacienty léčenými specifickou léčbou. Celkové přežití (OS) a přežití bez progrese (PFS) bylo spočítáno pomocí </w:t>
      </w:r>
      <w:r w:rsidRPr="00BB6EF8">
        <w:rPr>
          <w:bCs/>
        </w:rPr>
        <w:t>Kaplan-Meier</w:t>
      </w:r>
      <w:r>
        <w:rPr>
          <w:bCs/>
        </w:rPr>
        <w:t>ovy</w:t>
      </w:r>
      <w:r w:rsidRPr="00BB6EF8">
        <w:rPr>
          <w:bCs/>
        </w:rPr>
        <w:t xml:space="preserve"> metod</w:t>
      </w:r>
      <w:r>
        <w:rPr>
          <w:bCs/>
        </w:rPr>
        <w:t>iky</w:t>
      </w:r>
      <w:r w:rsidR="007650B6">
        <w:rPr>
          <w:bCs/>
        </w:rPr>
        <w:t xml:space="preserve"> (prezentovány jako mediány v tabulkách výsledků)</w:t>
      </w:r>
      <w:r>
        <w:rPr>
          <w:bCs/>
        </w:rPr>
        <w:t xml:space="preserve">. </w:t>
      </w:r>
      <w:r w:rsidR="007650B6">
        <w:rPr>
          <w:bCs/>
        </w:rPr>
        <w:t>OS bylo počítáno ode dne první operace až do smrti či poslední kontroly.</w:t>
      </w:r>
      <w:r w:rsidR="007650B6" w:rsidRPr="007650B6">
        <w:rPr>
          <w:bCs/>
        </w:rPr>
        <w:t xml:space="preserve"> </w:t>
      </w:r>
      <w:r w:rsidR="007650B6">
        <w:rPr>
          <w:bCs/>
        </w:rPr>
        <w:t>Efekt každého molekulárního markeru na OS a PFS bylo vyšetřováno na základě Coxova modelu proporčních rizik s jedním faktorem (univariátní model) a s adjustací pro hlavní klinické prognostické faktory (multivariátní model</w:t>
      </w:r>
      <w:r w:rsidR="00592092">
        <w:rPr>
          <w:bCs/>
        </w:rPr>
        <w:t>, Obrázky 10 a 11</w:t>
      </w:r>
      <w:r w:rsidR="007650B6">
        <w:rPr>
          <w:bCs/>
        </w:rPr>
        <w:t xml:space="preserve">), tj. věk v době diagnózy a/nebo </w:t>
      </w:r>
      <w:r w:rsidR="007650B6" w:rsidRPr="00BB6EF8">
        <w:rPr>
          <w:rFonts w:hint="eastAsia"/>
          <w:bCs/>
        </w:rPr>
        <w:t>(</w:t>
      </w:r>
      <w:r w:rsidR="007650B6">
        <w:rPr>
          <w:rFonts w:ascii="Calibri" w:hAnsi="Calibri" w:cs="Calibri"/>
          <w:bCs/>
        </w:rPr>
        <w:t>≤</w:t>
      </w:r>
      <w:r w:rsidR="007650B6" w:rsidRPr="00BB6EF8">
        <w:rPr>
          <w:rFonts w:hint="eastAsia"/>
          <w:bCs/>
        </w:rPr>
        <w:t xml:space="preserve"> 55 vs. &gt; 55 </w:t>
      </w:r>
      <w:r w:rsidR="001A0AFD">
        <w:rPr>
          <w:bCs/>
        </w:rPr>
        <w:t>let</w:t>
      </w:r>
      <w:r w:rsidR="007650B6" w:rsidRPr="00BB6EF8">
        <w:rPr>
          <w:rFonts w:hint="eastAsia"/>
          <w:bCs/>
        </w:rPr>
        <w:t>) a Karnofsk</w:t>
      </w:r>
      <w:r w:rsidR="009E26D8">
        <w:rPr>
          <w:bCs/>
        </w:rPr>
        <w:t>ého</w:t>
      </w:r>
      <w:r w:rsidR="007650B6" w:rsidRPr="00BB6EF8">
        <w:rPr>
          <w:rFonts w:hint="eastAsia"/>
          <w:bCs/>
        </w:rPr>
        <w:t xml:space="preserve"> s</w:t>
      </w:r>
      <w:r w:rsidR="007650B6">
        <w:rPr>
          <w:bCs/>
        </w:rPr>
        <w:t>kóre</w:t>
      </w:r>
      <w:r w:rsidR="007650B6" w:rsidRPr="00BB6EF8">
        <w:rPr>
          <w:rFonts w:hint="eastAsia"/>
          <w:bCs/>
        </w:rPr>
        <w:t xml:space="preserve"> (KS; &lt; 80 vs. </w:t>
      </w:r>
      <w:r w:rsidR="007650B6">
        <w:rPr>
          <w:rFonts w:ascii="Calibri" w:hAnsi="Calibri" w:cs="Calibri"/>
          <w:bCs/>
        </w:rPr>
        <w:t>≥</w:t>
      </w:r>
      <w:r w:rsidR="007650B6" w:rsidRPr="00BB6EF8">
        <w:rPr>
          <w:rFonts w:hint="eastAsia"/>
          <w:bCs/>
        </w:rPr>
        <w:t xml:space="preserve"> 80</w:t>
      </w:r>
      <w:r w:rsidR="007650B6" w:rsidRPr="00383513">
        <w:rPr>
          <w:rFonts w:hint="eastAsia"/>
          <w:bCs/>
        </w:rPr>
        <w:t>)</w:t>
      </w:r>
      <w:r w:rsidR="007650B6">
        <w:rPr>
          <w:bCs/>
        </w:rPr>
        <w:t xml:space="preserve"> v jednotliv</w:t>
      </w:r>
      <w:r w:rsidR="008F1049">
        <w:rPr>
          <w:bCs/>
        </w:rPr>
        <w:t>ýc</w:t>
      </w:r>
      <w:r w:rsidR="007650B6">
        <w:rPr>
          <w:bCs/>
        </w:rPr>
        <w:t>h sku</w:t>
      </w:r>
      <w:r w:rsidR="008F1049">
        <w:rPr>
          <w:bCs/>
        </w:rPr>
        <w:t>p</w:t>
      </w:r>
      <w:r w:rsidR="007650B6">
        <w:rPr>
          <w:bCs/>
        </w:rPr>
        <w:t>inách</w:t>
      </w:r>
      <w:r w:rsidR="007650B6" w:rsidRPr="00383513">
        <w:rPr>
          <w:rFonts w:hint="eastAsia"/>
          <w:bCs/>
        </w:rPr>
        <w:t>.</w:t>
      </w:r>
      <w:r w:rsidR="007650B6" w:rsidRPr="00383513">
        <w:rPr>
          <w:bCs/>
        </w:rPr>
        <w:t xml:space="preserve"> </w:t>
      </w:r>
      <w:r w:rsidR="00F9663E">
        <w:rPr>
          <w:bCs/>
        </w:rPr>
        <w:t>Vliv každého faktoru na OS resp. PFS napříč skupinami bylo vyšetřeno pomocí Coxova modelu proporčních rizik (jeden pro každý marker) stratifikovaný podle terapie a adjustovaný pro kategori</w:t>
      </w:r>
      <w:r w:rsidR="001A0AFD">
        <w:rPr>
          <w:bCs/>
        </w:rPr>
        <w:t>e</w:t>
      </w:r>
      <w:r w:rsidR="00F9663E">
        <w:rPr>
          <w:bCs/>
        </w:rPr>
        <w:t xml:space="preserve"> věku a kategorie Karnofsk</w:t>
      </w:r>
      <w:r w:rsidR="009E26D8">
        <w:rPr>
          <w:bCs/>
        </w:rPr>
        <w:t xml:space="preserve">ého </w:t>
      </w:r>
      <w:r w:rsidR="00F9663E">
        <w:rPr>
          <w:bCs/>
        </w:rPr>
        <w:t>skóre</w:t>
      </w:r>
      <w:r w:rsidR="001A0AFD">
        <w:rPr>
          <w:bCs/>
        </w:rPr>
        <w:t>.</w:t>
      </w:r>
    </w:p>
    <w:p w14:paraId="14B59CEC" w14:textId="7505E01E" w:rsidR="00C542F3" w:rsidRDefault="00C542F3" w:rsidP="00C542F3">
      <w:pPr>
        <w:pStyle w:val="Nadpis3"/>
      </w:pPr>
      <w:bookmarkStart w:id="108" w:name="_Toc88741507"/>
      <w:r w:rsidRPr="00C542F3">
        <w:t>Výsledky</w:t>
      </w:r>
      <w:bookmarkEnd w:id="108"/>
    </w:p>
    <w:p w14:paraId="56452062" w14:textId="6A138E06" w:rsidR="00C542F3" w:rsidRDefault="00B239D3" w:rsidP="00CE58AB">
      <w:pPr>
        <w:pStyle w:val="Nadpis4"/>
      </w:pPr>
      <w:bookmarkStart w:id="109" w:name="_Toc88741508"/>
      <w:r>
        <w:t>Základní charakteristika pacientů</w:t>
      </w:r>
      <w:bookmarkEnd w:id="109"/>
    </w:p>
    <w:p w14:paraId="0B3C757E" w14:textId="72F81B35" w:rsidR="00B239D3" w:rsidRPr="00AA2894" w:rsidRDefault="00B239D3" w:rsidP="000E083A">
      <w:pPr>
        <w:jc w:val="both"/>
      </w:pPr>
      <w:r>
        <w:t>Studovaná kohorta se skládala</w:t>
      </w:r>
      <w:r w:rsidR="001A0AFD">
        <w:t xml:space="preserve"> ze</w:t>
      </w:r>
      <w:r>
        <w:t xml:space="preserve"> 132 pacientů s</w:t>
      </w:r>
      <w:r w:rsidR="001A0AFD">
        <w:t xml:space="preserve"> resekovaným </w:t>
      </w:r>
      <w:r>
        <w:t>GBM IDH w</w:t>
      </w:r>
      <w:r w:rsidR="001A0AFD">
        <w:t>ild type</w:t>
      </w:r>
      <w:r w:rsidR="000E083A">
        <w:t xml:space="preserve">. U každého pacienta následovala kontrola s tří měsíčním intervalem až do jeho smrti; medián přežití byl 7,6 měsíce (1,0 – 113,7 měsíců). </w:t>
      </w:r>
      <w:r w:rsidR="00D24B71" w:rsidRPr="00AA2894">
        <w:t xml:space="preserve">Tabulka </w:t>
      </w:r>
      <w:r w:rsidR="00AA2894" w:rsidRPr="00AA2894">
        <w:t>9</w:t>
      </w:r>
      <w:r w:rsidR="00D24B71" w:rsidRPr="00AA2894">
        <w:t xml:space="preserve"> shrnuje charakteristiku pacientů (pohlaví, věk, KS, lokalizace, kouření a adjuvantní terapie) a jejich molekulárně cytogenetické charakteristiky, jmenovitě jejich status počtu kopií (HCN a LCN) s ohledem na studované genetické aberace a status metylace promotoru MGMT. </w:t>
      </w:r>
    </w:p>
    <w:p w14:paraId="577F1544" w14:textId="0128CED3" w:rsidR="00512C86" w:rsidRDefault="009D5866" w:rsidP="000B0BA1">
      <w:pPr>
        <w:pStyle w:val="MDPI41tablecaption"/>
        <w:spacing w:before="100" w:beforeAutospacing="1" w:after="200" w:line="276" w:lineRule="auto"/>
        <w:ind w:left="0"/>
        <w:jc w:val="both"/>
        <w:rPr>
          <w:rFonts w:asciiTheme="minorHAnsi" w:hAnsiTheme="minorHAnsi" w:cstheme="minorHAnsi"/>
          <w:sz w:val="20"/>
          <w:szCs w:val="20"/>
        </w:rPr>
      </w:pPr>
      <w:bookmarkStart w:id="110" w:name="_Toc67162707"/>
      <w:r w:rsidRPr="009D5866">
        <w:rPr>
          <w:rFonts w:asciiTheme="minorHAnsi" w:eastAsiaTheme="minorEastAsia" w:hAnsiTheme="minorHAnsi" w:cstheme="minorBidi"/>
          <w:b/>
          <w:bCs/>
          <w:color w:val="auto"/>
          <w:sz w:val="20"/>
          <w:szCs w:val="20"/>
          <w:lang w:val="cs-CZ" w:eastAsia="cs-CZ" w:bidi="ar-SA"/>
        </w:rPr>
        <w:t xml:space="preserve">Tabulka </w:t>
      </w:r>
      <w:r w:rsidRPr="009D5866">
        <w:rPr>
          <w:rFonts w:asciiTheme="minorHAnsi" w:eastAsiaTheme="minorEastAsia" w:hAnsiTheme="minorHAnsi" w:cstheme="minorBidi"/>
          <w:b/>
          <w:bCs/>
          <w:color w:val="auto"/>
          <w:sz w:val="20"/>
          <w:szCs w:val="20"/>
          <w:lang w:val="cs-CZ" w:eastAsia="cs-CZ" w:bidi="ar-SA"/>
        </w:rPr>
        <w:fldChar w:fldCharType="begin"/>
      </w:r>
      <w:r w:rsidRPr="009D5866">
        <w:rPr>
          <w:rFonts w:asciiTheme="minorHAnsi" w:eastAsiaTheme="minorEastAsia" w:hAnsiTheme="minorHAnsi" w:cstheme="minorBidi"/>
          <w:b/>
          <w:bCs/>
          <w:color w:val="auto"/>
          <w:sz w:val="20"/>
          <w:szCs w:val="20"/>
          <w:lang w:val="cs-CZ" w:eastAsia="cs-CZ" w:bidi="ar-SA"/>
        </w:rPr>
        <w:instrText xml:space="preserve"> SEQ Tabulka \* ARABIC </w:instrText>
      </w:r>
      <w:r w:rsidRPr="009D5866">
        <w:rPr>
          <w:rFonts w:asciiTheme="minorHAnsi" w:eastAsiaTheme="minorEastAsia" w:hAnsiTheme="minorHAnsi" w:cstheme="minorBidi"/>
          <w:b/>
          <w:bCs/>
          <w:color w:val="auto"/>
          <w:sz w:val="20"/>
          <w:szCs w:val="20"/>
          <w:lang w:val="cs-CZ" w:eastAsia="cs-CZ" w:bidi="ar-SA"/>
        </w:rPr>
        <w:fldChar w:fldCharType="separate"/>
      </w:r>
      <w:r w:rsidR="00C43719">
        <w:rPr>
          <w:rFonts w:asciiTheme="minorHAnsi" w:eastAsiaTheme="minorEastAsia" w:hAnsiTheme="minorHAnsi" w:cstheme="minorBidi"/>
          <w:b/>
          <w:bCs/>
          <w:noProof/>
          <w:color w:val="auto"/>
          <w:sz w:val="20"/>
          <w:szCs w:val="20"/>
          <w:lang w:val="cs-CZ" w:eastAsia="cs-CZ" w:bidi="ar-SA"/>
        </w:rPr>
        <w:t>9</w:t>
      </w:r>
      <w:r w:rsidRPr="009D5866">
        <w:rPr>
          <w:rFonts w:asciiTheme="minorHAnsi" w:eastAsiaTheme="minorEastAsia" w:hAnsiTheme="minorHAnsi" w:cstheme="minorBidi"/>
          <w:b/>
          <w:bCs/>
          <w:color w:val="auto"/>
          <w:sz w:val="20"/>
          <w:szCs w:val="20"/>
          <w:lang w:val="cs-CZ" w:eastAsia="cs-CZ" w:bidi="ar-SA"/>
        </w:rPr>
        <w:fldChar w:fldCharType="end"/>
      </w:r>
      <w:r w:rsidRPr="009D5866">
        <w:rPr>
          <w:rFonts w:asciiTheme="minorHAnsi" w:eastAsiaTheme="minorEastAsia" w:hAnsiTheme="minorHAnsi" w:cstheme="minorBidi"/>
          <w:b/>
          <w:bCs/>
          <w:color w:val="auto"/>
          <w:sz w:val="20"/>
          <w:szCs w:val="20"/>
          <w:lang w:val="cs-CZ" w:eastAsia="cs-CZ" w:bidi="ar-SA"/>
        </w:rPr>
        <w:t>:</w:t>
      </w:r>
      <w:r w:rsidRPr="00306B65">
        <w:rPr>
          <w:b/>
          <w:bCs/>
          <w:sz w:val="20"/>
          <w:szCs w:val="20"/>
        </w:rPr>
        <w:t xml:space="preserve"> </w:t>
      </w:r>
      <w:r w:rsidR="00512C86" w:rsidRPr="008B00E9">
        <w:rPr>
          <w:rFonts w:asciiTheme="minorHAnsi" w:hAnsiTheme="minorHAnsi" w:cstheme="minorHAnsi"/>
          <w:sz w:val="20"/>
          <w:szCs w:val="20"/>
        </w:rPr>
        <w:t>Demografická data pro kohortu pacientů a informace o prevalenci nižšího nebo vyššího počtu kopií studovaných markerů.</w:t>
      </w:r>
      <w:bookmarkEnd w:id="110"/>
      <w:r w:rsidR="00512C86" w:rsidRPr="008B00E9">
        <w:rPr>
          <w:rFonts w:asciiTheme="minorHAnsi" w:hAnsiTheme="minorHAnsi" w:cstheme="minorHAnsi"/>
          <w:sz w:val="20"/>
          <w:szCs w:val="20"/>
        </w:rPr>
        <w:t xml:space="preserve"> </w:t>
      </w:r>
    </w:p>
    <w:tbl>
      <w:tblPr>
        <w:tblW w:w="8364" w:type="dxa"/>
        <w:jc w:val="center"/>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418"/>
        <w:gridCol w:w="142"/>
        <w:gridCol w:w="1134"/>
        <w:gridCol w:w="1275"/>
        <w:gridCol w:w="1276"/>
        <w:gridCol w:w="1559"/>
        <w:gridCol w:w="1560"/>
      </w:tblGrid>
      <w:tr w:rsidR="00B239D3" w:rsidRPr="000E083A" w14:paraId="067D814B" w14:textId="77777777" w:rsidTr="000E083A">
        <w:trPr>
          <w:jc w:val="center"/>
        </w:trPr>
        <w:tc>
          <w:tcPr>
            <w:tcW w:w="1560" w:type="dxa"/>
            <w:gridSpan w:val="2"/>
            <w:tcBorders>
              <w:bottom w:val="single" w:sz="4" w:space="0" w:color="auto"/>
            </w:tcBorders>
            <w:shd w:val="clear" w:color="auto" w:fill="auto"/>
            <w:vAlign w:val="center"/>
          </w:tcPr>
          <w:p w14:paraId="0ADC5E73" w14:textId="357E23CB" w:rsidR="00B239D3" w:rsidRPr="000E083A" w:rsidRDefault="00B239D3" w:rsidP="000E083A">
            <w:pPr>
              <w:pStyle w:val="MDPI42tablebody"/>
              <w:spacing w:line="240" w:lineRule="auto"/>
              <w:rPr>
                <w:rFonts w:asciiTheme="minorHAnsi" w:hAnsiTheme="minorHAnsi" w:cstheme="minorHAnsi"/>
                <w:b/>
                <w:snapToGrid/>
              </w:rPr>
            </w:pPr>
            <w:r w:rsidRPr="000E083A">
              <w:rPr>
                <w:rFonts w:asciiTheme="minorHAnsi" w:hAnsiTheme="minorHAnsi" w:cstheme="minorHAnsi"/>
                <w:b/>
                <w:snapToGrid/>
              </w:rPr>
              <w:t>characteristika</w:t>
            </w:r>
          </w:p>
        </w:tc>
        <w:tc>
          <w:tcPr>
            <w:tcW w:w="1134" w:type="dxa"/>
            <w:tcBorders>
              <w:bottom w:val="single" w:sz="4" w:space="0" w:color="auto"/>
            </w:tcBorders>
            <w:shd w:val="clear" w:color="auto" w:fill="auto"/>
            <w:vAlign w:val="center"/>
          </w:tcPr>
          <w:p w14:paraId="43200F8F" w14:textId="1B25DD9D" w:rsidR="00B239D3" w:rsidRPr="000E083A" w:rsidRDefault="000E083A" w:rsidP="000E083A">
            <w:pPr>
              <w:pStyle w:val="MDPI42tablebody"/>
              <w:spacing w:line="240" w:lineRule="auto"/>
              <w:rPr>
                <w:rFonts w:asciiTheme="minorHAnsi" w:hAnsiTheme="minorHAnsi" w:cstheme="minorHAnsi"/>
                <w:b/>
                <w:snapToGrid/>
              </w:rPr>
            </w:pPr>
            <w:r w:rsidRPr="000E083A">
              <w:rPr>
                <w:rFonts w:asciiTheme="minorHAnsi" w:hAnsiTheme="minorHAnsi" w:cstheme="minorHAnsi"/>
                <w:b/>
                <w:snapToGrid/>
              </w:rPr>
              <w:t>hladina</w:t>
            </w:r>
          </w:p>
        </w:tc>
        <w:tc>
          <w:tcPr>
            <w:tcW w:w="1275" w:type="dxa"/>
            <w:tcBorders>
              <w:bottom w:val="single" w:sz="4" w:space="0" w:color="auto"/>
            </w:tcBorders>
          </w:tcPr>
          <w:p w14:paraId="4001BA1D" w14:textId="052F88BD" w:rsidR="00B239D3" w:rsidRPr="000E083A" w:rsidRDefault="000E083A" w:rsidP="000E083A">
            <w:pPr>
              <w:pStyle w:val="MDPI42tablebody"/>
              <w:spacing w:line="240" w:lineRule="auto"/>
              <w:rPr>
                <w:rFonts w:asciiTheme="minorHAnsi" w:hAnsiTheme="minorHAnsi" w:cstheme="minorHAnsi"/>
                <w:b/>
                <w:snapToGrid/>
              </w:rPr>
            </w:pPr>
            <w:r w:rsidRPr="000E083A">
              <w:rPr>
                <w:rFonts w:asciiTheme="minorHAnsi" w:hAnsiTheme="minorHAnsi" w:cstheme="minorHAnsi"/>
                <w:b/>
                <w:snapToGrid/>
              </w:rPr>
              <w:t>bez</w:t>
            </w:r>
            <w:r w:rsidR="00B239D3" w:rsidRPr="000E083A">
              <w:rPr>
                <w:rFonts w:asciiTheme="minorHAnsi" w:hAnsiTheme="minorHAnsi" w:cstheme="minorHAnsi"/>
                <w:b/>
                <w:snapToGrid/>
              </w:rPr>
              <w:t xml:space="preserve"> terap</w:t>
            </w:r>
            <w:r w:rsidRPr="000E083A">
              <w:rPr>
                <w:rFonts w:asciiTheme="minorHAnsi" w:hAnsiTheme="minorHAnsi" w:cstheme="minorHAnsi"/>
                <w:b/>
                <w:snapToGrid/>
              </w:rPr>
              <w:t>ie</w:t>
            </w:r>
          </w:p>
        </w:tc>
        <w:tc>
          <w:tcPr>
            <w:tcW w:w="1276" w:type="dxa"/>
            <w:tcBorders>
              <w:bottom w:val="single" w:sz="4" w:space="0" w:color="auto"/>
            </w:tcBorders>
          </w:tcPr>
          <w:p w14:paraId="1D4DCA39" w14:textId="77777777" w:rsidR="00B239D3" w:rsidRPr="000E083A" w:rsidRDefault="00B239D3" w:rsidP="000E083A">
            <w:pPr>
              <w:pStyle w:val="MDPI42tablebody"/>
              <w:spacing w:line="240" w:lineRule="auto"/>
              <w:rPr>
                <w:rFonts w:asciiTheme="minorHAnsi" w:hAnsiTheme="minorHAnsi" w:cstheme="minorHAnsi"/>
                <w:b/>
                <w:snapToGrid/>
              </w:rPr>
            </w:pPr>
            <w:r w:rsidRPr="000E083A">
              <w:rPr>
                <w:rFonts w:asciiTheme="minorHAnsi" w:hAnsiTheme="minorHAnsi" w:cstheme="minorHAnsi"/>
                <w:b/>
                <w:snapToGrid/>
              </w:rPr>
              <w:t>RT</w:t>
            </w:r>
          </w:p>
        </w:tc>
        <w:tc>
          <w:tcPr>
            <w:tcW w:w="1559" w:type="dxa"/>
            <w:tcBorders>
              <w:bottom w:val="single" w:sz="4" w:space="0" w:color="auto"/>
            </w:tcBorders>
          </w:tcPr>
          <w:p w14:paraId="4C539E76" w14:textId="77777777" w:rsidR="00B239D3" w:rsidRPr="000E083A" w:rsidRDefault="00B239D3" w:rsidP="000E083A">
            <w:pPr>
              <w:pStyle w:val="MDPI42tablebody"/>
              <w:spacing w:line="240" w:lineRule="auto"/>
              <w:rPr>
                <w:rFonts w:asciiTheme="minorHAnsi" w:hAnsiTheme="minorHAnsi" w:cstheme="minorHAnsi"/>
                <w:b/>
                <w:snapToGrid/>
              </w:rPr>
            </w:pPr>
            <w:r w:rsidRPr="000E083A">
              <w:rPr>
                <w:rFonts w:asciiTheme="minorHAnsi" w:hAnsiTheme="minorHAnsi" w:cstheme="minorHAnsi"/>
                <w:b/>
                <w:snapToGrid/>
              </w:rPr>
              <w:t>CHT</w:t>
            </w:r>
            <w:r w:rsidRPr="000E083A">
              <w:rPr>
                <w:rFonts w:asciiTheme="minorHAnsi" w:hAnsiTheme="minorHAnsi" w:cstheme="minorHAnsi"/>
                <w:b/>
                <w:snapToGrid/>
              </w:rPr>
              <w:softHyphen/>
              <w:t>+RT</w:t>
            </w:r>
          </w:p>
        </w:tc>
        <w:tc>
          <w:tcPr>
            <w:tcW w:w="1560" w:type="dxa"/>
            <w:tcBorders>
              <w:bottom w:val="single" w:sz="4" w:space="0" w:color="auto"/>
            </w:tcBorders>
            <w:shd w:val="clear" w:color="auto" w:fill="auto"/>
            <w:vAlign w:val="center"/>
          </w:tcPr>
          <w:p w14:paraId="3EF2DFB9" w14:textId="6D8A9701" w:rsidR="00B239D3" w:rsidRPr="000E083A" w:rsidRDefault="000E083A" w:rsidP="000E083A">
            <w:pPr>
              <w:pStyle w:val="MDPI42tablebody"/>
              <w:spacing w:line="240" w:lineRule="auto"/>
              <w:rPr>
                <w:rFonts w:asciiTheme="minorHAnsi" w:hAnsiTheme="minorHAnsi" w:cstheme="minorHAnsi"/>
                <w:b/>
                <w:snapToGrid/>
              </w:rPr>
            </w:pPr>
            <w:r w:rsidRPr="000E083A">
              <w:rPr>
                <w:rFonts w:asciiTheme="minorHAnsi" w:hAnsiTheme="minorHAnsi" w:cstheme="minorHAnsi"/>
                <w:b/>
                <w:snapToGrid/>
              </w:rPr>
              <w:t>všichni pacienti</w:t>
            </w:r>
          </w:p>
        </w:tc>
      </w:tr>
      <w:tr w:rsidR="00B239D3" w:rsidRPr="000E083A" w14:paraId="1C061120" w14:textId="77777777" w:rsidTr="000E083A">
        <w:trPr>
          <w:jc w:val="center"/>
        </w:trPr>
        <w:tc>
          <w:tcPr>
            <w:tcW w:w="1560" w:type="dxa"/>
            <w:gridSpan w:val="2"/>
            <w:tcBorders>
              <w:top w:val="single" w:sz="4" w:space="0" w:color="auto"/>
              <w:bottom w:val="nil"/>
            </w:tcBorders>
            <w:shd w:val="clear" w:color="auto" w:fill="auto"/>
            <w:vAlign w:val="center"/>
          </w:tcPr>
          <w:p w14:paraId="17D5DFDB" w14:textId="7B45022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pohlaví</w:t>
            </w:r>
          </w:p>
        </w:tc>
        <w:tc>
          <w:tcPr>
            <w:tcW w:w="1134" w:type="dxa"/>
            <w:tcBorders>
              <w:top w:val="single" w:sz="4" w:space="0" w:color="auto"/>
              <w:bottom w:val="nil"/>
            </w:tcBorders>
            <w:shd w:val="clear" w:color="auto" w:fill="auto"/>
            <w:vAlign w:val="center"/>
          </w:tcPr>
          <w:p w14:paraId="02F9A496" w14:textId="06614207" w:rsidR="00B239D3" w:rsidRPr="000E083A" w:rsidRDefault="00827CBF" w:rsidP="000E083A">
            <w:pPr>
              <w:pStyle w:val="MDPI42tablebody"/>
              <w:spacing w:line="240" w:lineRule="auto"/>
              <w:rPr>
                <w:rFonts w:asciiTheme="minorHAnsi" w:hAnsiTheme="minorHAnsi" w:cstheme="minorHAnsi"/>
                <w:sz w:val="18"/>
                <w:szCs w:val="18"/>
              </w:rPr>
            </w:pPr>
            <w:r>
              <w:rPr>
                <w:rFonts w:asciiTheme="minorHAnsi" w:hAnsiTheme="minorHAnsi" w:cstheme="minorHAnsi"/>
                <w:sz w:val="18"/>
                <w:szCs w:val="18"/>
              </w:rPr>
              <w:t>Ž</w:t>
            </w:r>
          </w:p>
        </w:tc>
        <w:tc>
          <w:tcPr>
            <w:tcW w:w="1275" w:type="dxa"/>
            <w:tcBorders>
              <w:top w:val="single" w:sz="4" w:space="0" w:color="auto"/>
              <w:bottom w:val="nil"/>
            </w:tcBorders>
          </w:tcPr>
          <w:p w14:paraId="3E2BC1AB" w14:textId="3D5081A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10/24 (41</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single" w:sz="4" w:space="0" w:color="auto"/>
              <w:bottom w:val="nil"/>
            </w:tcBorders>
          </w:tcPr>
          <w:p w14:paraId="2FB19949"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25/50 (50%)</w:t>
            </w:r>
          </w:p>
        </w:tc>
        <w:tc>
          <w:tcPr>
            <w:tcW w:w="1559" w:type="dxa"/>
            <w:tcBorders>
              <w:top w:val="single" w:sz="4" w:space="0" w:color="auto"/>
              <w:bottom w:val="nil"/>
            </w:tcBorders>
          </w:tcPr>
          <w:p w14:paraId="4B526008" w14:textId="718BA6C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17/58 (29</w:t>
            </w:r>
            <w:r w:rsidR="00DD4F81">
              <w:rPr>
                <w:rFonts w:asciiTheme="minorHAnsi" w:hAnsiTheme="minorHAnsi" w:cstheme="minorHAnsi"/>
              </w:rPr>
              <w:t>,</w:t>
            </w:r>
            <w:r w:rsidRPr="000E083A">
              <w:rPr>
                <w:rFonts w:asciiTheme="minorHAnsi" w:hAnsiTheme="minorHAnsi" w:cstheme="minorHAnsi"/>
              </w:rPr>
              <w:t>3%)</w:t>
            </w:r>
          </w:p>
        </w:tc>
        <w:tc>
          <w:tcPr>
            <w:tcW w:w="1560" w:type="dxa"/>
            <w:tcBorders>
              <w:top w:val="single" w:sz="4" w:space="0" w:color="auto"/>
              <w:bottom w:val="nil"/>
            </w:tcBorders>
            <w:shd w:val="clear" w:color="auto" w:fill="auto"/>
          </w:tcPr>
          <w:p w14:paraId="323AFCEE" w14:textId="4657FF15"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52/132 (39</w:t>
            </w:r>
            <w:r w:rsidR="00DD4F81">
              <w:rPr>
                <w:rFonts w:asciiTheme="minorHAnsi" w:hAnsiTheme="minorHAnsi" w:cstheme="minorHAnsi"/>
              </w:rPr>
              <w:t>,</w:t>
            </w:r>
            <w:r w:rsidRPr="000E083A">
              <w:rPr>
                <w:rFonts w:asciiTheme="minorHAnsi" w:hAnsiTheme="minorHAnsi" w:cstheme="minorHAnsi"/>
              </w:rPr>
              <w:t>4%)</w:t>
            </w:r>
          </w:p>
        </w:tc>
      </w:tr>
      <w:tr w:rsidR="00B239D3" w:rsidRPr="000E083A" w14:paraId="3AA3B4E1" w14:textId="77777777" w:rsidTr="000E083A">
        <w:trPr>
          <w:jc w:val="center"/>
        </w:trPr>
        <w:tc>
          <w:tcPr>
            <w:tcW w:w="1560" w:type="dxa"/>
            <w:gridSpan w:val="2"/>
            <w:tcBorders>
              <w:top w:val="nil"/>
              <w:bottom w:val="single" w:sz="4" w:space="0" w:color="auto"/>
            </w:tcBorders>
            <w:shd w:val="clear" w:color="auto" w:fill="auto"/>
            <w:vAlign w:val="center"/>
          </w:tcPr>
          <w:p w14:paraId="2FCBCA39"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vAlign w:val="center"/>
          </w:tcPr>
          <w:p w14:paraId="3819BF21"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M</w:t>
            </w:r>
          </w:p>
        </w:tc>
        <w:tc>
          <w:tcPr>
            <w:tcW w:w="1275" w:type="dxa"/>
            <w:tcBorders>
              <w:top w:val="nil"/>
              <w:bottom w:val="single" w:sz="4" w:space="0" w:color="auto"/>
            </w:tcBorders>
          </w:tcPr>
          <w:p w14:paraId="4EC62755" w14:textId="138532D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14/24 (58</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nil"/>
              <w:bottom w:val="single" w:sz="4" w:space="0" w:color="auto"/>
            </w:tcBorders>
          </w:tcPr>
          <w:p w14:paraId="22DFD99F"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25/50 (50%)</w:t>
            </w:r>
          </w:p>
        </w:tc>
        <w:tc>
          <w:tcPr>
            <w:tcW w:w="1559" w:type="dxa"/>
            <w:tcBorders>
              <w:top w:val="nil"/>
              <w:bottom w:val="single" w:sz="4" w:space="0" w:color="auto"/>
            </w:tcBorders>
          </w:tcPr>
          <w:p w14:paraId="00AC7844" w14:textId="5D75247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41/58 (70</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nil"/>
              <w:bottom w:val="single" w:sz="4" w:space="0" w:color="auto"/>
            </w:tcBorders>
            <w:shd w:val="clear" w:color="auto" w:fill="auto"/>
          </w:tcPr>
          <w:p w14:paraId="738E7176" w14:textId="44BAD4E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80/132 (60</w:t>
            </w:r>
            <w:r w:rsidR="00DD4F81">
              <w:rPr>
                <w:rFonts w:asciiTheme="minorHAnsi" w:hAnsiTheme="minorHAnsi" w:cstheme="minorHAnsi"/>
              </w:rPr>
              <w:t>,</w:t>
            </w:r>
            <w:r w:rsidRPr="000E083A">
              <w:rPr>
                <w:rFonts w:asciiTheme="minorHAnsi" w:hAnsiTheme="minorHAnsi" w:cstheme="minorHAnsi"/>
              </w:rPr>
              <w:t>6%)</w:t>
            </w:r>
          </w:p>
        </w:tc>
      </w:tr>
      <w:tr w:rsidR="00B239D3" w:rsidRPr="000E083A" w14:paraId="7B17A834" w14:textId="77777777" w:rsidTr="000E083A">
        <w:trPr>
          <w:jc w:val="center"/>
        </w:trPr>
        <w:tc>
          <w:tcPr>
            <w:tcW w:w="1560" w:type="dxa"/>
            <w:gridSpan w:val="2"/>
            <w:tcBorders>
              <w:top w:val="single" w:sz="4" w:space="0" w:color="auto"/>
              <w:bottom w:val="nil"/>
            </w:tcBorders>
            <w:shd w:val="clear" w:color="auto" w:fill="auto"/>
            <w:vAlign w:val="center"/>
          </w:tcPr>
          <w:p w14:paraId="355EE83E" w14:textId="7B3BDF5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lokalizace GBM</w:t>
            </w:r>
          </w:p>
        </w:tc>
        <w:tc>
          <w:tcPr>
            <w:tcW w:w="1134" w:type="dxa"/>
            <w:tcBorders>
              <w:top w:val="single" w:sz="4" w:space="0" w:color="auto"/>
              <w:bottom w:val="nil"/>
            </w:tcBorders>
            <w:shd w:val="clear" w:color="auto" w:fill="auto"/>
            <w:vAlign w:val="center"/>
          </w:tcPr>
          <w:p w14:paraId="15005776"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F</w:t>
            </w:r>
          </w:p>
        </w:tc>
        <w:tc>
          <w:tcPr>
            <w:tcW w:w="1275" w:type="dxa"/>
            <w:tcBorders>
              <w:top w:val="single" w:sz="4" w:space="0" w:color="auto"/>
              <w:bottom w:val="nil"/>
            </w:tcBorders>
          </w:tcPr>
          <w:p w14:paraId="4928018A" w14:textId="497CA47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8/24 (33</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single" w:sz="4" w:space="0" w:color="auto"/>
              <w:bottom w:val="nil"/>
            </w:tcBorders>
          </w:tcPr>
          <w:p w14:paraId="1ECFE367"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14/50 (28%)</w:t>
            </w:r>
          </w:p>
        </w:tc>
        <w:tc>
          <w:tcPr>
            <w:tcW w:w="1559" w:type="dxa"/>
            <w:tcBorders>
              <w:top w:val="single" w:sz="4" w:space="0" w:color="auto"/>
              <w:bottom w:val="nil"/>
            </w:tcBorders>
          </w:tcPr>
          <w:p w14:paraId="285398D9" w14:textId="37D1285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20/58 (34</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single" w:sz="4" w:space="0" w:color="auto"/>
              <w:bottom w:val="nil"/>
            </w:tcBorders>
            <w:shd w:val="clear" w:color="auto" w:fill="auto"/>
          </w:tcPr>
          <w:p w14:paraId="2A1B79AD" w14:textId="16BFA4B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42/132 (31</w:t>
            </w:r>
            <w:r w:rsidR="00DD4F81">
              <w:rPr>
                <w:rFonts w:asciiTheme="minorHAnsi" w:hAnsiTheme="minorHAnsi" w:cstheme="minorHAnsi"/>
              </w:rPr>
              <w:t>,</w:t>
            </w:r>
            <w:r w:rsidRPr="000E083A">
              <w:rPr>
                <w:rFonts w:asciiTheme="minorHAnsi" w:hAnsiTheme="minorHAnsi" w:cstheme="minorHAnsi"/>
              </w:rPr>
              <w:t>8%)</w:t>
            </w:r>
          </w:p>
        </w:tc>
      </w:tr>
      <w:tr w:rsidR="00B239D3" w:rsidRPr="000E083A" w14:paraId="2947690F" w14:textId="77777777" w:rsidTr="000E083A">
        <w:trPr>
          <w:jc w:val="center"/>
        </w:trPr>
        <w:tc>
          <w:tcPr>
            <w:tcW w:w="1560" w:type="dxa"/>
            <w:gridSpan w:val="2"/>
            <w:tcBorders>
              <w:top w:val="nil"/>
              <w:bottom w:val="nil"/>
            </w:tcBorders>
            <w:shd w:val="clear" w:color="auto" w:fill="auto"/>
            <w:vAlign w:val="center"/>
          </w:tcPr>
          <w:p w14:paraId="559CC23C"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nil"/>
            </w:tcBorders>
            <w:shd w:val="clear" w:color="auto" w:fill="auto"/>
            <w:vAlign w:val="center"/>
          </w:tcPr>
          <w:p w14:paraId="79D44EA3"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O</w:t>
            </w:r>
          </w:p>
        </w:tc>
        <w:tc>
          <w:tcPr>
            <w:tcW w:w="1275" w:type="dxa"/>
            <w:tcBorders>
              <w:top w:val="nil"/>
              <w:bottom w:val="nil"/>
            </w:tcBorders>
          </w:tcPr>
          <w:p w14:paraId="60D9B10F" w14:textId="2151E5C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3/24 (12</w:t>
            </w:r>
            <w:r w:rsidR="001A0AFD">
              <w:rPr>
                <w:rFonts w:asciiTheme="minorHAnsi" w:hAnsiTheme="minorHAnsi" w:cstheme="minorHAnsi"/>
              </w:rPr>
              <w:t>,</w:t>
            </w:r>
            <w:r w:rsidRPr="000E083A">
              <w:rPr>
                <w:rFonts w:asciiTheme="minorHAnsi" w:hAnsiTheme="minorHAnsi" w:cstheme="minorHAnsi"/>
              </w:rPr>
              <w:t>5%)</w:t>
            </w:r>
          </w:p>
        </w:tc>
        <w:tc>
          <w:tcPr>
            <w:tcW w:w="1276" w:type="dxa"/>
            <w:tcBorders>
              <w:top w:val="nil"/>
              <w:bottom w:val="nil"/>
            </w:tcBorders>
          </w:tcPr>
          <w:p w14:paraId="1A6A7161"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10/50 (20%)</w:t>
            </w:r>
          </w:p>
        </w:tc>
        <w:tc>
          <w:tcPr>
            <w:tcW w:w="1559" w:type="dxa"/>
            <w:tcBorders>
              <w:top w:val="nil"/>
              <w:bottom w:val="nil"/>
            </w:tcBorders>
          </w:tcPr>
          <w:p w14:paraId="008C636B" w14:textId="697AA40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10/58 (17</w:t>
            </w:r>
            <w:r w:rsidR="00DD4F81">
              <w:rPr>
                <w:rFonts w:asciiTheme="minorHAnsi" w:hAnsiTheme="minorHAnsi" w:cstheme="minorHAnsi"/>
              </w:rPr>
              <w:t>,</w:t>
            </w:r>
            <w:r w:rsidRPr="000E083A">
              <w:rPr>
                <w:rFonts w:asciiTheme="minorHAnsi" w:hAnsiTheme="minorHAnsi" w:cstheme="minorHAnsi"/>
              </w:rPr>
              <w:t>2%)</w:t>
            </w:r>
          </w:p>
        </w:tc>
        <w:tc>
          <w:tcPr>
            <w:tcW w:w="1560" w:type="dxa"/>
            <w:tcBorders>
              <w:top w:val="nil"/>
              <w:bottom w:val="nil"/>
            </w:tcBorders>
            <w:shd w:val="clear" w:color="auto" w:fill="auto"/>
          </w:tcPr>
          <w:p w14:paraId="24CEB6CC" w14:textId="47D89AD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23/132 (17</w:t>
            </w:r>
            <w:r w:rsidR="00DD4F81">
              <w:rPr>
                <w:rFonts w:asciiTheme="minorHAnsi" w:hAnsiTheme="minorHAnsi" w:cstheme="minorHAnsi"/>
              </w:rPr>
              <w:t>,</w:t>
            </w:r>
            <w:r w:rsidRPr="000E083A">
              <w:rPr>
                <w:rFonts w:asciiTheme="minorHAnsi" w:hAnsiTheme="minorHAnsi" w:cstheme="minorHAnsi"/>
              </w:rPr>
              <w:t>4%)</w:t>
            </w:r>
          </w:p>
        </w:tc>
      </w:tr>
      <w:tr w:rsidR="00B239D3" w:rsidRPr="000E083A" w14:paraId="49F4799D" w14:textId="77777777" w:rsidTr="000E083A">
        <w:trPr>
          <w:jc w:val="center"/>
        </w:trPr>
        <w:tc>
          <w:tcPr>
            <w:tcW w:w="1560" w:type="dxa"/>
            <w:gridSpan w:val="2"/>
            <w:tcBorders>
              <w:top w:val="nil"/>
              <w:bottom w:val="nil"/>
            </w:tcBorders>
            <w:shd w:val="clear" w:color="auto" w:fill="auto"/>
            <w:vAlign w:val="center"/>
          </w:tcPr>
          <w:p w14:paraId="3396253A"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nil"/>
            </w:tcBorders>
            <w:shd w:val="clear" w:color="auto" w:fill="auto"/>
            <w:vAlign w:val="center"/>
          </w:tcPr>
          <w:p w14:paraId="221EE9D1"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P</w:t>
            </w:r>
          </w:p>
        </w:tc>
        <w:tc>
          <w:tcPr>
            <w:tcW w:w="1275" w:type="dxa"/>
            <w:tcBorders>
              <w:top w:val="nil"/>
              <w:bottom w:val="nil"/>
            </w:tcBorders>
          </w:tcPr>
          <w:p w14:paraId="16FCBA8D" w14:textId="51CD131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2/24 (8</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nil"/>
              <w:bottom w:val="nil"/>
            </w:tcBorders>
          </w:tcPr>
          <w:p w14:paraId="788D7738"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9/50 (18%)</w:t>
            </w:r>
          </w:p>
        </w:tc>
        <w:tc>
          <w:tcPr>
            <w:tcW w:w="1559" w:type="dxa"/>
            <w:tcBorders>
              <w:top w:val="nil"/>
              <w:bottom w:val="nil"/>
            </w:tcBorders>
          </w:tcPr>
          <w:p w14:paraId="6623862E" w14:textId="6324DE8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13/58 (22</w:t>
            </w:r>
            <w:r w:rsidR="00DD4F81">
              <w:rPr>
                <w:rFonts w:asciiTheme="minorHAnsi" w:hAnsiTheme="minorHAnsi" w:cstheme="minorHAnsi"/>
              </w:rPr>
              <w:t>,</w:t>
            </w:r>
            <w:r w:rsidRPr="000E083A">
              <w:rPr>
                <w:rFonts w:asciiTheme="minorHAnsi" w:hAnsiTheme="minorHAnsi" w:cstheme="minorHAnsi"/>
              </w:rPr>
              <w:t>4%)</w:t>
            </w:r>
          </w:p>
        </w:tc>
        <w:tc>
          <w:tcPr>
            <w:tcW w:w="1560" w:type="dxa"/>
            <w:tcBorders>
              <w:top w:val="nil"/>
              <w:bottom w:val="nil"/>
            </w:tcBorders>
            <w:shd w:val="clear" w:color="auto" w:fill="auto"/>
          </w:tcPr>
          <w:p w14:paraId="7BDF8B6B" w14:textId="3C477455"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24/132 (18</w:t>
            </w:r>
            <w:r w:rsidR="00DD4F81">
              <w:rPr>
                <w:rFonts w:asciiTheme="minorHAnsi" w:hAnsiTheme="minorHAnsi" w:cstheme="minorHAnsi"/>
              </w:rPr>
              <w:t>,</w:t>
            </w:r>
            <w:r w:rsidRPr="000E083A">
              <w:rPr>
                <w:rFonts w:asciiTheme="minorHAnsi" w:hAnsiTheme="minorHAnsi" w:cstheme="minorHAnsi"/>
              </w:rPr>
              <w:t>2%)</w:t>
            </w:r>
          </w:p>
        </w:tc>
      </w:tr>
      <w:tr w:rsidR="00B239D3" w:rsidRPr="000E083A" w14:paraId="54D5561D" w14:textId="77777777" w:rsidTr="000E083A">
        <w:trPr>
          <w:jc w:val="center"/>
        </w:trPr>
        <w:tc>
          <w:tcPr>
            <w:tcW w:w="1560" w:type="dxa"/>
            <w:gridSpan w:val="2"/>
            <w:tcBorders>
              <w:top w:val="nil"/>
              <w:bottom w:val="nil"/>
            </w:tcBorders>
            <w:shd w:val="clear" w:color="auto" w:fill="auto"/>
            <w:vAlign w:val="center"/>
          </w:tcPr>
          <w:p w14:paraId="42EA4BAF"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nil"/>
            </w:tcBorders>
            <w:shd w:val="clear" w:color="auto" w:fill="auto"/>
            <w:vAlign w:val="center"/>
          </w:tcPr>
          <w:p w14:paraId="316655A3"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T</w:t>
            </w:r>
          </w:p>
        </w:tc>
        <w:tc>
          <w:tcPr>
            <w:tcW w:w="1275" w:type="dxa"/>
            <w:tcBorders>
              <w:top w:val="nil"/>
              <w:bottom w:val="nil"/>
            </w:tcBorders>
          </w:tcPr>
          <w:p w14:paraId="3DF0189E" w14:textId="02B293B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10/24 (41</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nil"/>
              <w:bottom w:val="nil"/>
            </w:tcBorders>
          </w:tcPr>
          <w:p w14:paraId="3EED4D66"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15/50 (30%)</w:t>
            </w:r>
          </w:p>
        </w:tc>
        <w:tc>
          <w:tcPr>
            <w:tcW w:w="1559" w:type="dxa"/>
            <w:tcBorders>
              <w:top w:val="nil"/>
              <w:bottom w:val="nil"/>
            </w:tcBorders>
          </w:tcPr>
          <w:p w14:paraId="30BF2064" w14:textId="0B8E40A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12/58 (20</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nil"/>
              <w:bottom w:val="nil"/>
            </w:tcBorders>
            <w:shd w:val="clear" w:color="auto" w:fill="auto"/>
          </w:tcPr>
          <w:p w14:paraId="2F4A6A1B"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37/132 (28%)</w:t>
            </w:r>
          </w:p>
        </w:tc>
      </w:tr>
      <w:tr w:rsidR="00B239D3" w:rsidRPr="000E083A" w14:paraId="7719D804" w14:textId="77777777" w:rsidTr="000E083A">
        <w:trPr>
          <w:jc w:val="center"/>
        </w:trPr>
        <w:tc>
          <w:tcPr>
            <w:tcW w:w="1560" w:type="dxa"/>
            <w:gridSpan w:val="2"/>
            <w:tcBorders>
              <w:top w:val="nil"/>
              <w:bottom w:val="single" w:sz="4" w:space="0" w:color="auto"/>
            </w:tcBorders>
            <w:shd w:val="clear" w:color="auto" w:fill="auto"/>
            <w:vAlign w:val="center"/>
          </w:tcPr>
          <w:p w14:paraId="17557B3E"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vAlign w:val="center"/>
          </w:tcPr>
          <w:p w14:paraId="4565B1CB" w14:textId="052536DE" w:rsidR="00B239D3" w:rsidRPr="000E083A" w:rsidRDefault="000E083A" w:rsidP="000E083A">
            <w:pPr>
              <w:pStyle w:val="MDPI42tablebody"/>
              <w:spacing w:line="240" w:lineRule="auto"/>
              <w:rPr>
                <w:rFonts w:asciiTheme="minorHAnsi" w:hAnsiTheme="minorHAnsi" w:cstheme="minorHAnsi"/>
                <w:sz w:val="18"/>
                <w:szCs w:val="18"/>
              </w:rPr>
            </w:pPr>
            <w:r>
              <w:rPr>
                <w:rFonts w:asciiTheme="minorHAnsi" w:hAnsiTheme="minorHAnsi" w:cstheme="minorHAnsi"/>
                <w:sz w:val="18"/>
                <w:szCs w:val="18"/>
              </w:rPr>
              <w:t>další</w:t>
            </w:r>
          </w:p>
        </w:tc>
        <w:tc>
          <w:tcPr>
            <w:tcW w:w="1275" w:type="dxa"/>
            <w:tcBorders>
              <w:top w:val="nil"/>
              <w:bottom w:val="single" w:sz="4" w:space="0" w:color="auto"/>
            </w:tcBorders>
          </w:tcPr>
          <w:p w14:paraId="6962A265" w14:textId="17D7921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1/24 (4</w:t>
            </w:r>
            <w:r w:rsidR="001A0AFD">
              <w:rPr>
                <w:rFonts w:asciiTheme="minorHAnsi" w:hAnsiTheme="minorHAnsi" w:cstheme="minorHAnsi"/>
              </w:rPr>
              <w:t>,</w:t>
            </w:r>
            <w:r w:rsidRPr="000E083A">
              <w:rPr>
                <w:rFonts w:asciiTheme="minorHAnsi" w:hAnsiTheme="minorHAnsi" w:cstheme="minorHAnsi"/>
              </w:rPr>
              <w:t>2%)</w:t>
            </w:r>
          </w:p>
        </w:tc>
        <w:tc>
          <w:tcPr>
            <w:tcW w:w="1276" w:type="dxa"/>
            <w:tcBorders>
              <w:top w:val="nil"/>
              <w:bottom w:val="single" w:sz="4" w:space="0" w:color="auto"/>
            </w:tcBorders>
          </w:tcPr>
          <w:p w14:paraId="07FCDAE1"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2/50 (4%)</w:t>
            </w:r>
          </w:p>
        </w:tc>
        <w:tc>
          <w:tcPr>
            <w:tcW w:w="1559" w:type="dxa"/>
            <w:tcBorders>
              <w:top w:val="nil"/>
              <w:bottom w:val="single" w:sz="4" w:space="0" w:color="auto"/>
            </w:tcBorders>
          </w:tcPr>
          <w:p w14:paraId="0A65A995" w14:textId="47F42F78"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3/58 (5</w:t>
            </w:r>
            <w:r w:rsidR="00DD4F81">
              <w:rPr>
                <w:rFonts w:asciiTheme="minorHAnsi" w:hAnsiTheme="minorHAnsi" w:cstheme="minorHAnsi"/>
              </w:rPr>
              <w:t>,</w:t>
            </w:r>
            <w:r w:rsidRPr="000E083A">
              <w:rPr>
                <w:rFonts w:asciiTheme="minorHAnsi" w:hAnsiTheme="minorHAnsi" w:cstheme="minorHAnsi"/>
              </w:rPr>
              <w:t>2%)</w:t>
            </w:r>
          </w:p>
        </w:tc>
        <w:tc>
          <w:tcPr>
            <w:tcW w:w="1560" w:type="dxa"/>
            <w:tcBorders>
              <w:top w:val="nil"/>
              <w:bottom w:val="single" w:sz="4" w:space="0" w:color="auto"/>
            </w:tcBorders>
            <w:shd w:val="clear" w:color="auto" w:fill="auto"/>
          </w:tcPr>
          <w:p w14:paraId="7927634F" w14:textId="5DD554C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6/132 (4</w:t>
            </w:r>
            <w:r w:rsidR="00DD4F81">
              <w:rPr>
                <w:rFonts w:asciiTheme="minorHAnsi" w:hAnsiTheme="minorHAnsi" w:cstheme="minorHAnsi"/>
              </w:rPr>
              <w:t>,</w:t>
            </w:r>
            <w:r w:rsidRPr="000E083A">
              <w:rPr>
                <w:rFonts w:asciiTheme="minorHAnsi" w:hAnsiTheme="minorHAnsi" w:cstheme="minorHAnsi"/>
              </w:rPr>
              <w:t>5%)</w:t>
            </w:r>
          </w:p>
        </w:tc>
      </w:tr>
      <w:tr w:rsidR="00B239D3" w:rsidRPr="000E083A" w14:paraId="4A32B814" w14:textId="77777777" w:rsidTr="000E083A">
        <w:trPr>
          <w:jc w:val="center"/>
        </w:trPr>
        <w:tc>
          <w:tcPr>
            <w:tcW w:w="1560" w:type="dxa"/>
            <w:gridSpan w:val="2"/>
            <w:tcBorders>
              <w:top w:val="single" w:sz="4" w:space="0" w:color="auto"/>
              <w:bottom w:val="nil"/>
            </w:tcBorders>
            <w:shd w:val="clear" w:color="auto" w:fill="auto"/>
            <w:vAlign w:val="center"/>
          </w:tcPr>
          <w:p w14:paraId="3580F748" w14:textId="0035B1E5" w:rsidR="00B239D3" w:rsidRPr="000E083A" w:rsidRDefault="000E083A" w:rsidP="000E083A">
            <w:pPr>
              <w:pStyle w:val="MDPI42tablebody"/>
              <w:spacing w:line="240" w:lineRule="auto"/>
              <w:rPr>
                <w:rFonts w:asciiTheme="minorHAnsi" w:hAnsiTheme="minorHAnsi" w:cstheme="minorHAnsi"/>
                <w:sz w:val="18"/>
                <w:szCs w:val="18"/>
              </w:rPr>
            </w:pPr>
            <w:r>
              <w:rPr>
                <w:rFonts w:asciiTheme="minorHAnsi" w:hAnsiTheme="minorHAnsi" w:cstheme="minorHAnsi"/>
                <w:sz w:val="18"/>
                <w:szCs w:val="18"/>
              </w:rPr>
              <w:t>kuřák</w:t>
            </w:r>
            <w:r w:rsidR="00B239D3" w:rsidRPr="000E083A">
              <w:rPr>
                <w:rFonts w:asciiTheme="minorHAnsi" w:hAnsiTheme="minorHAnsi" w:cstheme="minorHAnsi"/>
                <w:sz w:val="18"/>
                <w:szCs w:val="18"/>
              </w:rPr>
              <w:t>*</w:t>
            </w:r>
          </w:p>
        </w:tc>
        <w:tc>
          <w:tcPr>
            <w:tcW w:w="1134" w:type="dxa"/>
            <w:tcBorders>
              <w:top w:val="single" w:sz="4" w:space="0" w:color="auto"/>
              <w:bottom w:val="nil"/>
            </w:tcBorders>
            <w:shd w:val="clear" w:color="auto" w:fill="auto"/>
            <w:vAlign w:val="center"/>
          </w:tcPr>
          <w:p w14:paraId="2F9B594D" w14:textId="68D2E906" w:rsidR="00B239D3" w:rsidRPr="000E083A" w:rsidRDefault="000E083A" w:rsidP="000E083A">
            <w:pPr>
              <w:pStyle w:val="MDPI42tablebody"/>
              <w:spacing w:line="240" w:lineRule="auto"/>
              <w:rPr>
                <w:rFonts w:asciiTheme="minorHAnsi" w:hAnsiTheme="minorHAnsi" w:cstheme="minorHAnsi"/>
                <w:sz w:val="18"/>
                <w:szCs w:val="18"/>
              </w:rPr>
            </w:pPr>
            <w:r>
              <w:rPr>
                <w:rFonts w:asciiTheme="minorHAnsi" w:hAnsiTheme="minorHAnsi" w:cstheme="minorHAnsi"/>
                <w:sz w:val="18"/>
                <w:szCs w:val="18"/>
              </w:rPr>
              <w:t>ne</w:t>
            </w:r>
          </w:p>
        </w:tc>
        <w:tc>
          <w:tcPr>
            <w:tcW w:w="1275" w:type="dxa"/>
            <w:tcBorders>
              <w:top w:val="single" w:sz="4" w:space="0" w:color="auto"/>
              <w:bottom w:val="nil"/>
            </w:tcBorders>
          </w:tcPr>
          <w:p w14:paraId="75BDB822" w14:textId="00297C7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9/24 (37</w:t>
            </w:r>
            <w:r w:rsidR="001A0AFD">
              <w:rPr>
                <w:rFonts w:asciiTheme="minorHAnsi" w:hAnsiTheme="minorHAnsi" w:cstheme="minorHAnsi"/>
              </w:rPr>
              <w:t>,</w:t>
            </w:r>
            <w:r w:rsidRPr="000E083A">
              <w:rPr>
                <w:rFonts w:asciiTheme="minorHAnsi" w:hAnsiTheme="minorHAnsi" w:cstheme="minorHAnsi"/>
              </w:rPr>
              <w:t>5%)</w:t>
            </w:r>
          </w:p>
        </w:tc>
        <w:tc>
          <w:tcPr>
            <w:tcW w:w="1276" w:type="dxa"/>
            <w:tcBorders>
              <w:top w:val="single" w:sz="4" w:space="0" w:color="auto"/>
              <w:bottom w:val="nil"/>
            </w:tcBorders>
          </w:tcPr>
          <w:p w14:paraId="0A4DF667"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33/50 (66%)</w:t>
            </w:r>
          </w:p>
        </w:tc>
        <w:tc>
          <w:tcPr>
            <w:tcW w:w="1559" w:type="dxa"/>
            <w:tcBorders>
              <w:top w:val="single" w:sz="4" w:space="0" w:color="auto"/>
              <w:bottom w:val="nil"/>
            </w:tcBorders>
          </w:tcPr>
          <w:p w14:paraId="6BF27F3E" w14:textId="60CAAB7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41/58 (70</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single" w:sz="4" w:space="0" w:color="auto"/>
              <w:bottom w:val="nil"/>
            </w:tcBorders>
            <w:shd w:val="clear" w:color="auto" w:fill="auto"/>
          </w:tcPr>
          <w:p w14:paraId="510865B5" w14:textId="275551C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83/132 (62</w:t>
            </w:r>
            <w:r w:rsidR="00DD4F81">
              <w:rPr>
                <w:rFonts w:asciiTheme="minorHAnsi" w:hAnsiTheme="minorHAnsi" w:cstheme="minorHAnsi"/>
              </w:rPr>
              <w:t>,</w:t>
            </w:r>
            <w:r w:rsidRPr="000E083A">
              <w:rPr>
                <w:rFonts w:asciiTheme="minorHAnsi" w:hAnsiTheme="minorHAnsi" w:cstheme="minorHAnsi"/>
              </w:rPr>
              <w:t>9%)</w:t>
            </w:r>
          </w:p>
        </w:tc>
      </w:tr>
      <w:tr w:rsidR="00B239D3" w:rsidRPr="000E083A" w14:paraId="6C0913EC" w14:textId="77777777" w:rsidTr="000E083A">
        <w:trPr>
          <w:jc w:val="center"/>
        </w:trPr>
        <w:tc>
          <w:tcPr>
            <w:tcW w:w="1560" w:type="dxa"/>
            <w:gridSpan w:val="2"/>
            <w:tcBorders>
              <w:top w:val="nil"/>
              <w:bottom w:val="single" w:sz="4" w:space="0" w:color="auto"/>
            </w:tcBorders>
            <w:shd w:val="clear" w:color="auto" w:fill="auto"/>
            <w:vAlign w:val="center"/>
          </w:tcPr>
          <w:p w14:paraId="16CCC39D"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vAlign w:val="center"/>
          </w:tcPr>
          <w:p w14:paraId="48792A89" w14:textId="4FDC00DC" w:rsidR="00B239D3" w:rsidRPr="000E083A" w:rsidRDefault="000E083A" w:rsidP="000E083A">
            <w:pPr>
              <w:pStyle w:val="MDPI42tablebody"/>
              <w:spacing w:line="240" w:lineRule="auto"/>
              <w:rPr>
                <w:rFonts w:asciiTheme="minorHAnsi" w:hAnsiTheme="minorHAnsi" w:cstheme="minorHAnsi"/>
                <w:sz w:val="18"/>
                <w:szCs w:val="18"/>
              </w:rPr>
            </w:pPr>
            <w:r>
              <w:rPr>
                <w:rFonts w:asciiTheme="minorHAnsi" w:hAnsiTheme="minorHAnsi" w:cstheme="minorHAnsi"/>
                <w:sz w:val="18"/>
                <w:szCs w:val="18"/>
              </w:rPr>
              <w:t>ano</w:t>
            </w:r>
          </w:p>
        </w:tc>
        <w:tc>
          <w:tcPr>
            <w:tcW w:w="1275" w:type="dxa"/>
            <w:tcBorders>
              <w:top w:val="nil"/>
              <w:bottom w:val="single" w:sz="4" w:space="0" w:color="auto"/>
            </w:tcBorders>
          </w:tcPr>
          <w:p w14:paraId="6B61B511" w14:textId="1BAB554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15/24 (62</w:t>
            </w:r>
            <w:r w:rsidR="001A0AFD">
              <w:rPr>
                <w:rFonts w:asciiTheme="minorHAnsi" w:hAnsiTheme="minorHAnsi" w:cstheme="minorHAnsi"/>
              </w:rPr>
              <w:t>,</w:t>
            </w:r>
            <w:r w:rsidRPr="000E083A">
              <w:rPr>
                <w:rFonts w:asciiTheme="minorHAnsi" w:hAnsiTheme="minorHAnsi" w:cstheme="minorHAnsi"/>
              </w:rPr>
              <w:t>5%)</w:t>
            </w:r>
          </w:p>
        </w:tc>
        <w:tc>
          <w:tcPr>
            <w:tcW w:w="1276" w:type="dxa"/>
            <w:tcBorders>
              <w:top w:val="nil"/>
              <w:bottom w:val="single" w:sz="4" w:space="0" w:color="auto"/>
            </w:tcBorders>
          </w:tcPr>
          <w:p w14:paraId="1E6C2B37"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17/50 (34%)</w:t>
            </w:r>
          </w:p>
        </w:tc>
        <w:tc>
          <w:tcPr>
            <w:tcW w:w="1559" w:type="dxa"/>
            <w:tcBorders>
              <w:top w:val="nil"/>
              <w:bottom w:val="single" w:sz="4" w:space="0" w:color="auto"/>
            </w:tcBorders>
          </w:tcPr>
          <w:p w14:paraId="36C28EF5" w14:textId="16745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17/58 (29</w:t>
            </w:r>
            <w:r w:rsidR="00DD4F81">
              <w:rPr>
                <w:rFonts w:asciiTheme="minorHAnsi" w:hAnsiTheme="minorHAnsi" w:cstheme="minorHAnsi"/>
              </w:rPr>
              <w:t>,</w:t>
            </w:r>
            <w:r w:rsidRPr="000E083A">
              <w:rPr>
                <w:rFonts w:asciiTheme="minorHAnsi" w:hAnsiTheme="minorHAnsi" w:cstheme="minorHAnsi"/>
              </w:rPr>
              <w:t>3%)</w:t>
            </w:r>
          </w:p>
        </w:tc>
        <w:tc>
          <w:tcPr>
            <w:tcW w:w="1560" w:type="dxa"/>
            <w:tcBorders>
              <w:top w:val="nil"/>
              <w:bottom w:val="single" w:sz="4" w:space="0" w:color="auto"/>
            </w:tcBorders>
            <w:shd w:val="clear" w:color="auto" w:fill="auto"/>
          </w:tcPr>
          <w:p w14:paraId="60F32CC3" w14:textId="6F8CC93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49/132 (37</w:t>
            </w:r>
            <w:r w:rsidR="00DD4F81">
              <w:rPr>
                <w:rFonts w:asciiTheme="minorHAnsi" w:hAnsiTheme="minorHAnsi" w:cstheme="minorHAnsi"/>
              </w:rPr>
              <w:t>,</w:t>
            </w:r>
            <w:r w:rsidRPr="000E083A">
              <w:rPr>
                <w:rFonts w:asciiTheme="minorHAnsi" w:hAnsiTheme="minorHAnsi" w:cstheme="minorHAnsi"/>
              </w:rPr>
              <w:t>1%)</w:t>
            </w:r>
          </w:p>
        </w:tc>
      </w:tr>
      <w:tr w:rsidR="00B239D3" w:rsidRPr="000E083A" w14:paraId="3D7F5C5F" w14:textId="77777777" w:rsidTr="000E083A">
        <w:trPr>
          <w:jc w:val="center"/>
        </w:trPr>
        <w:tc>
          <w:tcPr>
            <w:tcW w:w="1418" w:type="dxa"/>
            <w:tcBorders>
              <w:top w:val="single" w:sz="4" w:space="0" w:color="auto"/>
              <w:bottom w:val="nil"/>
            </w:tcBorders>
            <w:shd w:val="clear" w:color="auto" w:fill="auto"/>
            <w:vAlign w:val="center"/>
          </w:tcPr>
          <w:p w14:paraId="334E31D5"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MGMT</w:t>
            </w:r>
          </w:p>
        </w:tc>
        <w:tc>
          <w:tcPr>
            <w:tcW w:w="1276" w:type="dxa"/>
            <w:gridSpan w:val="2"/>
            <w:tcBorders>
              <w:top w:val="single" w:sz="4" w:space="0" w:color="auto"/>
              <w:bottom w:val="nil"/>
            </w:tcBorders>
            <w:shd w:val="clear" w:color="auto" w:fill="auto"/>
            <w:vAlign w:val="center"/>
          </w:tcPr>
          <w:p w14:paraId="59DA7DD6" w14:textId="2F2D5A20" w:rsidR="00B239D3" w:rsidRPr="000E083A" w:rsidRDefault="000E083A"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ne</w:t>
            </w:r>
            <w:r w:rsidR="00B239D3" w:rsidRPr="000E083A">
              <w:rPr>
                <w:rFonts w:asciiTheme="minorHAnsi" w:hAnsiTheme="minorHAnsi" w:cstheme="minorHAnsi"/>
                <w:sz w:val="18"/>
                <w:szCs w:val="18"/>
              </w:rPr>
              <w:t>metyl</w:t>
            </w:r>
            <w:r w:rsidRPr="000E083A">
              <w:rPr>
                <w:rFonts w:asciiTheme="minorHAnsi" w:hAnsiTheme="minorHAnsi" w:cstheme="minorHAnsi"/>
                <w:sz w:val="18"/>
                <w:szCs w:val="18"/>
              </w:rPr>
              <w:t>ovaný</w:t>
            </w:r>
          </w:p>
        </w:tc>
        <w:tc>
          <w:tcPr>
            <w:tcW w:w="1275" w:type="dxa"/>
            <w:tcBorders>
              <w:top w:val="single" w:sz="4" w:space="0" w:color="auto"/>
              <w:bottom w:val="nil"/>
            </w:tcBorders>
          </w:tcPr>
          <w:p w14:paraId="2E1A6332" w14:textId="195B842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16/23 (69</w:t>
            </w:r>
            <w:r w:rsidR="001A0AFD">
              <w:rPr>
                <w:rFonts w:asciiTheme="minorHAnsi" w:hAnsiTheme="minorHAnsi" w:cstheme="minorHAnsi"/>
              </w:rPr>
              <w:t>,</w:t>
            </w:r>
            <w:r w:rsidRPr="000E083A">
              <w:rPr>
                <w:rFonts w:asciiTheme="minorHAnsi" w:hAnsiTheme="minorHAnsi" w:cstheme="minorHAnsi"/>
              </w:rPr>
              <w:t>6%)</w:t>
            </w:r>
          </w:p>
        </w:tc>
        <w:tc>
          <w:tcPr>
            <w:tcW w:w="1276" w:type="dxa"/>
            <w:tcBorders>
              <w:top w:val="single" w:sz="4" w:space="0" w:color="auto"/>
              <w:bottom w:val="nil"/>
            </w:tcBorders>
          </w:tcPr>
          <w:p w14:paraId="455C3095" w14:textId="5E4B041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31/48 (64</w:t>
            </w:r>
            <w:r w:rsidR="00DD4F81">
              <w:rPr>
                <w:rFonts w:asciiTheme="minorHAnsi" w:hAnsiTheme="minorHAnsi" w:cstheme="minorHAnsi"/>
              </w:rPr>
              <w:t>,</w:t>
            </w:r>
            <w:r w:rsidRPr="000E083A">
              <w:rPr>
                <w:rFonts w:asciiTheme="minorHAnsi" w:hAnsiTheme="minorHAnsi" w:cstheme="minorHAnsi"/>
              </w:rPr>
              <w:t>6%)</w:t>
            </w:r>
          </w:p>
        </w:tc>
        <w:tc>
          <w:tcPr>
            <w:tcW w:w="1559" w:type="dxa"/>
            <w:tcBorders>
              <w:top w:val="single" w:sz="4" w:space="0" w:color="auto"/>
              <w:bottom w:val="nil"/>
            </w:tcBorders>
          </w:tcPr>
          <w:p w14:paraId="7CC09F8A" w14:textId="4DB17B8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33/52 (63</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single" w:sz="4" w:space="0" w:color="auto"/>
              <w:bottom w:val="nil"/>
            </w:tcBorders>
            <w:shd w:val="clear" w:color="auto" w:fill="auto"/>
          </w:tcPr>
          <w:p w14:paraId="04B5620E"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80/123 (65%)</w:t>
            </w:r>
          </w:p>
        </w:tc>
      </w:tr>
      <w:tr w:rsidR="00B239D3" w:rsidRPr="000E083A" w14:paraId="2DB629AD" w14:textId="77777777" w:rsidTr="000E083A">
        <w:trPr>
          <w:jc w:val="center"/>
        </w:trPr>
        <w:tc>
          <w:tcPr>
            <w:tcW w:w="1560" w:type="dxa"/>
            <w:gridSpan w:val="2"/>
            <w:tcBorders>
              <w:top w:val="nil"/>
              <w:bottom w:val="single" w:sz="4" w:space="0" w:color="auto"/>
            </w:tcBorders>
            <w:shd w:val="clear" w:color="auto" w:fill="auto"/>
            <w:vAlign w:val="center"/>
          </w:tcPr>
          <w:p w14:paraId="5A078592"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vAlign w:val="center"/>
          </w:tcPr>
          <w:p w14:paraId="6D9C22CE" w14:textId="4FCC3833" w:rsidR="00B239D3" w:rsidRPr="000E083A" w:rsidRDefault="000E083A"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metylovaný</w:t>
            </w:r>
          </w:p>
        </w:tc>
        <w:tc>
          <w:tcPr>
            <w:tcW w:w="1275" w:type="dxa"/>
            <w:tcBorders>
              <w:top w:val="nil"/>
              <w:bottom w:val="single" w:sz="4" w:space="0" w:color="auto"/>
            </w:tcBorders>
          </w:tcPr>
          <w:p w14:paraId="19F020D7" w14:textId="2441D9F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7/23 (30</w:t>
            </w:r>
            <w:r w:rsidR="001A0AFD">
              <w:rPr>
                <w:rFonts w:asciiTheme="minorHAnsi" w:hAnsiTheme="minorHAnsi" w:cstheme="minorHAnsi"/>
              </w:rPr>
              <w:t>,</w:t>
            </w:r>
            <w:r w:rsidRPr="000E083A">
              <w:rPr>
                <w:rFonts w:asciiTheme="minorHAnsi" w:hAnsiTheme="minorHAnsi" w:cstheme="minorHAnsi"/>
              </w:rPr>
              <w:t>4%)</w:t>
            </w:r>
          </w:p>
        </w:tc>
        <w:tc>
          <w:tcPr>
            <w:tcW w:w="1276" w:type="dxa"/>
            <w:tcBorders>
              <w:top w:val="nil"/>
              <w:bottom w:val="single" w:sz="4" w:space="0" w:color="auto"/>
            </w:tcBorders>
          </w:tcPr>
          <w:p w14:paraId="2C289014" w14:textId="5A68B83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17/48 (35</w:t>
            </w:r>
            <w:r w:rsidR="00DD4F81">
              <w:rPr>
                <w:rFonts w:asciiTheme="minorHAnsi" w:hAnsiTheme="minorHAnsi" w:cstheme="minorHAnsi"/>
              </w:rPr>
              <w:t>,</w:t>
            </w:r>
            <w:r w:rsidRPr="000E083A">
              <w:rPr>
                <w:rFonts w:asciiTheme="minorHAnsi" w:hAnsiTheme="minorHAnsi" w:cstheme="minorHAnsi"/>
              </w:rPr>
              <w:t>4%)</w:t>
            </w:r>
          </w:p>
        </w:tc>
        <w:tc>
          <w:tcPr>
            <w:tcW w:w="1559" w:type="dxa"/>
            <w:tcBorders>
              <w:top w:val="nil"/>
              <w:bottom w:val="single" w:sz="4" w:space="0" w:color="auto"/>
            </w:tcBorders>
          </w:tcPr>
          <w:p w14:paraId="2B2C1D0B" w14:textId="56FBBB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19/52 (36</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nil"/>
              <w:bottom w:val="single" w:sz="4" w:space="0" w:color="auto"/>
            </w:tcBorders>
            <w:shd w:val="clear" w:color="auto" w:fill="auto"/>
          </w:tcPr>
          <w:p w14:paraId="5662F74D"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43/123 (35%)</w:t>
            </w:r>
          </w:p>
        </w:tc>
      </w:tr>
      <w:tr w:rsidR="00B239D3" w:rsidRPr="000E083A" w14:paraId="0943D652" w14:textId="77777777" w:rsidTr="000E083A">
        <w:trPr>
          <w:jc w:val="center"/>
        </w:trPr>
        <w:tc>
          <w:tcPr>
            <w:tcW w:w="1560" w:type="dxa"/>
            <w:gridSpan w:val="2"/>
            <w:tcBorders>
              <w:top w:val="single" w:sz="4" w:space="0" w:color="auto"/>
              <w:bottom w:val="nil"/>
            </w:tcBorders>
            <w:shd w:val="clear" w:color="auto" w:fill="auto"/>
            <w:vAlign w:val="center"/>
          </w:tcPr>
          <w:p w14:paraId="4069B07B" w14:textId="679D92DF" w:rsidR="00B239D3" w:rsidRPr="000E083A" w:rsidRDefault="000E083A" w:rsidP="000E083A">
            <w:pPr>
              <w:pStyle w:val="MDPI42tablebody"/>
              <w:spacing w:line="240" w:lineRule="auto"/>
              <w:rPr>
                <w:rFonts w:asciiTheme="minorHAnsi" w:hAnsiTheme="minorHAnsi" w:cstheme="minorHAnsi"/>
                <w:sz w:val="18"/>
                <w:szCs w:val="18"/>
              </w:rPr>
            </w:pPr>
            <w:r>
              <w:rPr>
                <w:rFonts w:asciiTheme="minorHAnsi" w:hAnsiTheme="minorHAnsi" w:cstheme="minorHAnsi"/>
                <w:sz w:val="18"/>
                <w:szCs w:val="18"/>
              </w:rPr>
              <w:t>věková kategorie</w:t>
            </w:r>
            <w:r w:rsidR="00B239D3" w:rsidRPr="000E083A">
              <w:rPr>
                <w:rFonts w:asciiTheme="minorHAnsi" w:hAnsiTheme="minorHAnsi" w:cstheme="minorHAnsi"/>
                <w:sz w:val="18"/>
                <w:szCs w:val="18"/>
              </w:rPr>
              <w:t>*</w:t>
            </w:r>
          </w:p>
        </w:tc>
        <w:tc>
          <w:tcPr>
            <w:tcW w:w="1134" w:type="dxa"/>
            <w:tcBorders>
              <w:top w:val="single" w:sz="4" w:space="0" w:color="auto"/>
              <w:bottom w:val="nil"/>
            </w:tcBorders>
            <w:shd w:val="clear" w:color="auto" w:fill="auto"/>
          </w:tcPr>
          <w:p w14:paraId="31A44855"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&lt;=55</w:t>
            </w:r>
          </w:p>
        </w:tc>
        <w:tc>
          <w:tcPr>
            <w:tcW w:w="1275" w:type="dxa"/>
            <w:tcBorders>
              <w:top w:val="single" w:sz="4" w:space="0" w:color="auto"/>
              <w:bottom w:val="nil"/>
            </w:tcBorders>
          </w:tcPr>
          <w:p w14:paraId="0677C311" w14:textId="5DA416F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2/24 (8</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single" w:sz="4" w:space="0" w:color="auto"/>
              <w:bottom w:val="nil"/>
            </w:tcBorders>
          </w:tcPr>
          <w:p w14:paraId="3B832304"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2/50 (4%)</w:t>
            </w:r>
          </w:p>
        </w:tc>
        <w:tc>
          <w:tcPr>
            <w:tcW w:w="1559" w:type="dxa"/>
            <w:tcBorders>
              <w:top w:val="single" w:sz="4" w:space="0" w:color="auto"/>
              <w:bottom w:val="nil"/>
            </w:tcBorders>
          </w:tcPr>
          <w:p w14:paraId="30E32101" w14:textId="2C45D15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19/58 (32</w:t>
            </w:r>
            <w:r w:rsidR="00DD4F81">
              <w:rPr>
                <w:rFonts w:asciiTheme="minorHAnsi" w:hAnsiTheme="minorHAnsi" w:cstheme="minorHAnsi"/>
              </w:rPr>
              <w:t>,</w:t>
            </w:r>
            <w:r w:rsidRPr="000E083A">
              <w:rPr>
                <w:rFonts w:asciiTheme="minorHAnsi" w:hAnsiTheme="minorHAnsi" w:cstheme="minorHAnsi"/>
              </w:rPr>
              <w:t>8%)</w:t>
            </w:r>
          </w:p>
        </w:tc>
        <w:tc>
          <w:tcPr>
            <w:tcW w:w="1560" w:type="dxa"/>
            <w:tcBorders>
              <w:top w:val="single" w:sz="4" w:space="0" w:color="auto"/>
              <w:bottom w:val="nil"/>
            </w:tcBorders>
            <w:shd w:val="clear" w:color="auto" w:fill="auto"/>
          </w:tcPr>
          <w:p w14:paraId="1475E0F5" w14:textId="3708369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23/132 (17</w:t>
            </w:r>
            <w:r w:rsidR="00DD4F81">
              <w:rPr>
                <w:rFonts w:asciiTheme="minorHAnsi" w:hAnsiTheme="minorHAnsi" w:cstheme="minorHAnsi"/>
              </w:rPr>
              <w:t>,</w:t>
            </w:r>
            <w:r w:rsidRPr="000E083A">
              <w:rPr>
                <w:rFonts w:asciiTheme="minorHAnsi" w:hAnsiTheme="minorHAnsi" w:cstheme="minorHAnsi"/>
              </w:rPr>
              <w:t>4%)</w:t>
            </w:r>
          </w:p>
        </w:tc>
      </w:tr>
      <w:tr w:rsidR="00B239D3" w:rsidRPr="000E083A" w14:paraId="4C287858" w14:textId="77777777" w:rsidTr="000E083A">
        <w:trPr>
          <w:jc w:val="center"/>
        </w:trPr>
        <w:tc>
          <w:tcPr>
            <w:tcW w:w="1560" w:type="dxa"/>
            <w:gridSpan w:val="2"/>
            <w:tcBorders>
              <w:top w:val="nil"/>
              <w:bottom w:val="single" w:sz="4" w:space="0" w:color="auto"/>
            </w:tcBorders>
            <w:shd w:val="clear" w:color="auto" w:fill="auto"/>
            <w:vAlign w:val="center"/>
          </w:tcPr>
          <w:p w14:paraId="0A81CDED"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30C5B12D"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&gt;55</w:t>
            </w:r>
          </w:p>
        </w:tc>
        <w:tc>
          <w:tcPr>
            <w:tcW w:w="1275" w:type="dxa"/>
            <w:tcBorders>
              <w:top w:val="nil"/>
              <w:bottom w:val="single" w:sz="4" w:space="0" w:color="auto"/>
            </w:tcBorders>
          </w:tcPr>
          <w:p w14:paraId="2B2AC80B" w14:textId="6FBE05B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22/24 (91</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nil"/>
              <w:bottom w:val="single" w:sz="4" w:space="0" w:color="auto"/>
            </w:tcBorders>
          </w:tcPr>
          <w:p w14:paraId="2349066B"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48/50 (96%)</w:t>
            </w:r>
          </w:p>
        </w:tc>
        <w:tc>
          <w:tcPr>
            <w:tcW w:w="1559" w:type="dxa"/>
            <w:tcBorders>
              <w:top w:val="nil"/>
              <w:bottom w:val="single" w:sz="4" w:space="0" w:color="auto"/>
            </w:tcBorders>
          </w:tcPr>
          <w:p w14:paraId="43880818" w14:textId="311E23D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39/58 (67</w:t>
            </w:r>
            <w:r w:rsidR="00DD4F81">
              <w:rPr>
                <w:rFonts w:asciiTheme="minorHAnsi" w:hAnsiTheme="minorHAnsi" w:cstheme="minorHAnsi"/>
              </w:rPr>
              <w:t>,</w:t>
            </w:r>
            <w:r w:rsidRPr="000E083A">
              <w:rPr>
                <w:rFonts w:asciiTheme="minorHAnsi" w:hAnsiTheme="minorHAnsi" w:cstheme="minorHAnsi"/>
              </w:rPr>
              <w:t>2%)</w:t>
            </w:r>
          </w:p>
        </w:tc>
        <w:tc>
          <w:tcPr>
            <w:tcW w:w="1560" w:type="dxa"/>
            <w:tcBorders>
              <w:top w:val="nil"/>
              <w:bottom w:val="single" w:sz="4" w:space="0" w:color="auto"/>
            </w:tcBorders>
            <w:shd w:val="clear" w:color="auto" w:fill="auto"/>
          </w:tcPr>
          <w:p w14:paraId="54AB56A9" w14:textId="2ACA432A"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109/132 (82</w:t>
            </w:r>
            <w:r w:rsidR="00DD4F81">
              <w:rPr>
                <w:rFonts w:asciiTheme="minorHAnsi" w:hAnsiTheme="minorHAnsi" w:cstheme="minorHAnsi"/>
              </w:rPr>
              <w:t>,</w:t>
            </w:r>
            <w:r w:rsidRPr="000E083A">
              <w:rPr>
                <w:rFonts w:asciiTheme="minorHAnsi" w:hAnsiTheme="minorHAnsi" w:cstheme="minorHAnsi"/>
              </w:rPr>
              <w:t>6%)</w:t>
            </w:r>
          </w:p>
        </w:tc>
      </w:tr>
      <w:tr w:rsidR="00B239D3" w:rsidRPr="000E083A" w14:paraId="1C0FB2E0" w14:textId="77777777" w:rsidTr="000E083A">
        <w:trPr>
          <w:jc w:val="center"/>
        </w:trPr>
        <w:tc>
          <w:tcPr>
            <w:tcW w:w="1560" w:type="dxa"/>
            <w:gridSpan w:val="2"/>
            <w:tcBorders>
              <w:top w:val="single" w:sz="4" w:space="0" w:color="auto"/>
              <w:bottom w:val="nil"/>
            </w:tcBorders>
            <w:shd w:val="clear" w:color="auto" w:fill="auto"/>
            <w:vAlign w:val="center"/>
          </w:tcPr>
          <w:p w14:paraId="479DB7D6" w14:textId="1F388EE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Karnofsk</w:t>
            </w:r>
            <w:r w:rsidR="009E26D8">
              <w:rPr>
                <w:rFonts w:asciiTheme="minorHAnsi" w:hAnsiTheme="minorHAnsi" w:cstheme="minorHAnsi"/>
                <w:sz w:val="18"/>
                <w:szCs w:val="18"/>
              </w:rPr>
              <w:t>ého</w:t>
            </w:r>
            <w:r w:rsidRPr="000E083A">
              <w:rPr>
                <w:rFonts w:asciiTheme="minorHAnsi" w:hAnsiTheme="minorHAnsi" w:cstheme="minorHAnsi"/>
                <w:sz w:val="18"/>
                <w:szCs w:val="18"/>
              </w:rPr>
              <w:t xml:space="preserve"> s</w:t>
            </w:r>
            <w:r w:rsidR="000E083A">
              <w:rPr>
                <w:rFonts w:asciiTheme="minorHAnsi" w:hAnsiTheme="minorHAnsi" w:cstheme="minorHAnsi"/>
                <w:sz w:val="18"/>
                <w:szCs w:val="18"/>
              </w:rPr>
              <w:t>kóre</w:t>
            </w:r>
            <w:r w:rsidRPr="000E083A">
              <w:rPr>
                <w:rFonts w:asciiTheme="minorHAnsi" w:hAnsiTheme="minorHAnsi" w:cstheme="minorHAnsi"/>
                <w:sz w:val="18"/>
                <w:szCs w:val="18"/>
              </w:rPr>
              <w:t>*</w:t>
            </w:r>
          </w:p>
        </w:tc>
        <w:tc>
          <w:tcPr>
            <w:tcW w:w="1134" w:type="dxa"/>
            <w:tcBorders>
              <w:top w:val="single" w:sz="4" w:space="0" w:color="auto"/>
              <w:bottom w:val="nil"/>
            </w:tcBorders>
            <w:shd w:val="clear" w:color="auto" w:fill="auto"/>
            <w:vAlign w:val="center"/>
          </w:tcPr>
          <w:p w14:paraId="08A26DDA"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0-79</w:t>
            </w:r>
          </w:p>
        </w:tc>
        <w:tc>
          <w:tcPr>
            <w:tcW w:w="1275" w:type="dxa"/>
            <w:tcBorders>
              <w:top w:val="single" w:sz="4" w:space="0" w:color="auto"/>
              <w:bottom w:val="nil"/>
            </w:tcBorders>
          </w:tcPr>
          <w:p w14:paraId="5A5D0741" w14:textId="4978943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16/24 (66</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single" w:sz="4" w:space="0" w:color="auto"/>
              <w:bottom w:val="nil"/>
            </w:tcBorders>
          </w:tcPr>
          <w:p w14:paraId="3DEC3842"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18/50 (36%)</w:t>
            </w:r>
          </w:p>
        </w:tc>
        <w:tc>
          <w:tcPr>
            <w:tcW w:w="1559" w:type="dxa"/>
            <w:tcBorders>
              <w:top w:val="single" w:sz="4" w:space="0" w:color="auto"/>
              <w:bottom w:val="nil"/>
            </w:tcBorders>
          </w:tcPr>
          <w:p w14:paraId="2A37082E" w14:textId="73358C1C"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12/58 (20</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single" w:sz="4" w:space="0" w:color="auto"/>
              <w:bottom w:val="nil"/>
            </w:tcBorders>
            <w:shd w:val="clear" w:color="auto" w:fill="auto"/>
          </w:tcPr>
          <w:p w14:paraId="1C419C23" w14:textId="31EDFB1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46/132 (34</w:t>
            </w:r>
            <w:r w:rsidR="00DD4F81">
              <w:rPr>
                <w:rFonts w:asciiTheme="minorHAnsi" w:hAnsiTheme="minorHAnsi" w:cstheme="minorHAnsi"/>
              </w:rPr>
              <w:t>,</w:t>
            </w:r>
            <w:r w:rsidRPr="000E083A">
              <w:rPr>
                <w:rFonts w:asciiTheme="minorHAnsi" w:hAnsiTheme="minorHAnsi" w:cstheme="minorHAnsi"/>
              </w:rPr>
              <w:t>8%)</w:t>
            </w:r>
          </w:p>
        </w:tc>
      </w:tr>
      <w:tr w:rsidR="00B239D3" w:rsidRPr="000E083A" w14:paraId="577574F1" w14:textId="77777777" w:rsidTr="000E083A">
        <w:trPr>
          <w:jc w:val="center"/>
        </w:trPr>
        <w:tc>
          <w:tcPr>
            <w:tcW w:w="1560" w:type="dxa"/>
            <w:gridSpan w:val="2"/>
            <w:tcBorders>
              <w:top w:val="nil"/>
              <w:bottom w:val="single" w:sz="4" w:space="0" w:color="auto"/>
            </w:tcBorders>
            <w:shd w:val="clear" w:color="auto" w:fill="auto"/>
            <w:vAlign w:val="center"/>
          </w:tcPr>
          <w:p w14:paraId="214DEBC8"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vAlign w:val="center"/>
          </w:tcPr>
          <w:p w14:paraId="455B182B"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80-100</w:t>
            </w:r>
          </w:p>
        </w:tc>
        <w:tc>
          <w:tcPr>
            <w:tcW w:w="1275" w:type="dxa"/>
            <w:tcBorders>
              <w:top w:val="nil"/>
              <w:bottom w:val="single" w:sz="4" w:space="0" w:color="auto"/>
            </w:tcBorders>
          </w:tcPr>
          <w:p w14:paraId="52BB1285" w14:textId="5A18245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8/24 (33</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nil"/>
              <w:bottom w:val="single" w:sz="4" w:space="0" w:color="auto"/>
            </w:tcBorders>
          </w:tcPr>
          <w:p w14:paraId="6DC25D8B"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32/50 (64%)</w:t>
            </w:r>
          </w:p>
        </w:tc>
        <w:tc>
          <w:tcPr>
            <w:tcW w:w="1559" w:type="dxa"/>
            <w:tcBorders>
              <w:top w:val="nil"/>
              <w:bottom w:val="single" w:sz="4" w:space="0" w:color="auto"/>
            </w:tcBorders>
          </w:tcPr>
          <w:p w14:paraId="548B868B" w14:textId="6CDD254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46/58 (79</w:t>
            </w:r>
            <w:r w:rsidR="00DD4F81">
              <w:rPr>
                <w:rFonts w:asciiTheme="minorHAnsi" w:hAnsiTheme="minorHAnsi" w:cstheme="minorHAnsi"/>
              </w:rPr>
              <w:t>,</w:t>
            </w:r>
            <w:r w:rsidRPr="000E083A">
              <w:rPr>
                <w:rFonts w:asciiTheme="minorHAnsi" w:hAnsiTheme="minorHAnsi" w:cstheme="minorHAnsi"/>
              </w:rPr>
              <w:t>3%)</w:t>
            </w:r>
          </w:p>
        </w:tc>
        <w:tc>
          <w:tcPr>
            <w:tcW w:w="1560" w:type="dxa"/>
            <w:tcBorders>
              <w:top w:val="nil"/>
              <w:bottom w:val="single" w:sz="4" w:space="0" w:color="auto"/>
            </w:tcBorders>
            <w:shd w:val="clear" w:color="auto" w:fill="auto"/>
          </w:tcPr>
          <w:p w14:paraId="07B575D1" w14:textId="6D1942B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86/132 (65</w:t>
            </w:r>
            <w:r w:rsidR="00DD4F81">
              <w:rPr>
                <w:rFonts w:asciiTheme="minorHAnsi" w:hAnsiTheme="minorHAnsi" w:cstheme="minorHAnsi"/>
              </w:rPr>
              <w:t>,</w:t>
            </w:r>
            <w:r w:rsidRPr="000E083A">
              <w:rPr>
                <w:rFonts w:asciiTheme="minorHAnsi" w:hAnsiTheme="minorHAnsi" w:cstheme="minorHAnsi"/>
              </w:rPr>
              <w:t>2%)</w:t>
            </w:r>
          </w:p>
        </w:tc>
      </w:tr>
      <w:tr w:rsidR="00B239D3" w:rsidRPr="000E083A" w14:paraId="08D94D6D" w14:textId="77777777" w:rsidTr="000E083A">
        <w:trPr>
          <w:jc w:val="center"/>
        </w:trPr>
        <w:tc>
          <w:tcPr>
            <w:tcW w:w="1560" w:type="dxa"/>
            <w:gridSpan w:val="2"/>
            <w:tcBorders>
              <w:top w:val="single" w:sz="4" w:space="0" w:color="auto"/>
              <w:bottom w:val="nil"/>
            </w:tcBorders>
            <w:shd w:val="clear" w:color="auto" w:fill="auto"/>
            <w:vAlign w:val="center"/>
          </w:tcPr>
          <w:p w14:paraId="50142D39" w14:textId="77777777" w:rsidR="00B239D3" w:rsidRPr="00DD4F81" w:rsidRDefault="00B239D3" w:rsidP="000E083A">
            <w:pPr>
              <w:pStyle w:val="MDPI42tablebody"/>
              <w:spacing w:line="240" w:lineRule="auto"/>
              <w:rPr>
                <w:rFonts w:asciiTheme="minorHAnsi" w:hAnsiTheme="minorHAnsi" w:cstheme="minorHAnsi"/>
                <w:i/>
                <w:iCs/>
                <w:sz w:val="18"/>
                <w:szCs w:val="18"/>
              </w:rPr>
            </w:pPr>
            <w:r w:rsidRPr="00DD4F81">
              <w:rPr>
                <w:rFonts w:asciiTheme="minorHAnsi" w:hAnsiTheme="minorHAnsi" w:cstheme="minorHAnsi"/>
                <w:i/>
                <w:iCs/>
                <w:sz w:val="18"/>
                <w:szCs w:val="18"/>
              </w:rPr>
              <w:t>Ki67</w:t>
            </w:r>
          </w:p>
        </w:tc>
        <w:tc>
          <w:tcPr>
            <w:tcW w:w="1134" w:type="dxa"/>
            <w:tcBorders>
              <w:top w:val="single" w:sz="4" w:space="0" w:color="auto"/>
              <w:bottom w:val="nil"/>
            </w:tcBorders>
            <w:shd w:val="clear" w:color="auto" w:fill="auto"/>
          </w:tcPr>
          <w:p w14:paraId="3117BE39"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60</w:t>
            </w:r>
          </w:p>
        </w:tc>
        <w:tc>
          <w:tcPr>
            <w:tcW w:w="1275" w:type="dxa"/>
            <w:tcBorders>
              <w:top w:val="single" w:sz="4" w:space="0" w:color="auto"/>
              <w:bottom w:val="nil"/>
            </w:tcBorders>
          </w:tcPr>
          <w:p w14:paraId="76E9545D" w14:textId="4FA7433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20/24 (83</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single" w:sz="4" w:space="0" w:color="auto"/>
              <w:bottom w:val="nil"/>
            </w:tcBorders>
          </w:tcPr>
          <w:p w14:paraId="705674CF" w14:textId="429362F5"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41/49 (83</w:t>
            </w:r>
            <w:r w:rsidR="00DD4F81">
              <w:rPr>
                <w:rFonts w:asciiTheme="minorHAnsi" w:hAnsiTheme="minorHAnsi" w:cstheme="minorHAnsi"/>
              </w:rPr>
              <w:t>,</w:t>
            </w:r>
            <w:r w:rsidRPr="000E083A">
              <w:rPr>
                <w:rFonts w:asciiTheme="minorHAnsi" w:hAnsiTheme="minorHAnsi" w:cstheme="minorHAnsi"/>
              </w:rPr>
              <w:t>7%)</w:t>
            </w:r>
          </w:p>
        </w:tc>
        <w:tc>
          <w:tcPr>
            <w:tcW w:w="1559" w:type="dxa"/>
            <w:tcBorders>
              <w:top w:val="single" w:sz="4" w:space="0" w:color="auto"/>
              <w:bottom w:val="nil"/>
            </w:tcBorders>
          </w:tcPr>
          <w:p w14:paraId="3FCC214F" w14:textId="32E7639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49/58 (84</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single" w:sz="4" w:space="0" w:color="auto"/>
              <w:bottom w:val="nil"/>
            </w:tcBorders>
            <w:shd w:val="clear" w:color="auto" w:fill="auto"/>
          </w:tcPr>
          <w:p w14:paraId="1526B423"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110/131 (84%)</w:t>
            </w:r>
          </w:p>
        </w:tc>
      </w:tr>
      <w:tr w:rsidR="00B239D3" w:rsidRPr="000E083A" w14:paraId="48B3566C" w14:textId="77777777" w:rsidTr="000E083A">
        <w:trPr>
          <w:jc w:val="center"/>
        </w:trPr>
        <w:tc>
          <w:tcPr>
            <w:tcW w:w="1560" w:type="dxa"/>
            <w:gridSpan w:val="2"/>
            <w:tcBorders>
              <w:top w:val="nil"/>
              <w:bottom w:val="single" w:sz="4" w:space="0" w:color="auto"/>
            </w:tcBorders>
            <w:shd w:val="clear" w:color="auto" w:fill="auto"/>
            <w:vAlign w:val="center"/>
          </w:tcPr>
          <w:p w14:paraId="137C169B"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1A7C0124"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60</w:t>
            </w:r>
          </w:p>
        </w:tc>
        <w:tc>
          <w:tcPr>
            <w:tcW w:w="1275" w:type="dxa"/>
            <w:tcBorders>
              <w:top w:val="nil"/>
              <w:bottom w:val="single" w:sz="4" w:space="0" w:color="auto"/>
            </w:tcBorders>
          </w:tcPr>
          <w:p w14:paraId="22448AD6" w14:textId="3DB6029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4/24 (16</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nil"/>
              <w:bottom w:val="single" w:sz="4" w:space="0" w:color="auto"/>
            </w:tcBorders>
          </w:tcPr>
          <w:p w14:paraId="3A8EF588" w14:textId="0B9D66C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8/49 (16</w:t>
            </w:r>
            <w:r w:rsidR="00DD4F81">
              <w:rPr>
                <w:rFonts w:asciiTheme="minorHAnsi" w:hAnsiTheme="minorHAnsi" w:cstheme="minorHAnsi"/>
              </w:rPr>
              <w:t>,</w:t>
            </w:r>
            <w:r w:rsidRPr="000E083A">
              <w:rPr>
                <w:rFonts w:asciiTheme="minorHAnsi" w:hAnsiTheme="minorHAnsi" w:cstheme="minorHAnsi"/>
              </w:rPr>
              <w:t>3%)</w:t>
            </w:r>
          </w:p>
        </w:tc>
        <w:tc>
          <w:tcPr>
            <w:tcW w:w="1559" w:type="dxa"/>
            <w:tcBorders>
              <w:top w:val="nil"/>
              <w:bottom w:val="single" w:sz="4" w:space="0" w:color="auto"/>
            </w:tcBorders>
          </w:tcPr>
          <w:p w14:paraId="196E2851" w14:textId="6CDAA46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9/58 (15</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nil"/>
              <w:bottom w:val="single" w:sz="4" w:space="0" w:color="auto"/>
            </w:tcBorders>
            <w:shd w:val="clear" w:color="auto" w:fill="auto"/>
          </w:tcPr>
          <w:p w14:paraId="320D70F6"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21/131 (16%)</w:t>
            </w:r>
          </w:p>
        </w:tc>
      </w:tr>
      <w:tr w:rsidR="00B239D3" w:rsidRPr="000E083A" w14:paraId="1749B0FB" w14:textId="77777777" w:rsidTr="000E083A">
        <w:trPr>
          <w:jc w:val="center"/>
        </w:trPr>
        <w:tc>
          <w:tcPr>
            <w:tcW w:w="1560" w:type="dxa"/>
            <w:gridSpan w:val="2"/>
            <w:tcBorders>
              <w:top w:val="single" w:sz="4" w:space="0" w:color="auto"/>
              <w:bottom w:val="nil"/>
            </w:tcBorders>
            <w:shd w:val="clear" w:color="auto" w:fill="auto"/>
            <w:vAlign w:val="center"/>
          </w:tcPr>
          <w:p w14:paraId="23074AE6"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1q CN</w:t>
            </w:r>
          </w:p>
        </w:tc>
        <w:tc>
          <w:tcPr>
            <w:tcW w:w="1134" w:type="dxa"/>
            <w:tcBorders>
              <w:top w:val="single" w:sz="4" w:space="0" w:color="auto"/>
              <w:bottom w:val="nil"/>
            </w:tcBorders>
            <w:shd w:val="clear" w:color="auto" w:fill="auto"/>
          </w:tcPr>
          <w:p w14:paraId="69D10EFA" w14:textId="246CCC8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02</w:t>
            </w:r>
          </w:p>
        </w:tc>
        <w:tc>
          <w:tcPr>
            <w:tcW w:w="1275" w:type="dxa"/>
            <w:tcBorders>
              <w:top w:val="single" w:sz="4" w:space="0" w:color="auto"/>
              <w:bottom w:val="nil"/>
            </w:tcBorders>
          </w:tcPr>
          <w:p w14:paraId="14387A38" w14:textId="6472700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5/15 (33</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single" w:sz="4" w:space="0" w:color="auto"/>
              <w:bottom w:val="nil"/>
            </w:tcBorders>
          </w:tcPr>
          <w:p w14:paraId="55B57150" w14:textId="225263AA"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12/33 (36</w:t>
            </w:r>
            <w:r w:rsidR="00DD4F81">
              <w:rPr>
                <w:rFonts w:asciiTheme="minorHAnsi" w:hAnsiTheme="minorHAnsi" w:cstheme="minorHAnsi"/>
              </w:rPr>
              <w:t>,</w:t>
            </w:r>
            <w:r w:rsidRPr="000E083A">
              <w:rPr>
                <w:rFonts w:asciiTheme="minorHAnsi" w:hAnsiTheme="minorHAnsi" w:cstheme="minorHAnsi"/>
              </w:rPr>
              <w:t>4%)</w:t>
            </w:r>
          </w:p>
        </w:tc>
        <w:tc>
          <w:tcPr>
            <w:tcW w:w="1559" w:type="dxa"/>
            <w:tcBorders>
              <w:top w:val="single" w:sz="4" w:space="0" w:color="auto"/>
              <w:bottom w:val="nil"/>
            </w:tcBorders>
          </w:tcPr>
          <w:p w14:paraId="2CC8E208" w14:textId="577BA54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13/39 (33</w:t>
            </w:r>
            <w:r w:rsidR="00DD4F81">
              <w:rPr>
                <w:rFonts w:asciiTheme="minorHAnsi" w:hAnsiTheme="minorHAnsi" w:cstheme="minorHAnsi"/>
              </w:rPr>
              <w:t>,</w:t>
            </w:r>
            <w:r w:rsidRPr="000E083A">
              <w:rPr>
                <w:rFonts w:asciiTheme="minorHAnsi" w:hAnsiTheme="minorHAnsi" w:cstheme="minorHAnsi"/>
              </w:rPr>
              <w:t>3%)</w:t>
            </w:r>
          </w:p>
        </w:tc>
        <w:tc>
          <w:tcPr>
            <w:tcW w:w="1560" w:type="dxa"/>
            <w:tcBorders>
              <w:top w:val="single" w:sz="4" w:space="0" w:color="auto"/>
              <w:bottom w:val="nil"/>
            </w:tcBorders>
            <w:shd w:val="clear" w:color="auto" w:fill="auto"/>
          </w:tcPr>
          <w:p w14:paraId="319409D3" w14:textId="0DB399F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30/87 (34</w:t>
            </w:r>
            <w:r w:rsidR="00DD4F81">
              <w:rPr>
                <w:rFonts w:asciiTheme="minorHAnsi" w:hAnsiTheme="minorHAnsi" w:cstheme="minorHAnsi"/>
              </w:rPr>
              <w:t>,</w:t>
            </w:r>
            <w:r w:rsidRPr="000E083A">
              <w:rPr>
                <w:rFonts w:asciiTheme="minorHAnsi" w:hAnsiTheme="minorHAnsi" w:cstheme="minorHAnsi"/>
              </w:rPr>
              <w:t>5%)</w:t>
            </w:r>
          </w:p>
        </w:tc>
      </w:tr>
      <w:tr w:rsidR="00B239D3" w:rsidRPr="000E083A" w14:paraId="79715C02" w14:textId="77777777" w:rsidTr="000E083A">
        <w:trPr>
          <w:jc w:val="center"/>
        </w:trPr>
        <w:tc>
          <w:tcPr>
            <w:tcW w:w="1560" w:type="dxa"/>
            <w:gridSpan w:val="2"/>
            <w:tcBorders>
              <w:top w:val="nil"/>
              <w:bottom w:val="single" w:sz="4" w:space="0" w:color="auto"/>
            </w:tcBorders>
            <w:shd w:val="clear" w:color="auto" w:fill="auto"/>
            <w:vAlign w:val="center"/>
          </w:tcPr>
          <w:p w14:paraId="0117520C"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76B3470F" w14:textId="14F3054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02</w:t>
            </w:r>
          </w:p>
        </w:tc>
        <w:tc>
          <w:tcPr>
            <w:tcW w:w="1275" w:type="dxa"/>
            <w:tcBorders>
              <w:top w:val="nil"/>
              <w:bottom w:val="single" w:sz="4" w:space="0" w:color="auto"/>
            </w:tcBorders>
          </w:tcPr>
          <w:p w14:paraId="56BA0D33" w14:textId="6C9EDF3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10/15 (66</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nil"/>
              <w:bottom w:val="single" w:sz="4" w:space="0" w:color="auto"/>
            </w:tcBorders>
          </w:tcPr>
          <w:p w14:paraId="3A99418F" w14:textId="48993EB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21/33 (63</w:t>
            </w:r>
            <w:r w:rsidR="00DD4F81">
              <w:rPr>
                <w:rFonts w:asciiTheme="minorHAnsi" w:hAnsiTheme="minorHAnsi" w:cstheme="minorHAnsi"/>
              </w:rPr>
              <w:t>,</w:t>
            </w:r>
            <w:r w:rsidRPr="000E083A">
              <w:rPr>
                <w:rFonts w:asciiTheme="minorHAnsi" w:hAnsiTheme="minorHAnsi" w:cstheme="minorHAnsi"/>
              </w:rPr>
              <w:t>6%)</w:t>
            </w:r>
          </w:p>
        </w:tc>
        <w:tc>
          <w:tcPr>
            <w:tcW w:w="1559" w:type="dxa"/>
            <w:tcBorders>
              <w:top w:val="nil"/>
              <w:bottom w:val="single" w:sz="4" w:space="0" w:color="auto"/>
            </w:tcBorders>
          </w:tcPr>
          <w:p w14:paraId="2474D13C" w14:textId="1D2B029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26/39 (66</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nil"/>
              <w:bottom w:val="single" w:sz="4" w:space="0" w:color="auto"/>
            </w:tcBorders>
            <w:shd w:val="clear" w:color="auto" w:fill="auto"/>
          </w:tcPr>
          <w:p w14:paraId="308BACCF" w14:textId="34FFBA5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57/87 (65</w:t>
            </w:r>
            <w:r w:rsidR="00DD4F81">
              <w:rPr>
                <w:rFonts w:asciiTheme="minorHAnsi" w:hAnsiTheme="minorHAnsi" w:cstheme="minorHAnsi"/>
              </w:rPr>
              <w:t>,</w:t>
            </w:r>
            <w:r w:rsidRPr="000E083A">
              <w:rPr>
                <w:rFonts w:asciiTheme="minorHAnsi" w:hAnsiTheme="minorHAnsi" w:cstheme="minorHAnsi"/>
              </w:rPr>
              <w:t>5%)</w:t>
            </w:r>
          </w:p>
        </w:tc>
      </w:tr>
      <w:tr w:rsidR="00B239D3" w:rsidRPr="000E083A" w14:paraId="70D00FE4" w14:textId="77777777" w:rsidTr="000E083A">
        <w:trPr>
          <w:jc w:val="center"/>
        </w:trPr>
        <w:tc>
          <w:tcPr>
            <w:tcW w:w="1560" w:type="dxa"/>
            <w:gridSpan w:val="2"/>
            <w:tcBorders>
              <w:top w:val="single" w:sz="4" w:space="0" w:color="auto"/>
              <w:bottom w:val="nil"/>
            </w:tcBorders>
            <w:shd w:val="clear" w:color="auto" w:fill="auto"/>
            <w:vAlign w:val="center"/>
          </w:tcPr>
          <w:p w14:paraId="0CE3BEA0"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22q CN</w:t>
            </w:r>
          </w:p>
        </w:tc>
        <w:tc>
          <w:tcPr>
            <w:tcW w:w="1134" w:type="dxa"/>
            <w:tcBorders>
              <w:top w:val="single" w:sz="4" w:space="0" w:color="auto"/>
              <w:bottom w:val="nil"/>
            </w:tcBorders>
            <w:shd w:val="clear" w:color="auto" w:fill="auto"/>
          </w:tcPr>
          <w:p w14:paraId="1814CA62" w14:textId="7BBD78A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48</w:t>
            </w:r>
          </w:p>
        </w:tc>
        <w:tc>
          <w:tcPr>
            <w:tcW w:w="1275" w:type="dxa"/>
            <w:tcBorders>
              <w:top w:val="single" w:sz="4" w:space="0" w:color="auto"/>
              <w:bottom w:val="nil"/>
            </w:tcBorders>
          </w:tcPr>
          <w:p w14:paraId="70A4C54D" w14:textId="72A06DD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13/16 (81</w:t>
            </w:r>
            <w:r w:rsidR="001A0AFD">
              <w:rPr>
                <w:rFonts w:asciiTheme="minorHAnsi" w:hAnsiTheme="minorHAnsi" w:cstheme="minorHAnsi"/>
              </w:rPr>
              <w:t>,</w:t>
            </w:r>
            <w:r w:rsidRPr="000E083A">
              <w:rPr>
                <w:rFonts w:asciiTheme="minorHAnsi" w:hAnsiTheme="minorHAnsi" w:cstheme="minorHAnsi"/>
              </w:rPr>
              <w:t>2%)</w:t>
            </w:r>
          </w:p>
        </w:tc>
        <w:tc>
          <w:tcPr>
            <w:tcW w:w="1276" w:type="dxa"/>
            <w:tcBorders>
              <w:top w:val="single" w:sz="4" w:space="0" w:color="auto"/>
              <w:bottom w:val="nil"/>
            </w:tcBorders>
          </w:tcPr>
          <w:p w14:paraId="7C32018C" w14:textId="7D77CA5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30/39 (76</w:t>
            </w:r>
            <w:r w:rsidR="00DD4F81">
              <w:rPr>
                <w:rFonts w:asciiTheme="minorHAnsi" w:hAnsiTheme="minorHAnsi" w:cstheme="minorHAnsi"/>
              </w:rPr>
              <w:t>,</w:t>
            </w:r>
            <w:r w:rsidRPr="000E083A">
              <w:rPr>
                <w:rFonts w:asciiTheme="minorHAnsi" w:hAnsiTheme="minorHAnsi" w:cstheme="minorHAnsi"/>
              </w:rPr>
              <w:t>9%)</w:t>
            </w:r>
          </w:p>
        </w:tc>
        <w:tc>
          <w:tcPr>
            <w:tcW w:w="1559" w:type="dxa"/>
            <w:tcBorders>
              <w:top w:val="single" w:sz="4" w:space="0" w:color="auto"/>
              <w:bottom w:val="nil"/>
            </w:tcBorders>
          </w:tcPr>
          <w:p w14:paraId="25724B53" w14:textId="07EE7AFC"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33/41 (80</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single" w:sz="4" w:space="0" w:color="auto"/>
              <w:bottom w:val="nil"/>
            </w:tcBorders>
            <w:shd w:val="clear" w:color="auto" w:fill="auto"/>
          </w:tcPr>
          <w:p w14:paraId="2CC0858C" w14:textId="6855774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76/96 (79</w:t>
            </w:r>
            <w:r w:rsidR="00DD4F81">
              <w:rPr>
                <w:rFonts w:asciiTheme="minorHAnsi" w:hAnsiTheme="minorHAnsi" w:cstheme="minorHAnsi"/>
              </w:rPr>
              <w:t>,</w:t>
            </w:r>
            <w:r w:rsidRPr="000E083A">
              <w:rPr>
                <w:rFonts w:asciiTheme="minorHAnsi" w:hAnsiTheme="minorHAnsi" w:cstheme="minorHAnsi"/>
              </w:rPr>
              <w:t>2%)</w:t>
            </w:r>
          </w:p>
        </w:tc>
      </w:tr>
      <w:tr w:rsidR="00B239D3" w:rsidRPr="000E083A" w14:paraId="575B0BBE" w14:textId="77777777" w:rsidTr="000E083A">
        <w:trPr>
          <w:jc w:val="center"/>
        </w:trPr>
        <w:tc>
          <w:tcPr>
            <w:tcW w:w="1560" w:type="dxa"/>
            <w:gridSpan w:val="2"/>
            <w:tcBorders>
              <w:top w:val="nil"/>
              <w:bottom w:val="single" w:sz="4" w:space="0" w:color="auto"/>
            </w:tcBorders>
            <w:shd w:val="clear" w:color="auto" w:fill="auto"/>
            <w:vAlign w:val="center"/>
          </w:tcPr>
          <w:p w14:paraId="78FE9B54"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5A99EF4F" w14:textId="1B5ABC4A"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48</w:t>
            </w:r>
          </w:p>
        </w:tc>
        <w:tc>
          <w:tcPr>
            <w:tcW w:w="1275" w:type="dxa"/>
            <w:tcBorders>
              <w:top w:val="nil"/>
              <w:bottom w:val="single" w:sz="4" w:space="0" w:color="auto"/>
            </w:tcBorders>
          </w:tcPr>
          <w:p w14:paraId="5E7E8509" w14:textId="228A606C"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3/16 (18</w:t>
            </w:r>
            <w:r w:rsidR="001A0AFD">
              <w:rPr>
                <w:rFonts w:asciiTheme="minorHAnsi" w:hAnsiTheme="minorHAnsi" w:cstheme="minorHAnsi"/>
              </w:rPr>
              <w:t>,</w:t>
            </w:r>
            <w:r w:rsidRPr="000E083A">
              <w:rPr>
                <w:rFonts w:asciiTheme="minorHAnsi" w:hAnsiTheme="minorHAnsi" w:cstheme="minorHAnsi"/>
              </w:rPr>
              <w:t>8%)</w:t>
            </w:r>
          </w:p>
        </w:tc>
        <w:tc>
          <w:tcPr>
            <w:tcW w:w="1276" w:type="dxa"/>
            <w:tcBorders>
              <w:top w:val="nil"/>
              <w:bottom w:val="single" w:sz="4" w:space="0" w:color="auto"/>
            </w:tcBorders>
          </w:tcPr>
          <w:p w14:paraId="36C29438" w14:textId="0EA1CA0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9/39 (23</w:t>
            </w:r>
            <w:r w:rsidR="00DD4F81">
              <w:rPr>
                <w:rFonts w:asciiTheme="minorHAnsi" w:hAnsiTheme="minorHAnsi" w:cstheme="minorHAnsi"/>
              </w:rPr>
              <w:t>,</w:t>
            </w:r>
            <w:r w:rsidRPr="000E083A">
              <w:rPr>
                <w:rFonts w:asciiTheme="minorHAnsi" w:hAnsiTheme="minorHAnsi" w:cstheme="minorHAnsi"/>
              </w:rPr>
              <w:t>1%)</w:t>
            </w:r>
          </w:p>
        </w:tc>
        <w:tc>
          <w:tcPr>
            <w:tcW w:w="1559" w:type="dxa"/>
            <w:tcBorders>
              <w:top w:val="nil"/>
              <w:bottom w:val="single" w:sz="4" w:space="0" w:color="auto"/>
            </w:tcBorders>
          </w:tcPr>
          <w:p w14:paraId="61BCFC09" w14:textId="48F56D0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8/41 (19</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nil"/>
              <w:bottom w:val="single" w:sz="4" w:space="0" w:color="auto"/>
            </w:tcBorders>
            <w:shd w:val="clear" w:color="auto" w:fill="auto"/>
          </w:tcPr>
          <w:p w14:paraId="2A1DE15A" w14:textId="2B64B1F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20/96 (20</w:t>
            </w:r>
            <w:r w:rsidR="00DD4F81">
              <w:rPr>
                <w:rFonts w:asciiTheme="minorHAnsi" w:hAnsiTheme="minorHAnsi" w:cstheme="minorHAnsi"/>
              </w:rPr>
              <w:t>,</w:t>
            </w:r>
            <w:r w:rsidRPr="000E083A">
              <w:rPr>
                <w:rFonts w:asciiTheme="minorHAnsi" w:hAnsiTheme="minorHAnsi" w:cstheme="minorHAnsi"/>
              </w:rPr>
              <w:t>8%)</w:t>
            </w:r>
          </w:p>
        </w:tc>
      </w:tr>
      <w:tr w:rsidR="00B239D3" w:rsidRPr="000E083A" w14:paraId="56978E62" w14:textId="77777777" w:rsidTr="000E083A">
        <w:trPr>
          <w:jc w:val="center"/>
        </w:trPr>
        <w:tc>
          <w:tcPr>
            <w:tcW w:w="1560" w:type="dxa"/>
            <w:gridSpan w:val="2"/>
            <w:tcBorders>
              <w:top w:val="single" w:sz="4" w:space="0" w:color="auto"/>
              <w:bottom w:val="nil"/>
            </w:tcBorders>
            <w:shd w:val="clear" w:color="auto" w:fill="auto"/>
            <w:vAlign w:val="center"/>
          </w:tcPr>
          <w:p w14:paraId="5ADE4DE4"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CEP7 CN</w:t>
            </w:r>
          </w:p>
        </w:tc>
        <w:tc>
          <w:tcPr>
            <w:tcW w:w="1134" w:type="dxa"/>
            <w:tcBorders>
              <w:top w:val="single" w:sz="4" w:space="0" w:color="auto"/>
              <w:bottom w:val="nil"/>
            </w:tcBorders>
            <w:shd w:val="clear" w:color="auto" w:fill="auto"/>
          </w:tcPr>
          <w:p w14:paraId="1D5F03D0" w14:textId="34ED02C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04</w:t>
            </w:r>
          </w:p>
        </w:tc>
        <w:tc>
          <w:tcPr>
            <w:tcW w:w="1275" w:type="dxa"/>
            <w:tcBorders>
              <w:top w:val="single" w:sz="4" w:space="0" w:color="auto"/>
              <w:bottom w:val="nil"/>
            </w:tcBorders>
          </w:tcPr>
          <w:p w14:paraId="61221030"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4/16 (25%)</w:t>
            </w:r>
          </w:p>
        </w:tc>
        <w:tc>
          <w:tcPr>
            <w:tcW w:w="1276" w:type="dxa"/>
            <w:tcBorders>
              <w:top w:val="single" w:sz="4" w:space="0" w:color="auto"/>
              <w:bottom w:val="nil"/>
            </w:tcBorders>
          </w:tcPr>
          <w:p w14:paraId="72D3E22B" w14:textId="4E0CCA4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4/41 (9</w:t>
            </w:r>
            <w:r w:rsidR="00DD4F81">
              <w:rPr>
                <w:rFonts w:asciiTheme="minorHAnsi" w:hAnsiTheme="minorHAnsi" w:cstheme="minorHAnsi"/>
              </w:rPr>
              <w:t>,</w:t>
            </w:r>
            <w:r w:rsidRPr="000E083A">
              <w:rPr>
                <w:rFonts w:asciiTheme="minorHAnsi" w:hAnsiTheme="minorHAnsi" w:cstheme="minorHAnsi"/>
              </w:rPr>
              <w:t>8%)</w:t>
            </w:r>
          </w:p>
        </w:tc>
        <w:tc>
          <w:tcPr>
            <w:tcW w:w="1559" w:type="dxa"/>
            <w:tcBorders>
              <w:top w:val="single" w:sz="4" w:space="0" w:color="auto"/>
              <w:bottom w:val="nil"/>
            </w:tcBorders>
          </w:tcPr>
          <w:p w14:paraId="45987891"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10/50 (20%)</w:t>
            </w:r>
          </w:p>
        </w:tc>
        <w:tc>
          <w:tcPr>
            <w:tcW w:w="1560" w:type="dxa"/>
            <w:tcBorders>
              <w:top w:val="single" w:sz="4" w:space="0" w:color="auto"/>
              <w:bottom w:val="nil"/>
            </w:tcBorders>
            <w:shd w:val="clear" w:color="auto" w:fill="auto"/>
          </w:tcPr>
          <w:p w14:paraId="055630B7" w14:textId="0701B76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18/107 (16</w:t>
            </w:r>
            <w:r w:rsidR="00DD4F81">
              <w:rPr>
                <w:rFonts w:asciiTheme="minorHAnsi" w:hAnsiTheme="minorHAnsi" w:cstheme="minorHAnsi"/>
              </w:rPr>
              <w:t>,</w:t>
            </w:r>
            <w:r w:rsidRPr="000E083A">
              <w:rPr>
                <w:rFonts w:asciiTheme="minorHAnsi" w:hAnsiTheme="minorHAnsi" w:cstheme="minorHAnsi"/>
              </w:rPr>
              <w:t>8%)</w:t>
            </w:r>
          </w:p>
        </w:tc>
      </w:tr>
      <w:tr w:rsidR="00B239D3" w:rsidRPr="000E083A" w14:paraId="4902681E" w14:textId="77777777" w:rsidTr="000E083A">
        <w:trPr>
          <w:jc w:val="center"/>
        </w:trPr>
        <w:tc>
          <w:tcPr>
            <w:tcW w:w="1560" w:type="dxa"/>
            <w:gridSpan w:val="2"/>
            <w:tcBorders>
              <w:top w:val="nil"/>
              <w:bottom w:val="single" w:sz="4" w:space="0" w:color="auto"/>
            </w:tcBorders>
            <w:shd w:val="clear" w:color="auto" w:fill="auto"/>
            <w:vAlign w:val="center"/>
          </w:tcPr>
          <w:p w14:paraId="0F3E1E65"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5D20C588" w14:textId="6A9D9AB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04</w:t>
            </w:r>
          </w:p>
        </w:tc>
        <w:tc>
          <w:tcPr>
            <w:tcW w:w="1275" w:type="dxa"/>
            <w:tcBorders>
              <w:top w:val="nil"/>
              <w:bottom w:val="single" w:sz="4" w:space="0" w:color="auto"/>
            </w:tcBorders>
          </w:tcPr>
          <w:p w14:paraId="4D46DF20"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12/16 (75%)</w:t>
            </w:r>
          </w:p>
        </w:tc>
        <w:tc>
          <w:tcPr>
            <w:tcW w:w="1276" w:type="dxa"/>
            <w:tcBorders>
              <w:top w:val="nil"/>
              <w:bottom w:val="single" w:sz="4" w:space="0" w:color="auto"/>
            </w:tcBorders>
          </w:tcPr>
          <w:p w14:paraId="32EABDF8" w14:textId="36BF644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37/41 (90</w:t>
            </w:r>
            <w:r w:rsidR="00DD4F81">
              <w:rPr>
                <w:rFonts w:asciiTheme="minorHAnsi" w:hAnsiTheme="minorHAnsi" w:cstheme="minorHAnsi"/>
              </w:rPr>
              <w:t>,</w:t>
            </w:r>
            <w:r w:rsidRPr="000E083A">
              <w:rPr>
                <w:rFonts w:asciiTheme="minorHAnsi" w:hAnsiTheme="minorHAnsi" w:cstheme="minorHAnsi"/>
              </w:rPr>
              <w:t>2%)</w:t>
            </w:r>
          </w:p>
        </w:tc>
        <w:tc>
          <w:tcPr>
            <w:tcW w:w="1559" w:type="dxa"/>
            <w:tcBorders>
              <w:top w:val="nil"/>
              <w:bottom w:val="single" w:sz="4" w:space="0" w:color="auto"/>
            </w:tcBorders>
          </w:tcPr>
          <w:p w14:paraId="7286A9C8"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40/50 (80%)</w:t>
            </w:r>
          </w:p>
        </w:tc>
        <w:tc>
          <w:tcPr>
            <w:tcW w:w="1560" w:type="dxa"/>
            <w:tcBorders>
              <w:top w:val="nil"/>
              <w:bottom w:val="single" w:sz="4" w:space="0" w:color="auto"/>
            </w:tcBorders>
            <w:shd w:val="clear" w:color="auto" w:fill="auto"/>
          </w:tcPr>
          <w:p w14:paraId="332C63EE" w14:textId="16EBDEF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89/107 (83</w:t>
            </w:r>
            <w:r w:rsidR="00DD4F81">
              <w:rPr>
                <w:rFonts w:asciiTheme="minorHAnsi" w:hAnsiTheme="minorHAnsi" w:cstheme="minorHAnsi"/>
              </w:rPr>
              <w:t>,</w:t>
            </w:r>
            <w:r w:rsidRPr="000E083A">
              <w:rPr>
                <w:rFonts w:asciiTheme="minorHAnsi" w:hAnsiTheme="minorHAnsi" w:cstheme="minorHAnsi"/>
              </w:rPr>
              <w:t>2%)</w:t>
            </w:r>
          </w:p>
        </w:tc>
      </w:tr>
      <w:tr w:rsidR="00B239D3" w:rsidRPr="000E083A" w14:paraId="0DA4F8C8" w14:textId="77777777" w:rsidTr="000E083A">
        <w:trPr>
          <w:jc w:val="center"/>
        </w:trPr>
        <w:tc>
          <w:tcPr>
            <w:tcW w:w="1560" w:type="dxa"/>
            <w:gridSpan w:val="2"/>
            <w:tcBorders>
              <w:top w:val="single" w:sz="4" w:space="0" w:color="auto"/>
              <w:bottom w:val="nil"/>
            </w:tcBorders>
            <w:shd w:val="clear" w:color="auto" w:fill="auto"/>
            <w:vAlign w:val="center"/>
          </w:tcPr>
          <w:p w14:paraId="7C612BC0" w14:textId="77777777" w:rsidR="00B239D3" w:rsidRPr="000E083A" w:rsidRDefault="00B239D3" w:rsidP="000E083A">
            <w:pPr>
              <w:pStyle w:val="MDPI42tablebody"/>
              <w:spacing w:line="240" w:lineRule="auto"/>
              <w:rPr>
                <w:rFonts w:asciiTheme="minorHAnsi" w:hAnsiTheme="minorHAnsi" w:cstheme="minorHAnsi"/>
                <w:sz w:val="18"/>
                <w:szCs w:val="18"/>
              </w:rPr>
            </w:pPr>
            <w:r w:rsidRPr="00DD4F81">
              <w:rPr>
                <w:rFonts w:asciiTheme="minorHAnsi" w:hAnsiTheme="minorHAnsi" w:cstheme="minorHAnsi"/>
                <w:i/>
                <w:iCs/>
                <w:sz w:val="18"/>
                <w:szCs w:val="18"/>
              </w:rPr>
              <w:t>BCR</w:t>
            </w:r>
            <w:r w:rsidRPr="000E083A">
              <w:rPr>
                <w:rFonts w:asciiTheme="minorHAnsi" w:hAnsiTheme="minorHAnsi" w:cstheme="minorHAnsi"/>
                <w:sz w:val="18"/>
                <w:szCs w:val="18"/>
              </w:rPr>
              <w:t xml:space="preserve"> CN</w:t>
            </w:r>
          </w:p>
        </w:tc>
        <w:tc>
          <w:tcPr>
            <w:tcW w:w="1134" w:type="dxa"/>
            <w:tcBorders>
              <w:top w:val="single" w:sz="4" w:space="0" w:color="auto"/>
              <w:bottom w:val="nil"/>
            </w:tcBorders>
            <w:shd w:val="clear" w:color="auto" w:fill="auto"/>
          </w:tcPr>
          <w:p w14:paraId="36D85152" w14:textId="56976DE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04</w:t>
            </w:r>
          </w:p>
        </w:tc>
        <w:tc>
          <w:tcPr>
            <w:tcW w:w="1275" w:type="dxa"/>
            <w:tcBorders>
              <w:top w:val="single" w:sz="4" w:space="0" w:color="auto"/>
              <w:bottom w:val="nil"/>
            </w:tcBorders>
          </w:tcPr>
          <w:p w14:paraId="23B49846"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6/15 (40%)</w:t>
            </w:r>
          </w:p>
        </w:tc>
        <w:tc>
          <w:tcPr>
            <w:tcW w:w="1276" w:type="dxa"/>
            <w:tcBorders>
              <w:top w:val="single" w:sz="4" w:space="0" w:color="auto"/>
              <w:bottom w:val="nil"/>
            </w:tcBorders>
          </w:tcPr>
          <w:p w14:paraId="624274F8" w14:textId="79239D9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11/31 (35</w:t>
            </w:r>
            <w:r w:rsidR="00DD4F81">
              <w:rPr>
                <w:rFonts w:asciiTheme="minorHAnsi" w:hAnsiTheme="minorHAnsi" w:cstheme="minorHAnsi"/>
              </w:rPr>
              <w:t>,</w:t>
            </w:r>
            <w:r w:rsidRPr="000E083A">
              <w:rPr>
                <w:rFonts w:asciiTheme="minorHAnsi" w:hAnsiTheme="minorHAnsi" w:cstheme="minorHAnsi"/>
              </w:rPr>
              <w:t>5%)</w:t>
            </w:r>
          </w:p>
        </w:tc>
        <w:tc>
          <w:tcPr>
            <w:tcW w:w="1559" w:type="dxa"/>
            <w:tcBorders>
              <w:top w:val="single" w:sz="4" w:space="0" w:color="auto"/>
              <w:bottom w:val="nil"/>
            </w:tcBorders>
          </w:tcPr>
          <w:p w14:paraId="2A8E2922" w14:textId="3D9CAF5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14/39 (35</w:t>
            </w:r>
            <w:r w:rsidR="00DD4F81">
              <w:rPr>
                <w:rFonts w:asciiTheme="minorHAnsi" w:hAnsiTheme="minorHAnsi" w:cstheme="minorHAnsi"/>
              </w:rPr>
              <w:t>,</w:t>
            </w:r>
            <w:r w:rsidRPr="000E083A">
              <w:rPr>
                <w:rFonts w:asciiTheme="minorHAnsi" w:hAnsiTheme="minorHAnsi" w:cstheme="minorHAnsi"/>
              </w:rPr>
              <w:t>9%)</w:t>
            </w:r>
          </w:p>
        </w:tc>
        <w:tc>
          <w:tcPr>
            <w:tcW w:w="1560" w:type="dxa"/>
            <w:tcBorders>
              <w:top w:val="single" w:sz="4" w:space="0" w:color="auto"/>
              <w:bottom w:val="nil"/>
            </w:tcBorders>
            <w:shd w:val="clear" w:color="auto" w:fill="auto"/>
          </w:tcPr>
          <w:p w14:paraId="2ACCCB6E" w14:textId="0B2FCBBC"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31/85 (36</w:t>
            </w:r>
            <w:r w:rsidR="00DD4F81">
              <w:rPr>
                <w:rFonts w:asciiTheme="minorHAnsi" w:hAnsiTheme="minorHAnsi" w:cstheme="minorHAnsi"/>
              </w:rPr>
              <w:t>,</w:t>
            </w:r>
            <w:r w:rsidRPr="000E083A">
              <w:rPr>
                <w:rFonts w:asciiTheme="minorHAnsi" w:hAnsiTheme="minorHAnsi" w:cstheme="minorHAnsi"/>
              </w:rPr>
              <w:t>5%)</w:t>
            </w:r>
          </w:p>
        </w:tc>
      </w:tr>
      <w:tr w:rsidR="00B239D3" w:rsidRPr="000E083A" w14:paraId="7FF1FC46" w14:textId="77777777" w:rsidTr="000E083A">
        <w:trPr>
          <w:jc w:val="center"/>
        </w:trPr>
        <w:tc>
          <w:tcPr>
            <w:tcW w:w="1560" w:type="dxa"/>
            <w:gridSpan w:val="2"/>
            <w:tcBorders>
              <w:top w:val="nil"/>
              <w:bottom w:val="single" w:sz="4" w:space="0" w:color="auto"/>
            </w:tcBorders>
            <w:shd w:val="clear" w:color="auto" w:fill="auto"/>
            <w:vAlign w:val="center"/>
          </w:tcPr>
          <w:p w14:paraId="0CE8BE84"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57E187B9" w14:textId="00D9E3F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04</w:t>
            </w:r>
          </w:p>
        </w:tc>
        <w:tc>
          <w:tcPr>
            <w:tcW w:w="1275" w:type="dxa"/>
            <w:tcBorders>
              <w:top w:val="nil"/>
              <w:bottom w:val="single" w:sz="4" w:space="0" w:color="auto"/>
            </w:tcBorders>
          </w:tcPr>
          <w:p w14:paraId="02209FC6"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9/15 (60%)</w:t>
            </w:r>
          </w:p>
        </w:tc>
        <w:tc>
          <w:tcPr>
            <w:tcW w:w="1276" w:type="dxa"/>
            <w:tcBorders>
              <w:top w:val="nil"/>
              <w:bottom w:val="single" w:sz="4" w:space="0" w:color="auto"/>
            </w:tcBorders>
          </w:tcPr>
          <w:p w14:paraId="389E210F" w14:textId="4AF6DC8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20/31 (64</w:t>
            </w:r>
            <w:r w:rsidR="00DD4F81">
              <w:rPr>
                <w:rFonts w:asciiTheme="minorHAnsi" w:hAnsiTheme="minorHAnsi" w:cstheme="minorHAnsi"/>
              </w:rPr>
              <w:t>,</w:t>
            </w:r>
            <w:r w:rsidRPr="000E083A">
              <w:rPr>
                <w:rFonts w:asciiTheme="minorHAnsi" w:hAnsiTheme="minorHAnsi" w:cstheme="minorHAnsi"/>
              </w:rPr>
              <w:t>5%)</w:t>
            </w:r>
          </w:p>
        </w:tc>
        <w:tc>
          <w:tcPr>
            <w:tcW w:w="1559" w:type="dxa"/>
            <w:tcBorders>
              <w:top w:val="nil"/>
              <w:bottom w:val="single" w:sz="4" w:space="0" w:color="auto"/>
            </w:tcBorders>
          </w:tcPr>
          <w:p w14:paraId="256703C9" w14:textId="180BCC4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25/39 (64</w:t>
            </w:r>
            <w:r w:rsidR="00DD4F81">
              <w:rPr>
                <w:rFonts w:asciiTheme="minorHAnsi" w:hAnsiTheme="minorHAnsi" w:cstheme="minorHAnsi"/>
              </w:rPr>
              <w:t>,</w:t>
            </w:r>
            <w:r w:rsidRPr="000E083A">
              <w:rPr>
                <w:rFonts w:asciiTheme="minorHAnsi" w:hAnsiTheme="minorHAnsi" w:cstheme="minorHAnsi"/>
              </w:rPr>
              <w:t>1%)</w:t>
            </w:r>
          </w:p>
        </w:tc>
        <w:tc>
          <w:tcPr>
            <w:tcW w:w="1560" w:type="dxa"/>
            <w:tcBorders>
              <w:top w:val="nil"/>
              <w:bottom w:val="single" w:sz="4" w:space="0" w:color="auto"/>
            </w:tcBorders>
            <w:shd w:val="clear" w:color="auto" w:fill="auto"/>
          </w:tcPr>
          <w:p w14:paraId="7C08FD7F" w14:textId="1334C49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54/85 (63</w:t>
            </w:r>
            <w:r w:rsidR="00DD4F81">
              <w:rPr>
                <w:rFonts w:asciiTheme="minorHAnsi" w:hAnsiTheme="minorHAnsi" w:cstheme="minorHAnsi"/>
              </w:rPr>
              <w:t>,</w:t>
            </w:r>
            <w:r w:rsidRPr="000E083A">
              <w:rPr>
                <w:rFonts w:asciiTheme="minorHAnsi" w:hAnsiTheme="minorHAnsi" w:cstheme="minorHAnsi"/>
              </w:rPr>
              <w:t>5%)</w:t>
            </w:r>
          </w:p>
        </w:tc>
      </w:tr>
      <w:tr w:rsidR="00B239D3" w:rsidRPr="000E083A" w14:paraId="69708B9D" w14:textId="77777777" w:rsidTr="000E083A">
        <w:trPr>
          <w:jc w:val="center"/>
        </w:trPr>
        <w:tc>
          <w:tcPr>
            <w:tcW w:w="1560" w:type="dxa"/>
            <w:gridSpan w:val="2"/>
            <w:tcBorders>
              <w:top w:val="single" w:sz="4" w:space="0" w:color="auto"/>
              <w:bottom w:val="nil"/>
            </w:tcBorders>
            <w:shd w:val="clear" w:color="auto" w:fill="auto"/>
            <w:vAlign w:val="center"/>
          </w:tcPr>
          <w:p w14:paraId="0168157A" w14:textId="77777777" w:rsidR="00B239D3" w:rsidRPr="000E083A" w:rsidRDefault="00B239D3" w:rsidP="000E083A">
            <w:pPr>
              <w:pStyle w:val="MDPI42tablebody"/>
              <w:spacing w:line="240" w:lineRule="auto"/>
              <w:rPr>
                <w:rFonts w:asciiTheme="minorHAnsi" w:hAnsiTheme="minorHAnsi" w:cstheme="minorHAnsi"/>
                <w:sz w:val="18"/>
                <w:szCs w:val="18"/>
              </w:rPr>
            </w:pPr>
            <w:r w:rsidRPr="00DD4F81">
              <w:rPr>
                <w:rFonts w:asciiTheme="minorHAnsi" w:hAnsiTheme="minorHAnsi" w:cstheme="minorHAnsi"/>
                <w:i/>
                <w:iCs/>
                <w:sz w:val="18"/>
                <w:szCs w:val="18"/>
              </w:rPr>
              <w:t>EGFR1</w:t>
            </w:r>
            <w:r w:rsidRPr="000E083A">
              <w:rPr>
                <w:rFonts w:asciiTheme="minorHAnsi" w:hAnsiTheme="minorHAnsi" w:cstheme="minorHAnsi"/>
                <w:sz w:val="18"/>
                <w:szCs w:val="18"/>
              </w:rPr>
              <w:t xml:space="preserve"> CN</w:t>
            </w:r>
          </w:p>
        </w:tc>
        <w:tc>
          <w:tcPr>
            <w:tcW w:w="1134" w:type="dxa"/>
            <w:tcBorders>
              <w:top w:val="single" w:sz="4" w:space="0" w:color="auto"/>
              <w:bottom w:val="nil"/>
            </w:tcBorders>
            <w:shd w:val="clear" w:color="auto" w:fill="auto"/>
          </w:tcPr>
          <w:p w14:paraId="110C892B" w14:textId="2393370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3</w:t>
            </w:r>
            <w:r w:rsidR="001A0AFD">
              <w:rPr>
                <w:rFonts w:asciiTheme="minorHAnsi" w:hAnsiTheme="minorHAnsi" w:cstheme="minorHAnsi"/>
              </w:rPr>
              <w:t>,</w:t>
            </w:r>
            <w:r w:rsidRPr="000E083A">
              <w:rPr>
                <w:rFonts w:asciiTheme="minorHAnsi" w:hAnsiTheme="minorHAnsi" w:cstheme="minorHAnsi"/>
              </w:rPr>
              <w:t>39</w:t>
            </w:r>
          </w:p>
        </w:tc>
        <w:tc>
          <w:tcPr>
            <w:tcW w:w="1275" w:type="dxa"/>
            <w:tcBorders>
              <w:top w:val="single" w:sz="4" w:space="0" w:color="auto"/>
              <w:bottom w:val="nil"/>
            </w:tcBorders>
          </w:tcPr>
          <w:p w14:paraId="28F6F1AB" w14:textId="35E3D97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6/16 (37</w:t>
            </w:r>
            <w:r w:rsidR="001A0AFD">
              <w:rPr>
                <w:rFonts w:asciiTheme="minorHAnsi" w:hAnsiTheme="minorHAnsi" w:cstheme="minorHAnsi"/>
              </w:rPr>
              <w:t>,</w:t>
            </w:r>
            <w:r w:rsidRPr="000E083A">
              <w:rPr>
                <w:rFonts w:asciiTheme="minorHAnsi" w:hAnsiTheme="minorHAnsi" w:cstheme="minorHAnsi"/>
              </w:rPr>
              <w:t>5%)</w:t>
            </w:r>
          </w:p>
        </w:tc>
        <w:tc>
          <w:tcPr>
            <w:tcW w:w="1276" w:type="dxa"/>
            <w:tcBorders>
              <w:top w:val="single" w:sz="4" w:space="0" w:color="auto"/>
              <w:bottom w:val="nil"/>
            </w:tcBorders>
          </w:tcPr>
          <w:p w14:paraId="24A1F132" w14:textId="021E213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25/44 (56</w:t>
            </w:r>
            <w:r w:rsidR="00DD4F81">
              <w:rPr>
                <w:rFonts w:asciiTheme="minorHAnsi" w:hAnsiTheme="minorHAnsi" w:cstheme="minorHAnsi"/>
              </w:rPr>
              <w:t>,</w:t>
            </w:r>
            <w:r w:rsidRPr="000E083A">
              <w:rPr>
                <w:rFonts w:asciiTheme="minorHAnsi" w:hAnsiTheme="minorHAnsi" w:cstheme="minorHAnsi"/>
              </w:rPr>
              <w:t>8%)</w:t>
            </w:r>
          </w:p>
        </w:tc>
        <w:tc>
          <w:tcPr>
            <w:tcW w:w="1559" w:type="dxa"/>
            <w:tcBorders>
              <w:top w:val="single" w:sz="4" w:space="0" w:color="auto"/>
              <w:bottom w:val="nil"/>
            </w:tcBorders>
          </w:tcPr>
          <w:p w14:paraId="73AED29B" w14:textId="1812158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26/53 (49</w:t>
            </w:r>
            <w:r w:rsidR="00DD4F81">
              <w:rPr>
                <w:rFonts w:asciiTheme="minorHAnsi" w:hAnsiTheme="minorHAnsi" w:cstheme="minorHAnsi"/>
              </w:rPr>
              <w:t>,</w:t>
            </w:r>
            <w:r w:rsidRPr="000E083A">
              <w:rPr>
                <w:rFonts w:asciiTheme="minorHAnsi" w:hAnsiTheme="minorHAnsi" w:cstheme="minorHAnsi"/>
              </w:rPr>
              <w:t>1%)</w:t>
            </w:r>
          </w:p>
        </w:tc>
        <w:tc>
          <w:tcPr>
            <w:tcW w:w="1560" w:type="dxa"/>
            <w:tcBorders>
              <w:top w:val="single" w:sz="4" w:space="0" w:color="auto"/>
              <w:bottom w:val="nil"/>
            </w:tcBorders>
            <w:shd w:val="clear" w:color="auto" w:fill="auto"/>
          </w:tcPr>
          <w:p w14:paraId="14D278CA" w14:textId="593B362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57/113 (50</w:t>
            </w:r>
            <w:r w:rsidR="00DD4F81">
              <w:rPr>
                <w:rFonts w:asciiTheme="minorHAnsi" w:hAnsiTheme="minorHAnsi" w:cstheme="minorHAnsi"/>
              </w:rPr>
              <w:t>,</w:t>
            </w:r>
            <w:r w:rsidRPr="000E083A">
              <w:rPr>
                <w:rFonts w:asciiTheme="minorHAnsi" w:hAnsiTheme="minorHAnsi" w:cstheme="minorHAnsi"/>
              </w:rPr>
              <w:t>4%)</w:t>
            </w:r>
          </w:p>
        </w:tc>
      </w:tr>
      <w:tr w:rsidR="00B239D3" w:rsidRPr="000E083A" w14:paraId="672F4B3D" w14:textId="77777777" w:rsidTr="000E083A">
        <w:trPr>
          <w:jc w:val="center"/>
        </w:trPr>
        <w:tc>
          <w:tcPr>
            <w:tcW w:w="1560" w:type="dxa"/>
            <w:gridSpan w:val="2"/>
            <w:tcBorders>
              <w:top w:val="nil"/>
              <w:bottom w:val="single" w:sz="4" w:space="0" w:color="auto"/>
            </w:tcBorders>
            <w:shd w:val="clear" w:color="auto" w:fill="auto"/>
            <w:vAlign w:val="center"/>
          </w:tcPr>
          <w:p w14:paraId="1DA8E2A6"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730BC142" w14:textId="0FF141F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3</w:t>
            </w:r>
            <w:r w:rsidR="001A0AFD">
              <w:rPr>
                <w:rFonts w:asciiTheme="minorHAnsi" w:hAnsiTheme="minorHAnsi" w:cstheme="minorHAnsi"/>
              </w:rPr>
              <w:t>,</w:t>
            </w:r>
            <w:r w:rsidRPr="000E083A">
              <w:rPr>
                <w:rFonts w:asciiTheme="minorHAnsi" w:hAnsiTheme="minorHAnsi" w:cstheme="minorHAnsi"/>
              </w:rPr>
              <w:t>39</w:t>
            </w:r>
          </w:p>
        </w:tc>
        <w:tc>
          <w:tcPr>
            <w:tcW w:w="1275" w:type="dxa"/>
            <w:tcBorders>
              <w:top w:val="nil"/>
              <w:bottom w:val="single" w:sz="4" w:space="0" w:color="auto"/>
            </w:tcBorders>
          </w:tcPr>
          <w:p w14:paraId="250201B5" w14:textId="27751DB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10/16 (62</w:t>
            </w:r>
            <w:r w:rsidR="001A0AFD">
              <w:rPr>
                <w:rFonts w:asciiTheme="minorHAnsi" w:hAnsiTheme="minorHAnsi" w:cstheme="minorHAnsi"/>
              </w:rPr>
              <w:t>,</w:t>
            </w:r>
            <w:r w:rsidRPr="000E083A">
              <w:rPr>
                <w:rFonts w:asciiTheme="minorHAnsi" w:hAnsiTheme="minorHAnsi" w:cstheme="minorHAnsi"/>
              </w:rPr>
              <w:t>5%)</w:t>
            </w:r>
          </w:p>
        </w:tc>
        <w:tc>
          <w:tcPr>
            <w:tcW w:w="1276" w:type="dxa"/>
            <w:tcBorders>
              <w:top w:val="nil"/>
              <w:bottom w:val="single" w:sz="4" w:space="0" w:color="auto"/>
            </w:tcBorders>
          </w:tcPr>
          <w:p w14:paraId="590832A0" w14:textId="6DBC4ED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19/44 (43</w:t>
            </w:r>
            <w:r w:rsidR="00DD4F81">
              <w:rPr>
                <w:rFonts w:asciiTheme="minorHAnsi" w:hAnsiTheme="minorHAnsi" w:cstheme="minorHAnsi"/>
              </w:rPr>
              <w:t>,</w:t>
            </w:r>
            <w:r w:rsidRPr="000E083A">
              <w:rPr>
                <w:rFonts w:asciiTheme="minorHAnsi" w:hAnsiTheme="minorHAnsi" w:cstheme="minorHAnsi"/>
              </w:rPr>
              <w:t>2%)</w:t>
            </w:r>
          </w:p>
        </w:tc>
        <w:tc>
          <w:tcPr>
            <w:tcW w:w="1559" w:type="dxa"/>
            <w:tcBorders>
              <w:top w:val="nil"/>
              <w:bottom w:val="single" w:sz="4" w:space="0" w:color="auto"/>
            </w:tcBorders>
          </w:tcPr>
          <w:p w14:paraId="2A8B14F8" w14:textId="307B352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27/53 (50</w:t>
            </w:r>
            <w:r w:rsidR="00DD4F81">
              <w:rPr>
                <w:rFonts w:asciiTheme="minorHAnsi" w:hAnsiTheme="minorHAnsi" w:cstheme="minorHAnsi"/>
              </w:rPr>
              <w:t>,</w:t>
            </w:r>
            <w:r w:rsidRPr="000E083A">
              <w:rPr>
                <w:rFonts w:asciiTheme="minorHAnsi" w:hAnsiTheme="minorHAnsi" w:cstheme="minorHAnsi"/>
              </w:rPr>
              <w:t>9%)</w:t>
            </w:r>
          </w:p>
        </w:tc>
        <w:tc>
          <w:tcPr>
            <w:tcW w:w="1560" w:type="dxa"/>
            <w:tcBorders>
              <w:top w:val="nil"/>
              <w:bottom w:val="single" w:sz="4" w:space="0" w:color="auto"/>
            </w:tcBorders>
            <w:shd w:val="clear" w:color="auto" w:fill="auto"/>
          </w:tcPr>
          <w:p w14:paraId="34B036B3" w14:textId="289613D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56/113 (49</w:t>
            </w:r>
            <w:r w:rsidR="00DD4F81">
              <w:rPr>
                <w:rFonts w:asciiTheme="minorHAnsi" w:hAnsiTheme="minorHAnsi" w:cstheme="minorHAnsi"/>
              </w:rPr>
              <w:t>,</w:t>
            </w:r>
            <w:r w:rsidRPr="000E083A">
              <w:rPr>
                <w:rFonts w:asciiTheme="minorHAnsi" w:hAnsiTheme="minorHAnsi" w:cstheme="minorHAnsi"/>
              </w:rPr>
              <w:t>6%)</w:t>
            </w:r>
          </w:p>
        </w:tc>
      </w:tr>
      <w:tr w:rsidR="00B239D3" w:rsidRPr="000E083A" w14:paraId="5D3A343B" w14:textId="77777777" w:rsidTr="000E083A">
        <w:trPr>
          <w:jc w:val="center"/>
        </w:trPr>
        <w:tc>
          <w:tcPr>
            <w:tcW w:w="1560" w:type="dxa"/>
            <w:gridSpan w:val="2"/>
            <w:tcBorders>
              <w:top w:val="single" w:sz="4" w:space="0" w:color="auto"/>
              <w:bottom w:val="nil"/>
            </w:tcBorders>
            <w:shd w:val="clear" w:color="auto" w:fill="auto"/>
            <w:vAlign w:val="center"/>
          </w:tcPr>
          <w:p w14:paraId="1C6657AD"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9p21.3 CN</w:t>
            </w:r>
          </w:p>
        </w:tc>
        <w:tc>
          <w:tcPr>
            <w:tcW w:w="1134" w:type="dxa"/>
            <w:tcBorders>
              <w:top w:val="single" w:sz="4" w:space="0" w:color="auto"/>
              <w:bottom w:val="nil"/>
            </w:tcBorders>
            <w:shd w:val="clear" w:color="auto" w:fill="auto"/>
          </w:tcPr>
          <w:p w14:paraId="1D3E4CA2" w14:textId="7BF11B5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1</w:t>
            </w:r>
            <w:r w:rsidR="001A0AFD">
              <w:rPr>
                <w:rFonts w:asciiTheme="minorHAnsi" w:hAnsiTheme="minorHAnsi" w:cstheme="minorHAnsi"/>
              </w:rPr>
              <w:t>,</w:t>
            </w:r>
            <w:r w:rsidRPr="000E083A">
              <w:rPr>
                <w:rFonts w:asciiTheme="minorHAnsi" w:hAnsiTheme="minorHAnsi" w:cstheme="minorHAnsi"/>
              </w:rPr>
              <w:t>86</w:t>
            </w:r>
          </w:p>
        </w:tc>
        <w:tc>
          <w:tcPr>
            <w:tcW w:w="1275" w:type="dxa"/>
            <w:tcBorders>
              <w:top w:val="single" w:sz="4" w:space="0" w:color="auto"/>
              <w:bottom w:val="nil"/>
            </w:tcBorders>
          </w:tcPr>
          <w:p w14:paraId="7A0EB2F2" w14:textId="7C8F765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6/17 (35</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single" w:sz="4" w:space="0" w:color="auto"/>
              <w:bottom w:val="nil"/>
            </w:tcBorders>
          </w:tcPr>
          <w:p w14:paraId="20F3F4CA" w14:textId="3758A7FA"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10/41 (24</w:t>
            </w:r>
            <w:r w:rsidR="00DD4F81">
              <w:rPr>
                <w:rFonts w:asciiTheme="minorHAnsi" w:hAnsiTheme="minorHAnsi" w:cstheme="minorHAnsi"/>
              </w:rPr>
              <w:t>,</w:t>
            </w:r>
            <w:r w:rsidRPr="000E083A">
              <w:rPr>
                <w:rFonts w:asciiTheme="minorHAnsi" w:hAnsiTheme="minorHAnsi" w:cstheme="minorHAnsi"/>
              </w:rPr>
              <w:t>4%)</w:t>
            </w:r>
          </w:p>
        </w:tc>
        <w:tc>
          <w:tcPr>
            <w:tcW w:w="1559" w:type="dxa"/>
            <w:tcBorders>
              <w:top w:val="single" w:sz="4" w:space="0" w:color="auto"/>
              <w:bottom w:val="nil"/>
            </w:tcBorders>
          </w:tcPr>
          <w:p w14:paraId="4A029B0F" w14:textId="709EFE8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16/49 (32</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single" w:sz="4" w:space="0" w:color="auto"/>
              <w:bottom w:val="nil"/>
            </w:tcBorders>
            <w:shd w:val="clear" w:color="auto" w:fill="auto"/>
          </w:tcPr>
          <w:p w14:paraId="610378B2" w14:textId="18616B3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32/107 (29</w:t>
            </w:r>
            <w:r w:rsidR="00DD4F81">
              <w:rPr>
                <w:rFonts w:asciiTheme="minorHAnsi" w:hAnsiTheme="minorHAnsi" w:cstheme="minorHAnsi"/>
              </w:rPr>
              <w:t>,</w:t>
            </w:r>
            <w:r w:rsidRPr="000E083A">
              <w:rPr>
                <w:rFonts w:asciiTheme="minorHAnsi" w:hAnsiTheme="minorHAnsi" w:cstheme="minorHAnsi"/>
              </w:rPr>
              <w:t>9%)</w:t>
            </w:r>
          </w:p>
        </w:tc>
      </w:tr>
      <w:tr w:rsidR="00B239D3" w:rsidRPr="000E083A" w14:paraId="4EA6CA94" w14:textId="77777777" w:rsidTr="000E083A">
        <w:trPr>
          <w:jc w:val="center"/>
        </w:trPr>
        <w:tc>
          <w:tcPr>
            <w:tcW w:w="1560" w:type="dxa"/>
            <w:gridSpan w:val="2"/>
            <w:tcBorders>
              <w:top w:val="nil"/>
              <w:bottom w:val="single" w:sz="4" w:space="0" w:color="auto"/>
            </w:tcBorders>
            <w:shd w:val="clear" w:color="auto" w:fill="auto"/>
            <w:vAlign w:val="center"/>
          </w:tcPr>
          <w:p w14:paraId="1CF2A708"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23FEB174" w14:textId="5DF9C8AC"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1</w:t>
            </w:r>
            <w:r w:rsidR="001A0AFD">
              <w:rPr>
                <w:rFonts w:asciiTheme="minorHAnsi" w:hAnsiTheme="minorHAnsi" w:cstheme="minorHAnsi"/>
              </w:rPr>
              <w:t>,</w:t>
            </w:r>
            <w:r w:rsidRPr="000E083A">
              <w:rPr>
                <w:rFonts w:asciiTheme="minorHAnsi" w:hAnsiTheme="minorHAnsi" w:cstheme="minorHAnsi"/>
              </w:rPr>
              <w:t>86</w:t>
            </w:r>
          </w:p>
        </w:tc>
        <w:tc>
          <w:tcPr>
            <w:tcW w:w="1275" w:type="dxa"/>
            <w:tcBorders>
              <w:top w:val="nil"/>
              <w:bottom w:val="single" w:sz="4" w:space="0" w:color="auto"/>
            </w:tcBorders>
          </w:tcPr>
          <w:p w14:paraId="7CEA76EB" w14:textId="35007725"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11/17 (64</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nil"/>
              <w:bottom w:val="single" w:sz="4" w:space="0" w:color="auto"/>
            </w:tcBorders>
          </w:tcPr>
          <w:p w14:paraId="49E11606" w14:textId="75B1CE6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31/41 (75</w:t>
            </w:r>
            <w:r w:rsidR="00DD4F81">
              <w:rPr>
                <w:rFonts w:asciiTheme="minorHAnsi" w:hAnsiTheme="minorHAnsi" w:cstheme="minorHAnsi"/>
              </w:rPr>
              <w:t>,</w:t>
            </w:r>
            <w:r w:rsidRPr="000E083A">
              <w:rPr>
                <w:rFonts w:asciiTheme="minorHAnsi" w:hAnsiTheme="minorHAnsi" w:cstheme="minorHAnsi"/>
              </w:rPr>
              <w:t>6%)</w:t>
            </w:r>
          </w:p>
        </w:tc>
        <w:tc>
          <w:tcPr>
            <w:tcW w:w="1559" w:type="dxa"/>
            <w:tcBorders>
              <w:top w:val="nil"/>
              <w:bottom w:val="single" w:sz="4" w:space="0" w:color="auto"/>
            </w:tcBorders>
          </w:tcPr>
          <w:p w14:paraId="5B16B95F" w14:textId="5E957AD8"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33/49 (67</w:t>
            </w:r>
            <w:r w:rsidR="00DD4F81">
              <w:rPr>
                <w:rFonts w:asciiTheme="minorHAnsi" w:hAnsiTheme="minorHAnsi" w:cstheme="minorHAnsi"/>
              </w:rPr>
              <w:t>,</w:t>
            </w:r>
            <w:r w:rsidRPr="000E083A">
              <w:rPr>
                <w:rFonts w:asciiTheme="minorHAnsi" w:hAnsiTheme="minorHAnsi" w:cstheme="minorHAnsi"/>
              </w:rPr>
              <w:t>3%)</w:t>
            </w:r>
          </w:p>
        </w:tc>
        <w:tc>
          <w:tcPr>
            <w:tcW w:w="1560" w:type="dxa"/>
            <w:tcBorders>
              <w:top w:val="nil"/>
              <w:bottom w:val="single" w:sz="4" w:space="0" w:color="auto"/>
            </w:tcBorders>
            <w:shd w:val="clear" w:color="auto" w:fill="auto"/>
          </w:tcPr>
          <w:p w14:paraId="11D25F82" w14:textId="584E1D7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75/107 (70</w:t>
            </w:r>
            <w:r w:rsidR="00DD4F81">
              <w:rPr>
                <w:rFonts w:asciiTheme="minorHAnsi" w:hAnsiTheme="minorHAnsi" w:cstheme="minorHAnsi"/>
              </w:rPr>
              <w:t>,</w:t>
            </w:r>
            <w:r w:rsidRPr="000E083A">
              <w:rPr>
                <w:rFonts w:asciiTheme="minorHAnsi" w:hAnsiTheme="minorHAnsi" w:cstheme="minorHAnsi"/>
              </w:rPr>
              <w:t>1%)</w:t>
            </w:r>
          </w:p>
        </w:tc>
      </w:tr>
      <w:tr w:rsidR="00B239D3" w:rsidRPr="000E083A" w14:paraId="4B6B46E2" w14:textId="77777777" w:rsidTr="000E083A">
        <w:trPr>
          <w:jc w:val="center"/>
        </w:trPr>
        <w:tc>
          <w:tcPr>
            <w:tcW w:w="1560" w:type="dxa"/>
            <w:gridSpan w:val="2"/>
            <w:tcBorders>
              <w:top w:val="single" w:sz="4" w:space="0" w:color="auto"/>
              <w:bottom w:val="nil"/>
            </w:tcBorders>
            <w:shd w:val="clear" w:color="auto" w:fill="auto"/>
            <w:vAlign w:val="center"/>
          </w:tcPr>
          <w:p w14:paraId="6FB66D20"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1p36.3 CN</w:t>
            </w:r>
          </w:p>
        </w:tc>
        <w:tc>
          <w:tcPr>
            <w:tcW w:w="1134" w:type="dxa"/>
            <w:tcBorders>
              <w:top w:val="single" w:sz="4" w:space="0" w:color="auto"/>
              <w:bottom w:val="nil"/>
            </w:tcBorders>
            <w:shd w:val="clear" w:color="auto" w:fill="auto"/>
          </w:tcPr>
          <w:p w14:paraId="44854AE7" w14:textId="1F7ED49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13</w:t>
            </w:r>
          </w:p>
        </w:tc>
        <w:tc>
          <w:tcPr>
            <w:tcW w:w="1275" w:type="dxa"/>
            <w:tcBorders>
              <w:top w:val="single" w:sz="4" w:space="0" w:color="auto"/>
              <w:bottom w:val="nil"/>
            </w:tcBorders>
          </w:tcPr>
          <w:p w14:paraId="48975782"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12/20 (60%)</w:t>
            </w:r>
          </w:p>
        </w:tc>
        <w:tc>
          <w:tcPr>
            <w:tcW w:w="1276" w:type="dxa"/>
            <w:tcBorders>
              <w:top w:val="single" w:sz="4" w:space="0" w:color="auto"/>
              <w:bottom w:val="nil"/>
            </w:tcBorders>
          </w:tcPr>
          <w:p w14:paraId="7104FD07" w14:textId="6026F6E5"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29/45 (64</w:t>
            </w:r>
            <w:r w:rsidR="00DD4F81">
              <w:rPr>
                <w:rFonts w:asciiTheme="minorHAnsi" w:hAnsiTheme="minorHAnsi" w:cstheme="minorHAnsi"/>
              </w:rPr>
              <w:t>,</w:t>
            </w:r>
            <w:r w:rsidRPr="000E083A">
              <w:rPr>
                <w:rFonts w:asciiTheme="minorHAnsi" w:hAnsiTheme="minorHAnsi" w:cstheme="minorHAnsi"/>
              </w:rPr>
              <w:t>4%)</w:t>
            </w:r>
          </w:p>
        </w:tc>
        <w:tc>
          <w:tcPr>
            <w:tcW w:w="1559" w:type="dxa"/>
            <w:tcBorders>
              <w:top w:val="single" w:sz="4" w:space="0" w:color="auto"/>
              <w:bottom w:val="nil"/>
            </w:tcBorders>
          </w:tcPr>
          <w:p w14:paraId="676BD779" w14:textId="5974FA2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43/52 (82</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single" w:sz="4" w:space="0" w:color="auto"/>
              <w:bottom w:val="nil"/>
            </w:tcBorders>
            <w:shd w:val="clear" w:color="auto" w:fill="auto"/>
          </w:tcPr>
          <w:p w14:paraId="2F362662" w14:textId="16FB13D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84/117 (71</w:t>
            </w:r>
            <w:r w:rsidR="00DD4F81">
              <w:rPr>
                <w:rFonts w:asciiTheme="minorHAnsi" w:hAnsiTheme="minorHAnsi" w:cstheme="minorHAnsi"/>
              </w:rPr>
              <w:t>,</w:t>
            </w:r>
            <w:r w:rsidRPr="000E083A">
              <w:rPr>
                <w:rFonts w:asciiTheme="minorHAnsi" w:hAnsiTheme="minorHAnsi" w:cstheme="minorHAnsi"/>
              </w:rPr>
              <w:t>8%)</w:t>
            </w:r>
          </w:p>
        </w:tc>
      </w:tr>
      <w:tr w:rsidR="00B239D3" w:rsidRPr="000E083A" w14:paraId="2EB1F0AC" w14:textId="77777777" w:rsidTr="000E083A">
        <w:trPr>
          <w:jc w:val="center"/>
        </w:trPr>
        <w:tc>
          <w:tcPr>
            <w:tcW w:w="1560" w:type="dxa"/>
            <w:gridSpan w:val="2"/>
            <w:tcBorders>
              <w:top w:val="nil"/>
              <w:bottom w:val="single" w:sz="4" w:space="0" w:color="auto"/>
            </w:tcBorders>
            <w:shd w:val="clear" w:color="auto" w:fill="auto"/>
            <w:vAlign w:val="center"/>
          </w:tcPr>
          <w:p w14:paraId="6D8B184D"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0C3037C3" w14:textId="68DFDE7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13</w:t>
            </w:r>
          </w:p>
        </w:tc>
        <w:tc>
          <w:tcPr>
            <w:tcW w:w="1275" w:type="dxa"/>
            <w:tcBorders>
              <w:top w:val="nil"/>
              <w:bottom w:val="single" w:sz="4" w:space="0" w:color="auto"/>
            </w:tcBorders>
          </w:tcPr>
          <w:p w14:paraId="30D7FBFF"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8/20 (40%)</w:t>
            </w:r>
          </w:p>
        </w:tc>
        <w:tc>
          <w:tcPr>
            <w:tcW w:w="1276" w:type="dxa"/>
            <w:tcBorders>
              <w:top w:val="nil"/>
              <w:bottom w:val="single" w:sz="4" w:space="0" w:color="auto"/>
            </w:tcBorders>
          </w:tcPr>
          <w:p w14:paraId="68EB3C67" w14:textId="4C3CF63C"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16/45 (35</w:t>
            </w:r>
            <w:r w:rsidR="00DD4F81">
              <w:rPr>
                <w:rFonts w:asciiTheme="minorHAnsi" w:hAnsiTheme="minorHAnsi" w:cstheme="minorHAnsi"/>
              </w:rPr>
              <w:t>,</w:t>
            </w:r>
            <w:r w:rsidRPr="000E083A">
              <w:rPr>
                <w:rFonts w:asciiTheme="minorHAnsi" w:hAnsiTheme="minorHAnsi" w:cstheme="minorHAnsi"/>
              </w:rPr>
              <w:t>6%)</w:t>
            </w:r>
          </w:p>
        </w:tc>
        <w:tc>
          <w:tcPr>
            <w:tcW w:w="1559" w:type="dxa"/>
            <w:tcBorders>
              <w:top w:val="nil"/>
              <w:bottom w:val="single" w:sz="4" w:space="0" w:color="auto"/>
            </w:tcBorders>
          </w:tcPr>
          <w:p w14:paraId="2379224C" w14:textId="397982C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9/52 (17</w:t>
            </w:r>
            <w:r w:rsidR="00DD4F81">
              <w:rPr>
                <w:rFonts w:asciiTheme="minorHAnsi" w:hAnsiTheme="minorHAnsi" w:cstheme="minorHAnsi"/>
              </w:rPr>
              <w:t>,</w:t>
            </w:r>
            <w:r w:rsidRPr="000E083A">
              <w:rPr>
                <w:rFonts w:asciiTheme="minorHAnsi" w:hAnsiTheme="minorHAnsi" w:cstheme="minorHAnsi"/>
              </w:rPr>
              <w:t>3%)</w:t>
            </w:r>
          </w:p>
        </w:tc>
        <w:tc>
          <w:tcPr>
            <w:tcW w:w="1560" w:type="dxa"/>
            <w:tcBorders>
              <w:top w:val="nil"/>
              <w:bottom w:val="single" w:sz="4" w:space="0" w:color="auto"/>
            </w:tcBorders>
            <w:shd w:val="clear" w:color="auto" w:fill="auto"/>
          </w:tcPr>
          <w:p w14:paraId="79258024" w14:textId="5486840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33/117 (28</w:t>
            </w:r>
            <w:r w:rsidR="00DD4F81">
              <w:rPr>
                <w:rFonts w:asciiTheme="minorHAnsi" w:hAnsiTheme="minorHAnsi" w:cstheme="minorHAnsi"/>
              </w:rPr>
              <w:t>,</w:t>
            </w:r>
            <w:r w:rsidRPr="000E083A">
              <w:rPr>
                <w:rFonts w:asciiTheme="minorHAnsi" w:hAnsiTheme="minorHAnsi" w:cstheme="minorHAnsi"/>
              </w:rPr>
              <w:t>2%)</w:t>
            </w:r>
          </w:p>
        </w:tc>
      </w:tr>
      <w:tr w:rsidR="00B239D3" w:rsidRPr="000E083A" w14:paraId="367B234C" w14:textId="77777777" w:rsidTr="000E083A">
        <w:trPr>
          <w:jc w:val="center"/>
        </w:trPr>
        <w:tc>
          <w:tcPr>
            <w:tcW w:w="1560" w:type="dxa"/>
            <w:gridSpan w:val="2"/>
            <w:tcBorders>
              <w:top w:val="single" w:sz="4" w:space="0" w:color="auto"/>
              <w:bottom w:val="nil"/>
            </w:tcBorders>
            <w:shd w:val="clear" w:color="auto" w:fill="auto"/>
            <w:vAlign w:val="center"/>
          </w:tcPr>
          <w:p w14:paraId="7B6AB93E"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13q12.11 CN</w:t>
            </w:r>
          </w:p>
        </w:tc>
        <w:tc>
          <w:tcPr>
            <w:tcW w:w="1134" w:type="dxa"/>
            <w:tcBorders>
              <w:top w:val="single" w:sz="4" w:space="0" w:color="auto"/>
              <w:bottom w:val="nil"/>
            </w:tcBorders>
            <w:shd w:val="clear" w:color="auto" w:fill="auto"/>
          </w:tcPr>
          <w:p w14:paraId="485179A8" w14:textId="52ACBA8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01</w:t>
            </w:r>
          </w:p>
        </w:tc>
        <w:tc>
          <w:tcPr>
            <w:tcW w:w="1275" w:type="dxa"/>
            <w:tcBorders>
              <w:top w:val="single" w:sz="4" w:space="0" w:color="auto"/>
              <w:bottom w:val="nil"/>
            </w:tcBorders>
          </w:tcPr>
          <w:p w14:paraId="78B4FEDD"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3/10 (30%)</w:t>
            </w:r>
          </w:p>
        </w:tc>
        <w:tc>
          <w:tcPr>
            <w:tcW w:w="1276" w:type="dxa"/>
            <w:tcBorders>
              <w:top w:val="single" w:sz="4" w:space="0" w:color="auto"/>
              <w:bottom w:val="nil"/>
            </w:tcBorders>
          </w:tcPr>
          <w:p w14:paraId="52A26682" w14:textId="1970894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6/31 (19</w:t>
            </w:r>
            <w:r w:rsidR="00DD4F81">
              <w:rPr>
                <w:rFonts w:asciiTheme="minorHAnsi" w:hAnsiTheme="minorHAnsi" w:cstheme="minorHAnsi"/>
              </w:rPr>
              <w:t>,</w:t>
            </w:r>
            <w:r w:rsidRPr="000E083A">
              <w:rPr>
                <w:rFonts w:asciiTheme="minorHAnsi" w:hAnsiTheme="minorHAnsi" w:cstheme="minorHAnsi"/>
              </w:rPr>
              <w:t>4%)</w:t>
            </w:r>
          </w:p>
        </w:tc>
        <w:tc>
          <w:tcPr>
            <w:tcW w:w="1559" w:type="dxa"/>
            <w:tcBorders>
              <w:top w:val="single" w:sz="4" w:space="0" w:color="auto"/>
              <w:bottom w:val="nil"/>
            </w:tcBorders>
          </w:tcPr>
          <w:p w14:paraId="3B437DBE" w14:textId="1F00601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14/41 (34</w:t>
            </w:r>
            <w:r w:rsidR="00DD4F81">
              <w:rPr>
                <w:rFonts w:asciiTheme="minorHAnsi" w:hAnsiTheme="minorHAnsi" w:cstheme="minorHAnsi"/>
              </w:rPr>
              <w:t>,</w:t>
            </w:r>
            <w:r w:rsidRPr="000E083A">
              <w:rPr>
                <w:rFonts w:asciiTheme="minorHAnsi" w:hAnsiTheme="minorHAnsi" w:cstheme="minorHAnsi"/>
              </w:rPr>
              <w:t>1%)</w:t>
            </w:r>
          </w:p>
        </w:tc>
        <w:tc>
          <w:tcPr>
            <w:tcW w:w="1560" w:type="dxa"/>
            <w:tcBorders>
              <w:top w:val="single" w:sz="4" w:space="0" w:color="auto"/>
              <w:bottom w:val="nil"/>
            </w:tcBorders>
            <w:shd w:val="clear" w:color="auto" w:fill="auto"/>
          </w:tcPr>
          <w:p w14:paraId="273BA6CF"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23/82 (28%)</w:t>
            </w:r>
          </w:p>
        </w:tc>
      </w:tr>
      <w:tr w:rsidR="00B239D3" w:rsidRPr="000E083A" w14:paraId="55FB2539" w14:textId="77777777" w:rsidTr="000E083A">
        <w:trPr>
          <w:jc w:val="center"/>
        </w:trPr>
        <w:tc>
          <w:tcPr>
            <w:tcW w:w="1560" w:type="dxa"/>
            <w:gridSpan w:val="2"/>
            <w:tcBorders>
              <w:top w:val="nil"/>
              <w:bottom w:val="single" w:sz="4" w:space="0" w:color="auto"/>
            </w:tcBorders>
            <w:shd w:val="clear" w:color="auto" w:fill="auto"/>
            <w:vAlign w:val="center"/>
          </w:tcPr>
          <w:p w14:paraId="2D05FB1E"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597F85F0" w14:textId="6CFC4058"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01</w:t>
            </w:r>
          </w:p>
        </w:tc>
        <w:tc>
          <w:tcPr>
            <w:tcW w:w="1275" w:type="dxa"/>
            <w:tcBorders>
              <w:top w:val="nil"/>
              <w:bottom w:val="single" w:sz="4" w:space="0" w:color="auto"/>
            </w:tcBorders>
          </w:tcPr>
          <w:p w14:paraId="0C423270"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7/10 (70%)</w:t>
            </w:r>
          </w:p>
        </w:tc>
        <w:tc>
          <w:tcPr>
            <w:tcW w:w="1276" w:type="dxa"/>
            <w:tcBorders>
              <w:top w:val="nil"/>
              <w:bottom w:val="single" w:sz="4" w:space="0" w:color="auto"/>
            </w:tcBorders>
          </w:tcPr>
          <w:p w14:paraId="6295BBE4" w14:textId="13547345"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25/31 (80</w:t>
            </w:r>
            <w:r w:rsidR="00DD4F81">
              <w:rPr>
                <w:rFonts w:asciiTheme="minorHAnsi" w:hAnsiTheme="minorHAnsi" w:cstheme="minorHAnsi"/>
              </w:rPr>
              <w:t>,</w:t>
            </w:r>
            <w:r w:rsidRPr="000E083A">
              <w:rPr>
                <w:rFonts w:asciiTheme="minorHAnsi" w:hAnsiTheme="minorHAnsi" w:cstheme="minorHAnsi"/>
              </w:rPr>
              <w:t>6%)</w:t>
            </w:r>
          </w:p>
        </w:tc>
        <w:tc>
          <w:tcPr>
            <w:tcW w:w="1559" w:type="dxa"/>
            <w:tcBorders>
              <w:top w:val="nil"/>
              <w:bottom w:val="single" w:sz="4" w:space="0" w:color="auto"/>
            </w:tcBorders>
          </w:tcPr>
          <w:p w14:paraId="2556056D" w14:textId="3D9B2B68"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27/41 (65</w:t>
            </w:r>
            <w:r w:rsidR="00DD4F81">
              <w:rPr>
                <w:rFonts w:asciiTheme="minorHAnsi" w:hAnsiTheme="minorHAnsi" w:cstheme="minorHAnsi"/>
              </w:rPr>
              <w:t>,</w:t>
            </w:r>
            <w:r w:rsidRPr="000E083A">
              <w:rPr>
                <w:rFonts w:asciiTheme="minorHAnsi" w:hAnsiTheme="minorHAnsi" w:cstheme="minorHAnsi"/>
              </w:rPr>
              <w:t>9%)</w:t>
            </w:r>
          </w:p>
        </w:tc>
        <w:tc>
          <w:tcPr>
            <w:tcW w:w="1560" w:type="dxa"/>
            <w:tcBorders>
              <w:top w:val="nil"/>
              <w:bottom w:val="single" w:sz="4" w:space="0" w:color="auto"/>
            </w:tcBorders>
            <w:shd w:val="clear" w:color="auto" w:fill="auto"/>
          </w:tcPr>
          <w:p w14:paraId="701AFA24"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59/82 (72%)</w:t>
            </w:r>
          </w:p>
        </w:tc>
      </w:tr>
      <w:tr w:rsidR="00B239D3" w:rsidRPr="000E083A" w14:paraId="66058406" w14:textId="77777777" w:rsidTr="000E083A">
        <w:trPr>
          <w:jc w:val="center"/>
        </w:trPr>
        <w:tc>
          <w:tcPr>
            <w:tcW w:w="1560" w:type="dxa"/>
            <w:gridSpan w:val="2"/>
            <w:tcBorders>
              <w:top w:val="single" w:sz="4" w:space="0" w:color="auto"/>
              <w:bottom w:val="nil"/>
            </w:tcBorders>
            <w:shd w:val="clear" w:color="auto" w:fill="auto"/>
            <w:vAlign w:val="center"/>
          </w:tcPr>
          <w:p w14:paraId="1ECFD626" w14:textId="77777777" w:rsidR="00B239D3" w:rsidRPr="000E083A" w:rsidRDefault="00B239D3" w:rsidP="000E083A">
            <w:pPr>
              <w:pStyle w:val="MDPI42tablebody"/>
              <w:spacing w:line="240" w:lineRule="auto"/>
              <w:rPr>
                <w:rFonts w:asciiTheme="minorHAnsi" w:hAnsiTheme="minorHAnsi" w:cstheme="minorHAnsi"/>
                <w:sz w:val="18"/>
                <w:szCs w:val="18"/>
              </w:rPr>
            </w:pPr>
            <w:r w:rsidRPr="00DD4F81">
              <w:rPr>
                <w:rFonts w:asciiTheme="minorHAnsi" w:hAnsiTheme="minorHAnsi" w:cstheme="minorHAnsi"/>
                <w:i/>
                <w:iCs/>
                <w:sz w:val="18"/>
                <w:szCs w:val="18"/>
              </w:rPr>
              <w:t>RB1</w:t>
            </w:r>
            <w:r w:rsidRPr="000E083A">
              <w:rPr>
                <w:rFonts w:asciiTheme="minorHAnsi" w:hAnsiTheme="minorHAnsi" w:cstheme="minorHAnsi"/>
                <w:sz w:val="18"/>
                <w:szCs w:val="18"/>
              </w:rPr>
              <w:t xml:space="preserve"> CN</w:t>
            </w:r>
          </w:p>
        </w:tc>
        <w:tc>
          <w:tcPr>
            <w:tcW w:w="1134" w:type="dxa"/>
            <w:tcBorders>
              <w:top w:val="single" w:sz="4" w:space="0" w:color="auto"/>
              <w:bottom w:val="nil"/>
            </w:tcBorders>
            <w:shd w:val="clear" w:color="auto" w:fill="auto"/>
          </w:tcPr>
          <w:p w14:paraId="26572C80" w14:textId="5FAF8BA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26</w:t>
            </w:r>
          </w:p>
        </w:tc>
        <w:tc>
          <w:tcPr>
            <w:tcW w:w="1275" w:type="dxa"/>
            <w:tcBorders>
              <w:top w:val="single" w:sz="4" w:space="0" w:color="auto"/>
              <w:bottom w:val="nil"/>
            </w:tcBorders>
          </w:tcPr>
          <w:p w14:paraId="7952E2EB" w14:textId="67D1F4C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14/16 (87</w:t>
            </w:r>
            <w:r w:rsidR="001A0AFD">
              <w:rPr>
                <w:rFonts w:asciiTheme="minorHAnsi" w:hAnsiTheme="minorHAnsi" w:cstheme="minorHAnsi"/>
              </w:rPr>
              <w:t>,</w:t>
            </w:r>
            <w:r w:rsidRPr="000E083A">
              <w:rPr>
                <w:rFonts w:asciiTheme="minorHAnsi" w:hAnsiTheme="minorHAnsi" w:cstheme="minorHAnsi"/>
              </w:rPr>
              <w:t>5%)</w:t>
            </w:r>
          </w:p>
        </w:tc>
        <w:tc>
          <w:tcPr>
            <w:tcW w:w="1276" w:type="dxa"/>
            <w:tcBorders>
              <w:top w:val="single" w:sz="4" w:space="0" w:color="auto"/>
              <w:bottom w:val="nil"/>
            </w:tcBorders>
          </w:tcPr>
          <w:p w14:paraId="7BD848F4" w14:textId="34760D8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37/42 (88</w:t>
            </w:r>
            <w:r w:rsidR="00DD4F81">
              <w:rPr>
                <w:rFonts w:asciiTheme="minorHAnsi" w:hAnsiTheme="minorHAnsi" w:cstheme="minorHAnsi"/>
              </w:rPr>
              <w:t>,</w:t>
            </w:r>
            <w:r w:rsidRPr="000E083A">
              <w:rPr>
                <w:rFonts w:asciiTheme="minorHAnsi" w:hAnsiTheme="minorHAnsi" w:cstheme="minorHAnsi"/>
              </w:rPr>
              <w:t>1%)</w:t>
            </w:r>
          </w:p>
        </w:tc>
        <w:tc>
          <w:tcPr>
            <w:tcW w:w="1559" w:type="dxa"/>
            <w:tcBorders>
              <w:top w:val="single" w:sz="4" w:space="0" w:color="auto"/>
              <w:bottom w:val="nil"/>
            </w:tcBorders>
          </w:tcPr>
          <w:p w14:paraId="3373B4F3" w14:textId="3010B53A"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42/49 (85</w:t>
            </w:r>
            <w:r w:rsidR="00DD4F81">
              <w:rPr>
                <w:rFonts w:asciiTheme="minorHAnsi" w:hAnsiTheme="minorHAnsi" w:cstheme="minorHAnsi"/>
              </w:rPr>
              <w:t>,</w:t>
            </w:r>
            <w:r w:rsidRPr="000E083A">
              <w:rPr>
                <w:rFonts w:asciiTheme="minorHAnsi" w:hAnsiTheme="minorHAnsi" w:cstheme="minorHAnsi"/>
              </w:rPr>
              <w:t>7%)</w:t>
            </w:r>
          </w:p>
        </w:tc>
        <w:tc>
          <w:tcPr>
            <w:tcW w:w="1560" w:type="dxa"/>
            <w:tcBorders>
              <w:top w:val="single" w:sz="4" w:space="0" w:color="auto"/>
              <w:bottom w:val="nil"/>
            </w:tcBorders>
            <w:shd w:val="clear" w:color="auto" w:fill="auto"/>
          </w:tcPr>
          <w:p w14:paraId="78F18EF0" w14:textId="2286F68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93/107 (86</w:t>
            </w:r>
            <w:r w:rsidR="00DD4F81">
              <w:rPr>
                <w:rFonts w:asciiTheme="minorHAnsi" w:hAnsiTheme="minorHAnsi" w:cstheme="minorHAnsi"/>
              </w:rPr>
              <w:t>,</w:t>
            </w:r>
            <w:r w:rsidRPr="000E083A">
              <w:rPr>
                <w:rFonts w:asciiTheme="minorHAnsi" w:hAnsiTheme="minorHAnsi" w:cstheme="minorHAnsi"/>
              </w:rPr>
              <w:t>9%)</w:t>
            </w:r>
          </w:p>
        </w:tc>
      </w:tr>
      <w:tr w:rsidR="00B239D3" w:rsidRPr="000E083A" w14:paraId="01CA6246" w14:textId="77777777" w:rsidTr="000E083A">
        <w:trPr>
          <w:jc w:val="center"/>
        </w:trPr>
        <w:tc>
          <w:tcPr>
            <w:tcW w:w="1560" w:type="dxa"/>
            <w:gridSpan w:val="2"/>
            <w:tcBorders>
              <w:top w:val="nil"/>
              <w:bottom w:val="nil"/>
            </w:tcBorders>
            <w:shd w:val="clear" w:color="auto" w:fill="auto"/>
            <w:vAlign w:val="center"/>
          </w:tcPr>
          <w:p w14:paraId="7CA6B750"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nil"/>
            </w:tcBorders>
            <w:shd w:val="clear" w:color="auto" w:fill="auto"/>
          </w:tcPr>
          <w:p w14:paraId="22D36FCD" w14:textId="047C481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26</w:t>
            </w:r>
          </w:p>
        </w:tc>
        <w:tc>
          <w:tcPr>
            <w:tcW w:w="1275" w:type="dxa"/>
            <w:tcBorders>
              <w:top w:val="nil"/>
              <w:bottom w:val="nil"/>
            </w:tcBorders>
          </w:tcPr>
          <w:p w14:paraId="2474C924" w14:textId="14E1D9A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2/16 (12</w:t>
            </w:r>
            <w:r w:rsidR="001A0AFD">
              <w:rPr>
                <w:rFonts w:asciiTheme="minorHAnsi" w:hAnsiTheme="minorHAnsi" w:cstheme="minorHAnsi"/>
              </w:rPr>
              <w:t>,</w:t>
            </w:r>
            <w:r w:rsidRPr="000E083A">
              <w:rPr>
                <w:rFonts w:asciiTheme="minorHAnsi" w:hAnsiTheme="minorHAnsi" w:cstheme="minorHAnsi"/>
              </w:rPr>
              <w:t>5%)</w:t>
            </w:r>
          </w:p>
        </w:tc>
        <w:tc>
          <w:tcPr>
            <w:tcW w:w="1276" w:type="dxa"/>
            <w:tcBorders>
              <w:top w:val="nil"/>
              <w:bottom w:val="nil"/>
            </w:tcBorders>
          </w:tcPr>
          <w:p w14:paraId="2F55305D" w14:textId="7464165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5/42 (11</w:t>
            </w:r>
            <w:r w:rsidR="00DD4F81">
              <w:rPr>
                <w:rFonts w:asciiTheme="minorHAnsi" w:hAnsiTheme="minorHAnsi" w:cstheme="minorHAnsi"/>
              </w:rPr>
              <w:t>,</w:t>
            </w:r>
            <w:r w:rsidRPr="000E083A">
              <w:rPr>
                <w:rFonts w:asciiTheme="minorHAnsi" w:hAnsiTheme="minorHAnsi" w:cstheme="minorHAnsi"/>
              </w:rPr>
              <w:t>9%)</w:t>
            </w:r>
          </w:p>
        </w:tc>
        <w:tc>
          <w:tcPr>
            <w:tcW w:w="1559" w:type="dxa"/>
            <w:tcBorders>
              <w:top w:val="nil"/>
              <w:bottom w:val="nil"/>
            </w:tcBorders>
          </w:tcPr>
          <w:p w14:paraId="722D21CB" w14:textId="4146C67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7/49 (14</w:t>
            </w:r>
            <w:r w:rsidR="00DD4F81">
              <w:rPr>
                <w:rFonts w:asciiTheme="minorHAnsi" w:hAnsiTheme="minorHAnsi" w:cstheme="minorHAnsi"/>
              </w:rPr>
              <w:t>,</w:t>
            </w:r>
            <w:r w:rsidRPr="000E083A">
              <w:rPr>
                <w:rFonts w:asciiTheme="minorHAnsi" w:hAnsiTheme="minorHAnsi" w:cstheme="minorHAnsi"/>
              </w:rPr>
              <w:t>3%)</w:t>
            </w:r>
          </w:p>
        </w:tc>
        <w:tc>
          <w:tcPr>
            <w:tcW w:w="1560" w:type="dxa"/>
            <w:tcBorders>
              <w:top w:val="nil"/>
              <w:bottom w:val="nil"/>
            </w:tcBorders>
            <w:shd w:val="clear" w:color="auto" w:fill="auto"/>
          </w:tcPr>
          <w:p w14:paraId="487669EC" w14:textId="2220261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14/107 (13</w:t>
            </w:r>
            <w:r w:rsidR="00DD4F81">
              <w:rPr>
                <w:rFonts w:asciiTheme="minorHAnsi" w:hAnsiTheme="minorHAnsi" w:cstheme="minorHAnsi"/>
              </w:rPr>
              <w:t>,</w:t>
            </w:r>
            <w:r w:rsidRPr="000E083A">
              <w:rPr>
                <w:rFonts w:asciiTheme="minorHAnsi" w:hAnsiTheme="minorHAnsi" w:cstheme="minorHAnsi"/>
              </w:rPr>
              <w:t>1%)</w:t>
            </w:r>
          </w:p>
        </w:tc>
      </w:tr>
      <w:tr w:rsidR="00B239D3" w:rsidRPr="000E083A" w14:paraId="0224BEE8" w14:textId="77777777" w:rsidTr="000E083A">
        <w:trPr>
          <w:jc w:val="center"/>
        </w:trPr>
        <w:tc>
          <w:tcPr>
            <w:tcW w:w="1560" w:type="dxa"/>
            <w:gridSpan w:val="2"/>
            <w:tcBorders>
              <w:top w:val="single" w:sz="4" w:space="0" w:color="auto"/>
              <w:bottom w:val="nil"/>
            </w:tcBorders>
            <w:shd w:val="clear" w:color="auto" w:fill="auto"/>
            <w:vAlign w:val="center"/>
          </w:tcPr>
          <w:p w14:paraId="4C28BB3F" w14:textId="77777777" w:rsidR="00B239D3" w:rsidRPr="000E083A" w:rsidRDefault="00B239D3" w:rsidP="000E083A">
            <w:pPr>
              <w:pStyle w:val="MDPI42tablebody"/>
              <w:spacing w:line="240" w:lineRule="auto"/>
              <w:rPr>
                <w:rFonts w:asciiTheme="minorHAnsi" w:hAnsiTheme="minorHAnsi" w:cstheme="minorHAnsi"/>
                <w:sz w:val="18"/>
                <w:szCs w:val="18"/>
              </w:rPr>
            </w:pPr>
            <w:r w:rsidRPr="00DD4F81">
              <w:rPr>
                <w:rFonts w:asciiTheme="minorHAnsi" w:hAnsiTheme="minorHAnsi" w:cstheme="minorHAnsi"/>
                <w:i/>
                <w:iCs/>
                <w:sz w:val="18"/>
                <w:szCs w:val="18"/>
              </w:rPr>
              <w:t>P53</w:t>
            </w:r>
            <w:r w:rsidRPr="000E083A">
              <w:rPr>
                <w:rFonts w:asciiTheme="minorHAnsi" w:hAnsiTheme="minorHAnsi" w:cstheme="minorHAnsi"/>
                <w:sz w:val="18"/>
                <w:szCs w:val="18"/>
              </w:rPr>
              <w:t xml:space="preserve"> CN</w:t>
            </w:r>
          </w:p>
        </w:tc>
        <w:tc>
          <w:tcPr>
            <w:tcW w:w="1134" w:type="dxa"/>
            <w:tcBorders>
              <w:top w:val="single" w:sz="4" w:space="0" w:color="auto"/>
              <w:bottom w:val="nil"/>
            </w:tcBorders>
            <w:shd w:val="clear" w:color="auto" w:fill="auto"/>
          </w:tcPr>
          <w:p w14:paraId="51A432FC" w14:textId="4EF7F318"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42</w:t>
            </w:r>
          </w:p>
        </w:tc>
        <w:tc>
          <w:tcPr>
            <w:tcW w:w="1275" w:type="dxa"/>
            <w:tcBorders>
              <w:top w:val="single" w:sz="4" w:space="0" w:color="auto"/>
              <w:bottom w:val="nil"/>
            </w:tcBorders>
          </w:tcPr>
          <w:p w14:paraId="2344C8E3" w14:textId="31AAC89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14/18 (77</w:t>
            </w:r>
            <w:r w:rsidR="001A0AFD">
              <w:rPr>
                <w:rFonts w:asciiTheme="minorHAnsi" w:hAnsiTheme="minorHAnsi" w:cstheme="minorHAnsi"/>
              </w:rPr>
              <w:t>,</w:t>
            </w:r>
            <w:r w:rsidRPr="000E083A">
              <w:rPr>
                <w:rFonts w:asciiTheme="minorHAnsi" w:hAnsiTheme="minorHAnsi" w:cstheme="minorHAnsi"/>
              </w:rPr>
              <w:t>8%)</w:t>
            </w:r>
          </w:p>
        </w:tc>
        <w:tc>
          <w:tcPr>
            <w:tcW w:w="1276" w:type="dxa"/>
            <w:tcBorders>
              <w:top w:val="single" w:sz="4" w:space="0" w:color="auto"/>
              <w:bottom w:val="nil"/>
            </w:tcBorders>
          </w:tcPr>
          <w:p w14:paraId="20DB700D" w14:textId="5ED6149C"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38/44 (86</w:t>
            </w:r>
            <w:r w:rsidR="00DD4F81">
              <w:rPr>
                <w:rFonts w:asciiTheme="minorHAnsi" w:hAnsiTheme="minorHAnsi" w:cstheme="minorHAnsi"/>
              </w:rPr>
              <w:t>,</w:t>
            </w:r>
            <w:r w:rsidRPr="000E083A">
              <w:rPr>
                <w:rFonts w:asciiTheme="minorHAnsi" w:hAnsiTheme="minorHAnsi" w:cstheme="minorHAnsi"/>
              </w:rPr>
              <w:t>4%)</w:t>
            </w:r>
          </w:p>
        </w:tc>
        <w:tc>
          <w:tcPr>
            <w:tcW w:w="1559" w:type="dxa"/>
            <w:tcBorders>
              <w:top w:val="single" w:sz="4" w:space="0" w:color="auto"/>
              <w:bottom w:val="nil"/>
            </w:tcBorders>
          </w:tcPr>
          <w:p w14:paraId="1D66766C" w14:textId="16FDCDB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41/52 (78</w:t>
            </w:r>
            <w:r w:rsidR="00DD4F81">
              <w:rPr>
                <w:rFonts w:asciiTheme="minorHAnsi" w:hAnsiTheme="minorHAnsi" w:cstheme="minorHAnsi"/>
              </w:rPr>
              <w:t>,</w:t>
            </w:r>
            <w:r w:rsidRPr="000E083A">
              <w:rPr>
                <w:rFonts w:asciiTheme="minorHAnsi" w:hAnsiTheme="minorHAnsi" w:cstheme="minorHAnsi"/>
              </w:rPr>
              <w:t>8%)</w:t>
            </w:r>
          </w:p>
        </w:tc>
        <w:tc>
          <w:tcPr>
            <w:tcW w:w="1560" w:type="dxa"/>
            <w:tcBorders>
              <w:top w:val="single" w:sz="4" w:space="0" w:color="auto"/>
              <w:bottom w:val="nil"/>
            </w:tcBorders>
            <w:shd w:val="clear" w:color="auto" w:fill="auto"/>
          </w:tcPr>
          <w:p w14:paraId="7ED9BC96" w14:textId="27B1326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93/114 (81</w:t>
            </w:r>
            <w:r w:rsidR="00DD4F81">
              <w:rPr>
                <w:rFonts w:asciiTheme="minorHAnsi" w:hAnsiTheme="minorHAnsi" w:cstheme="minorHAnsi"/>
              </w:rPr>
              <w:t>,</w:t>
            </w:r>
            <w:r w:rsidRPr="000E083A">
              <w:rPr>
                <w:rFonts w:asciiTheme="minorHAnsi" w:hAnsiTheme="minorHAnsi" w:cstheme="minorHAnsi"/>
              </w:rPr>
              <w:t>6%)</w:t>
            </w:r>
          </w:p>
        </w:tc>
      </w:tr>
      <w:tr w:rsidR="00B239D3" w:rsidRPr="000E083A" w14:paraId="2ADE2E84" w14:textId="77777777" w:rsidTr="000E083A">
        <w:trPr>
          <w:jc w:val="center"/>
        </w:trPr>
        <w:tc>
          <w:tcPr>
            <w:tcW w:w="1560" w:type="dxa"/>
            <w:gridSpan w:val="2"/>
            <w:tcBorders>
              <w:top w:val="nil"/>
              <w:bottom w:val="single" w:sz="4" w:space="0" w:color="auto"/>
            </w:tcBorders>
            <w:shd w:val="clear" w:color="auto" w:fill="auto"/>
            <w:vAlign w:val="center"/>
          </w:tcPr>
          <w:p w14:paraId="56BC79DC"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179BD3E1" w14:textId="3B56490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42</w:t>
            </w:r>
          </w:p>
        </w:tc>
        <w:tc>
          <w:tcPr>
            <w:tcW w:w="1275" w:type="dxa"/>
            <w:tcBorders>
              <w:top w:val="nil"/>
              <w:bottom w:val="single" w:sz="4" w:space="0" w:color="auto"/>
            </w:tcBorders>
          </w:tcPr>
          <w:p w14:paraId="501C18E2" w14:textId="7EB961F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4/18 (22</w:t>
            </w:r>
            <w:r w:rsidR="001A0AFD">
              <w:rPr>
                <w:rFonts w:asciiTheme="minorHAnsi" w:hAnsiTheme="minorHAnsi" w:cstheme="minorHAnsi"/>
              </w:rPr>
              <w:t>,</w:t>
            </w:r>
            <w:r w:rsidRPr="000E083A">
              <w:rPr>
                <w:rFonts w:asciiTheme="minorHAnsi" w:hAnsiTheme="minorHAnsi" w:cstheme="minorHAnsi"/>
              </w:rPr>
              <w:t>2%)</w:t>
            </w:r>
          </w:p>
        </w:tc>
        <w:tc>
          <w:tcPr>
            <w:tcW w:w="1276" w:type="dxa"/>
            <w:tcBorders>
              <w:top w:val="nil"/>
              <w:bottom w:val="single" w:sz="4" w:space="0" w:color="auto"/>
            </w:tcBorders>
          </w:tcPr>
          <w:p w14:paraId="60F36E24" w14:textId="4B17A73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6/44 (13</w:t>
            </w:r>
            <w:r w:rsidR="00DD4F81">
              <w:rPr>
                <w:rFonts w:asciiTheme="minorHAnsi" w:hAnsiTheme="minorHAnsi" w:cstheme="minorHAnsi"/>
              </w:rPr>
              <w:t>,</w:t>
            </w:r>
            <w:r w:rsidRPr="000E083A">
              <w:rPr>
                <w:rFonts w:asciiTheme="minorHAnsi" w:hAnsiTheme="minorHAnsi" w:cstheme="minorHAnsi"/>
              </w:rPr>
              <w:t>6%)</w:t>
            </w:r>
          </w:p>
        </w:tc>
        <w:tc>
          <w:tcPr>
            <w:tcW w:w="1559" w:type="dxa"/>
            <w:tcBorders>
              <w:top w:val="nil"/>
              <w:bottom w:val="single" w:sz="4" w:space="0" w:color="auto"/>
            </w:tcBorders>
          </w:tcPr>
          <w:p w14:paraId="75D54553" w14:textId="5105DDC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11/52 (21</w:t>
            </w:r>
            <w:r w:rsidR="00DD4F81">
              <w:rPr>
                <w:rFonts w:asciiTheme="minorHAnsi" w:hAnsiTheme="minorHAnsi" w:cstheme="minorHAnsi"/>
              </w:rPr>
              <w:t>,</w:t>
            </w:r>
            <w:r w:rsidRPr="000E083A">
              <w:rPr>
                <w:rFonts w:asciiTheme="minorHAnsi" w:hAnsiTheme="minorHAnsi" w:cstheme="minorHAnsi"/>
              </w:rPr>
              <w:t>2%)</w:t>
            </w:r>
          </w:p>
        </w:tc>
        <w:tc>
          <w:tcPr>
            <w:tcW w:w="1560" w:type="dxa"/>
            <w:tcBorders>
              <w:top w:val="nil"/>
              <w:bottom w:val="single" w:sz="4" w:space="0" w:color="auto"/>
            </w:tcBorders>
            <w:shd w:val="clear" w:color="auto" w:fill="auto"/>
          </w:tcPr>
          <w:p w14:paraId="11D170B9" w14:textId="534E156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21/114 (18</w:t>
            </w:r>
            <w:r w:rsidR="00DD4F81">
              <w:rPr>
                <w:rFonts w:asciiTheme="minorHAnsi" w:hAnsiTheme="minorHAnsi" w:cstheme="minorHAnsi"/>
              </w:rPr>
              <w:t>,</w:t>
            </w:r>
            <w:r w:rsidRPr="000E083A">
              <w:rPr>
                <w:rFonts w:asciiTheme="minorHAnsi" w:hAnsiTheme="minorHAnsi" w:cstheme="minorHAnsi"/>
              </w:rPr>
              <w:t>4%)</w:t>
            </w:r>
          </w:p>
        </w:tc>
      </w:tr>
      <w:tr w:rsidR="00B239D3" w:rsidRPr="000E083A" w14:paraId="10154C77" w14:textId="77777777" w:rsidTr="000E083A">
        <w:trPr>
          <w:jc w:val="center"/>
        </w:trPr>
        <w:tc>
          <w:tcPr>
            <w:tcW w:w="1560" w:type="dxa"/>
            <w:gridSpan w:val="2"/>
            <w:tcBorders>
              <w:top w:val="single" w:sz="4" w:space="0" w:color="auto"/>
              <w:bottom w:val="nil"/>
            </w:tcBorders>
            <w:shd w:val="clear" w:color="auto" w:fill="auto"/>
            <w:vAlign w:val="center"/>
          </w:tcPr>
          <w:p w14:paraId="28AB5878"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10p11.1</w:t>
            </w:r>
          </w:p>
        </w:tc>
        <w:tc>
          <w:tcPr>
            <w:tcW w:w="1134" w:type="dxa"/>
            <w:tcBorders>
              <w:top w:val="single" w:sz="4" w:space="0" w:color="auto"/>
              <w:bottom w:val="nil"/>
            </w:tcBorders>
            <w:shd w:val="clear" w:color="auto" w:fill="auto"/>
          </w:tcPr>
          <w:p w14:paraId="506DB741" w14:textId="68F5135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11</w:t>
            </w:r>
          </w:p>
        </w:tc>
        <w:tc>
          <w:tcPr>
            <w:tcW w:w="1275" w:type="dxa"/>
            <w:tcBorders>
              <w:top w:val="single" w:sz="4" w:space="0" w:color="auto"/>
              <w:bottom w:val="nil"/>
            </w:tcBorders>
          </w:tcPr>
          <w:p w14:paraId="1C1C1347" w14:textId="4ACBE35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13/14 (92</w:t>
            </w:r>
            <w:r w:rsidR="001A0AFD">
              <w:rPr>
                <w:rFonts w:asciiTheme="minorHAnsi" w:hAnsiTheme="minorHAnsi" w:cstheme="minorHAnsi"/>
              </w:rPr>
              <w:t>,</w:t>
            </w:r>
            <w:r w:rsidRPr="000E083A">
              <w:rPr>
                <w:rFonts w:asciiTheme="minorHAnsi" w:hAnsiTheme="minorHAnsi" w:cstheme="minorHAnsi"/>
              </w:rPr>
              <w:t>9%)</w:t>
            </w:r>
          </w:p>
        </w:tc>
        <w:tc>
          <w:tcPr>
            <w:tcW w:w="1276" w:type="dxa"/>
            <w:tcBorders>
              <w:top w:val="single" w:sz="4" w:space="0" w:color="auto"/>
              <w:bottom w:val="nil"/>
            </w:tcBorders>
          </w:tcPr>
          <w:p w14:paraId="7C1C5C63" w14:textId="14C14AA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33/36 (91</w:t>
            </w:r>
            <w:r w:rsidR="00DD4F81">
              <w:rPr>
                <w:rFonts w:asciiTheme="minorHAnsi" w:hAnsiTheme="minorHAnsi" w:cstheme="minorHAnsi"/>
              </w:rPr>
              <w:t>,</w:t>
            </w:r>
            <w:r w:rsidRPr="000E083A">
              <w:rPr>
                <w:rFonts w:asciiTheme="minorHAnsi" w:hAnsiTheme="minorHAnsi" w:cstheme="minorHAnsi"/>
              </w:rPr>
              <w:t>7%)</w:t>
            </w:r>
          </w:p>
        </w:tc>
        <w:tc>
          <w:tcPr>
            <w:tcW w:w="1559" w:type="dxa"/>
            <w:tcBorders>
              <w:top w:val="single" w:sz="4" w:space="0" w:color="auto"/>
              <w:bottom w:val="nil"/>
            </w:tcBorders>
          </w:tcPr>
          <w:p w14:paraId="67113ABF" w14:textId="0708372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35/47 (74</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single" w:sz="4" w:space="0" w:color="auto"/>
              <w:bottom w:val="nil"/>
            </w:tcBorders>
            <w:shd w:val="clear" w:color="auto" w:fill="auto"/>
          </w:tcPr>
          <w:p w14:paraId="1B07AA19" w14:textId="0A68CF51"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81/97 (83</w:t>
            </w:r>
            <w:r w:rsidR="00DD4F81">
              <w:rPr>
                <w:rFonts w:asciiTheme="minorHAnsi" w:hAnsiTheme="minorHAnsi" w:cstheme="minorHAnsi"/>
              </w:rPr>
              <w:t>,</w:t>
            </w:r>
            <w:r w:rsidRPr="000E083A">
              <w:rPr>
                <w:rFonts w:asciiTheme="minorHAnsi" w:hAnsiTheme="minorHAnsi" w:cstheme="minorHAnsi"/>
              </w:rPr>
              <w:t>5%)</w:t>
            </w:r>
          </w:p>
        </w:tc>
      </w:tr>
      <w:tr w:rsidR="00B239D3" w:rsidRPr="000E083A" w14:paraId="6DEE189B" w14:textId="77777777" w:rsidTr="000E083A">
        <w:trPr>
          <w:jc w:val="center"/>
        </w:trPr>
        <w:tc>
          <w:tcPr>
            <w:tcW w:w="1560" w:type="dxa"/>
            <w:gridSpan w:val="2"/>
            <w:tcBorders>
              <w:top w:val="nil"/>
              <w:bottom w:val="single" w:sz="4" w:space="0" w:color="auto"/>
            </w:tcBorders>
            <w:shd w:val="clear" w:color="auto" w:fill="auto"/>
            <w:vAlign w:val="center"/>
          </w:tcPr>
          <w:p w14:paraId="1C231A5E"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09B75747" w14:textId="677836EA"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11</w:t>
            </w:r>
          </w:p>
        </w:tc>
        <w:tc>
          <w:tcPr>
            <w:tcW w:w="1275" w:type="dxa"/>
            <w:tcBorders>
              <w:top w:val="nil"/>
              <w:bottom w:val="single" w:sz="4" w:space="0" w:color="auto"/>
            </w:tcBorders>
          </w:tcPr>
          <w:p w14:paraId="599BEB13" w14:textId="09AFFF5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1/14 (7</w:t>
            </w:r>
            <w:r w:rsidR="001A0AFD">
              <w:rPr>
                <w:rFonts w:asciiTheme="minorHAnsi" w:hAnsiTheme="minorHAnsi" w:cstheme="minorHAnsi"/>
              </w:rPr>
              <w:t>,</w:t>
            </w:r>
            <w:r w:rsidRPr="000E083A">
              <w:rPr>
                <w:rFonts w:asciiTheme="minorHAnsi" w:hAnsiTheme="minorHAnsi" w:cstheme="minorHAnsi"/>
              </w:rPr>
              <w:t>1%)</w:t>
            </w:r>
          </w:p>
        </w:tc>
        <w:tc>
          <w:tcPr>
            <w:tcW w:w="1276" w:type="dxa"/>
            <w:tcBorders>
              <w:top w:val="nil"/>
              <w:bottom w:val="single" w:sz="4" w:space="0" w:color="auto"/>
            </w:tcBorders>
          </w:tcPr>
          <w:p w14:paraId="4D961F27" w14:textId="2AA76D13"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3/36 (8</w:t>
            </w:r>
            <w:r w:rsidR="00DD4F81">
              <w:rPr>
                <w:rFonts w:asciiTheme="minorHAnsi" w:hAnsiTheme="minorHAnsi" w:cstheme="minorHAnsi"/>
              </w:rPr>
              <w:t>,</w:t>
            </w:r>
            <w:r w:rsidRPr="000E083A">
              <w:rPr>
                <w:rFonts w:asciiTheme="minorHAnsi" w:hAnsiTheme="minorHAnsi" w:cstheme="minorHAnsi"/>
              </w:rPr>
              <w:t>3%)</w:t>
            </w:r>
          </w:p>
        </w:tc>
        <w:tc>
          <w:tcPr>
            <w:tcW w:w="1559" w:type="dxa"/>
            <w:tcBorders>
              <w:top w:val="nil"/>
              <w:bottom w:val="single" w:sz="4" w:space="0" w:color="auto"/>
            </w:tcBorders>
          </w:tcPr>
          <w:p w14:paraId="1336008D" w14:textId="38B30C9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12/47 (25</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nil"/>
              <w:bottom w:val="single" w:sz="4" w:space="0" w:color="auto"/>
            </w:tcBorders>
            <w:shd w:val="clear" w:color="auto" w:fill="auto"/>
          </w:tcPr>
          <w:p w14:paraId="19BFCB7C" w14:textId="23331C4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16/97 (16</w:t>
            </w:r>
            <w:r w:rsidR="00DD4F81">
              <w:rPr>
                <w:rFonts w:asciiTheme="minorHAnsi" w:hAnsiTheme="minorHAnsi" w:cstheme="minorHAnsi"/>
              </w:rPr>
              <w:t>,</w:t>
            </w:r>
            <w:r w:rsidRPr="000E083A">
              <w:rPr>
                <w:rFonts w:asciiTheme="minorHAnsi" w:hAnsiTheme="minorHAnsi" w:cstheme="minorHAnsi"/>
              </w:rPr>
              <w:t>5%)</w:t>
            </w:r>
          </w:p>
        </w:tc>
      </w:tr>
      <w:tr w:rsidR="00B239D3" w:rsidRPr="000E083A" w14:paraId="768BADAD" w14:textId="77777777" w:rsidTr="000E083A">
        <w:trPr>
          <w:jc w:val="center"/>
        </w:trPr>
        <w:tc>
          <w:tcPr>
            <w:tcW w:w="1560" w:type="dxa"/>
            <w:gridSpan w:val="2"/>
            <w:tcBorders>
              <w:top w:val="single" w:sz="4" w:space="0" w:color="auto"/>
              <w:bottom w:val="nil"/>
            </w:tcBorders>
            <w:shd w:val="clear" w:color="auto" w:fill="auto"/>
            <w:vAlign w:val="center"/>
          </w:tcPr>
          <w:p w14:paraId="6232D3DD" w14:textId="77777777"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sz w:val="18"/>
                <w:szCs w:val="18"/>
              </w:rPr>
              <w:t>19q13 CN</w:t>
            </w:r>
          </w:p>
        </w:tc>
        <w:tc>
          <w:tcPr>
            <w:tcW w:w="1134" w:type="dxa"/>
            <w:tcBorders>
              <w:top w:val="single" w:sz="4" w:space="0" w:color="auto"/>
              <w:bottom w:val="nil"/>
            </w:tcBorders>
            <w:shd w:val="clear" w:color="auto" w:fill="auto"/>
          </w:tcPr>
          <w:p w14:paraId="52F6B24E" w14:textId="61076DB1" w:rsidR="00B239D3" w:rsidRPr="000E083A" w:rsidRDefault="00B239D3" w:rsidP="000E083A">
            <w:pPr>
              <w:pStyle w:val="MDPI42tablebody"/>
              <w:spacing w:line="240" w:lineRule="auto"/>
              <w:rPr>
                <w:rFonts w:asciiTheme="minorHAnsi" w:hAnsiTheme="minorHAnsi" w:cstheme="minorHAnsi"/>
              </w:rPr>
            </w:pPr>
            <w:r w:rsidRPr="000E083A">
              <w:rPr>
                <w:rFonts w:asciiTheme="minorHAnsi" w:hAnsiTheme="minorHAnsi" w:cstheme="minorHAnsi"/>
              </w:rPr>
              <w:t>&lt;= 1</w:t>
            </w:r>
            <w:r w:rsidR="001A0AFD">
              <w:rPr>
                <w:rFonts w:asciiTheme="minorHAnsi" w:hAnsiTheme="minorHAnsi" w:cstheme="minorHAnsi"/>
              </w:rPr>
              <w:t>,</w:t>
            </w:r>
            <w:r w:rsidRPr="000E083A">
              <w:rPr>
                <w:rFonts w:asciiTheme="minorHAnsi" w:hAnsiTheme="minorHAnsi" w:cstheme="minorHAnsi"/>
              </w:rPr>
              <w:t>83</w:t>
            </w:r>
          </w:p>
        </w:tc>
        <w:tc>
          <w:tcPr>
            <w:tcW w:w="1275" w:type="dxa"/>
            <w:tcBorders>
              <w:top w:val="single" w:sz="4" w:space="0" w:color="auto"/>
              <w:bottom w:val="nil"/>
            </w:tcBorders>
          </w:tcPr>
          <w:p w14:paraId="5D233F30" w14:textId="00DE301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2/18 (11</w:t>
            </w:r>
            <w:r w:rsidR="001A0AFD">
              <w:rPr>
                <w:rFonts w:asciiTheme="minorHAnsi" w:hAnsiTheme="minorHAnsi" w:cstheme="minorHAnsi"/>
              </w:rPr>
              <w:t>,</w:t>
            </w:r>
            <w:r w:rsidRPr="000E083A">
              <w:rPr>
                <w:rFonts w:asciiTheme="minorHAnsi" w:hAnsiTheme="minorHAnsi" w:cstheme="minorHAnsi"/>
              </w:rPr>
              <w:t>1%)</w:t>
            </w:r>
          </w:p>
        </w:tc>
        <w:tc>
          <w:tcPr>
            <w:tcW w:w="1276" w:type="dxa"/>
            <w:tcBorders>
              <w:top w:val="single" w:sz="4" w:space="0" w:color="auto"/>
              <w:bottom w:val="nil"/>
            </w:tcBorders>
          </w:tcPr>
          <w:p w14:paraId="2C3C0103" w14:textId="30AC6465"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4/43 (9</w:t>
            </w:r>
            <w:r w:rsidR="00DD4F81">
              <w:rPr>
                <w:rFonts w:asciiTheme="minorHAnsi" w:hAnsiTheme="minorHAnsi" w:cstheme="minorHAnsi"/>
              </w:rPr>
              <w:t>,</w:t>
            </w:r>
            <w:r w:rsidRPr="000E083A">
              <w:rPr>
                <w:rFonts w:asciiTheme="minorHAnsi" w:hAnsiTheme="minorHAnsi" w:cstheme="minorHAnsi"/>
              </w:rPr>
              <w:t>3%)</w:t>
            </w:r>
          </w:p>
        </w:tc>
        <w:tc>
          <w:tcPr>
            <w:tcW w:w="1559" w:type="dxa"/>
            <w:tcBorders>
              <w:top w:val="single" w:sz="4" w:space="0" w:color="auto"/>
              <w:bottom w:val="nil"/>
            </w:tcBorders>
          </w:tcPr>
          <w:p w14:paraId="14FF8B23" w14:textId="38D5315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4/53 (7</w:t>
            </w:r>
            <w:r w:rsidR="001A0AFD">
              <w:rPr>
                <w:rFonts w:asciiTheme="minorHAnsi" w:hAnsiTheme="minorHAnsi" w:cstheme="minorHAnsi"/>
              </w:rPr>
              <w:t>,</w:t>
            </w:r>
            <w:r w:rsidRPr="000E083A">
              <w:rPr>
                <w:rFonts w:asciiTheme="minorHAnsi" w:hAnsiTheme="minorHAnsi" w:cstheme="minorHAnsi"/>
              </w:rPr>
              <w:t>5%)</w:t>
            </w:r>
          </w:p>
        </w:tc>
        <w:tc>
          <w:tcPr>
            <w:tcW w:w="1560" w:type="dxa"/>
            <w:tcBorders>
              <w:top w:val="single" w:sz="4" w:space="0" w:color="auto"/>
              <w:bottom w:val="nil"/>
            </w:tcBorders>
            <w:shd w:val="clear" w:color="auto" w:fill="auto"/>
          </w:tcPr>
          <w:p w14:paraId="2A89764A" w14:textId="30DD8AF9"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10/114 (8</w:t>
            </w:r>
            <w:r w:rsidR="00DD4F81">
              <w:rPr>
                <w:rFonts w:asciiTheme="minorHAnsi" w:hAnsiTheme="minorHAnsi" w:cstheme="minorHAnsi"/>
              </w:rPr>
              <w:t>,</w:t>
            </w:r>
            <w:r w:rsidRPr="000E083A">
              <w:rPr>
                <w:rFonts w:asciiTheme="minorHAnsi" w:hAnsiTheme="minorHAnsi" w:cstheme="minorHAnsi"/>
              </w:rPr>
              <w:t>8%)</w:t>
            </w:r>
          </w:p>
        </w:tc>
      </w:tr>
      <w:tr w:rsidR="00B239D3" w:rsidRPr="000E083A" w14:paraId="6E8995D5" w14:textId="77777777" w:rsidTr="000E083A">
        <w:trPr>
          <w:jc w:val="center"/>
        </w:trPr>
        <w:tc>
          <w:tcPr>
            <w:tcW w:w="1560" w:type="dxa"/>
            <w:gridSpan w:val="2"/>
            <w:tcBorders>
              <w:top w:val="nil"/>
              <w:bottom w:val="single" w:sz="4" w:space="0" w:color="auto"/>
            </w:tcBorders>
            <w:shd w:val="clear" w:color="auto" w:fill="auto"/>
            <w:vAlign w:val="center"/>
          </w:tcPr>
          <w:p w14:paraId="6792B9E9"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02F3076D" w14:textId="4E102A33" w:rsidR="00B239D3" w:rsidRPr="000E083A" w:rsidRDefault="00B239D3" w:rsidP="000E083A">
            <w:pPr>
              <w:pStyle w:val="MDPI42tablebody"/>
              <w:spacing w:line="240" w:lineRule="auto"/>
              <w:rPr>
                <w:rFonts w:asciiTheme="minorHAnsi" w:hAnsiTheme="minorHAnsi" w:cstheme="minorHAnsi"/>
              </w:rPr>
            </w:pPr>
            <w:r w:rsidRPr="000E083A">
              <w:rPr>
                <w:rFonts w:asciiTheme="minorHAnsi" w:hAnsiTheme="minorHAnsi" w:cstheme="minorHAnsi"/>
              </w:rPr>
              <w:t>&gt; 1</w:t>
            </w:r>
            <w:r w:rsidR="001A0AFD">
              <w:rPr>
                <w:rFonts w:asciiTheme="minorHAnsi" w:hAnsiTheme="minorHAnsi" w:cstheme="minorHAnsi"/>
              </w:rPr>
              <w:t>,</w:t>
            </w:r>
            <w:r w:rsidRPr="000E083A">
              <w:rPr>
                <w:rFonts w:asciiTheme="minorHAnsi" w:hAnsiTheme="minorHAnsi" w:cstheme="minorHAnsi"/>
              </w:rPr>
              <w:t>83</w:t>
            </w:r>
          </w:p>
        </w:tc>
        <w:tc>
          <w:tcPr>
            <w:tcW w:w="1275" w:type="dxa"/>
            <w:tcBorders>
              <w:top w:val="nil"/>
              <w:bottom w:val="single" w:sz="4" w:space="0" w:color="auto"/>
            </w:tcBorders>
          </w:tcPr>
          <w:p w14:paraId="407083AA" w14:textId="36392A3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16/18 (88</w:t>
            </w:r>
            <w:r w:rsidR="001A0AFD">
              <w:rPr>
                <w:rFonts w:asciiTheme="minorHAnsi" w:hAnsiTheme="minorHAnsi" w:cstheme="minorHAnsi"/>
              </w:rPr>
              <w:t>,</w:t>
            </w:r>
            <w:r w:rsidRPr="000E083A">
              <w:rPr>
                <w:rFonts w:asciiTheme="minorHAnsi" w:hAnsiTheme="minorHAnsi" w:cstheme="minorHAnsi"/>
              </w:rPr>
              <w:t>9%)</w:t>
            </w:r>
          </w:p>
        </w:tc>
        <w:tc>
          <w:tcPr>
            <w:tcW w:w="1276" w:type="dxa"/>
            <w:tcBorders>
              <w:top w:val="nil"/>
              <w:bottom w:val="single" w:sz="4" w:space="0" w:color="auto"/>
            </w:tcBorders>
          </w:tcPr>
          <w:p w14:paraId="3777EAE6" w14:textId="3280DE7F"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39/43 (90</w:t>
            </w:r>
            <w:r w:rsidR="00DD4F81">
              <w:rPr>
                <w:rFonts w:asciiTheme="minorHAnsi" w:hAnsiTheme="minorHAnsi" w:cstheme="minorHAnsi"/>
              </w:rPr>
              <w:t>,</w:t>
            </w:r>
            <w:r w:rsidRPr="000E083A">
              <w:rPr>
                <w:rFonts w:asciiTheme="minorHAnsi" w:hAnsiTheme="minorHAnsi" w:cstheme="minorHAnsi"/>
              </w:rPr>
              <w:t>7%)</w:t>
            </w:r>
          </w:p>
        </w:tc>
        <w:tc>
          <w:tcPr>
            <w:tcW w:w="1559" w:type="dxa"/>
            <w:tcBorders>
              <w:top w:val="nil"/>
              <w:bottom w:val="single" w:sz="4" w:space="0" w:color="auto"/>
            </w:tcBorders>
          </w:tcPr>
          <w:p w14:paraId="0E7B57BE" w14:textId="37B5B5B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49/53 (92</w:t>
            </w:r>
            <w:r w:rsidR="00DD4F81">
              <w:rPr>
                <w:rFonts w:asciiTheme="minorHAnsi" w:hAnsiTheme="minorHAnsi" w:cstheme="minorHAnsi"/>
              </w:rPr>
              <w:t>,</w:t>
            </w:r>
            <w:r w:rsidRPr="000E083A">
              <w:rPr>
                <w:rFonts w:asciiTheme="minorHAnsi" w:hAnsiTheme="minorHAnsi" w:cstheme="minorHAnsi"/>
              </w:rPr>
              <w:t>5%)</w:t>
            </w:r>
          </w:p>
        </w:tc>
        <w:tc>
          <w:tcPr>
            <w:tcW w:w="1560" w:type="dxa"/>
            <w:tcBorders>
              <w:top w:val="nil"/>
              <w:bottom w:val="single" w:sz="4" w:space="0" w:color="auto"/>
            </w:tcBorders>
            <w:shd w:val="clear" w:color="auto" w:fill="auto"/>
          </w:tcPr>
          <w:p w14:paraId="2CE1D3DD" w14:textId="5252466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104/114 (91</w:t>
            </w:r>
            <w:r w:rsidR="00DD4F81">
              <w:rPr>
                <w:rFonts w:asciiTheme="minorHAnsi" w:hAnsiTheme="minorHAnsi" w:cstheme="minorHAnsi"/>
              </w:rPr>
              <w:t>,</w:t>
            </w:r>
            <w:r w:rsidRPr="000E083A">
              <w:rPr>
                <w:rFonts w:asciiTheme="minorHAnsi" w:hAnsiTheme="minorHAnsi" w:cstheme="minorHAnsi"/>
              </w:rPr>
              <w:t>2%)</w:t>
            </w:r>
          </w:p>
        </w:tc>
      </w:tr>
      <w:tr w:rsidR="00B239D3" w:rsidRPr="000E083A" w14:paraId="4889DE61" w14:textId="77777777" w:rsidTr="000E083A">
        <w:trPr>
          <w:jc w:val="center"/>
        </w:trPr>
        <w:tc>
          <w:tcPr>
            <w:tcW w:w="1560" w:type="dxa"/>
            <w:gridSpan w:val="2"/>
            <w:tcBorders>
              <w:top w:val="single" w:sz="4" w:space="0" w:color="auto"/>
              <w:bottom w:val="nil"/>
            </w:tcBorders>
            <w:shd w:val="clear" w:color="auto" w:fill="auto"/>
            <w:vAlign w:val="center"/>
          </w:tcPr>
          <w:p w14:paraId="2F45F056" w14:textId="77777777" w:rsidR="00B239D3" w:rsidRPr="000E083A" w:rsidRDefault="00B239D3" w:rsidP="000E083A">
            <w:pPr>
              <w:pStyle w:val="MDPI42tablebody"/>
              <w:spacing w:line="240" w:lineRule="auto"/>
              <w:rPr>
                <w:rFonts w:asciiTheme="minorHAnsi" w:hAnsiTheme="minorHAnsi" w:cstheme="minorHAnsi"/>
                <w:sz w:val="18"/>
                <w:szCs w:val="18"/>
              </w:rPr>
            </w:pPr>
            <w:r w:rsidRPr="00DD4F81">
              <w:rPr>
                <w:rFonts w:asciiTheme="minorHAnsi" w:hAnsiTheme="minorHAnsi" w:cstheme="minorHAnsi"/>
                <w:i/>
                <w:iCs/>
                <w:sz w:val="18"/>
                <w:szCs w:val="18"/>
              </w:rPr>
              <w:t>MDM2</w:t>
            </w:r>
            <w:r w:rsidRPr="000E083A">
              <w:rPr>
                <w:rFonts w:asciiTheme="minorHAnsi" w:hAnsiTheme="minorHAnsi" w:cstheme="minorHAnsi"/>
                <w:sz w:val="18"/>
                <w:szCs w:val="18"/>
              </w:rPr>
              <w:t xml:space="preserve"> CN</w:t>
            </w:r>
          </w:p>
        </w:tc>
        <w:tc>
          <w:tcPr>
            <w:tcW w:w="1134" w:type="dxa"/>
            <w:tcBorders>
              <w:top w:val="single" w:sz="4" w:space="0" w:color="auto"/>
              <w:bottom w:val="nil"/>
            </w:tcBorders>
            <w:shd w:val="clear" w:color="auto" w:fill="auto"/>
          </w:tcPr>
          <w:p w14:paraId="2921D2B5" w14:textId="0A3EBB7B" w:rsidR="00B239D3" w:rsidRPr="000E083A" w:rsidRDefault="00B239D3" w:rsidP="000E083A">
            <w:pPr>
              <w:pStyle w:val="MDPI42tablebody"/>
              <w:spacing w:line="240" w:lineRule="auto"/>
              <w:rPr>
                <w:rFonts w:asciiTheme="minorHAnsi" w:hAnsiTheme="minorHAnsi" w:cstheme="minorHAnsi"/>
              </w:rPr>
            </w:pPr>
            <w:r w:rsidRPr="000E083A">
              <w:rPr>
                <w:rFonts w:asciiTheme="minorHAnsi" w:hAnsiTheme="minorHAnsi" w:cstheme="minorHAnsi"/>
              </w:rPr>
              <w:t>&lt;= 1</w:t>
            </w:r>
            <w:r w:rsidR="001A0AFD">
              <w:rPr>
                <w:rFonts w:asciiTheme="minorHAnsi" w:hAnsiTheme="minorHAnsi" w:cstheme="minorHAnsi"/>
              </w:rPr>
              <w:t>,</w:t>
            </w:r>
            <w:r w:rsidRPr="000E083A">
              <w:rPr>
                <w:rFonts w:asciiTheme="minorHAnsi" w:hAnsiTheme="minorHAnsi" w:cstheme="minorHAnsi"/>
              </w:rPr>
              <w:t>97</w:t>
            </w:r>
          </w:p>
        </w:tc>
        <w:tc>
          <w:tcPr>
            <w:tcW w:w="1275" w:type="dxa"/>
            <w:tcBorders>
              <w:top w:val="single" w:sz="4" w:space="0" w:color="auto"/>
              <w:bottom w:val="nil"/>
            </w:tcBorders>
          </w:tcPr>
          <w:p w14:paraId="119D3DD4" w14:textId="2A5E217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1/17 (5</w:t>
            </w:r>
            <w:r w:rsidR="001A0AFD">
              <w:rPr>
                <w:rFonts w:asciiTheme="minorHAnsi" w:hAnsiTheme="minorHAnsi" w:cstheme="minorHAnsi"/>
              </w:rPr>
              <w:t>,</w:t>
            </w:r>
            <w:r w:rsidRPr="000E083A">
              <w:rPr>
                <w:rFonts w:asciiTheme="minorHAnsi" w:hAnsiTheme="minorHAnsi" w:cstheme="minorHAnsi"/>
              </w:rPr>
              <w:t>9%)</w:t>
            </w:r>
          </w:p>
        </w:tc>
        <w:tc>
          <w:tcPr>
            <w:tcW w:w="1276" w:type="dxa"/>
            <w:tcBorders>
              <w:top w:val="single" w:sz="4" w:space="0" w:color="auto"/>
              <w:bottom w:val="nil"/>
            </w:tcBorders>
          </w:tcPr>
          <w:p w14:paraId="585999D9" w14:textId="1CE2A346"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5/42 (11</w:t>
            </w:r>
            <w:r w:rsidR="00DD4F81">
              <w:rPr>
                <w:rFonts w:asciiTheme="minorHAnsi" w:hAnsiTheme="minorHAnsi" w:cstheme="minorHAnsi"/>
              </w:rPr>
              <w:t>,</w:t>
            </w:r>
            <w:r w:rsidRPr="000E083A">
              <w:rPr>
                <w:rFonts w:asciiTheme="minorHAnsi" w:hAnsiTheme="minorHAnsi" w:cstheme="minorHAnsi"/>
              </w:rPr>
              <w:t>9%)</w:t>
            </w:r>
          </w:p>
        </w:tc>
        <w:tc>
          <w:tcPr>
            <w:tcW w:w="1559" w:type="dxa"/>
            <w:tcBorders>
              <w:top w:val="single" w:sz="4" w:space="0" w:color="auto"/>
              <w:bottom w:val="nil"/>
            </w:tcBorders>
          </w:tcPr>
          <w:p w14:paraId="006FFDA4" w14:textId="097824A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3/51 (5</w:t>
            </w:r>
            <w:r w:rsidR="00DD4F81">
              <w:rPr>
                <w:rFonts w:asciiTheme="minorHAnsi" w:hAnsiTheme="minorHAnsi" w:cstheme="minorHAnsi"/>
              </w:rPr>
              <w:t>,</w:t>
            </w:r>
            <w:r w:rsidRPr="000E083A">
              <w:rPr>
                <w:rFonts w:asciiTheme="minorHAnsi" w:hAnsiTheme="minorHAnsi" w:cstheme="minorHAnsi"/>
              </w:rPr>
              <w:t>9%)</w:t>
            </w:r>
          </w:p>
        </w:tc>
        <w:tc>
          <w:tcPr>
            <w:tcW w:w="1560" w:type="dxa"/>
            <w:tcBorders>
              <w:top w:val="single" w:sz="4" w:space="0" w:color="auto"/>
              <w:bottom w:val="nil"/>
            </w:tcBorders>
            <w:shd w:val="clear" w:color="auto" w:fill="auto"/>
          </w:tcPr>
          <w:p w14:paraId="63622DF4" w14:textId="58456A1E"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9/110 (8</w:t>
            </w:r>
            <w:r w:rsidR="00DD4F81">
              <w:rPr>
                <w:rFonts w:asciiTheme="minorHAnsi" w:hAnsiTheme="minorHAnsi" w:cstheme="minorHAnsi"/>
              </w:rPr>
              <w:t>,</w:t>
            </w:r>
            <w:r w:rsidRPr="000E083A">
              <w:rPr>
                <w:rFonts w:asciiTheme="minorHAnsi" w:hAnsiTheme="minorHAnsi" w:cstheme="minorHAnsi"/>
              </w:rPr>
              <w:t>2%)</w:t>
            </w:r>
          </w:p>
        </w:tc>
      </w:tr>
      <w:tr w:rsidR="00B239D3" w:rsidRPr="000E083A" w14:paraId="1A1359E5" w14:textId="77777777" w:rsidTr="000E083A">
        <w:trPr>
          <w:jc w:val="center"/>
        </w:trPr>
        <w:tc>
          <w:tcPr>
            <w:tcW w:w="1560" w:type="dxa"/>
            <w:gridSpan w:val="2"/>
            <w:tcBorders>
              <w:top w:val="nil"/>
              <w:bottom w:val="single" w:sz="4" w:space="0" w:color="auto"/>
            </w:tcBorders>
            <w:shd w:val="clear" w:color="auto" w:fill="auto"/>
            <w:vAlign w:val="center"/>
          </w:tcPr>
          <w:p w14:paraId="6C251464"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658C2268" w14:textId="768FCE9D" w:rsidR="00B239D3" w:rsidRPr="000E083A" w:rsidRDefault="00B239D3" w:rsidP="000E083A">
            <w:pPr>
              <w:pStyle w:val="MDPI42tablebody"/>
              <w:spacing w:line="240" w:lineRule="auto"/>
              <w:rPr>
                <w:rFonts w:asciiTheme="minorHAnsi" w:hAnsiTheme="minorHAnsi" w:cstheme="minorHAnsi"/>
              </w:rPr>
            </w:pPr>
            <w:r w:rsidRPr="000E083A">
              <w:rPr>
                <w:rFonts w:asciiTheme="minorHAnsi" w:hAnsiTheme="minorHAnsi" w:cstheme="minorHAnsi"/>
              </w:rPr>
              <w:t>&gt; 1</w:t>
            </w:r>
            <w:r w:rsidR="001A0AFD">
              <w:rPr>
                <w:rFonts w:asciiTheme="minorHAnsi" w:hAnsiTheme="minorHAnsi" w:cstheme="minorHAnsi"/>
              </w:rPr>
              <w:t>,</w:t>
            </w:r>
            <w:r w:rsidRPr="000E083A">
              <w:rPr>
                <w:rFonts w:asciiTheme="minorHAnsi" w:hAnsiTheme="minorHAnsi" w:cstheme="minorHAnsi"/>
              </w:rPr>
              <w:t>97</w:t>
            </w:r>
          </w:p>
        </w:tc>
        <w:tc>
          <w:tcPr>
            <w:tcW w:w="1275" w:type="dxa"/>
            <w:tcBorders>
              <w:top w:val="nil"/>
              <w:bottom w:val="single" w:sz="4" w:space="0" w:color="auto"/>
            </w:tcBorders>
          </w:tcPr>
          <w:p w14:paraId="4C10E724" w14:textId="37A1047B"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16/17 (94</w:t>
            </w:r>
            <w:r w:rsidR="001A0AFD">
              <w:rPr>
                <w:rFonts w:asciiTheme="minorHAnsi" w:hAnsiTheme="minorHAnsi" w:cstheme="minorHAnsi"/>
              </w:rPr>
              <w:t>,</w:t>
            </w:r>
            <w:r w:rsidRPr="000E083A">
              <w:rPr>
                <w:rFonts w:asciiTheme="minorHAnsi" w:hAnsiTheme="minorHAnsi" w:cstheme="minorHAnsi"/>
              </w:rPr>
              <w:t>1%)</w:t>
            </w:r>
          </w:p>
        </w:tc>
        <w:tc>
          <w:tcPr>
            <w:tcW w:w="1276" w:type="dxa"/>
            <w:tcBorders>
              <w:top w:val="nil"/>
              <w:bottom w:val="single" w:sz="4" w:space="0" w:color="auto"/>
            </w:tcBorders>
          </w:tcPr>
          <w:p w14:paraId="3F80377B" w14:textId="018EFAC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37/42 (88</w:t>
            </w:r>
            <w:r w:rsidR="00DD4F81">
              <w:rPr>
                <w:rFonts w:asciiTheme="minorHAnsi" w:hAnsiTheme="minorHAnsi" w:cstheme="minorHAnsi"/>
              </w:rPr>
              <w:t>,</w:t>
            </w:r>
            <w:r w:rsidRPr="000E083A">
              <w:rPr>
                <w:rFonts w:asciiTheme="minorHAnsi" w:hAnsiTheme="minorHAnsi" w:cstheme="minorHAnsi"/>
              </w:rPr>
              <w:t>1%)</w:t>
            </w:r>
          </w:p>
        </w:tc>
        <w:tc>
          <w:tcPr>
            <w:tcW w:w="1559" w:type="dxa"/>
            <w:tcBorders>
              <w:top w:val="nil"/>
              <w:bottom w:val="single" w:sz="4" w:space="0" w:color="auto"/>
            </w:tcBorders>
          </w:tcPr>
          <w:p w14:paraId="34DD36A3" w14:textId="2872116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48/51 (94</w:t>
            </w:r>
            <w:r w:rsidR="00DD4F81">
              <w:rPr>
                <w:rFonts w:asciiTheme="minorHAnsi" w:hAnsiTheme="minorHAnsi" w:cstheme="minorHAnsi"/>
              </w:rPr>
              <w:t>,</w:t>
            </w:r>
            <w:r w:rsidRPr="000E083A">
              <w:rPr>
                <w:rFonts w:asciiTheme="minorHAnsi" w:hAnsiTheme="minorHAnsi" w:cstheme="minorHAnsi"/>
              </w:rPr>
              <w:t>1%)</w:t>
            </w:r>
          </w:p>
        </w:tc>
        <w:tc>
          <w:tcPr>
            <w:tcW w:w="1560" w:type="dxa"/>
            <w:tcBorders>
              <w:top w:val="nil"/>
              <w:bottom w:val="single" w:sz="4" w:space="0" w:color="auto"/>
            </w:tcBorders>
            <w:shd w:val="clear" w:color="auto" w:fill="auto"/>
          </w:tcPr>
          <w:p w14:paraId="2585D399" w14:textId="26D55B8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101/110 (91</w:t>
            </w:r>
            <w:r w:rsidR="00DD4F81">
              <w:rPr>
                <w:rFonts w:asciiTheme="minorHAnsi" w:hAnsiTheme="minorHAnsi" w:cstheme="minorHAnsi"/>
              </w:rPr>
              <w:t>,</w:t>
            </w:r>
            <w:r w:rsidRPr="000E083A">
              <w:rPr>
                <w:rFonts w:asciiTheme="minorHAnsi" w:hAnsiTheme="minorHAnsi" w:cstheme="minorHAnsi"/>
              </w:rPr>
              <w:t>8%)</w:t>
            </w:r>
          </w:p>
        </w:tc>
      </w:tr>
      <w:tr w:rsidR="00B239D3" w:rsidRPr="000E083A" w14:paraId="2E7552B5" w14:textId="77777777" w:rsidTr="000E083A">
        <w:trPr>
          <w:jc w:val="center"/>
        </w:trPr>
        <w:tc>
          <w:tcPr>
            <w:tcW w:w="1560" w:type="dxa"/>
            <w:gridSpan w:val="2"/>
            <w:tcBorders>
              <w:top w:val="single" w:sz="4" w:space="0" w:color="auto"/>
              <w:bottom w:val="nil"/>
            </w:tcBorders>
            <w:shd w:val="clear" w:color="auto" w:fill="auto"/>
            <w:vAlign w:val="center"/>
          </w:tcPr>
          <w:p w14:paraId="736C5A57" w14:textId="77777777" w:rsidR="00B239D3" w:rsidRPr="000E083A" w:rsidRDefault="00B239D3" w:rsidP="000E083A">
            <w:pPr>
              <w:pStyle w:val="MDPI42tablebody"/>
              <w:spacing w:line="240" w:lineRule="auto"/>
              <w:rPr>
                <w:rFonts w:asciiTheme="minorHAnsi" w:hAnsiTheme="minorHAnsi" w:cstheme="minorHAnsi"/>
                <w:sz w:val="18"/>
                <w:szCs w:val="18"/>
              </w:rPr>
            </w:pPr>
            <w:r w:rsidRPr="00DD4F81">
              <w:rPr>
                <w:rFonts w:asciiTheme="minorHAnsi" w:hAnsiTheme="minorHAnsi" w:cstheme="minorHAnsi"/>
                <w:i/>
                <w:iCs/>
                <w:sz w:val="18"/>
                <w:szCs w:val="18"/>
              </w:rPr>
              <w:t>CCND1</w:t>
            </w:r>
            <w:r w:rsidRPr="000E083A">
              <w:rPr>
                <w:rFonts w:asciiTheme="minorHAnsi" w:hAnsiTheme="minorHAnsi" w:cstheme="minorHAnsi"/>
                <w:sz w:val="18"/>
                <w:szCs w:val="18"/>
              </w:rPr>
              <w:t xml:space="preserve"> CN</w:t>
            </w:r>
          </w:p>
        </w:tc>
        <w:tc>
          <w:tcPr>
            <w:tcW w:w="1134" w:type="dxa"/>
            <w:tcBorders>
              <w:top w:val="single" w:sz="4" w:space="0" w:color="auto"/>
              <w:bottom w:val="nil"/>
            </w:tcBorders>
            <w:shd w:val="clear" w:color="auto" w:fill="auto"/>
          </w:tcPr>
          <w:p w14:paraId="1ED2A5A2" w14:textId="55025A53" w:rsidR="00B239D3" w:rsidRPr="000E083A" w:rsidRDefault="00B239D3" w:rsidP="000E083A">
            <w:pPr>
              <w:pStyle w:val="MDPI42tablebody"/>
              <w:spacing w:line="240" w:lineRule="auto"/>
              <w:rPr>
                <w:rFonts w:asciiTheme="minorHAnsi" w:hAnsiTheme="minorHAnsi" w:cstheme="minorHAnsi"/>
              </w:rPr>
            </w:pPr>
            <w:r w:rsidRPr="000E083A">
              <w:rPr>
                <w:rFonts w:asciiTheme="minorHAnsi" w:hAnsiTheme="minorHAnsi" w:cstheme="minorHAnsi"/>
              </w:rPr>
              <w:t>&lt;= 2</w:t>
            </w:r>
            <w:r w:rsidR="001A0AFD">
              <w:rPr>
                <w:rFonts w:asciiTheme="minorHAnsi" w:hAnsiTheme="minorHAnsi" w:cstheme="minorHAnsi"/>
              </w:rPr>
              <w:t>,</w:t>
            </w:r>
            <w:r w:rsidRPr="000E083A">
              <w:rPr>
                <w:rFonts w:asciiTheme="minorHAnsi" w:hAnsiTheme="minorHAnsi" w:cstheme="minorHAnsi"/>
              </w:rPr>
              <w:t>48</w:t>
            </w:r>
          </w:p>
        </w:tc>
        <w:tc>
          <w:tcPr>
            <w:tcW w:w="1275" w:type="dxa"/>
            <w:tcBorders>
              <w:top w:val="single" w:sz="4" w:space="0" w:color="auto"/>
              <w:bottom w:val="nil"/>
            </w:tcBorders>
          </w:tcPr>
          <w:p w14:paraId="1228EC3B" w14:textId="2285BE4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12/14 (85</w:t>
            </w:r>
            <w:r w:rsidR="001A0AFD">
              <w:rPr>
                <w:rFonts w:asciiTheme="minorHAnsi" w:hAnsiTheme="minorHAnsi" w:cstheme="minorHAnsi"/>
              </w:rPr>
              <w:t>,</w:t>
            </w:r>
            <w:r w:rsidRPr="000E083A">
              <w:rPr>
                <w:rFonts w:asciiTheme="minorHAnsi" w:hAnsiTheme="minorHAnsi" w:cstheme="minorHAnsi"/>
              </w:rPr>
              <w:t>7%)</w:t>
            </w:r>
          </w:p>
        </w:tc>
        <w:tc>
          <w:tcPr>
            <w:tcW w:w="1276" w:type="dxa"/>
            <w:tcBorders>
              <w:top w:val="single" w:sz="4" w:space="0" w:color="auto"/>
              <w:bottom w:val="nil"/>
            </w:tcBorders>
          </w:tcPr>
          <w:p w14:paraId="46FB45A3" w14:textId="6DF98CD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29/32 (90</w:t>
            </w:r>
            <w:r w:rsidR="00DD4F81">
              <w:rPr>
                <w:rFonts w:asciiTheme="minorHAnsi" w:hAnsiTheme="minorHAnsi" w:cstheme="minorHAnsi"/>
              </w:rPr>
              <w:t>,</w:t>
            </w:r>
            <w:r w:rsidRPr="000E083A">
              <w:rPr>
                <w:rFonts w:asciiTheme="minorHAnsi" w:hAnsiTheme="minorHAnsi" w:cstheme="minorHAnsi"/>
              </w:rPr>
              <w:t>6%)</w:t>
            </w:r>
          </w:p>
        </w:tc>
        <w:tc>
          <w:tcPr>
            <w:tcW w:w="1559" w:type="dxa"/>
            <w:tcBorders>
              <w:top w:val="single" w:sz="4" w:space="0" w:color="auto"/>
              <w:bottom w:val="nil"/>
            </w:tcBorders>
          </w:tcPr>
          <w:p w14:paraId="30AB4C84" w14:textId="6D24F084"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40/47 (85</w:t>
            </w:r>
            <w:r w:rsidR="00DD4F81">
              <w:rPr>
                <w:rFonts w:asciiTheme="minorHAnsi" w:hAnsiTheme="minorHAnsi" w:cstheme="minorHAnsi"/>
              </w:rPr>
              <w:t>,</w:t>
            </w:r>
            <w:r w:rsidRPr="000E083A">
              <w:rPr>
                <w:rFonts w:asciiTheme="minorHAnsi" w:hAnsiTheme="minorHAnsi" w:cstheme="minorHAnsi"/>
              </w:rPr>
              <w:t>1%)</w:t>
            </w:r>
          </w:p>
        </w:tc>
        <w:tc>
          <w:tcPr>
            <w:tcW w:w="1560" w:type="dxa"/>
            <w:tcBorders>
              <w:top w:val="single" w:sz="4" w:space="0" w:color="auto"/>
              <w:bottom w:val="nil"/>
            </w:tcBorders>
            <w:shd w:val="clear" w:color="auto" w:fill="auto"/>
          </w:tcPr>
          <w:p w14:paraId="36A336AD" w14:textId="250960ED"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81/93 (87</w:t>
            </w:r>
            <w:r w:rsidR="00DD4F81">
              <w:rPr>
                <w:rFonts w:asciiTheme="minorHAnsi" w:hAnsiTheme="minorHAnsi" w:cstheme="minorHAnsi"/>
              </w:rPr>
              <w:t>,</w:t>
            </w:r>
            <w:r w:rsidRPr="000E083A">
              <w:rPr>
                <w:rFonts w:asciiTheme="minorHAnsi" w:hAnsiTheme="minorHAnsi" w:cstheme="minorHAnsi"/>
              </w:rPr>
              <w:t>1%)</w:t>
            </w:r>
          </w:p>
        </w:tc>
      </w:tr>
      <w:tr w:rsidR="00B239D3" w:rsidRPr="000E083A" w14:paraId="0CF1ADC4" w14:textId="77777777" w:rsidTr="000E083A">
        <w:trPr>
          <w:jc w:val="center"/>
        </w:trPr>
        <w:tc>
          <w:tcPr>
            <w:tcW w:w="1560" w:type="dxa"/>
            <w:gridSpan w:val="2"/>
            <w:tcBorders>
              <w:top w:val="nil"/>
              <w:bottom w:val="single" w:sz="4" w:space="0" w:color="auto"/>
            </w:tcBorders>
            <w:shd w:val="clear" w:color="auto" w:fill="auto"/>
            <w:vAlign w:val="center"/>
          </w:tcPr>
          <w:p w14:paraId="65F2A4A5" w14:textId="77777777" w:rsidR="00B239D3" w:rsidRPr="000E083A" w:rsidRDefault="00B239D3" w:rsidP="000E083A">
            <w:pPr>
              <w:pStyle w:val="MDPI42tablebody"/>
              <w:spacing w:line="240" w:lineRule="auto"/>
              <w:rPr>
                <w:rFonts w:asciiTheme="minorHAnsi" w:hAnsiTheme="minorHAnsi" w:cstheme="minorHAnsi"/>
                <w:sz w:val="18"/>
                <w:szCs w:val="18"/>
              </w:rPr>
            </w:pPr>
          </w:p>
        </w:tc>
        <w:tc>
          <w:tcPr>
            <w:tcW w:w="1134" w:type="dxa"/>
            <w:tcBorders>
              <w:top w:val="nil"/>
              <w:bottom w:val="single" w:sz="4" w:space="0" w:color="auto"/>
            </w:tcBorders>
            <w:shd w:val="clear" w:color="auto" w:fill="auto"/>
          </w:tcPr>
          <w:p w14:paraId="28A3454E" w14:textId="552FB4B2" w:rsidR="00B239D3" w:rsidRPr="000E083A" w:rsidRDefault="00B239D3" w:rsidP="000E083A">
            <w:pPr>
              <w:pStyle w:val="MDPI42tablebody"/>
              <w:spacing w:line="240" w:lineRule="auto"/>
              <w:rPr>
                <w:rFonts w:asciiTheme="minorHAnsi" w:hAnsiTheme="minorHAnsi" w:cstheme="minorHAnsi"/>
              </w:rPr>
            </w:pPr>
            <w:r w:rsidRPr="000E083A">
              <w:rPr>
                <w:rFonts w:asciiTheme="minorHAnsi" w:hAnsiTheme="minorHAnsi" w:cstheme="minorHAnsi"/>
              </w:rPr>
              <w:t>&gt; 2</w:t>
            </w:r>
            <w:r w:rsidR="001A0AFD">
              <w:rPr>
                <w:rFonts w:asciiTheme="minorHAnsi" w:hAnsiTheme="minorHAnsi" w:cstheme="minorHAnsi"/>
              </w:rPr>
              <w:t>,</w:t>
            </w:r>
            <w:r w:rsidRPr="000E083A">
              <w:rPr>
                <w:rFonts w:asciiTheme="minorHAnsi" w:hAnsiTheme="minorHAnsi" w:cstheme="minorHAnsi"/>
              </w:rPr>
              <w:t>48</w:t>
            </w:r>
          </w:p>
        </w:tc>
        <w:tc>
          <w:tcPr>
            <w:tcW w:w="1275" w:type="dxa"/>
            <w:tcBorders>
              <w:top w:val="nil"/>
              <w:bottom w:val="single" w:sz="4" w:space="0" w:color="auto"/>
            </w:tcBorders>
          </w:tcPr>
          <w:p w14:paraId="1AA68260" w14:textId="6087C79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2/14 (14</w:t>
            </w:r>
            <w:r w:rsidR="001A0AFD">
              <w:rPr>
                <w:rFonts w:asciiTheme="minorHAnsi" w:hAnsiTheme="minorHAnsi" w:cstheme="minorHAnsi"/>
              </w:rPr>
              <w:t>,</w:t>
            </w:r>
            <w:r w:rsidRPr="000E083A">
              <w:rPr>
                <w:rFonts w:asciiTheme="minorHAnsi" w:hAnsiTheme="minorHAnsi" w:cstheme="minorHAnsi"/>
              </w:rPr>
              <w:t>3%)</w:t>
            </w:r>
          </w:p>
        </w:tc>
        <w:tc>
          <w:tcPr>
            <w:tcW w:w="1276" w:type="dxa"/>
            <w:tcBorders>
              <w:top w:val="nil"/>
              <w:bottom w:val="single" w:sz="4" w:space="0" w:color="auto"/>
            </w:tcBorders>
          </w:tcPr>
          <w:p w14:paraId="00E469D5" w14:textId="59E4DE8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3/32 (9</w:t>
            </w:r>
            <w:r w:rsidR="00DD4F81">
              <w:rPr>
                <w:rFonts w:asciiTheme="minorHAnsi" w:hAnsiTheme="minorHAnsi" w:cstheme="minorHAnsi"/>
              </w:rPr>
              <w:t>,</w:t>
            </w:r>
            <w:r w:rsidRPr="000E083A">
              <w:rPr>
                <w:rFonts w:asciiTheme="minorHAnsi" w:hAnsiTheme="minorHAnsi" w:cstheme="minorHAnsi"/>
              </w:rPr>
              <w:t>4%)</w:t>
            </w:r>
          </w:p>
        </w:tc>
        <w:tc>
          <w:tcPr>
            <w:tcW w:w="1559" w:type="dxa"/>
            <w:tcBorders>
              <w:top w:val="nil"/>
              <w:bottom w:val="single" w:sz="4" w:space="0" w:color="auto"/>
            </w:tcBorders>
          </w:tcPr>
          <w:p w14:paraId="55BCB265" w14:textId="5AE767C2"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7/47 (14</w:t>
            </w:r>
            <w:r w:rsidR="00DD4F81">
              <w:rPr>
                <w:rFonts w:asciiTheme="minorHAnsi" w:hAnsiTheme="minorHAnsi" w:cstheme="minorHAnsi"/>
              </w:rPr>
              <w:t>,</w:t>
            </w:r>
            <w:r w:rsidRPr="000E083A">
              <w:rPr>
                <w:rFonts w:asciiTheme="minorHAnsi" w:hAnsiTheme="minorHAnsi" w:cstheme="minorHAnsi"/>
              </w:rPr>
              <w:t>9%)</w:t>
            </w:r>
          </w:p>
        </w:tc>
        <w:tc>
          <w:tcPr>
            <w:tcW w:w="1560" w:type="dxa"/>
            <w:tcBorders>
              <w:top w:val="nil"/>
              <w:bottom w:val="single" w:sz="4" w:space="0" w:color="auto"/>
            </w:tcBorders>
            <w:shd w:val="clear" w:color="auto" w:fill="auto"/>
          </w:tcPr>
          <w:p w14:paraId="4314B85D" w14:textId="44916E20" w:rsidR="00B239D3" w:rsidRPr="000E083A" w:rsidRDefault="00B239D3" w:rsidP="000E083A">
            <w:pPr>
              <w:pStyle w:val="MDPI42tablebody"/>
              <w:spacing w:line="240" w:lineRule="auto"/>
              <w:rPr>
                <w:rFonts w:asciiTheme="minorHAnsi" w:hAnsiTheme="minorHAnsi" w:cstheme="minorHAnsi"/>
                <w:sz w:val="18"/>
                <w:szCs w:val="18"/>
              </w:rPr>
            </w:pPr>
            <w:r w:rsidRPr="000E083A">
              <w:rPr>
                <w:rFonts w:asciiTheme="minorHAnsi" w:hAnsiTheme="minorHAnsi" w:cstheme="minorHAnsi"/>
              </w:rPr>
              <w:t>12/93 (12</w:t>
            </w:r>
            <w:r w:rsidR="00DD4F81">
              <w:rPr>
                <w:rFonts w:asciiTheme="minorHAnsi" w:hAnsiTheme="minorHAnsi" w:cstheme="minorHAnsi"/>
              </w:rPr>
              <w:t>,</w:t>
            </w:r>
            <w:r w:rsidRPr="000E083A">
              <w:rPr>
                <w:rFonts w:asciiTheme="minorHAnsi" w:hAnsiTheme="minorHAnsi" w:cstheme="minorHAnsi"/>
              </w:rPr>
              <w:t>9%)</w:t>
            </w:r>
          </w:p>
        </w:tc>
      </w:tr>
    </w:tbl>
    <w:p w14:paraId="30609D7C" w14:textId="5B6A740C" w:rsidR="00D24B71" w:rsidRDefault="007E518A" w:rsidP="000E083A">
      <w:pPr>
        <w:pStyle w:val="MDPI41tablecaption"/>
        <w:ind w:left="0"/>
        <w:rPr>
          <w:rFonts w:asciiTheme="minorHAnsi" w:hAnsiTheme="minorHAnsi" w:cstheme="minorHAnsi"/>
          <w:sz w:val="20"/>
          <w:szCs w:val="20"/>
        </w:rPr>
      </w:pPr>
      <w:r w:rsidRPr="008B00E9">
        <w:rPr>
          <w:rFonts w:asciiTheme="minorHAnsi" w:hAnsiTheme="minorHAnsi" w:cstheme="minorHAnsi"/>
          <w:sz w:val="20"/>
          <w:szCs w:val="20"/>
        </w:rPr>
        <w:t xml:space="preserve">*test nezávislosti (chi-kvadrát nebo Fisherův exaktní test), p-hodnota&lt;0,05; RT – radioterapie; CHT+RT – chemoradioterapie; Ž – žena; M – muž; F – frontální; O – okcipitální; P – parietalní; T – temporální; </w:t>
      </w:r>
      <w:r w:rsidRPr="008B00E9">
        <w:rPr>
          <w:rFonts w:asciiTheme="minorHAnsi" w:hAnsiTheme="minorHAnsi" w:cstheme="minorHAnsi"/>
          <w:i/>
          <w:iCs/>
          <w:sz w:val="20"/>
          <w:szCs w:val="20"/>
        </w:rPr>
        <w:t>BCR</w:t>
      </w:r>
      <w:r w:rsidRPr="008B00E9">
        <w:rPr>
          <w:rFonts w:asciiTheme="minorHAnsi" w:hAnsiTheme="minorHAnsi" w:cstheme="minorHAnsi"/>
          <w:sz w:val="20"/>
          <w:szCs w:val="20"/>
        </w:rPr>
        <w:t xml:space="preserve"> – </w:t>
      </w:r>
      <w:r w:rsidRPr="008B00E9">
        <w:rPr>
          <w:rFonts w:asciiTheme="minorHAnsi" w:hAnsiTheme="minorHAnsi" w:cstheme="minorHAnsi"/>
          <w:i/>
          <w:iCs/>
          <w:sz w:val="20"/>
          <w:szCs w:val="20"/>
        </w:rPr>
        <w:t>breakpoint cluster region protein</w:t>
      </w:r>
      <w:r w:rsidRPr="008B00E9">
        <w:rPr>
          <w:rFonts w:asciiTheme="minorHAnsi" w:hAnsiTheme="minorHAnsi" w:cstheme="minorHAnsi"/>
          <w:sz w:val="20"/>
          <w:szCs w:val="20"/>
        </w:rPr>
        <w:t xml:space="preserve">; </w:t>
      </w:r>
      <w:r w:rsidRPr="008B00E9">
        <w:rPr>
          <w:rFonts w:asciiTheme="minorHAnsi" w:hAnsiTheme="minorHAnsi" w:cstheme="minorHAnsi"/>
          <w:i/>
          <w:iCs/>
          <w:sz w:val="20"/>
          <w:szCs w:val="20"/>
        </w:rPr>
        <w:t>EGFR1</w:t>
      </w:r>
      <w:r w:rsidRPr="008B00E9">
        <w:rPr>
          <w:rFonts w:asciiTheme="minorHAnsi" w:hAnsiTheme="minorHAnsi" w:cstheme="minorHAnsi"/>
          <w:sz w:val="20"/>
          <w:szCs w:val="20"/>
        </w:rPr>
        <w:t xml:space="preserve"> – receptor epidermálního růstového faktoru; </w:t>
      </w:r>
      <w:r w:rsidRPr="008B00E9">
        <w:rPr>
          <w:rFonts w:asciiTheme="minorHAnsi" w:hAnsiTheme="minorHAnsi" w:cstheme="minorHAnsi"/>
          <w:i/>
          <w:iCs/>
          <w:sz w:val="20"/>
          <w:szCs w:val="20"/>
        </w:rPr>
        <w:t>RB1</w:t>
      </w:r>
      <w:r w:rsidRPr="008B00E9">
        <w:rPr>
          <w:rFonts w:asciiTheme="minorHAnsi" w:hAnsiTheme="minorHAnsi" w:cstheme="minorHAnsi"/>
          <w:sz w:val="20"/>
          <w:szCs w:val="20"/>
        </w:rPr>
        <w:t xml:space="preserve"> – retinoblastoma 1; </w:t>
      </w:r>
      <w:r w:rsidRPr="008B00E9">
        <w:rPr>
          <w:rFonts w:asciiTheme="minorHAnsi" w:hAnsiTheme="minorHAnsi" w:cstheme="minorHAnsi"/>
          <w:i/>
          <w:iCs/>
          <w:sz w:val="20"/>
          <w:szCs w:val="20"/>
        </w:rPr>
        <w:t>TP53</w:t>
      </w:r>
      <w:r w:rsidRPr="008B00E9">
        <w:rPr>
          <w:rFonts w:asciiTheme="minorHAnsi" w:hAnsiTheme="minorHAnsi" w:cstheme="minorHAnsi"/>
          <w:sz w:val="20"/>
          <w:szCs w:val="20"/>
        </w:rPr>
        <w:t xml:space="preserve"> - </w:t>
      </w:r>
      <w:r w:rsidRPr="008B00E9">
        <w:rPr>
          <w:rFonts w:asciiTheme="minorHAnsi" w:hAnsiTheme="minorHAnsi" w:cstheme="minorHAnsi"/>
          <w:i/>
          <w:iCs/>
          <w:sz w:val="20"/>
          <w:szCs w:val="20"/>
        </w:rPr>
        <w:t>tumor protein P53</w:t>
      </w:r>
      <w:r w:rsidRPr="008B00E9">
        <w:rPr>
          <w:rFonts w:asciiTheme="minorHAnsi" w:hAnsiTheme="minorHAnsi" w:cstheme="minorHAnsi"/>
          <w:sz w:val="20"/>
          <w:szCs w:val="20"/>
        </w:rPr>
        <w:t xml:space="preserve">; </w:t>
      </w:r>
      <w:r w:rsidRPr="008B00E9">
        <w:rPr>
          <w:rFonts w:asciiTheme="minorHAnsi" w:hAnsiTheme="minorHAnsi" w:cstheme="minorHAnsi"/>
          <w:i/>
          <w:iCs/>
          <w:sz w:val="20"/>
          <w:szCs w:val="20"/>
        </w:rPr>
        <w:t>MDM2</w:t>
      </w:r>
      <w:r w:rsidRPr="008B00E9">
        <w:rPr>
          <w:rFonts w:asciiTheme="minorHAnsi" w:hAnsiTheme="minorHAnsi" w:cstheme="minorHAnsi"/>
          <w:sz w:val="20"/>
          <w:szCs w:val="20"/>
        </w:rPr>
        <w:t xml:space="preserve"> – </w:t>
      </w:r>
      <w:r w:rsidRPr="008B00E9">
        <w:rPr>
          <w:rFonts w:asciiTheme="minorHAnsi" w:hAnsiTheme="minorHAnsi" w:cstheme="minorHAnsi"/>
          <w:i/>
          <w:iCs/>
          <w:sz w:val="20"/>
          <w:szCs w:val="20"/>
        </w:rPr>
        <w:t>mouse double minute 2 homolog</w:t>
      </w:r>
      <w:r w:rsidRPr="008B00E9">
        <w:rPr>
          <w:rFonts w:asciiTheme="minorHAnsi" w:hAnsiTheme="minorHAnsi" w:cstheme="minorHAnsi"/>
          <w:sz w:val="20"/>
          <w:szCs w:val="20"/>
        </w:rPr>
        <w:t xml:space="preserve">; </w:t>
      </w:r>
      <w:r w:rsidRPr="008B00E9">
        <w:rPr>
          <w:rFonts w:asciiTheme="minorHAnsi" w:hAnsiTheme="minorHAnsi" w:cstheme="minorHAnsi"/>
          <w:i/>
          <w:iCs/>
          <w:sz w:val="20"/>
          <w:szCs w:val="20"/>
        </w:rPr>
        <w:t>CCND1</w:t>
      </w:r>
      <w:r w:rsidRPr="008B00E9">
        <w:rPr>
          <w:rFonts w:asciiTheme="minorHAnsi" w:hAnsiTheme="minorHAnsi" w:cstheme="minorHAnsi"/>
          <w:sz w:val="20"/>
          <w:szCs w:val="20"/>
        </w:rPr>
        <w:t xml:space="preserve"> – </w:t>
      </w:r>
      <w:r w:rsidRPr="008B00E9">
        <w:rPr>
          <w:rFonts w:asciiTheme="minorHAnsi" w:hAnsiTheme="minorHAnsi" w:cstheme="minorHAnsi"/>
          <w:i/>
          <w:iCs/>
          <w:sz w:val="20"/>
          <w:szCs w:val="20"/>
        </w:rPr>
        <w:t>cyclin D1</w:t>
      </w:r>
      <w:r w:rsidRPr="008B00E9">
        <w:rPr>
          <w:rFonts w:asciiTheme="minorHAnsi" w:hAnsiTheme="minorHAnsi" w:cstheme="minorHAnsi"/>
          <w:sz w:val="20"/>
          <w:szCs w:val="20"/>
        </w:rPr>
        <w:t xml:space="preserve">; </w:t>
      </w:r>
      <w:r w:rsidRPr="008B00E9">
        <w:rPr>
          <w:rFonts w:asciiTheme="minorHAnsi" w:hAnsiTheme="minorHAnsi" w:cstheme="minorHAnsi"/>
          <w:i/>
          <w:iCs/>
          <w:sz w:val="20"/>
          <w:szCs w:val="20"/>
        </w:rPr>
        <w:t>MGMT</w:t>
      </w:r>
      <w:r w:rsidRPr="008B00E9">
        <w:rPr>
          <w:rFonts w:asciiTheme="minorHAnsi" w:hAnsiTheme="minorHAnsi" w:cstheme="minorHAnsi"/>
          <w:sz w:val="20"/>
          <w:szCs w:val="20"/>
        </w:rPr>
        <w:t xml:space="preserve"> - </w:t>
      </w:r>
      <w:r w:rsidRPr="008B00E9">
        <w:rPr>
          <w:rFonts w:asciiTheme="minorHAnsi" w:hAnsiTheme="minorHAnsi" w:cstheme="minorHAnsi"/>
          <w:i/>
          <w:iCs/>
          <w:sz w:val="20"/>
          <w:szCs w:val="20"/>
        </w:rPr>
        <w:t>O6-methylguanin-DNA metyltransferáza</w:t>
      </w:r>
      <w:r w:rsidRPr="008B00E9">
        <w:rPr>
          <w:rFonts w:asciiTheme="minorHAnsi" w:hAnsiTheme="minorHAnsi" w:cstheme="minorHAnsi"/>
          <w:sz w:val="20"/>
          <w:szCs w:val="20"/>
        </w:rPr>
        <w:t>.</w:t>
      </w:r>
    </w:p>
    <w:p w14:paraId="1DF2E686" w14:textId="77777777" w:rsidR="007E518A" w:rsidRDefault="007E518A" w:rsidP="000E083A">
      <w:pPr>
        <w:pStyle w:val="MDPI41tablecaption"/>
        <w:ind w:left="0"/>
        <w:rPr>
          <w:rFonts w:asciiTheme="minorHAnsi" w:hAnsiTheme="minorHAnsi" w:cstheme="minorHAnsi"/>
          <w:sz w:val="20"/>
          <w:szCs w:val="20"/>
        </w:rPr>
      </w:pPr>
    </w:p>
    <w:p w14:paraId="03EE0FA6" w14:textId="7CA1EA92" w:rsidR="007650B6" w:rsidRDefault="007650B6" w:rsidP="00CE58AB">
      <w:pPr>
        <w:pStyle w:val="Nadpis4"/>
      </w:pPr>
      <w:bookmarkStart w:id="111" w:name="_Toc88741509"/>
      <w:r>
        <w:t xml:space="preserve">Pacienti GBM </w:t>
      </w:r>
      <w:r w:rsidRPr="00DD4F81">
        <w:rPr>
          <w:i/>
        </w:rPr>
        <w:t>IDH</w:t>
      </w:r>
      <w:r>
        <w:t xml:space="preserve"> w</w:t>
      </w:r>
      <w:r w:rsidR="00DD4F81">
        <w:t xml:space="preserve">ild </w:t>
      </w:r>
      <w:r>
        <w:t>t</w:t>
      </w:r>
      <w:r w:rsidR="00DD4F81">
        <w:t>ype</w:t>
      </w:r>
      <w:r>
        <w:t xml:space="preserve"> léčení chemoradioterapií</w:t>
      </w:r>
      <w:bookmarkEnd w:id="111"/>
    </w:p>
    <w:p w14:paraId="5EDB01D5" w14:textId="4CF41743" w:rsidR="007650B6" w:rsidRDefault="007650B6" w:rsidP="00F87ADA">
      <w:pPr>
        <w:jc w:val="both"/>
      </w:pPr>
      <w:r>
        <w:t>Multivariátní analýza odhalila signifikantní spojitos</w:t>
      </w:r>
      <w:r w:rsidR="00DD4F81">
        <w:t>t</w:t>
      </w:r>
      <w:r>
        <w:t xml:space="preserve"> mezi pohlavím a přežitím u pacientů léčených chemoradioterapií. Mužské pohlaví, Karnofsk</w:t>
      </w:r>
      <w:r w:rsidR="009E26D8">
        <w:t>ého</w:t>
      </w:r>
      <w:r>
        <w:t xml:space="preserve"> skóre a věková kategorie měli negativní dopad na PFS (HR = 1,9; p = 0,046) a OS (HR = 2,1; p = 0,03).</w:t>
      </w:r>
    </w:p>
    <w:p w14:paraId="12E240DE" w14:textId="04201C5C" w:rsidR="007650B6" w:rsidRPr="00F87ADA" w:rsidRDefault="007650B6" w:rsidP="00F87ADA">
      <w:pPr>
        <w:jc w:val="both"/>
      </w:pPr>
      <w:r w:rsidRPr="00F87ADA">
        <w:t xml:space="preserve">Vysoká exprese Ki67 byla spojena s kratším OS (medián = 7,9 měsíců vs. 15 měsíců pro nízkou expresi Ki67; </w:t>
      </w:r>
      <w:r w:rsidR="00F87ADA" w:rsidRPr="00F87ADA">
        <w:t>HR = 2</w:t>
      </w:r>
      <w:r w:rsidR="00DD4F81">
        <w:t>,</w:t>
      </w:r>
      <w:r w:rsidR="00F87ADA" w:rsidRPr="00F87ADA">
        <w:t xml:space="preserve">9, </w:t>
      </w:r>
      <w:r w:rsidRPr="00F87ADA">
        <w:t>p = 0,005) a PFS (medián = 4,4 měsíce vs. 9,6 měsíce pro nízkou expresi Ki67;</w:t>
      </w:r>
      <w:r w:rsidR="00F87ADA" w:rsidRPr="00F87ADA">
        <w:t xml:space="preserve"> HR = 4</w:t>
      </w:r>
      <w:r w:rsidR="00DD4F81">
        <w:t>,</w:t>
      </w:r>
      <w:r w:rsidR="00F87ADA" w:rsidRPr="00F87ADA">
        <w:t>5,</w:t>
      </w:r>
      <w:r w:rsidRPr="00F87ADA">
        <w:t xml:space="preserve"> p = &lt;0,001) ve skupině léčené chemoradioterapií.</w:t>
      </w:r>
      <w:r w:rsidR="00F87ADA" w:rsidRPr="00F87ADA">
        <w:t xml:space="preserve"> Stejný efekt byl pozorován v případě Coxova modelu pro kategorizovaný věk a </w:t>
      </w:r>
      <w:r w:rsidR="009E26D8">
        <w:t xml:space="preserve">Karnofského </w:t>
      </w:r>
      <w:r w:rsidR="00F87ADA" w:rsidRPr="00F87ADA">
        <w:t>skóre</w:t>
      </w:r>
      <w:r w:rsidR="00DD4F81">
        <w:t xml:space="preserve"> </w:t>
      </w:r>
      <w:r w:rsidR="00F87ADA" w:rsidRPr="00F87ADA">
        <w:t>(HR(OS) = 3,2</w:t>
      </w:r>
      <w:r w:rsidR="00DD4F81">
        <w:t>;</w:t>
      </w:r>
      <w:r w:rsidR="00F87ADA" w:rsidRPr="00F87ADA">
        <w:t xml:space="preserve"> p = 0,003; HR(PFS) = 4,8</w:t>
      </w:r>
      <w:r w:rsidR="00DD4F81">
        <w:t>;</w:t>
      </w:r>
      <w:r w:rsidR="008E46EE">
        <w:t xml:space="preserve"> p = &lt; 0,</w:t>
      </w:r>
      <w:r w:rsidR="00F87ADA" w:rsidRPr="00F87ADA">
        <w:t xml:space="preserve">001). </w:t>
      </w:r>
    </w:p>
    <w:p w14:paraId="0CDF3B20" w14:textId="13FBB7CC" w:rsidR="007650B6" w:rsidRPr="00F87ADA" w:rsidRDefault="007650B6" w:rsidP="00F87ADA">
      <w:pPr>
        <w:jc w:val="both"/>
      </w:pPr>
      <w:r w:rsidRPr="00F87ADA">
        <w:t xml:space="preserve">Dále </w:t>
      </w:r>
      <w:r w:rsidR="00DD4F81">
        <w:t xml:space="preserve">měli </w:t>
      </w:r>
      <w:r w:rsidRPr="00F87ADA">
        <w:t xml:space="preserve">pacienti s 22q12.2 HCN </w:t>
      </w:r>
      <w:r w:rsidR="00592092">
        <w:t>kratší</w:t>
      </w:r>
      <w:r w:rsidRPr="00F87ADA">
        <w:t xml:space="preserve"> PFS než pacienti s LCN (medián = 6,1 měsíců vs. 9,7 měsíců; p = 0,006), což bylo potvzeno </w:t>
      </w:r>
      <w:r w:rsidR="00DD4F81">
        <w:t xml:space="preserve">i </w:t>
      </w:r>
      <w:r w:rsidRPr="00F87ADA">
        <w:t xml:space="preserve">multivariátní analýzou (HR = 4,8; p = 0,002). Multivariátní analýza adjustovaná pro věk a </w:t>
      </w:r>
      <w:r w:rsidR="009E26D8">
        <w:t xml:space="preserve">Karnofského </w:t>
      </w:r>
      <w:r w:rsidRPr="00F87ADA">
        <w:t>skóre navíc prokázala vliv 22q12.2 HCN na kratší OS (HR = 2,6; p = 0,033).</w:t>
      </w:r>
    </w:p>
    <w:p w14:paraId="6AEBF01F" w14:textId="7C06AD8E" w:rsidR="007650B6" w:rsidRDefault="007650B6" w:rsidP="00F87ADA">
      <w:pPr>
        <w:jc w:val="both"/>
      </w:pPr>
      <w:r w:rsidRPr="00DD4F81">
        <w:rPr>
          <w:i/>
          <w:iCs/>
        </w:rPr>
        <w:t>CCND1</w:t>
      </w:r>
      <w:r>
        <w:t xml:space="preserve"> HCN predikuje delší PFS u skupiny pacientů léčených chemoradioterapií (medián = 13,3 měsíců vs. 6,9 měsíců u pacientů s </w:t>
      </w:r>
      <w:r w:rsidRPr="00DD4F81">
        <w:rPr>
          <w:i/>
          <w:iCs/>
        </w:rPr>
        <w:t>CCND1</w:t>
      </w:r>
      <w:r>
        <w:t xml:space="preserve"> LCN; p = 0,015) a dále byl spojován se sníženým relativním rizikem (HR = 0,3; p = 0,011). </w:t>
      </w:r>
      <w:r w:rsidRPr="00DD4F81">
        <w:rPr>
          <w:i/>
          <w:iCs/>
        </w:rPr>
        <w:t>CCND1</w:t>
      </w:r>
      <w:r>
        <w:t xml:space="preserve"> HCN byl také spojen s delším OS (medián = 18,9 měsíců vs. 13,6 měsíců pro pacienty s </w:t>
      </w:r>
      <w:r w:rsidRPr="00DD4F81">
        <w:rPr>
          <w:i/>
          <w:iCs/>
        </w:rPr>
        <w:t>CCND1</w:t>
      </w:r>
      <w:r>
        <w:t xml:space="preserve"> LCN; p = 0,029), což bylo i potvrzeno nižším relativním rizikem (HR = 0,3</w:t>
      </w:r>
      <w:r w:rsidR="00DD4F81">
        <w:t>;</w:t>
      </w:r>
      <w:r>
        <w:t xml:space="preserve"> p = 0,026)</w:t>
      </w:r>
      <w:r w:rsidR="00DD4F81">
        <w:t>.</w:t>
      </w:r>
    </w:p>
    <w:p w14:paraId="7867C99F" w14:textId="77777777" w:rsidR="007650B6" w:rsidRDefault="007650B6" w:rsidP="00F87ADA">
      <w:pPr>
        <w:jc w:val="both"/>
      </w:pPr>
      <w:r>
        <w:t xml:space="preserve">19q13 HCN status byl spojen s delším PFS (medián = 8,9 měsíců vs. 5,5 měsíců pro pacienty s 19q13 LCN; p = 0,037) a nižším relativním rizikem (HR = 0,3; p = 0,025). </w:t>
      </w:r>
    </w:p>
    <w:p w14:paraId="40AEDC69" w14:textId="77777777" w:rsidR="007650B6" w:rsidRDefault="007650B6" w:rsidP="00F87ADA">
      <w:pPr>
        <w:jc w:val="both"/>
      </w:pPr>
      <w:r w:rsidRPr="00DD4F81">
        <w:rPr>
          <w:i/>
          <w:iCs/>
        </w:rPr>
        <w:t>MDM2</w:t>
      </w:r>
      <w:r>
        <w:t xml:space="preserve"> HCN status byl signifikantně spojen s delším PFS (medián = 8,8 měsíců vs. 3,9 měsíce u pacientů s </w:t>
      </w:r>
      <w:r w:rsidRPr="00DD4F81">
        <w:rPr>
          <w:i/>
          <w:iCs/>
        </w:rPr>
        <w:t>MDM2</w:t>
      </w:r>
      <w:r>
        <w:t xml:space="preserve"> LCN; p &lt;0,001) a OS (medián = 14,8 měsíců vs. 5,2 u pacientů s </w:t>
      </w:r>
      <w:r w:rsidRPr="00DD4F81">
        <w:rPr>
          <w:i/>
          <w:iCs/>
        </w:rPr>
        <w:t>MDM2</w:t>
      </w:r>
      <w:r>
        <w:t xml:space="preserve"> LCN; p &lt;0,001) ve skupině pacientů léčených chemoradioterapií. Tento závěr byl potvrzen i multivariátní analýzou, kde byla relativní rizika </w:t>
      </w:r>
      <w:r w:rsidRPr="00DD4F81">
        <w:rPr>
          <w:i/>
          <w:iCs/>
        </w:rPr>
        <w:t>MDM2</w:t>
      </w:r>
      <w:r>
        <w:t xml:space="preserve"> snížena jak u PFS (HR= 0,1; p = 0,002) tak u OS (HR= 0,1; p = 0,003).</w:t>
      </w:r>
    </w:p>
    <w:p w14:paraId="1F0A0A70" w14:textId="52F238C0" w:rsidR="007650B6" w:rsidRDefault="007650B6" w:rsidP="00F87ADA">
      <w:pPr>
        <w:jc w:val="both"/>
      </w:pPr>
      <w:r>
        <w:t xml:space="preserve">Nakonec </w:t>
      </w:r>
      <w:r w:rsidRPr="00DD4F81">
        <w:rPr>
          <w:i/>
          <w:iCs/>
        </w:rPr>
        <w:t>p53</w:t>
      </w:r>
      <w:r>
        <w:t xml:space="preserve"> HCN bylo signifikantně spojeno s delším OS (medián = 18,9 měsíců vs. 13,6 u pacientů s p53 LCN; p = 0,032) ve skupině pacientů léčených chemoradioterapií, avšak tento závěr</w:t>
      </w:r>
      <w:r w:rsidR="00DD4F81">
        <w:t xml:space="preserve"> neby</w:t>
      </w:r>
      <w:r w:rsidR="008E46EE">
        <w:t>l</w:t>
      </w:r>
      <w:r w:rsidR="00DD4F81">
        <w:t xml:space="preserve"> potvrzen</w:t>
      </w:r>
      <w:r>
        <w:t xml:space="preserve"> multivariátní analýz</w:t>
      </w:r>
      <w:r w:rsidR="00DD4F81">
        <w:t>ou</w:t>
      </w:r>
      <w:r>
        <w:t xml:space="preserve">. Mutivariátní analýza ale potvrdila možné spojení mezi </w:t>
      </w:r>
      <w:r w:rsidRPr="00DD4F81">
        <w:rPr>
          <w:i/>
          <w:iCs/>
        </w:rPr>
        <w:t>RB1</w:t>
      </w:r>
      <w:r>
        <w:t xml:space="preserve"> HCN a PFS (HR = 2,8; p = 0,026) u této skupiny pacientů.</w:t>
      </w:r>
    </w:p>
    <w:p w14:paraId="2E3D8B51" w14:textId="77777777" w:rsidR="000B0BA1" w:rsidRDefault="000B0BA1" w:rsidP="007650B6">
      <w:pPr>
        <w:jc w:val="both"/>
      </w:pPr>
    </w:p>
    <w:p w14:paraId="3B8EFAED" w14:textId="524EA5DA" w:rsidR="007650B6" w:rsidRDefault="007650B6" w:rsidP="00CE58AB">
      <w:pPr>
        <w:pStyle w:val="Nadpis4"/>
      </w:pPr>
      <w:bookmarkStart w:id="112" w:name="_Toc88741510"/>
      <w:r>
        <w:t xml:space="preserve">Pacienti GBM </w:t>
      </w:r>
      <w:r w:rsidRPr="00592092">
        <w:rPr>
          <w:i/>
        </w:rPr>
        <w:t>IDH</w:t>
      </w:r>
      <w:r>
        <w:t xml:space="preserve"> w</w:t>
      </w:r>
      <w:r w:rsidR="00DD4F81">
        <w:t>ild type</w:t>
      </w:r>
      <w:r>
        <w:t xml:space="preserve"> léčení radioterapií</w:t>
      </w:r>
      <w:bookmarkEnd w:id="112"/>
    </w:p>
    <w:p w14:paraId="773D1F99" w14:textId="77777777" w:rsidR="007650B6" w:rsidRDefault="007650B6" w:rsidP="007650B6">
      <w:pPr>
        <w:jc w:val="both"/>
      </w:pPr>
      <w:r>
        <w:t>Signifikantí snížení OS bylo nalezeno u 1q HCN (medián = 3,9 měsíce vs. 8,9 měsíců u pacientů s 1q LCN; p = 0,022) i u PFS (medián = 2,7 měsíce vs. 4,6 měsíců u 1q LCN patients; p = 0,019) což potvrzují i relativní rizika multivariátního modelu u obou parametrů - OS (HR = 2,7; p = 0,022) a PFS (HR = 4,2; p = 0,01) ve skupině pacientů léčených radioterapií.</w:t>
      </w:r>
    </w:p>
    <w:p w14:paraId="7EF2380D" w14:textId="46011DA1" w:rsidR="007650B6" w:rsidRDefault="007650B6" w:rsidP="007650B6">
      <w:pPr>
        <w:jc w:val="both"/>
      </w:pPr>
      <w:r>
        <w:t xml:space="preserve">22q12.2 HCN </w:t>
      </w:r>
      <w:r w:rsidR="00592092">
        <w:t>byl označen jako negativní prognostický faktor</w:t>
      </w:r>
      <w:r>
        <w:t xml:space="preserve"> PFS (medi</w:t>
      </w:r>
      <w:r w:rsidR="00592092">
        <w:t>á</w:t>
      </w:r>
      <w:r>
        <w:t xml:space="preserve">n </w:t>
      </w:r>
      <w:r w:rsidR="00592092">
        <w:t>=</w:t>
      </w:r>
      <w:r>
        <w:t xml:space="preserve"> 2,3 m</w:t>
      </w:r>
      <w:r w:rsidR="00592092">
        <w:t>ěsíce</w:t>
      </w:r>
      <w:r>
        <w:t xml:space="preserve"> vs. 3,6 </w:t>
      </w:r>
      <w:r w:rsidR="00592092">
        <w:t>u pacientů s</w:t>
      </w:r>
      <w:r>
        <w:t xml:space="preserve"> 22q12.2 LCN ; p = 0,042). Multivariátní model pro tento marker také potvrdil </w:t>
      </w:r>
      <w:r w:rsidR="00592092">
        <w:t xml:space="preserve">nižší </w:t>
      </w:r>
      <w:r>
        <w:t xml:space="preserve">relativní </w:t>
      </w:r>
      <w:r w:rsidR="00592092">
        <w:t>riziko</w:t>
      </w:r>
      <w:r>
        <w:t xml:space="preserve"> (HR=2,4; p = 0,038).</w:t>
      </w:r>
    </w:p>
    <w:p w14:paraId="2D5D3426" w14:textId="77777777" w:rsidR="007650B6" w:rsidRDefault="007650B6" w:rsidP="007650B6">
      <w:pPr>
        <w:jc w:val="both"/>
      </w:pPr>
      <w:r w:rsidRPr="00592092">
        <w:rPr>
          <w:i/>
          <w:iCs/>
        </w:rPr>
        <w:t>BCR</w:t>
      </w:r>
      <w:r>
        <w:t xml:space="preserve"> HCN má prokazatelně vliv na kratší OS (medián = 5,3 měsíců vs. 8,5 měsíců u pacientů s </w:t>
      </w:r>
      <w:r w:rsidRPr="00592092">
        <w:rPr>
          <w:i/>
          <w:iCs/>
        </w:rPr>
        <w:t>BCR</w:t>
      </w:r>
      <w:r>
        <w:t xml:space="preserve"> LCN; p = 0,039), což bylo i potvrzeno multivariátní analýzou (HR = 2,4; p = 0,042). </w:t>
      </w:r>
    </w:p>
    <w:p w14:paraId="072A3BCE" w14:textId="61ECD3AD" w:rsidR="00512C86" w:rsidRDefault="007650B6" w:rsidP="007650B6">
      <w:pPr>
        <w:jc w:val="both"/>
      </w:pPr>
      <w:r w:rsidRPr="00592092">
        <w:rPr>
          <w:i/>
          <w:iCs/>
        </w:rPr>
        <w:t>RB1</w:t>
      </w:r>
      <w:r>
        <w:t xml:space="preserve"> HCN bylo spojeno s kratším OS (medián = 3,6 měsíce vs. 6,9 u pacientů s </w:t>
      </w:r>
      <w:r w:rsidRPr="00592092">
        <w:rPr>
          <w:i/>
          <w:iCs/>
        </w:rPr>
        <w:t>RB1</w:t>
      </w:r>
      <w:r>
        <w:t xml:space="preserve"> LCN; p = 0,012) a tato spojitost byla potvrzena </w:t>
      </w:r>
      <w:r w:rsidR="00592092">
        <w:t xml:space="preserve">i </w:t>
      </w:r>
      <w:r>
        <w:t>odhadem relativního rizika (HR = 3,8; p = 0,013).</w:t>
      </w:r>
    </w:p>
    <w:p w14:paraId="06A6526A" w14:textId="35B4732B" w:rsidR="007650B6" w:rsidRDefault="007650B6" w:rsidP="007650B6">
      <w:pPr>
        <w:jc w:val="both"/>
      </w:pPr>
    </w:p>
    <w:p w14:paraId="46D45E61" w14:textId="77777777" w:rsidR="007650B6" w:rsidRDefault="007650B6" w:rsidP="00CE58AB">
      <w:pPr>
        <w:pStyle w:val="Nadpis4"/>
      </w:pPr>
      <w:bookmarkStart w:id="113" w:name="_Toc88741511"/>
      <w:r>
        <w:t xml:space="preserve">Pacienti GBM </w:t>
      </w:r>
      <w:r w:rsidRPr="009D5866">
        <w:rPr>
          <w:i/>
        </w:rPr>
        <w:t>IDH</w:t>
      </w:r>
      <w:r>
        <w:t xml:space="preserve"> wt bez terapie</w:t>
      </w:r>
      <w:bookmarkEnd w:id="113"/>
    </w:p>
    <w:p w14:paraId="5C357B5D" w14:textId="402E0348" w:rsidR="007650B6" w:rsidRDefault="007650B6" w:rsidP="007650B6">
      <w:pPr>
        <w:jc w:val="both"/>
      </w:pPr>
      <w:r>
        <w:t xml:space="preserve">Protože tato skupina pacientů bez léčby obsahovala pouze 24 subjektů, některé parametry nebylo možné </w:t>
      </w:r>
      <w:r w:rsidR="008E46EE">
        <w:t>vyhodnotit</w:t>
      </w:r>
      <w:r>
        <w:t xml:space="preserve">. I přesto </w:t>
      </w:r>
      <w:r w:rsidR="00592092">
        <w:t xml:space="preserve">bylo v této skupině </w:t>
      </w:r>
      <w:r>
        <w:t xml:space="preserve">mužské pohlaví spojeno s </w:t>
      </w:r>
      <w:r w:rsidR="00592092">
        <w:t>kratším</w:t>
      </w:r>
      <w:r>
        <w:t xml:space="preserve"> PFS (medián = 0,6 měsíce vs. 1,7 měsíce u žen; p = 0,015)</w:t>
      </w:r>
      <w:r w:rsidR="00592092">
        <w:t>,</w:t>
      </w:r>
      <w:r>
        <w:t xml:space="preserve"> což bylo potvrzeno i vyšším odhadem relativních rizik (HR = 5,7; p = 0,02). </w:t>
      </w:r>
    </w:p>
    <w:p w14:paraId="0ACA8D9C" w14:textId="4E9E9D37" w:rsidR="007650B6" w:rsidRDefault="007650B6" w:rsidP="007650B6">
      <w:pPr>
        <w:jc w:val="both"/>
      </w:pPr>
      <w:r>
        <w:t xml:space="preserve">Status kouření byl také spojen s </w:t>
      </w:r>
      <w:r w:rsidR="00592092">
        <w:t>kratším</w:t>
      </w:r>
      <w:r>
        <w:t xml:space="preserve"> PFS pacientů bez terapie (medián = 0,7 vs. 1,8 měsíce pro nekuřáky; p = 0,036), což bohužel multivariátní analýza nepotvrdila.</w:t>
      </w:r>
    </w:p>
    <w:p w14:paraId="66B2F71C" w14:textId="29E1DFEB" w:rsidR="007650B6" w:rsidRDefault="007650B6" w:rsidP="007650B6">
      <w:pPr>
        <w:jc w:val="both"/>
      </w:pPr>
      <w:r>
        <w:t>CCND1 HCN bylo spojeno s kratším OS (medián = 1,3 vs. 3,1 měsíců u pacientů s CCND1; p = 0,043) ve skupině neléčených pacientů se značně vyšším odhadem relativních rizik (HR = 12,8; p = 0,049).  Avšak spolehlivost těchto výsledků je limitována nízkým počtem případů.</w:t>
      </w:r>
    </w:p>
    <w:p w14:paraId="09FEB17B" w14:textId="77777777" w:rsidR="007650B6" w:rsidRDefault="007650B6" w:rsidP="007650B6">
      <w:pPr>
        <w:rPr>
          <w:strike/>
        </w:rPr>
      </w:pPr>
    </w:p>
    <w:p w14:paraId="1FBF2A51" w14:textId="6AF01F81" w:rsidR="007650B6" w:rsidRDefault="007650B6" w:rsidP="00CE58AB">
      <w:pPr>
        <w:pStyle w:val="Nadpis4"/>
      </w:pPr>
      <w:bookmarkStart w:id="114" w:name="_Toc88741512"/>
      <w:r w:rsidRPr="006B7AEF">
        <w:t xml:space="preserve">Statistická data celé kohorty GBM </w:t>
      </w:r>
      <w:r w:rsidRPr="009D5866">
        <w:rPr>
          <w:i/>
        </w:rPr>
        <w:t>IDH</w:t>
      </w:r>
      <w:r w:rsidRPr="006B7AEF">
        <w:t xml:space="preserve"> wt</w:t>
      </w:r>
      <w:bookmarkEnd w:id="114"/>
    </w:p>
    <w:p w14:paraId="3ABA0750" w14:textId="0EF2B7F3" w:rsidR="00E3045E" w:rsidRDefault="006B7AEF" w:rsidP="00512C86">
      <w:pPr>
        <w:jc w:val="both"/>
      </w:pPr>
      <w:r>
        <w:t xml:space="preserve">Pro zjištění vlivu každého faktoru na OS popřípadě na PFS napříč všemi skupinami byl aplikován Coxův model stratifikovaný podle typu aplikované terapie a adjustovaný pro kategorie věku a </w:t>
      </w:r>
      <w:r w:rsidR="009E26D8">
        <w:t xml:space="preserve">Karnofského </w:t>
      </w:r>
      <w:r>
        <w:t>skóre</w:t>
      </w:r>
      <w:r w:rsidR="000B0BA1">
        <w:t>, výsledky jsou uvedeny v Tabulce 10</w:t>
      </w:r>
      <w:r>
        <w:t xml:space="preserve">. Výsledky odhalily vyšší odhad relativního rizika </w:t>
      </w:r>
      <w:r w:rsidR="00592092">
        <w:t>pro</w:t>
      </w:r>
      <w:r>
        <w:t xml:space="preserve"> mužské pohlaví (</w:t>
      </w:r>
      <w:r w:rsidRPr="00C82E63">
        <w:t>HR = 1</w:t>
      </w:r>
      <w:r>
        <w:t>,</w:t>
      </w:r>
      <w:r w:rsidRPr="00C82E63">
        <w:t>6; p = 0</w:t>
      </w:r>
      <w:r>
        <w:t>,</w:t>
      </w:r>
      <w:r w:rsidRPr="00C82E63">
        <w:t>029).</w:t>
      </w:r>
      <w:r>
        <w:t xml:space="preserve"> </w:t>
      </w:r>
      <w:r w:rsidRPr="00592092">
        <w:rPr>
          <w:i/>
          <w:iCs/>
        </w:rPr>
        <w:t>RB1</w:t>
      </w:r>
      <w:r>
        <w:t xml:space="preserve"> HCN se jeví jako negativní faktor jak pro OS </w:t>
      </w:r>
      <w:r w:rsidRPr="006B7AEF">
        <w:t>(HR = 2</w:t>
      </w:r>
      <w:r w:rsidR="000C3072">
        <w:t>,</w:t>
      </w:r>
      <w:r w:rsidRPr="006B7AEF">
        <w:t>5; p = 0</w:t>
      </w:r>
      <w:r w:rsidR="000C3072">
        <w:t>,</w:t>
      </w:r>
      <w:r w:rsidRPr="006B7AEF">
        <w:t xml:space="preserve">003) </w:t>
      </w:r>
      <w:r>
        <w:t xml:space="preserve">tak pro PFS </w:t>
      </w:r>
      <w:r w:rsidRPr="006B7AEF">
        <w:t>(HR = 2</w:t>
      </w:r>
      <w:r>
        <w:t>,</w:t>
      </w:r>
      <w:r w:rsidRPr="006B7AEF">
        <w:t>6; p = 0</w:t>
      </w:r>
      <w:r>
        <w:t>,</w:t>
      </w:r>
      <w:r w:rsidRPr="006B7AEF">
        <w:t>006).</w:t>
      </w:r>
      <w:r>
        <w:t xml:space="preserve"> </w:t>
      </w:r>
      <w:r w:rsidRPr="00592092">
        <w:rPr>
          <w:i/>
          <w:iCs/>
        </w:rPr>
        <w:t>CCND1</w:t>
      </w:r>
      <w:r>
        <w:t xml:space="preserve"> HCN bylo spojeno s </w:t>
      </w:r>
      <w:r w:rsidR="00592092">
        <w:t>nižším</w:t>
      </w:r>
      <w:r>
        <w:t xml:space="preserve"> HR </w:t>
      </w:r>
      <w:r w:rsidRPr="006B7AEF">
        <w:t>(HR = 0</w:t>
      </w:r>
      <w:r w:rsidR="000C3072">
        <w:t>,</w:t>
      </w:r>
      <w:r w:rsidRPr="006B7AEF">
        <w:t>4; p = 0</w:t>
      </w:r>
      <w:r w:rsidR="000C3072">
        <w:t>,</w:t>
      </w:r>
      <w:r w:rsidRPr="006B7AEF">
        <w:t>034)</w:t>
      </w:r>
      <w:r>
        <w:t xml:space="preserve"> a stejný efekt byl pozorován i u 19q13 HCN</w:t>
      </w:r>
      <w:r w:rsidRPr="006B7AEF">
        <w:t xml:space="preserve"> (HR = 0</w:t>
      </w:r>
      <w:r w:rsidR="000C3072">
        <w:t>,</w:t>
      </w:r>
      <w:r w:rsidRPr="006B7AEF">
        <w:t>4; p = 0</w:t>
      </w:r>
      <w:r w:rsidR="000C3072">
        <w:t>,</w:t>
      </w:r>
      <w:r w:rsidRPr="006B7AEF">
        <w:t>012).</w:t>
      </w:r>
      <w:r>
        <w:t xml:space="preserve"> Kratší OS </w:t>
      </w:r>
      <w:r w:rsidRPr="006B7AEF">
        <w:t>(HR = 0</w:t>
      </w:r>
      <w:r w:rsidR="000C3072">
        <w:t>,</w:t>
      </w:r>
      <w:r w:rsidRPr="006B7AEF">
        <w:t>6; p = 0</w:t>
      </w:r>
      <w:r w:rsidR="000C3072">
        <w:t>,</w:t>
      </w:r>
      <w:r w:rsidRPr="006B7AEF">
        <w:t>024)</w:t>
      </w:r>
      <w:r>
        <w:t xml:space="preserve"> a PFS </w:t>
      </w:r>
      <w:r w:rsidRPr="006B7AEF">
        <w:t>(HR = 0</w:t>
      </w:r>
      <w:r w:rsidR="000C3072">
        <w:t>,</w:t>
      </w:r>
      <w:r w:rsidRPr="006B7AEF">
        <w:t>6; p = 0</w:t>
      </w:r>
      <w:r w:rsidR="000C3072">
        <w:t>,</w:t>
      </w:r>
      <w:r w:rsidRPr="006B7AEF">
        <w:t>007)</w:t>
      </w:r>
      <w:r>
        <w:t xml:space="preserve"> bylo pozorováno u pacientů s </w:t>
      </w:r>
      <w:r w:rsidRPr="00592092">
        <w:rPr>
          <w:i/>
          <w:iCs/>
        </w:rPr>
        <w:t>EGFR1</w:t>
      </w:r>
      <w:r>
        <w:t xml:space="preserve"> HCN. </w:t>
      </w:r>
      <w:r w:rsidR="003022B3">
        <w:t xml:space="preserve">Co se týče efektu </w:t>
      </w:r>
      <w:r w:rsidR="003022B3" w:rsidRPr="00592092">
        <w:rPr>
          <w:i/>
          <w:iCs/>
        </w:rPr>
        <w:t>P53</w:t>
      </w:r>
      <w:r w:rsidR="003022B3">
        <w:t xml:space="preserve"> HCN, došlo</w:t>
      </w:r>
      <w:r w:rsidR="006C250F">
        <w:t xml:space="preserve"> u těchto pacientů</w:t>
      </w:r>
      <w:r w:rsidR="003022B3">
        <w:t xml:space="preserve"> ke zkrácení OS</w:t>
      </w:r>
      <w:r w:rsidR="006C250F">
        <w:t xml:space="preserve"> </w:t>
      </w:r>
      <w:r w:rsidR="006C250F" w:rsidRPr="00C82E63">
        <w:t>(HR = 0</w:t>
      </w:r>
      <w:r w:rsidR="000C3072">
        <w:t>,</w:t>
      </w:r>
      <w:r w:rsidR="006C250F" w:rsidRPr="00C82E63">
        <w:t>5; p = 0</w:t>
      </w:r>
      <w:r w:rsidR="000C3072">
        <w:t>,</w:t>
      </w:r>
      <w:r w:rsidR="006C250F" w:rsidRPr="00C82E63">
        <w:t>019)</w:t>
      </w:r>
      <w:r w:rsidR="003022B3">
        <w:t xml:space="preserve"> i PFS</w:t>
      </w:r>
      <w:r w:rsidR="006C250F">
        <w:t xml:space="preserve"> </w:t>
      </w:r>
      <w:r w:rsidR="006C250F" w:rsidRPr="00C82E63">
        <w:t>(HR = 0</w:t>
      </w:r>
      <w:r w:rsidR="000C3072">
        <w:t>,</w:t>
      </w:r>
      <w:r w:rsidR="006C250F" w:rsidRPr="00C82E63">
        <w:t>5; p = 0</w:t>
      </w:r>
      <w:r w:rsidR="000C3072">
        <w:t>,</w:t>
      </w:r>
      <w:r w:rsidR="006C250F" w:rsidRPr="00C82E63">
        <w:t xml:space="preserve">02). </w:t>
      </w:r>
    </w:p>
    <w:p w14:paraId="4EF9678A" w14:textId="5193249A" w:rsidR="00E3045E" w:rsidRDefault="009D5866" w:rsidP="00D10B90">
      <w:pPr>
        <w:jc w:val="both"/>
        <w:rPr>
          <w:sz w:val="20"/>
          <w:szCs w:val="20"/>
        </w:rPr>
      </w:pPr>
      <w:bookmarkStart w:id="115" w:name="_Toc67162708"/>
      <w:r w:rsidRPr="00306B65">
        <w:rPr>
          <w:b/>
          <w:bCs/>
          <w:sz w:val="20"/>
          <w:szCs w:val="20"/>
        </w:rPr>
        <w:t xml:space="preserve">Tabulka </w:t>
      </w:r>
      <w:r w:rsidRPr="00306B65">
        <w:rPr>
          <w:b/>
          <w:bCs/>
          <w:sz w:val="20"/>
          <w:szCs w:val="20"/>
        </w:rPr>
        <w:fldChar w:fldCharType="begin"/>
      </w:r>
      <w:r w:rsidRPr="00306B65">
        <w:rPr>
          <w:b/>
          <w:bCs/>
          <w:sz w:val="20"/>
          <w:szCs w:val="20"/>
        </w:rPr>
        <w:instrText xml:space="preserve"> SEQ Tabulka \* ARABIC </w:instrText>
      </w:r>
      <w:r w:rsidRPr="00306B65">
        <w:rPr>
          <w:b/>
          <w:bCs/>
          <w:sz w:val="20"/>
          <w:szCs w:val="20"/>
        </w:rPr>
        <w:fldChar w:fldCharType="separate"/>
      </w:r>
      <w:r w:rsidR="00C43719">
        <w:rPr>
          <w:b/>
          <w:bCs/>
          <w:noProof/>
          <w:sz w:val="20"/>
          <w:szCs w:val="20"/>
        </w:rPr>
        <w:t>10</w:t>
      </w:r>
      <w:r w:rsidRPr="00306B65">
        <w:rPr>
          <w:b/>
          <w:bCs/>
          <w:sz w:val="20"/>
          <w:szCs w:val="20"/>
        </w:rPr>
        <w:fldChar w:fldCharType="end"/>
      </w:r>
      <w:r w:rsidRPr="00306B65">
        <w:rPr>
          <w:b/>
          <w:bCs/>
          <w:sz w:val="20"/>
          <w:szCs w:val="20"/>
        </w:rPr>
        <w:t xml:space="preserve">: </w:t>
      </w:r>
      <w:r w:rsidR="00E3045E" w:rsidRPr="00E3045E">
        <w:rPr>
          <w:sz w:val="20"/>
          <w:szCs w:val="20"/>
        </w:rPr>
        <w:t>Výsledky</w:t>
      </w:r>
      <w:r w:rsidR="00E3045E">
        <w:rPr>
          <w:sz w:val="20"/>
          <w:szCs w:val="20"/>
        </w:rPr>
        <w:t xml:space="preserve"> stratifikovaného</w:t>
      </w:r>
      <w:r w:rsidR="00E3045E" w:rsidRPr="00E3045E">
        <w:rPr>
          <w:sz w:val="20"/>
          <w:szCs w:val="20"/>
        </w:rPr>
        <w:t xml:space="preserve"> </w:t>
      </w:r>
      <w:r w:rsidR="00E3045E">
        <w:rPr>
          <w:sz w:val="20"/>
          <w:szCs w:val="20"/>
        </w:rPr>
        <w:t>Coxova proporčního modelu rizik pro OS resp. PFS pro vybrané klinické faktory a molekulární markery adjustované pro kategorie Karnofsk</w:t>
      </w:r>
      <w:r w:rsidR="009E26D8">
        <w:rPr>
          <w:sz w:val="20"/>
          <w:szCs w:val="20"/>
        </w:rPr>
        <w:t>ého</w:t>
      </w:r>
      <w:r w:rsidR="00E3045E">
        <w:rPr>
          <w:sz w:val="20"/>
          <w:szCs w:val="20"/>
        </w:rPr>
        <w:t xml:space="preserve"> skóre a věku. </w:t>
      </w:r>
      <w:r w:rsidR="007E518A">
        <w:rPr>
          <w:sz w:val="20"/>
          <w:szCs w:val="20"/>
        </w:rPr>
        <w:t xml:space="preserve">Pro každý model a kategorii je </w:t>
      </w:r>
      <w:r w:rsidR="00D10B90">
        <w:rPr>
          <w:sz w:val="20"/>
          <w:szCs w:val="20"/>
        </w:rPr>
        <w:t xml:space="preserve">uveden </w:t>
      </w:r>
      <w:r w:rsidR="007E518A">
        <w:rPr>
          <w:sz w:val="20"/>
          <w:szCs w:val="20"/>
        </w:rPr>
        <w:t>odhad relativních rizik (</w:t>
      </w:r>
      <w:r w:rsidR="00D10B90">
        <w:rPr>
          <w:sz w:val="20"/>
          <w:szCs w:val="20"/>
        </w:rPr>
        <w:t>bodový odhad i 95% interval spolehlivosti</w:t>
      </w:r>
      <w:r w:rsidR="007E518A">
        <w:rPr>
          <w:sz w:val="20"/>
          <w:szCs w:val="20"/>
        </w:rPr>
        <w:t>)</w:t>
      </w:r>
      <w:r w:rsidR="00D10B90">
        <w:rPr>
          <w:sz w:val="20"/>
          <w:szCs w:val="20"/>
        </w:rPr>
        <w:t xml:space="preserve"> a p hodnota.</w:t>
      </w:r>
      <w:r w:rsidR="00E3045E" w:rsidRPr="00E3045E">
        <w:rPr>
          <w:sz w:val="20"/>
          <w:szCs w:val="20"/>
        </w:rPr>
        <w:t xml:space="preserve"> </w:t>
      </w:r>
      <w:r w:rsidR="00E3045E">
        <w:rPr>
          <w:sz w:val="20"/>
          <w:szCs w:val="20"/>
        </w:rPr>
        <w:t>Sloupec N představuje počet pacientů v každé hladině faktoru u podskupin. Výsledky pro adjustované faktory nejsou uvedeny.</w:t>
      </w:r>
      <w:bookmarkEnd w:id="115"/>
    </w:p>
    <w:p w14:paraId="5C7CE880" w14:textId="481DC7B5" w:rsidR="00512C86" w:rsidRPr="00E3045E" w:rsidRDefault="00E3045E" w:rsidP="00512C86">
      <w:pPr>
        <w:jc w:val="both"/>
        <w:rPr>
          <w:b/>
          <w:bCs/>
          <w:sz w:val="20"/>
          <w:szCs w:val="20"/>
        </w:rPr>
      </w:pPr>
      <w:r w:rsidRPr="00E3045E">
        <w:rPr>
          <w:b/>
          <w:bCs/>
          <w:sz w:val="20"/>
          <w:szCs w:val="20"/>
        </w:rPr>
        <w:tab/>
      </w:r>
      <w:r w:rsidRPr="00E3045E">
        <w:rPr>
          <w:b/>
          <w:bCs/>
          <w:sz w:val="20"/>
          <w:szCs w:val="20"/>
        </w:rPr>
        <w:tab/>
      </w:r>
      <w:r w:rsidRPr="00E3045E">
        <w:rPr>
          <w:b/>
          <w:bCs/>
          <w:sz w:val="20"/>
          <w:szCs w:val="20"/>
        </w:rPr>
        <w:tab/>
      </w:r>
      <w:r w:rsidRPr="00E3045E">
        <w:rPr>
          <w:b/>
          <w:bCs/>
          <w:sz w:val="20"/>
          <w:szCs w:val="20"/>
        </w:rPr>
        <w:tab/>
      </w:r>
      <w:r w:rsidRPr="00E3045E">
        <w:rPr>
          <w:b/>
          <w:bCs/>
          <w:sz w:val="20"/>
          <w:szCs w:val="20"/>
        </w:rPr>
        <w:tab/>
      </w:r>
      <w:r w:rsidRPr="00E3045E">
        <w:rPr>
          <w:b/>
          <w:bCs/>
          <w:sz w:val="20"/>
          <w:szCs w:val="20"/>
        </w:rPr>
        <w:tab/>
      </w:r>
      <w:r w:rsidR="006C250F" w:rsidRPr="00E3045E">
        <w:rPr>
          <w:b/>
          <w:bCs/>
          <w:sz w:val="20"/>
          <w:szCs w:val="20"/>
        </w:rPr>
        <w:t xml:space="preserve"> </w:t>
      </w:r>
    </w:p>
    <w:tbl>
      <w:tblPr>
        <w:tblW w:w="8432" w:type="dxa"/>
        <w:jc w:val="center"/>
        <w:tblCellMar>
          <w:left w:w="70" w:type="dxa"/>
          <w:right w:w="70" w:type="dxa"/>
        </w:tblCellMar>
        <w:tblLook w:val="04A0" w:firstRow="1" w:lastRow="0" w:firstColumn="1" w:lastColumn="0" w:noHBand="0" w:noVBand="1"/>
      </w:tblPr>
      <w:tblGrid>
        <w:gridCol w:w="1340"/>
        <w:gridCol w:w="1460"/>
        <w:gridCol w:w="445"/>
        <w:gridCol w:w="1357"/>
        <w:gridCol w:w="1095"/>
        <w:gridCol w:w="343"/>
        <w:gridCol w:w="1297"/>
        <w:gridCol w:w="1095"/>
      </w:tblGrid>
      <w:tr w:rsidR="00E3045E" w:rsidRPr="00E3045E" w14:paraId="32D1DED0"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38C439AE"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5AE590A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 </w:t>
            </w:r>
          </w:p>
        </w:tc>
        <w:tc>
          <w:tcPr>
            <w:tcW w:w="2897" w:type="dxa"/>
            <w:gridSpan w:val="3"/>
            <w:tcBorders>
              <w:top w:val="nil"/>
              <w:left w:val="single" w:sz="4" w:space="0" w:color="auto"/>
              <w:bottom w:val="single" w:sz="4" w:space="0" w:color="auto"/>
              <w:right w:val="single" w:sz="4" w:space="0" w:color="000000"/>
            </w:tcBorders>
            <w:shd w:val="clear" w:color="auto" w:fill="auto"/>
            <w:noWrap/>
            <w:vAlign w:val="bottom"/>
            <w:hideMark/>
          </w:tcPr>
          <w:p w14:paraId="33EBBC6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OS</w:t>
            </w:r>
          </w:p>
        </w:tc>
        <w:tc>
          <w:tcPr>
            <w:tcW w:w="2735" w:type="dxa"/>
            <w:gridSpan w:val="3"/>
            <w:tcBorders>
              <w:top w:val="nil"/>
              <w:left w:val="nil"/>
              <w:bottom w:val="single" w:sz="4" w:space="0" w:color="auto"/>
              <w:right w:val="nil"/>
            </w:tcBorders>
            <w:shd w:val="clear" w:color="auto" w:fill="auto"/>
            <w:noWrap/>
            <w:vAlign w:val="bottom"/>
            <w:hideMark/>
          </w:tcPr>
          <w:p w14:paraId="75A76B7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PFS</w:t>
            </w:r>
          </w:p>
        </w:tc>
      </w:tr>
      <w:tr w:rsidR="00E3045E" w:rsidRPr="00E3045E" w14:paraId="54B76A63"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385DA8B4"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460" w:type="dxa"/>
            <w:tcBorders>
              <w:top w:val="nil"/>
              <w:left w:val="nil"/>
              <w:bottom w:val="nil"/>
              <w:right w:val="nil"/>
            </w:tcBorders>
            <w:shd w:val="clear" w:color="auto" w:fill="auto"/>
            <w:noWrap/>
            <w:vAlign w:val="bottom"/>
            <w:hideMark/>
          </w:tcPr>
          <w:p w14:paraId="7C1DE4BE" w14:textId="77777777" w:rsidR="00E3045E" w:rsidRPr="00E3045E" w:rsidRDefault="00E3045E" w:rsidP="00E3045E">
            <w:pPr>
              <w:spacing w:after="0" w:line="240" w:lineRule="auto"/>
              <w:rPr>
                <w:rFonts w:eastAsia="Times New Roman" w:cstheme="minorHAnsi"/>
                <w:sz w:val="20"/>
                <w:szCs w:val="20"/>
              </w:rPr>
            </w:pPr>
          </w:p>
        </w:tc>
        <w:tc>
          <w:tcPr>
            <w:tcW w:w="445" w:type="dxa"/>
            <w:tcBorders>
              <w:top w:val="single" w:sz="4" w:space="0" w:color="auto"/>
              <w:left w:val="single" w:sz="4" w:space="0" w:color="auto"/>
              <w:bottom w:val="single" w:sz="4" w:space="0" w:color="auto"/>
              <w:right w:val="nil"/>
            </w:tcBorders>
            <w:shd w:val="clear" w:color="auto" w:fill="auto"/>
            <w:noWrap/>
            <w:vAlign w:val="bottom"/>
            <w:hideMark/>
          </w:tcPr>
          <w:p w14:paraId="21DD47A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N</w:t>
            </w:r>
          </w:p>
        </w:tc>
        <w:tc>
          <w:tcPr>
            <w:tcW w:w="1357" w:type="dxa"/>
            <w:tcBorders>
              <w:top w:val="single" w:sz="4" w:space="0" w:color="auto"/>
              <w:left w:val="nil"/>
              <w:bottom w:val="single" w:sz="4" w:space="0" w:color="auto"/>
              <w:right w:val="nil"/>
            </w:tcBorders>
            <w:shd w:val="clear" w:color="auto" w:fill="auto"/>
            <w:noWrap/>
            <w:vAlign w:val="bottom"/>
            <w:hideMark/>
          </w:tcPr>
          <w:p w14:paraId="4113C56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HR (95%CI)</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14:paraId="2E884560" w14:textId="0B449938"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p-</w:t>
            </w:r>
            <w:r>
              <w:rPr>
                <w:rFonts w:eastAsia="Times New Roman" w:cstheme="minorHAnsi"/>
                <w:color w:val="000000"/>
                <w:sz w:val="20"/>
                <w:szCs w:val="20"/>
              </w:rPr>
              <w:t>hodnota</w:t>
            </w:r>
          </w:p>
        </w:tc>
        <w:tc>
          <w:tcPr>
            <w:tcW w:w="343" w:type="dxa"/>
            <w:tcBorders>
              <w:top w:val="single" w:sz="4" w:space="0" w:color="auto"/>
              <w:left w:val="nil"/>
              <w:bottom w:val="single" w:sz="4" w:space="0" w:color="auto"/>
              <w:right w:val="nil"/>
            </w:tcBorders>
            <w:shd w:val="clear" w:color="auto" w:fill="auto"/>
            <w:noWrap/>
            <w:vAlign w:val="bottom"/>
            <w:hideMark/>
          </w:tcPr>
          <w:p w14:paraId="3CDA489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N</w:t>
            </w:r>
          </w:p>
        </w:tc>
        <w:tc>
          <w:tcPr>
            <w:tcW w:w="1297" w:type="dxa"/>
            <w:tcBorders>
              <w:top w:val="single" w:sz="4" w:space="0" w:color="auto"/>
              <w:left w:val="nil"/>
              <w:bottom w:val="single" w:sz="4" w:space="0" w:color="auto"/>
              <w:right w:val="nil"/>
            </w:tcBorders>
            <w:shd w:val="clear" w:color="auto" w:fill="auto"/>
            <w:noWrap/>
            <w:vAlign w:val="bottom"/>
            <w:hideMark/>
          </w:tcPr>
          <w:p w14:paraId="1D20BFF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HR (95%CI)</w:t>
            </w:r>
          </w:p>
        </w:tc>
        <w:tc>
          <w:tcPr>
            <w:tcW w:w="1095" w:type="dxa"/>
            <w:tcBorders>
              <w:top w:val="single" w:sz="4" w:space="0" w:color="auto"/>
              <w:left w:val="nil"/>
              <w:bottom w:val="single" w:sz="4" w:space="0" w:color="auto"/>
              <w:right w:val="nil"/>
            </w:tcBorders>
            <w:shd w:val="clear" w:color="auto" w:fill="auto"/>
            <w:noWrap/>
            <w:vAlign w:val="bottom"/>
            <w:hideMark/>
          </w:tcPr>
          <w:p w14:paraId="0C708BFF" w14:textId="1A4AF92F"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p-</w:t>
            </w:r>
            <w:r>
              <w:rPr>
                <w:rFonts w:eastAsia="Times New Roman" w:cstheme="minorHAnsi"/>
                <w:color w:val="000000"/>
                <w:sz w:val="20"/>
                <w:szCs w:val="20"/>
              </w:rPr>
              <w:t>hodnota</w:t>
            </w:r>
          </w:p>
        </w:tc>
      </w:tr>
      <w:tr w:rsidR="00E3045E" w:rsidRPr="00E3045E" w14:paraId="25F9C41F"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1B792D03"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pohlaví</w:t>
            </w:r>
          </w:p>
        </w:tc>
        <w:tc>
          <w:tcPr>
            <w:tcW w:w="1460" w:type="dxa"/>
            <w:tcBorders>
              <w:top w:val="nil"/>
              <w:left w:val="nil"/>
              <w:bottom w:val="nil"/>
              <w:right w:val="nil"/>
            </w:tcBorders>
            <w:shd w:val="clear" w:color="auto" w:fill="auto"/>
            <w:noWrap/>
            <w:vAlign w:val="bottom"/>
            <w:hideMark/>
          </w:tcPr>
          <w:p w14:paraId="12C085C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F</w:t>
            </w:r>
          </w:p>
        </w:tc>
        <w:tc>
          <w:tcPr>
            <w:tcW w:w="445" w:type="dxa"/>
            <w:tcBorders>
              <w:top w:val="single" w:sz="4" w:space="0" w:color="auto"/>
              <w:left w:val="single" w:sz="4" w:space="0" w:color="auto"/>
              <w:bottom w:val="nil"/>
              <w:right w:val="nil"/>
            </w:tcBorders>
            <w:shd w:val="clear" w:color="auto" w:fill="auto"/>
            <w:noWrap/>
            <w:vAlign w:val="bottom"/>
            <w:hideMark/>
          </w:tcPr>
          <w:p w14:paraId="7ED9449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52</w:t>
            </w:r>
          </w:p>
        </w:tc>
        <w:tc>
          <w:tcPr>
            <w:tcW w:w="1357" w:type="dxa"/>
            <w:tcBorders>
              <w:top w:val="single" w:sz="4" w:space="0" w:color="auto"/>
              <w:left w:val="nil"/>
              <w:bottom w:val="nil"/>
              <w:right w:val="nil"/>
            </w:tcBorders>
            <w:shd w:val="clear" w:color="auto" w:fill="auto"/>
            <w:noWrap/>
            <w:vAlign w:val="bottom"/>
            <w:hideMark/>
          </w:tcPr>
          <w:p w14:paraId="702A17A5"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single" w:sz="4" w:space="0" w:color="auto"/>
              <w:left w:val="nil"/>
              <w:bottom w:val="nil"/>
              <w:right w:val="single" w:sz="4" w:space="0" w:color="auto"/>
            </w:tcBorders>
            <w:shd w:val="clear" w:color="auto" w:fill="auto"/>
            <w:noWrap/>
            <w:vAlign w:val="bottom"/>
            <w:hideMark/>
          </w:tcPr>
          <w:p w14:paraId="19DA0244" w14:textId="360071EC"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single" w:sz="4" w:space="0" w:color="auto"/>
              <w:left w:val="nil"/>
              <w:bottom w:val="nil"/>
              <w:right w:val="nil"/>
            </w:tcBorders>
            <w:shd w:val="clear" w:color="auto" w:fill="auto"/>
            <w:noWrap/>
            <w:vAlign w:val="bottom"/>
            <w:hideMark/>
          </w:tcPr>
          <w:p w14:paraId="5B959EC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45</w:t>
            </w:r>
          </w:p>
        </w:tc>
        <w:tc>
          <w:tcPr>
            <w:tcW w:w="1297" w:type="dxa"/>
            <w:tcBorders>
              <w:top w:val="single" w:sz="4" w:space="0" w:color="auto"/>
              <w:left w:val="nil"/>
              <w:bottom w:val="nil"/>
              <w:right w:val="nil"/>
            </w:tcBorders>
            <w:shd w:val="clear" w:color="auto" w:fill="auto"/>
            <w:noWrap/>
            <w:vAlign w:val="bottom"/>
            <w:hideMark/>
          </w:tcPr>
          <w:p w14:paraId="15F91B5A"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single" w:sz="4" w:space="0" w:color="auto"/>
              <w:left w:val="nil"/>
              <w:bottom w:val="nil"/>
              <w:right w:val="nil"/>
            </w:tcBorders>
            <w:shd w:val="clear" w:color="auto" w:fill="auto"/>
            <w:noWrap/>
            <w:vAlign w:val="bottom"/>
            <w:hideMark/>
          </w:tcPr>
          <w:p w14:paraId="109B041F"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0AA2B745"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79E5AF34"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7B7F44D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M</w:t>
            </w:r>
          </w:p>
        </w:tc>
        <w:tc>
          <w:tcPr>
            <w:tcW w:w="445" w:type="dxa"/>
            <w:tcBorders>
              <w:top w:val="nil"/>
              <w:left w:val="single" w:sz="4" w:space="0" w:color="auto"/>
              <w:bottom w:val="single" w:sz="4" w:space="0" w:color="auto"/>
              <w:right w:val="nil"/>
            </w:tcBorders>
            <w:shd w:val="clear" w:color="auto" w:fill="auto"/>
            <w:noWrap/>
            <w:vAlign w:val="bottom"/>
            <w:hideMark/>
          </w:tcPr>
          <w:p w14:paraId="5C80DC1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80</w:t>
            </w:r>
          </w:p>
        </w:tc>
        <w:tc>
          <w:tcPr>
            <w:tcW w:w="1357" w:type="dxa"/>
            <w:tcBorders>
              <w:top w:val="nil"/>
              <w:left w:val="nil"/>
              <w:bottom w:val="single" w:sz="4" w:space="0" w:color="auto"/>
              <w:right w:val="nil"/>
            </w:tcBorders>
            <w:shd w:val="clear" w:color="auto" w:fill="auto"/>
            <w:noWrap/>
            <w:vAlign w:val="bottom"/>
            <w:hideMark/>
          </w:tcPr>
          <w:p w14:paraId="5689806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1,4 (1; 2)</w:t>
            </w:r>
          </w:p>
        </w:tc>
        <w:tc>
          <w:tcPr>
            <w:tcW w:w="1095" w:type="dxa"/>
            <w:tcBorders>
              <w:top w:val="nil"/>
              <w:left w:val="nil"/>
              <w:bottom w:val="single" w:sz="4" w:space="0" w:color="auto"/>
              <w:right w:val="single" w:sz="4" w:space="0" w:color="auto"/>
            </w:tcBorders>
            <w:shd w:val="clear" w:color="auto" w:fill="auto"/>
            <w:noWrap/>
            <w:vAlign w:val="bottom"/>
            <w:hideMark/>
          </w:tcPr>
          <w:p w14:paraId="740EF16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0,088</w:t>
            </w:r>
          </w:p>
        </w:tc>
        <w:tc>
          <w:tcPr>
            <w:tcW w:w="343" w:type="dxa"/>
            <w:tcBorders>
              <w:top w:val="nil"/>
              <w:left w:val="nil"/>
              <w:bottom w:val="single" w:sz="4" w:space="0" w:color="auto"/>
              <w:right w:val="nil"/>
            </w:tcBorders>
            <w:shd w:val="clear" w:color="auto" w:fill="auto"/>
            <w:noWrap/>
            <w:vAlign w:val="bottom"/>
            <w:hideMark/>
          </w:tcPr>
          <w:p w14:paraId="7C4F4F3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71</w:t>
            </w:r>
          </w:p>
        </w:tc>
        <w:tc>
          <w:tcPr>
            <w:tcW w:w="1297" w:type="dxa"/>
            <w:tcBorders>
              <w:top w:val="nil"/>
              <w:left w:val="nil"/>
              <w:bottom w:val="single" w:sz="4" w:space="0" w:color="auto"/>
              <w:right w:val="nil"/>
            </w:tcBorders>
            <w:shd w:val="clear" w:color="auto" w:fill="auto"/>
            <w:noWrap/>
            <w:vAlign w:val="bottom"/>
            <w:hideMark/>
          </w:tcPr>
          <w:p w14:paraId="099F9CC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1,6 (1; 2,4)</w:t>
            </w:r>
          </w:p>
        </w:tc>
        <w:tc>
          <w:tcPr>
            <w:tcW w:w="1095" w:type="dxa"/>
            <w:tcBorders>
              <w:top w:val="nil"/>
              <w:left w:val="nil"/>
              <w:bottom w:val="single" w:sz="4" w:space="0" w:color="auto"/>
              <w:right w:val="nil"/>
            </w:tcBorders>
            <w:shd w:val="clear" w:color="auto" w:fill="auto"/>
            <w:noWrap/>
            <w:vAlign w:val="bottom"/>
            <w:hideMark/>
          </w:tcPr>
          <w:p w14:paraId="4B4E01A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0,029</w:t>
            </w:r>
          </w:p>
        </w:tc>
      </w:tr>
      <w:tr w:rsidR="00E3045E" w:rsidRPr="00E3045E" w14:paraId="0A267DB3"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1F5D83BF" w14:textId="5020D592"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lo</w:t>
            </w:r>
            <w:r>
              <w:rPr>
                <w:rFonts w:eastAsia="Times New Roman" w:cstheme="minorHAnsi"/>
                <w:color w:val="000000"/>
                <w:sz w:val="20"/>
                <w:szCs w:val="20"/>
              </w:rPr>
              <w:t>k</w:t>
            </w:r>
            <w:r w:rsidRPr="00E3045E">
              <w:rPr>
                <w:rFonts w:eastAsia="Times New Roman" w:cstheme="minorHAnsi"/>
                <w:color w:val="000000"/>
                <w:sz w:val="20"/>
                <w:szCs w:val="20"/>
              </w:rPr>
              <w:t>alizace</w:t>
            </w:r>
          </w:p>
        </w:tc>
        <w:tc>
          <w:tcPr>
            <w:tcW w:w="1460" w:type="dxa"/>
            <w:tcBorders>
              <w:top w:val="nil"/>
              <w:left w:val="nil"/>
              <w:bottom w:val="nil"/>
              <w:right w:val="nil"/>
            </w:tcBorders>
            <w:shd w:val="clear" w:color="auto" w:fill="auto"/>
            <w:noWrap/>
            <w:vAlign w:val="bottom"/>
            <w:hideMark/>
          </w:tcPr>
          <w:p w14:paraId="6193FA4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F</w:t>
            </w:r>
          </w:p>
        </w:tc>
        <w:tc>
          <w:tcPr>
            <w:tcW w:w="445" w:type="dxa"/>
            <w:tcBorders>
              <w:top w:val="nil"/>
              <w:left w:val="single" w:sz="4" w:space="0" w:color="auto"/>
              <w:bottom w:val="nil"/>
              <w:right w:val="nil"/>
            </w:tcBorders>
            <w:shd w:val="clear" w:color="auto" w:fill="auto"/>
            <w:noWrap/>
            <w:vAlign w:val="bottom"/>
            <w:hideMark/>
          </w:tcPr>
          <w:p w14:paraId="04F518A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42</w:t>
            </w:r>
          </w:p>
        </w:tc>
        <w:tc>
          <w:tcPr>
            <w:tcW w:w="1357" w:type="dxa"/>
            <w:tcBorders>
              <w:top w:val="nil"/>
              <w:left w:val="nil"/>
              <w:bottom w:val="nil"/>
              <w:right w:val="nil"/>
            </w:tcBorders>
            <w:shd w:val="clear" w:color="auto" w:fill="auto"/>
            <w:noWrap/>
            <w:vAlign w:val="bottom"/>
            <w:hideMark/>
          </w:tcPr>
          <w:p w14:paraId="49BEEA73"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3C351153" w14:textId="4A1F45D9"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5AE664E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37</w:t>
            </w:r>
          </w:p>
        </w:tc>
        <w:tc>
          <w:tcPr>
            <w:tcW w:w="1297" w:type="dxa"/>
            <w:tcBorders>
              <w:top w:val="nil"/>
              <w:left w:val="nil"/>
              <w:bottom w:val="nil"/>
              <w:right w:val="nil"/>
            </w:tcBorders>
            <w:shd w:val="clear" w:color="auto" w:fill="auto"/>
            <w:noWrap/>
            <w:vAlign w:val="bottom"/>
            <w:hideMark/>
          </w:tcPr>
          <w:p w14:paraId="53BAFF1D"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47D9D0A7"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67842769"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01B0E624" w14:textId="77777777" w:rsidR="00E3045E" w:rsidRPr="00E3045E" w:rsidRDefault="00E3045E" w:rsidP="00E3045E">
            <w:pPr>
              <w:spacing w:after="0" w:line="240" w:lineRule="auto"/>
              <w:jc w:val="center"/>
              <w:rPr>
                <w:rFonts w:eastAsia="Times New Roman" w:cstheme="minorHAnsi"/>
                <w:sz w:val="20"/>
                <w:szCs w:val="20"/>
              </w:rPr>
            </w:pPr>
          </w:p>
        </w:tc>
        <w:tc>
          <w:tcPr>
            <w:tcW w:w="1460" w:type="dxa"/>
            <w:tcBorders>
              <w:top w:val="nil"/>
              <w:left w:val="nil"/>
              <w:bottom w:val="nil"/>
              <w:right w:val="nil"/>
            </w:tcBorders>
            <w:shd w:val="clear" w:color="auto" w:fill="auto"/>
            <w:noWrap/>
            <w:vAlign w:val="bottom"/>
            <w:hideMark/>
          </w:tcPr>
          <w:p w14:paraId="7A79A9B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O</w:t>
            </w:r>
          </w:p>
        </w:tc>
        <w:tc>
          <w:tcPr>
            <w:tcW w:w="445" w:type="dxa"/>
            <w:tcBorders>
              <w:top w:val="nil"/>
              <w:left w:val="single" w:sz="4" w:space="0" w:color="auto"/>
              <w:bottom w:val="nil"/>
              <w:right w:val="nil"/>
            </w:tcBorders>
            <w:shd w:val="clear" w:color="auto" w:fill="auto"/>
            <w:noWrap/>
            <w:vAlign w:val="bottom"/>
            <w:hideMark/>
          </w:tcPr>
          <w:p w14:paraId="287021D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23</w:t>
            </w:r>
          </w:p>
        </w:tc>
        <w:tc>
          <w:tcPr>
            <w:tcW w:w="1357" w:type="dxa"/>
            <w:tcBorders>
              <w:top w:val="nil"/>
              <w:left w:val="nil"/>
              <w:bottom w:val="nil"/>
              <w:right w:val="nil"/>
            </w:tcBorders>
            <w:shd w:val="clear" w:color="auto" w:fill="auto"/>
            <w:noWrap/>
            <w:vAlign w:val="bottom"/>
            <w:hideMark/>
          </w:tcPr>
          <w:p w14:paraId="70CE9ED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 (0,6; 1,7)</w:t>
            </w:r>
          </w:p>
        </w:tc>
        <w:tc>
          <w:tcPr>
            <w:tcW w:w="1095" w:type="dxa"/>
            <w:tcBorders>
              <w:top w:val="nil"/>
              <w:left w:val="nil"/>
              <w:bottom w:val="nil"/>
              <w:right w:val="single" w:sz="4" w:space="0" w:color="auto"/>
            </w:tcBorders>
            <w:shd w:val="clear" w:color="auto" w:fill="auto"/>
            <w:noWrap/>
            <w:vAlign w:val="bottom"/>
            <w:hideMark/>
          </w:tcPr>
          <w:p w14:paraId="41B0ED0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0,953</w:t>
            </w:r>
          </w:p>
        </w:tc>
        <w:tc>
          <w:tcPr>
            <w:tcW w:w="343" w:type="dxa"/>
            <w:tcBorders>
              <w:top w:val="nil"/>
              <w:left w:val="nil"/>
              <w:bottom w:val="nil"/>
              <w:right w:val="nil"/>
            </w:tcBorders>
            <w:shd w:val="clear" w:color="auto" w:fill="auto"/>
            <w:noWrap/>
            <w:vAlign w:val="bottom"/>
            <w:hideMark/>
          </w:tcPr>
          <w:p w14:paraId="3B83269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21</w:t>
            </w:r>
          </w:p>
        </w:tc>
        <w:tc>
          <w:tcPr>
            <w:tcW w:w="1297" w:type="dxa"/>
            <w:tcBorders>
              <w:top w:val="nil"/>
              <w:left w:val="nil"/>
              <w:bottom w:val="nil"/>
              <w:right w:val="nil"/>
            </w:tcBorders>
            <w:shd w:val="clear" w:color="auto" w:fill="auto"/>
            <w:noWrap/>
            <w:vAlign w:val="bottom"/>
            <w:hideMark/>
          </w:tcPr>
          <w:p w14:paraId="316CA6B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1,1 (0,6; 1,9)</w:t>
            </w:r>
          </w:p>
        </w:tc>
        <w:tc>
          <w:tcPr>
            <w:tcW w:w="1095" w:type="dxa"/>
            <w:tcBorders>
              <w:top w:val="nil"/>
              <w:left w:val="nil"/>
              <w:bottom w:val="nil"/>
              <w:right w:val="nil"/>
            </w:tcBorders>
            <w:shd w:val="clear" w:color="auto" w:fill="auto"/>
            <w:noWrap/>
            <w:vAlign w:val="bottom"/>
            <w:hideMark/>
          </w:tcPr>
          <w:p w14:paraId="3045240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0,71</w:t>
            </w:r>
          </w:p>
        </w:tc>
      </w:tr>
      <w:tr w:rsidR="00E3045E" w:rsidRPr="00E3045E" w14:paraId="263F2074"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53E8E58C"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460" w:type="dxa"/>
            <w:tcBorders>
              <w:top w:val="nil"/>
              <w:left w:val="nil"/>
              <w:bottom w:val="nil"/>
              <w:right w:val="nil"/>
            </w:tcBorders>
            <w:shd w:val="clear" w:color="auto" w:fill="auto"/>
            <w:noWrap/>
            <w:vAlign w:val="bottom"/>
            <w:hideMark/>
          </w:tcPr>
          <w:p w14:paraId="28BB161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P</w:t>
            </w:r>
          </w:p>
        </w:tc>
        <w:tc>
          <w:tcPr>
            <w:tcW w:w="445" w:type="dxa"/>
            <w:tcBorders>
              <w:top w:val="nil"/>
              <w:left w:val="single" w:sz="4" w:space="0" w:color="auto"/>
              <w:bottom w:val="nil"/>
              <w:right w:val="nil"/>
            </w:tcBorders>
            <w:shd w:val="clear" w:color="auto" w:fill="auto"/>
            <w:noWrap/>
            <w:vAlign w:val="bottom"/>
            <w:hideMark/>
          </w:tcPr>
          <w:p w14:paraId="2C4BF96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24</w:t>
            </w:r>
          </w:p>
        </w:tc>
        <w:tc>
          <w:tcPr>
            <w:tcW w:w="1357" w:type="dxa"/>
            <w:tcBorders>
              <w:top w:val="nil"/>
              <w:left w:val="nil"/>
              <w:bottom w:val="nil"/>
              <w:right w:val="nil"/>
            </w:tcBorders>
            <w:shd w:val="clear" w:color="auto" w:fill="auto"/>
            <w:noWrap/>
            <w:vAlign w:val="bottom"/>
            <w:hideMark/>
          </w:tcPr>
          <w:p w14:paraId="79AAC37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 (0,6; 1,7)</w:t>
            </w:r>
          </w:p>
        </w:tc>
        <w:tc>
          <w:tcPr>
            <w:tcW w:w="1095" w:type="dxa"/>
            <w:tcBorders>
              <w:top w:val="nil"/>
              <w:left w:val="nil"/>
              <w:bottom w:val="nil"/>
              <w:right w:val="single" w:sz="4" w:space="0" w:color="auto"/>
            </w:tcBorders>
            <w:shd w:val="clear" w:color="auto" w:fill="auto"/>
            <w:noWrap/>
            <w:vAlign w:val="bottom"/>
            <w:hideMark/>
          </w:tcPr>
          <w:p w14:paraId="2719CC8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0,979</w:t>
            </w:r>
          </w:p>
        </w:tc>
        <w:tc>
          <w:tcPr>
            <w:tcW w:w="343" w:type="dxa"/>
            <w:tcBorders>
              <w:top w:val="nil"/>
              <w:left w:val="nil"/>
              <w:bottom w:val="nil"/>
              <w:right w:val="nil"/>
            </w:tcBorders>
            <w:shd w:val="clear" w:color="auto" w:fill="auto"/>
            <w:noWrap/>
            <w:vAlign w:val="bottom"/>
            <w:hideMark/>
          </w:tcPr>
          <w:p w14:paraId="23C738B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22</w:t>
            </w:r>
          </w:p>
        </w:tc>
        <w:tc>
          <w:tcPr>
            <w:tcW w:w="1297" w:type="dxa"/>
            <w:tcBorders>
              <w:top w:val="nil"/>
              <w:left w:val="nil"/>
              <w:bottom w:val="nil"/>
              <w:right w:val="nil"/>
            </w:tcBorders>
            <w:shd w:val="clear" w:color="auto" w:fill="auto"/>
            <w:noWrap/>
            <w:vAlign w:val="bottom"/>
            <w:hideMark/>
          </w:tcPr>
          <w:p w14:paraId="2CD7CC1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0,8 (0,5; 1,4)</w:t>
            </w:r>
          </w:p>
        </w:tc>
        <w:tc>
          <w:tcPr>
            <w:tcW w:w="1095" w:type="dxa"/>
            <w:tcBorders>
              <w:top w:val="nil"/>
              <w:left w:val="nil"/>
              <w:bottom w:val="nil"/>
              <w:right w:val="nil"/>
            </w:tcBorders>
            <w:shd w:val="clear" w:color="auto" w:fill="auto"/>
            <w:noWrap/>
            <w:vAlign w:val="bottom"/>
            <w:hideMark/>
          </w:tcPr>
          <w:p w14:paraId="6DBDD27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0,446</w:t>
            </w:r>
          </w:p>
        </w:tc>
      </w:tr>
      <w:tr w:rsidR="00E3045E" w:rsidRPr="00E3045E" w14:paraId="39CF12B4"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5ECCCF17"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460" w:type="dxa"/>
            <w:tcBorders>
              <w:top w:val="nil"/>
              <w:left w:val="nil"/>
              <w:bottom w:val="nil"/>
              <w:right w:val="nil"/>
            </w:tcBorders>
            <w:shd w:val="clear" w:color="auto" w:fill="auto"/>
            <w:noWrap/>
            <w:vAlign w:val="bottom"/>
            <w:hideMark/>
          </w:tcPr>
          <w:p w14:paraId="7231941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T</w:t>
            </w:r>
          </w:p>
        </w:tc>
        <w:tc>
          <w:tcPr>
            <w:tcW w:w="445" w:type="dxa"/>
            <w:tcBorders>
              <w:top w:val="nil"/>
              <w:left w:val="single" w:sz="4" w:space="0" w:color="auto"/>
              <w:bottom w:val="nil"/>
              <w:right w:val="nil"/>
            </w:tcBorders>
            <w:shd w:val="clear" w:color="auto" w:fill="auto"/>
            <w:noWrap/>
            <w:vAlign w:val="bottom"/>
            <w:hideMark/>
          </w:tcPr>
          <w:p w14:paraId="730B6EC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37</w:t>
            </w:r>
          </w:p>
        </w:tc>
        <w:tc>
          <w:tcPr>
            <w:tcW w:w="1357" w:type="dxa"/>
            <w:tcBorders>
              <w:top w:val="nil"/>
              <w:left w:val="nil"/>
              <w:bottom w:val="nil"/>
              <w:right w:val="nil"/>
            </w:tcBorders>
            <w:shd w:val="clear" w:color="auto" w:fill="auto"/>
            <w:noWrap/>
            <w:vAlign w:val="bottom"/>
            <w:hideMark/>
          </w:tcPr>
          <w:p w14:paraId="18A4BCB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0,9 (0,5; 1,4)</w:t>
            </w:r>
          </w:p>
        </w:tc>
        <w:tc>
          <w:tcPr>
            <w:tcW w:w="1095" w:type="dxa"/>
            <w:tcBorders>
              <w:top w:val="nil"/>
              <w:left w:val="nil"/>
              <w:bottom w:val="nil"/>
              <w:right w:val="single" w:sz="4" w:space="0" w:color="auto"/>
            </w:tcBorders>
            <w:shd w:val="clear" w:color="auto" w:fill="auto"/>
            <w:noWrap/>
            <w:vAlign w:val="bottom"/>
            <w:hideMark/>
          </w:tcPr>
          <w:p w14:paraId="02E8101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0,601</w:t>
            </w:r>
          </w:p>
        </w:tc>
        <w:tc>
          <w:tcPr>
            <w:tcW w:w="343" w:type="dxa"/>
            <w:tcBorders>
              <w:top w:val="nil"/>
              <w:left w:val="nil"/>
              <w:bottom w:val="nil"/>
              <w:right w:val="nil"/>
            </w:tcBorders>
            <w:shd w:val="clear" w:color="auto" w:fill="auto"/>
            <w:noWrap/>
            <w:vAlign w:val="bottom"/>
            <w:hideMark/>
          </w:tcPr>
          <w:p w14:paraId="1BBE463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30</w:t>
            </w:r>
          </w:p>
        </w:tc>
        <w:tc>
          <w:tcPr>
            <w:tcW w:w="1297" w:type="dxa"/>
            <w:tcBorders>
              <w:top w:val="nil"/>
              <w:left w:val="nil"/>
              <w:bottom w:val="nil"/>
              <w:right w:val="nil"/>
            </w:tcBorders>
            <w:shd w:val="clear" w:color="auto" w:fill="auto"/>
            <w:noWrap/>
            <w:vAlign w:val="bottom"/>
            <w:hideMark/>
          </w:tcPr>
          <w:p w14:paraId="6D99134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0,8 (0,5; 1,3)</w:t>
            </w:r>
          </w:p>
        </w:tc>
        <w:tc>
          <w:tcPr>
            <w:tcW w:w="1095" w:type="dxa"/>
            <w:tcBorders>
              <w:top w:val="nil"/>
              <w:left w:val="nil"/>
              <w:bottom w:val="nil"/>
              <w:right w:val="nil"/>
            </w:tcBorders>
            <w:shd w:val="clear" w:color="auto" w:fill="auto"/>
            <w:noWrap/>
            <w:vAlign w:val="bottom"/>
            <w:hideMark/>
          </w:tcPr>
          <w:p w14:paraId="2485BDC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0,319</w:t>
            </w:r>
          </w:p>
        </w:tc>
      </w:tr>
      <w:tr w:rsidR="00E3045E" w:rsidRPr="00E3045E" w14:paraId="609AE110"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580D43D4"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0FEFFDF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jiné</w:t>
            </w:r>
          </w:p>
        </w:tc>
        <w:tc>
          <w:tcPr>
            <w:tcW w:w="445" w:type="dxa"/>
            <w:tcBorders>
              <w:top w:val="nil"/>
              <w:left w:val="single" w:sz="4" w:space="0" w:color="auto"/>
              <w:bottom w:val="single" w:sz="4" w:space="0" w:color="auto"/>
              <w:right w:val="nil"/>
            </w:tcBorders>
            <w:shd w:val="clear" w:color="auto" w:fill="auto"/>
            <w:noWrap/>
            <w:vAlign w:val="bottom"/>
            <w:hideMark/>
          </w:tcPr>
          <w:p w14:paraId="04EE164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6</w:t>
            </w:r>
          </w:p>
        </w:tc>
        <w:tc>
          <w:tcPr>
            <w:tcW w:w="1357" w:type="dxa"/>
            <w:tcBorders>
              <w:top w:val="nil"/>
              <w:left w:val="nil"/>
              <w:bottom w:val="single" w:sz="4" w:space="0" w:color="auto"/>
              <w:right w:val="nil"/>
            </w:tcBorders>
            <w:shd w:val="clear" w:color="auto" w:fill="auto"/>
            <w:noWrap/>
            <w:vAlign w:val="bottom"/>
            <w:hideMark/>
          </w:tcPr>
          <w:p w14:paraId="3CD8F10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0,9 (0,4; 2,1)</w:t>
            </w:r>
          </w:p>
        </w:tc>
        <w:tc>
          <w:tcPr>
            <w:tcW w:w="1095" w:type="dxa"/>
            <w:tcBorders>
              <w:top w:val="nil"/>
              <w:left w:val="nil"/>
              <w:bottom w:val="single" w:sz="4" w:space="0" w:color="auto"/>
              <w:right w:val="single" w:sz="4" w:space="0" w:color="auto"/>
            </w:tcBorders>
            <w:shd w:val="clear" w:color="auto" w:fill="auto"/>
            <w:noWrap/>
            <w:vAlign w:val="bottom"/>
            <w:hideMark/>
          </w:tcPr>
          <w:p w14:paraId="69A2F6C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0,752</w:t>
            </w:r>
          </w:p>
        </w:tc>
        <w:tc>
          <w:tcPr>
            <w:tcW w:w="343" w:type="dxa"/>
            <w:tcBorders>
              <w:top w:val="nil"/>
              <w:left w:val="nil"/>
              <w:bottom w:val="single" w:sz="4" w:space="0" w:color="auto"/>
              <w:right w:val="nil"/>
            </w:tcBorders>
            <w:shd w:val="clear" w:color="auto" w:fill="auto"/>
            <w:noWrap/>
            <w:vAlign w:val="bottom"/>
            <w:hideMark/>
          </w:tcPr>
          <w:p w14:paraId="2BE1FF5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6</w:t>
            </w:r>
          </w:p>
        </w:tc>
        <w:tc>
          <w:tcPr>
            <w:tcW w:w="1297" w:type="dxa"/>
            <w:tcBorders>
              <w:top w:val="nil"/>
              <w:left w:val="nil"/>
              <w:bottom w:val="single" w:sz="4" w:space="0" w:color="auto"/>
              <w:right w:val="nil"/>
            </w:tcBorders>
            <w:shd w:val="clear" w:color="auto" w:fill="auto"/>
            <w:noWrap/>
            <w:vAlign w:val="bottom"/>
            <w:hideMark/>
          </w:tcPr>
          <w:p w14:paraId="180D9EA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1,3 (0,5; 3,2)</w:t>
            </w:r>
          </w:p>
        </w:tc>
        <w:tc>
          <w:tcPr>
            <w:tcW w:w="1095" w:type="dxa"/>
            <w:tcBorders>
              <w:top w:val="nil"/>
              <w:left w:val="nil"/>
              <w:bottom w:val="single" w:sz="4" w:space="0" w:color="auto"/>
              <w:right w:val="nil"/>
            </w:tcBorders>
            <w:shd w:val="clear" w:color="auto" w:fill="auto"/>
            <w:noWrap/>
            <w:vAlign w:val="bottom"/>
            <w:hideMark/>
          </w:tcPr>
          <w:p w14:paraId="5D8C0B5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0,528</w:t>
            </w:r>
          </w:p>
        </w:tc>
      </w:tr>
      <w:tr w:rsidR="00E3045E" w:rsidRPr="00E3045E" w14:paraId="38214182"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30B91D52"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kouření</w:t>
            </w:r>
          </w:p>
        </w:tc>
        <w:tc>
          <w:tcPr>
            <w:tcW w:w="1460" w:type="dxa"/>
            <w:tcBorders>
              <w:top w:val="nil"/>
              <w:left w:val="nil"/>
              <w:bottom w:val="nil"/>
              <w:right w:val="nil"/>
            </w:tcBorders>
            <w:shd w:val="clear" w:color="auto" w:fill="auto"/>
            <w:noWrap/>
            <w:vAlign w:val="bottom"/>
            <w:hideMark/>
          </w:tcPr>
          <w:p w14:paraId="48A6ABF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no</w:t>
            </w:r>
          </w:p>
        </w:tc>
        <w:tc>
          <w:tcPr>
            <w:tcW w:w="445" w:type="dxa"/>
            <w:tcBorders>
              <w:top w:val="nil"/>
              <w:left w:val="single" w:sz="4" w:space="0" w:color="auto"/>
              <w:bottom w:val="nil"/>
              <w:right w:val="nil"/>
            </w:tcBorders>
            <w:shd w:val="clear" w:color="auto" w:fill="auto"/>
            <w:noWrap/>
            <w:vAlign w:val="bottom"/>
            <w:hideMark/>
          </w:tcPr>
          <w:p w14:paraId="3D1F8F5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83</w:t>
            </w:r>
          </w:p>
        </w:tc>
        <w:tc>
          <w:tcPr>
            <w:tcW w:w="1357" w:type="dxa"/>
            <w:tcBorders>
              <w:top w:val="nil"/>
              <w:left w:val="nil"/>
              <w:bottom w:val="nil"/>
              <w:right w:val="nil"/>
            </w:tcBorders>
            <w:shd w:val="clear" w:color="auto" w:fill="auto"/>
            <w:noWrap/>
            <w:vAlign w:val="bottom"/>
            <w:hideMark/>
          </w:tcPr>
          <w:p w14:paraId="7ECA3B44"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2F5090EC" w14:textId="2CC76AE1"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40D472E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78</w:t>
            </w:r>
          </w:p>
        </w:tc>
        <w:tc>
          <w:tcPr>
            <w:tcW w:w="1297" w:type="dxa"/>
            <w:tcBorders>
              <w:top w:val="nil"/>
              <w:left w:val="nil"/>
              <w:bottom w:val="nil"/>
              <w:right w:val="nil"/>
            </w:tcBorders>
            <w:shd w:val="clear" w:color="auto" w:fill="auto"/>
            <w:noWrap/>
            <w:vAlign w:val="bottom"/>
            <w:hideMark/>
          </w:tcPr>
          <w:p w14:paraId="314887C5"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468D5C78"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093F7CAA"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6EDAF0DD"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605749E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yes</w:t>
            </w:r>
          </w:p>
        </w:tc>
        <w:tc>
          <w:tcPr>
            <w:tcW w:w="445" w:type="dxa"/>
            <w:tcBorders>
              <w:top w:val="nil"/>
              <w:left w:val="single" w:sz="4" w:space="0" w:color="auto"/>
              <w:bottom w:val="single" w:sz="4" w:space="0" w:color="auto"/>
              <w:right w:val="nil"/>
            </w:tcBorders>
            <w:shd w:val="clear" w:color="auto" w:fill="auto"/>
            <w:noWrap/>
            <w:vAlign w:val="bottom"/>
            <w:hideMark/>
          </w:tcPr>
          <w:p w14:paraId="0FBB8B2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49</w:t>
            </w:r>
          </w:p>
        </w:tc>
        <w:tc>
          <w:tcPr>
            <w:tcW w:w="1357" w:type="dxa"/>
            <w:tcBorders>
              <w:top w:val="nil"/>
              <w:left w:val="nil"/>
              <w:bottom w:val="single" w:sz="4" w:space="0" w:color="auto"/>
              <w:right w:val="nil"/>
            </w:tcBorders>
            <w:shd w:val="clear" w:color="auto" w:fill="auto"/>
            <w:noWrap/>
            <w:vAlign w:val="bottom"/>
            <w:hideMark/>
          </w:tcPr>
          <w:p w14:paraId="28D4FA6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1,3 (0,9; 1,9)</w:t>
            </w:r>
          </w:p>
        </w:tc>
        <w:tc>
          <w:tcPr>
            <w:tcW w:w="1095" w:type="dxa"/>
            <w:tcBorders>
              <w:top w:val="nil"/>
              <w:left w:val="nil"/>
              <w:bottom w:val="single" w:sz="4" w:space="0" w:color="auto"/>
              <w:right w:val="single" w:sz="4" w:space="0" w:color="auto"/>
            </w:tcBorders>
            <w:shd w:val="clear" w:color="auto" w:fill="auto"/>
            <w:noWrap/>
            <w:vAlign w:val="bottom"/>
            <w:hideMark/>
          </w:tcPr>
          <w:p w14:paraId="0D98237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0,165</w:t>
            </w:r>
          </w:p>
        </w:tc>
        <w:tc>
          <w:tcPr>
            <w:tcW w:w="343" w:type="dxa"/>
            <w:tcBorders>
              <w:top w:val="nil"/>
              <w:left w:val="nil"/>
              <w:bottom w:val="single" w:sz="4" w:space="0" w:color="auto"/>
              <w:right w:val="nil"/>
            </w:tcBorders>
            <w:shd w:val="clear" w:color="auto" w:fill="auto"/>
            <w:noWrap/>
            <w:vAlign w:val="bottom"/>
            <w:hideMark/>
          </w:tcPr>
          <w:p w14:paraId="2094FCA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38</w:t>
            </w:r>
          </w:p>
        </w:tc>
        <w:tc>
          <w:tcPr>
            <w:tcW w:w="1297" w:type="dxa"/>
            <w:tcBorders>
              <w:top w:val="nil"/>
              <w:left w:val="nil"/>
              <w:bottom w:val="single" w:sz="4" w:space="0" w:color="auto"/>
              <w:right w:val="nil"/>
            </w:tcBorders>
            <w:shd w:val="clear" w:color="auto" w:fill="auto"/>
            <w:noWrap/>
            <w:vAlign w:val="bottom"/>
            <w:hideMark/>
          </w:tcPr>
          <w:p w14:paraId="0EAD282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1,4 (0,9; 2,2)</w:t>
            </w:r>
          </w:p>
        </w:tc>
        <w:tc>
          <w:tcPr>
            <w:tcW w:w="1095" w:type="dxa"/>
            <w:tcBorders>
              <w:top w:val="nil"/>
              <w:left w:val="nil"/>
              <w:bottom w:val="single" w:sz="4" w:space="0" w:color="auto"/>
              <w:right w:val="nil"/>
            </w:tcBorders>
            <w:shd w:val="clear" w:color="auto" w:fill="auto"/>
            <w:noWrap/>
            <w:vAlign w:val="bottom"/>
            <w:hideMark/>
          </w:tcPr>
          <w:p w14:paraId="23EAFED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0,106</w:t>
            </w:r>
          </w:p>
        </w:tc>
      </w:tr>
      <w:tr w:rsidR="00E3045E" w:rsidRPr="00E3045E" w14:paraId="77F4A00F"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639E3137"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MGMT</w:t>
            </w:r>
          </w:p>
        </w:tc>
        <w:tc>
          <w:tcPr>
            <w:tcW w:w="1460" w:type="dxa"/>
            <w:tcBorders>
              <w:top w:val="nil"/>
              <w:left w:val="nil"/>
              <w:bottom w:val="nil"/>
              <w:right w:val="nil"/>
            </w:tcBorders>
            <w:shd w:val="clear" w:color="auto" w:fill="auto"/>
            <w:noWrap/>
            <w:vAlign w:val="bottom"/>
            <w:hideMark/>
          </w:tcPr>
          <w:p w14:paraId="46D2F24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metylovaný</w:t>
            </w:r>
          </w:p>
        </w:tc>
        <w:tc>
          <w:tcPr>
            <w:tcW w:w="445" w:type="dxa"/>
            <w:tcBorders>
              <w:top w:val="nil"/>
              <w:left w:val="single" w:sz="4" w:space="0" w:color="auto"/>
              <w:bottom w:val="nil"/>
              <w:right w:val="nil"/>
            </w:tcBorders>
            <w:shd w:val="clear" w:color="auto" w:fill="auto"/>
            <w:noWrap/>
            <w:vAlign w:val="bottom"/>
            <w:hideMark/>
          </w:tcPr>
          <w:p w14:paraId="25A686A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80</w:t>
            </w:r>
          </w:p>
        </w:tc>
        <w:tc>
          <w:tcPr>
            <w:tcW w:w="1357" w:type="dxa"/>
            <w:tcBorders>
              <w:top w:val="nil"/>
              <w:left w:val="nil"/>
              <w:bottom w:val="nil"/>
              <w:right w:val="nil"/>
            </w:tcBorders>
            <w:shd w:val="clear" w:color="auto" w:fill="auto"/>
            <w:noWrap/>
            <w:vAlign w:val="bottom"/>
            <w:hideMark/>
          </w:tcPr>
          <w:p w14:paraId="0089B415"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3DCE2833" w14:textId="795BF36E"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28E90A9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68</w:t>
            </w:r>
          </w:p>
        </w:tc>
        <w:tc>
          <w:tcPr>
            <w:tcW w:w="1297" w:type="dxa"/>
            <w:tcBorders>
              <w:top w:val="nil"/>
              <w:left w:val="nil"/>
              <w:bottom w:val="nil"/>
              <w:right w:val="nil"/>
            </w:tcBorders>
            <w:shd w:val="clear" w:color="auto" w:fill="auto"/>
            <w:noWrap/>
            <w:vAlign w:val="bottom"/>
            <w:hideMark/>
          </w:tcPr>
          <w:p w14:paraId="0F471A0C"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35BEE8C5"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2C624C06"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7EAD5F20"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5C273C3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nemetylovaný</w:t>
            </w:r>
          </w:p>
        </w:tc>
        <w:tc>
          <w:tcPr>
            <w:tcW w:w="445" w:type="dxa"/>
            <w:tcBorders>
              <w:top w:val="nil"/>
              <w:left w:val="single" w:sz="4" w:space="0" w:color="auto"/>
              <w:bottom w:val="single" w:sz="4" w:space="0" w:color="auto"/>
              <w:right w:val="nil"/>
            </w:tcBorders>
            <w:shd w:val="clear" w:color="auto" w:fill="auto"/>
            <w:noWrap/>
            <w:vAlign w:val="bottom"/>
            <w:hideMark/>
          </w:tcPr>
          <w:p w14:paraId="683F0CD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43</w:t>
            </w:r>
          </w:p>
        </w:tc>
        <w:tc>
          <w:tcPr>
            <w:tcW w:w="1357" w:type="dxa"/>
            <w:tcBorders>
              <w:top w:val="nil"/>
              <w:left w:val="nil"/>
              <w:bottom w:val="single" w:sz="4" w:space="0" w:color="auto"/>
              <w:right w:val="nil"/>
            </w:tcBorders>
            <w:shd w:val="clear" w:color="auto" w:fill="auto"/>
            <w:noWrap/>
            <w:vAlign w:val="bottom"/>
            <w:hideMark/>
          </w:tcPr>
          <w:p w14:paraId="55DC405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0,7 (0,5, 1)</w:t>
            </w:r>
          </w:p>
        </w:tc>
        <w:tc>
          <w:tcPr>
            <w:tcW w:w="1095" w:type="dxa"/>
            <w:tcBorders>
              <w:top w:val="nil"/>
              <w:left w:val="nil"/>
              <w:bottom w:val="single" w:sz="4" w:space="0" w:color="auto"/>
              <w:right w:val="single" w:sz="4" w:space="0" w:color="auto"/>
            </w:tcBorders>
            <w:shd w:val="clear" w:color="auto" w:fill="auto"/>
            <w:noWrap/>
            <w:vAlign w:val="bottom"/>
            <w:hideMark/>
          </w:tcPr>
          <w:p w14:paraId="7D9C1D5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0,079</w:t>
            </w:r>
          </w:p>
        </w:tc>
        <w:tc>
          <w:tcPr>
            <w:tcW w:w="343" w:type="dxa"/>
            <w:tcBorders>
              <w:top w:val="nil"/>
              <w:left w:val="nil"/>
              <w:bottom w:val="single" w:sz="4" w:space="0" w:color="auto"/>
              <w:right w:val="nil"/>
            </w:tcBorders>
            <w:shd w:val="clear" w:color="auto" w:fill="auto"/>
            <w:noWrap/>
            <w:vAlign w:val="bottom"/>
            <w:hideMark/>
          </w:tcPr>
          <w:p w14:paraId="691EA27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40</w:t>
            </w:r>
          </w:p>
        </w:tc>
        <w:tc>
          <w:tcPr>
            <w:tcW w:w="1297" w:type="dxa"/>
            <w:tcBorders>
              <w:top w:val="nil"/>
              <w:left w:val="nil"/>
              <w:bottom w:val="single" w:sz="4" w:space="0" w:color="auto"/>
              <w:right w:val="nil"/>
            </w:tcBorders>
            <w:shd w:val="clear" w:color="auto" w:fill="auto"/>
            <w:noWrap/>
            <w:vAlign w:val="bottom"/>
            <w:hideMark/>
          </w:tcPr>
          <w:p w14:paraId="574BA5D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0,8 (0,6; 1,3)</w:t>
            </w:r>
          </w:p>
        </w:tc>
        <w:tc>
          <w:tcPr>
            <w:tcW w:w="1095" w:type="dxa"/>
            <w:tcBorders>
              <w:top w:val="nil"/>
              <w:left w:val="nil"/>
              <w:bottom w:val="single" w:sz="4" w:space="0" w:color="auto"/>
              <w:right w:val="nil"/>
            </w:tcBorders>
            <w:shd w:val="clear" w:color="auto" w:fill="auto"/>
            <w:noWrap/>
            <w:vAlign w:val="bottom"/>
            <w:hideMark/>
          </w:tcPr>
          <w:p w14:paraId="0C26178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0,401</w:t>
            </w:r>
          </w:p>
        </w:tc>
      </w:tr>
      <w:tr w:rsidR="00E3045E" w:rsidRPr="00E3045E" w14:paraId="4D828A06"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520B46D0"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Ki-67</w:t>
            </w:r>
          </w:p>
        </w:tc>
        <w:tc>
          <w:tcPr>
            <w:tcW w:w="1460" w:type="dxa"/>
            <w:tcBorders>
              <w:top w:val="nil"/>
              <w:left w:val="nil"/>
              <w:bottom w:val="nil"/>
              <w:right w:val="nil"/>
            </w:tcBorders>
            <w:shd w:val="clear" w:color="auto" w:fill="auto"/>
            <w:noWrap/>
            <w:vAlign w:val="bottom"/>
            <w:hideMark/>
          </w:tcPr>
          <w:p w14:paraId="15A8821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60</w:t>
            </w:r>
          </w:p>
        </w:tc>
        <w:tc>
          <w:tcPr>
            <w:tcW w:w="445" w:type="dxa"/>
            <w:tcBorders>
              <w:top w:val="nil"/>
              <w:left w:val="single" w:sz="4" w:space="0" w:color="auto"/>
              <w:bottom w:val="nil"/>
              <w:right w:val="nil"/>
            </w:tcBorders>
            <w:shd w:val="clear" w:color="auto" w:fill="auto"/>
            <w:noWrap/>
            <w:vAlign w:val="bottom"/>
            <w:hideMark/>
          </w:tcPr>
          <w:p w14:paraId="7C936EB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110</w:t>
            </w:r>
          </w:p>
        </w:tc>
        <w:tc>
          <w:tcPr>
            <w:tcW w:w="1357" w:type="dxa"/>
            <w:tcBorders>
              <w:top w:val="nil"/>
              <w:left w:val="nil"/>
              <w:bottom w:val="nil"/>
              <w:right w:val="nil"/>
            </w:tcBorders>
            <w:shd w:val="clear" w:color="auto" w:fill="auto"/>
            <w:noWrap/>
            <w:vAlign w:val="bottom"/>
            <w:hideMark/>
          </w:tcPr>
          <w:p w14:paraId="3F0C4651"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54F25C6E" w14:textId="5796BDEB"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70D0BAF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97</w:t>
            </w:r>
          </w:p>
        </w:tc>
        <w:tc>
          <w:tcPr>
            <w:tcW w:w="1297" w:type="dxa"/>
            <w:tcBorders>
              <w:top w:val="nil"/>
              <w:left w:val="nil"/>
              <w:bottom w:val="nil"/>
              <w:right w:val="nil"/>
            </w:tcBorders>
            <w:shd w:val="clear" w:color="auto" w:fill="auto"/>
            <w:noWrap/>
            <w:vAlign w:val="bottom"/>
            <w:hideMark/>
          </w:tcPr>
          <w:p w14:paraId="12A212EB"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6EBC6BDA"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7B5945B2"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23F5DD86"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2A40334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60</w:t>
            </w:r>
          </w:p>
        </w:tc>
        <w:tc>
          <w:tcPr>
            <w:tcW w:w="445" w:type="dxa"/>
            <w:tcBorders>
              <w:top w:val="nil"/>
              <w:left w:val="single" w:sz="4" w:space="0" w:color="auto"/>
              <w:bottom w:val="single" w:sz="4" w:space="0" w:color="auto"/>
              <w:right w:val="nil"/>
            </w:tcBorders>
            <w:shd w:val="clear" w:color="auto" w:fill="auto"/>
            <w:noWrap/>
            <w:vAlign w:val="bottom"/>
            <w:hideMark/>
          </w:tcPr>
          <w:p w14:paraId="7BFAE25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21</w:t>
            </w:r>
          </w:p>
        </w:tc>
        <w:tc>
          <w:tcPr>
            <w:tcW w:w="1357" w:type="dxa"/>
            <w:tcBorders>
              <w:top w:val="nil"/>
              <w:left w:val="nil"/>
              <w:bottom w:val="single" w:sz="4" w:space="0" w:color="auto"/>
              <w:right w:val="nil"/>
            </w:tcBorders>
            <w:shd w:val="clear" w:color="auto" w:fill="auto"/>
            <w:noWrap/>
            <w:vAlign w:val="bottom"/>
            <w:hideMark/>
          </w:tcPr>
          <w:p w14:paraId="62CAC18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1,2 (0,7; 2)</w:t>
            </w:r>
          </w:p>
        </w:tc>
        <w:tc>
          <w:tcPr>
            <w:tcW w:w="1095" w:type="dxa"/>
            <w:tcBorders>
              <w:top w:val="nil"/>
              <w:left w:val="nil"/>
              <w:bottom w:val="single" w:sz="4" w:space="0" w:color="auto"/>
              <w:right w:val="single" w:sz="4" w:space="0" w:color="auto"/>
            </w:tcBorders>
            <w:shd w:val="clear" w:color="auto" w:fill="auto"/>
            <w:noWrap/>
            <w:vAlign w:val="bottom"/>
            <w:hideMark/>
          </w:tcPr>
          <w:p w14:paraId="176F5DA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0,502</w:t>
            </w:r>
          </w:p>
        </w:tc>
        <w:tc>
          <w:tcPr>
            <w:tcW w:w="343" w:type="dxa"/>
            <w:tcBorders>
              <w:top w:val="nil"/>
              <w:left w:val="nil"/>
              <w:bottom w:val="single" w:sz="4" w:space="0" w:color="auto"/>
              <w:right w:val="nil"/>
            </w:tcBorders>
            <w:shd w:val="clear" w:color="auto" w:fill="auto"/>
            <w:noWrap/>
            <w:vAlign w:val="bottom"/>
            <w:hideMark/>
          </w:tcPr>
          <w:p w14:paraId="2668314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19</w:t>
            </w:r>
          </w:p>
        </w:tc>
        <w:tc>
          <w:tcPr>
            <w:tcW w:w="1297" w:type="dxa"/>
            <w:tcBorders>
              <w:top w:val="nil"/>
              <w:left w:val="nil"/>
              <w:bottom w:val="single" w:sz="4" w:space="0" w:color="auto"/>
              <w:right w:val="nil"/>
            </w:tcBorders>
            <w:shd w:val="clear" w:color="auto" w:fill="auto"/>
            <w:noWrap/>
            <w:vAlign w:val="bottom"/>
            <w:hideMark/>
          </w:tcPr>
          <w:p w14:paraId="0636217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1,4 (0,8; 2,4)</w:t>
            </w:r>
          </w:p>
        </w:tc>
        <w:tc>
          <w:tcPr>
            <w:tcW w:w="1095" w:type="dxa"/>
            <w:tcBorders>
              <w:top w:val="nil"/>
              <w:left w:val="nil"/>
              <w:bottom w:val="single" w:sz="4" w:space="0" w:color="auto"/>
              <w:right w:val="nil"/>
            </w:tcBorders>
            <w:shd w:val="clear" w:color="auto" w:fill="auto"/>
            <w:noWrap/>
            <w:vAlign w:val="bottom"/>
            <w:hideMark/>
          </w:tcPr>
          <w:p w14:paraId="65AEBB6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0,214</w:t>
            </w:r>
          </w:p>
        </w:tc>
      </w:tr>
      <w:tr w:rsidR="00E3045E" w:rsidRPr="00E3045E" w14:paraId="682B6BB1"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2AD3BC98"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1p36.3</w:t>
            </w:r>
          </w:p>
        </w:tc>
        <w:tc>
          <w:tcPr>
            <w:tcW w:w="1460" w:type="dxa"/>
            <w:tcBorders>
              <w:top w:val="nil"/>
              <w:left w:val="nil"/>
              <w:bottom w:val="nil"/>
              <w:right w:val="nil"/>
            </w:tcBorders>
            <w:shd w:val="clear" w:color="auto" w:fill="auto"/>
            <w:noWrap/>
            <w:vAlign w:val="bottom"/>
            <w:hideMark/>
          </w:tcPr>
          <w:p w14:paraId="17F6E1A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2,13</w:t>
            </w:r>
          </w:p>
        </w:tc>
        <w:tc>
          <w:tcPr>
            <w:tcW w:w="445" w:type="dxa"/>
            <w:tcBorders>
              <w:top w:val="nil"/>
              <w:left w:val="single" w:sz="4" w:space="0" w:color="auto"/>
              <w:bottom w:val="nil"/>
              <w:right w:val="nil"/>
            </w:tcBorders>
            <w:shd w:val="clear" w:color="auto" w:fill="auto"/>
            <w:noWrap/>
            <w:vAlign w:val="bottom"/>
            <w:hideMark/>
          </w:tcPr>
          <w:p w14:paraId="753C3DC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84</w:t>
            </w:r>
          </w:p>
        </w:tc>
        <w:tc>
          <w:tcPr>
            <w:tcW w:w="1357" w:type="dxa"/>
            <w:tcBorders>
              <w:top w:val="nil"/>
              <w:left w:val="nil"/>
              <w:bottom w:val="nil"/>
              <w:right w:val="nil"/>
            </w:tcBorders>
            <w:shd w:val="clear" w:color="auto" w:fill="auto"/>
            <w:noWrap/>
            <w:vAlign w:val="bottom"/>
            <w:hideMark/>
          </w:tcPr>
          <w:p w14:paraId="231AE146"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5940F625" w14:textId="4D00BD0F"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2C2FE0B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77</w:t>
            </w:r>
          </w:p>
        </w:tc>
        <w:tc>
          <w:tcPr>
            <w:tcW w:w="1297" w:type="dxa"/>
            <w:tcBorders>
              <w:top w:val="nil"/>
              <w:left w:val="nil"/>
              <w:bottom w:val="nil"/>
              <w:right w:val="nil"/>
            </w:tcBorders>
            <w:shd w:val="clear" w:color="auto" w:fill="auto"/>
            <w:noWrap/>
            <w:vAlign w:val="bottom"/>
            <w:hideMark/>
          </w:tcPr>
          <w:p w14:paraId="43CD2001"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2F519770"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1A08D197"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64CF547E"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00E954E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2,13</w:t>
            </w:r>
          </w:p>
        </w:tc>
        <w:tc>
          <w:tcPr>
            <w:tcW w:w="445" w:type="dxa"/>
            <w:tcBorders>
              <w:top w:val="nil"/>
              <w:left w:val="single" w:sz="4" w:space="0" w:color="auto"/>
              <w:bottom w:val="single" w:sz="4" w:space="0" w:color="auto"/>
              <w:right w:val="nil"/>
            </w:tcBorders>
            <w:shd w:val="clear" w:color="auto" w:fill="auto"/>
            <w:noWrap/>
            <w:vAlign w:val="bottom"/>
            <w:hideMark/>
          </w:tcPr>
          <w:p w14:paraId="126A96F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33</w:t>
            </w:r>
          </w:p>
        </w:tc>
        <w:tc>
          <w:tcPr>
            <w:tcW w:w="1357" w:type="dxa"/>
            <w:tcBorders>
              <w:top w:val="nil"/>
              <w:left w:val="nil"/>
              <w:bottom w:val="single" w:sz="4" w:space="0" w:color="auto"/>
              <w:right w:val="nil"/>
            </w:tcBorders>
            <w:shd w:val="clear" w:color="auto" w:fill="auto"/>
            <w:noWrap/>
            <w:vAlign w:val="bottom"/>
            <w:hideMark/>
          </w:tcPr>
          <w:p w14:paraId="1E2EE11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0,9 (0,6; 1,4)</w:t>
            </w:r>
          </w:p>
        </w:tc>
        <w:tc>
          <w:tcPr>
            <w:tcW w:w="1095" w:type="dxa"/>
            <w:tcBorders>
              <w:top w:val="nil"/>
              <w:left w:val="nil"/>
              <w:bottom w:val="single" w:sz="4" w:space="0" w:color="auto"/>
              <w:right w:val="single" w:sz="4" w:space="0" w:color="auto"/>
            </w:tcBorders>
            <w:shd w:val="clear" w:color="auto" w:fill="auto"/>
            <w:noWrap/>
            <w:vAlign w:val="bottom"/>
            <w:hideMark/>
          </w:tcPr>
          <w:p w14:paraId="077E26C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0,623</w:t>
            </w:r>
          </w:p>
        </w:tc>
        <w:tc>
          <w:tcPr>
            <w:tcW w:w="343" w:type="dxa"/>
            <w:tcBorders>
              <w:top w:val="nil"/>
              <w:left w:val="nil"/>
              <w:bottom w:val="single" w:sz="4" w:space="0" w:color="auto"/>
              <w:right w:val="nil"/>
            </w:tcBorders>
            <w:shd w:val="clear" w:color="auto" w:fill="auto"/>
            <w:noWrap/>
            <w:vAlign w:val="bottom"/>
            <w:hideMark/>
          </w:tcPr>
          <w:p w14:paraId="0DA191D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25</w:t>
            </w:r>
          </w:p>
        </w:tc>
        <w:tc>
          <w:tcPr>
            <w:tcW w:w="1297" w:type="dxa"/>
            <w:tcBorders>
              <w:top w:val="nil"/>
              <w:left w:val="nil"/>
              <w:bottom w:val="single" w:sz="4" w:space="0" w:color="auto"/>
              <w:right w:val="nil"/>
            </w:tcBorders>
            <w:shd w:val="clear" w:color="auto" w:fill="auto"/>
            <w:noWrap/>
            <w:vAlign w:val="bottom"/>
            <w:hideMark/>
          </w:tcPr>
          <w:p w14:paraId="0A63DD0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1,1 (0,7; 1,7)</w:t>
            </w:r>
          </w:p>
        </w:tc>
        <w:tc>
          <w:tcPr>
            <w:tcW w:w="1095" w:type="dxa"/>
            <w:tcBorders>
              <w:top w:val="nil"/>
              <w:left w:val="nil"/>
              <w:bottom w:val="single" w:sz="4" w:space="0" w:color="auto"/>
              <w:right w:val="nil"/>
            </w:tcBorders>
            <w:shd w:val="clear" w:color="auto" w:fill="auto"/>
            <w:noWrap/>
            <w:vAlign w:val="bottom"/>
            <w:hideMark/>
          </w:tcPr>
          <w:p w14:paraId="3422119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0,792</w:t>
            </w:r>
          </w:p>
        </w:tc>
      </w:tr>
      <w:tr w:rsidR="00E3045E" w:rsidRPr="00E3045E" w14:paraId="7D17A606"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5F5D4AE2"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1q</w:t>
            </w:r>
          </w:p>
        </w:tc>
        <w:tc>
          <w:tcPr>
            <w:tcW w:w="1460" w:type="dxa"/>
            <w:tcBorders>
              <w:top w:val="nil"/>
              <w:left w:val="nil"/>
              <w:bottom w:val="nil"/>
              <w:right w:val="nil"/>
            </w:tcBorders>
            <w:shd w:val="clear" w:color="auto" w:fill="auto"/>
            <w:noWrap/>
            <w:vAlign w:val="bottom"/>
            <w:hideMark/>
          </w:tcPr>
          <w:p w14:paraId="190EAB1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2,02</w:t>
            </w:r>
          </w:p>
        </w:tc>
        <w:tc>
          <w:tcPr>
            <w:tcW w:w="445" w:type="dxa"/>
            <w:tcBorders>
              <w:top w:val="nil"/>
              <w:left w:val="single" w:sz="4" w:space="0" w:color="auto"/>
              <w:bottom w:val="nil"/>
              <w:right w:val="nil"/>
            </w:tcBorders>
            <w:shd w:val="clear" w:color="auto" w:fill="auto"/>
            <w:noWrap/>
            <w:vAlign w:val="bottom"/>
            <w:hideMark/>
          </w:tcPr>
          <w:p w14:paraId="62C556A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30</w:t>
            </w:r>
          </w:p>
        </w:tc>
        <w:tc>
          <w:tcPr>
            <w:tcW w:w="1357" w:type="dxa"/>
            <w:tcBorders>
              <w:top w:val="nil"/>
              <w:left w:val="nil"/>
              <w:bottom w:val="nil"/>
              <w:right w:val="nil"/>
            </w:tcBorders>
            <w:shd w:val="clear" w:color="auto" w:fill="auto"/>
            <w:noWrap/>
            <w:vAlign w:val="bottom"/>
            <w:hideMark/>
          </w:tcPr>
          <w:p w14:paraId="47996C2D"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63D7E6B1" w14:textId="3061B660"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6CBA072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25</w:t>
            </w:r>
          </w:p>
        </w:tc>
        <w:tc>
          <w:tcPr>
            <w:tcW w:w="1297" w:type="dxa"/>
            <w:tcBorders>
              <w:top w:val="nil"/>
              <w:left w:val="nil"/>
              <w:bottom w:val="nil"/>
              <w:right w:val="nil"/>
            </w:tcBorders>
            <w:shd w:val="clear" w:color="auto" w:fill="auto"/>
            <w:noWrap/>
            <w:vAlign w:val="bottom"/>
            <w:hideMark/>
          </w:tcPr>
          <w:p w14:paraId="37B1C18E"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395B429F"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595481D0"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0F493356"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0643272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2,02</w:t>
            </w:r>
          </w:p>
        </w:tc>
        <w:tc>
          <w:tcPr>
            <w:tcW w:w="445" w:type="dxa"/>
            <w:tcBorders>
              <w:top w:val="nil"/>
              <w:left w:val="single" w:sz="4" w:space="0" w:color="auto"/>
              <w:bottom w:val="single" w:sz="4" w:space="0" w:color="auto"/>
              <w:right w:val="nil"/>
            </w:tcBorders>
            <w:shd w:val="clear" w:color="auto" w:fill="auto"/>
            <w:noWrap/>
            <w:vAlign w:val="bottom"/>
            <w:hideMark/>
          </w:tcPr>
          <w:p w14:paraId="59421D3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57</w:t>
            </w:r>
          </w:p>
        </w:tc>
        <w:tc>
          <w:tcPr>
            <w:tcW w:w="1357" w:type="dxa"/>
            <w:tcBorders>
              <w:top w:val="nil"/>
              <w:left w:val="nil"/>
              <w:bottom w:val="single" w:sz="4" w:space="0" w:color="auto"/>
              <w:right w:val="nil"/>
            </w:tcBorders>
            <w:shd w:val="clear" w:color="auto" w:fill="auto"/>
            <w:noWrap/>
            <w:vAlign w:val="bottom"/>
            <w:hideMark/>
          </w:tcPr>
          <w:p w14:paraId="5867D89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1,2 (0,7; 1,9)</w:t>
            </w:r>
          </w:p>
        </w:tc>
        <w:tc>
          <w:tcPr>
            <w:tcW w:w="1095" w:type="dxa"/>
            <w:tcBorders>
              <w:top w:val="nil"/>
              <w:left w:val="nil"/>
              <w:bottom w:val="single" w:sz="4" w:space="0" w:color="auto"/>
              <w:right w:val="single" w:sz="4" w:space="0" w:color="auto"/>
            </w:tcBorders>
            <w:shd w:val="clear" w:color="auto" w:fill="auto"/>
            <w:noWrap/>
            <w:vAlign w:val="bottom"/>
            <w:hideMark/>
          </w:tcPr>
          <w:p w14:paraId="22EC09B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0,47</w:t>
            </w:r>
          </w:p>
        </w:tc>
        <w:tc>
          <w:tcPr>
            <w:tcW w:w="343" w:type="dxa"/>
            <w:tcBorders>
              <w:top w:val="nil"/>
              <w:left w:val="nil"/>
              <w:bottom w:val="single" w:sz="4" w:space="0" w:color="auto"/>
              <w:right w:val="nil"/>
            </w:tcBorders>
            <w:shd w:val="clear" w:color="auto" w:fill="auto"/>
            <w:noWrap/>
            <w:vAlign w:val="bottom"/>
            <w:hideMark/>
          </w:tcPr>
          <w:p w14:paraId="543E9A6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50</w:t>
            </w:r>
          </w:p>
        </w:tc>
        <w:tc>
          <w:tcPr>
            <w:tcW w:w="1297" w:type="dxa"/>
            <w:tcBorders>
              <w:top w:val="nil"/>
              <w:left w:val="nil"/>
              <w:bottom w:val="single" w:sz="4" w:space="0" w:color="auto"/>
              <w:right w:val="nil"/>
            </w:tcBorders>
            <w:shd w:val="clear" w:color="auto" w:fill="auto"/>
            <w:noWrap/>
            <w:vAlign w:val="bottom"/>
            <w:hideMark/>
          </w:tcPr>
          <w:p w14:paraId="00B6869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1,7 (1; 2,9)</w:t>
            </w:r>
          </w:p>
        </w:tc>
        <w:tc>
          <w:tcPr>
            <w:tcW w:w="1095" w:type="dxa"/>
            <w:tcBorders>
              <w:top w:val="nil"/>
              <w:left w:val="nil"/>
              <w:bottom w:val="single" w:sz="4" w:space="0" w:color="auto"/>
              <w:right w:val="nil"/>
            </w:tcBorders>
            <w:shd w:val="clear" w:color="auto" w:fill="auto"/>
            <w:noWrap/>
            <w:vAlign w:val="bottom"/>
            <w:hideMark/>
          </w:tcPr>
          <w:p w14:paraId="755502A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0,056</w:t>
            </w:r>
          </w:p>
        </w:tc>
      </w:tr>
      <w:tr w:rsidR="00E3045E" w:rsidRPr="00E3045E" w14:paraId="77DA6E90"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1A04DB36"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EGFR1</w:t>
            </w:r>
          </w:p>
        </w:tc>
        <w:tc>
          <w:tcPr>
            <w:tcW w:w="1460" w:type="dxa"/>
            <w:tcBorders>
              <w:top w:val="nil"/>
              <w:left w:val="nil"/>
              <w:bottom w:val="nil"/>
              <w:right w:val="nil"/>
            </w:tcBorders>
            <w:shd w:val="clear" w:color="auto" w:fill="auto"/>
            <w:noWrap/>
            <w:vAlign w:val="bottom"/>
            <w:hideMark/>
          </w:tcPr>
          <w:p w14:paraId="475A678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3,39</w:t>
            </w:r>
          </w:p>
        </w:tc>
        <w:tc>
          <w:tcPr>
            <w:tcW w:w="445" w:type="dxa"/>
            <w:tcBorders>
              <w:top w:val="nil"/>
              <w:left w:val="single" w:sz="4" w:space="0" w:color="auto"/>
              <w:bottom w:val="nil"/>
              <w:right w:val="nil"/>
            </w:tcBorders>
            <w:shd w:val="clear" w:color="auto" w:fill="auto"/>
            <w:noWrap/>
            <w:vAlign w:val="bottom"/>
            <w:hideMark/>
          </w:tcPr>
          <w:p w14:paraId="7241A53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57</w:t>
            </w:r>
          </w:p>
        </w:tc>
        <w:tc>
          <w:tcPr>
            <w:tcW w:w="1357" w:type="dxa"/>
            <w:tcBorders>
              <w:top w:val="nil"/>
              <w:left w:val="nil"/>
              <w:bottom w:val="nil"/>
              <w:right w:val="nil"/>
            </w:tcBorders>
            <w:shd w:val="clear" w:color="auto" w:fill="auto"/>
            <w:noWrap/>
            <w:vAlign w:val="bottom"/>
            <w:hideMark/>
          </w:tcPr>
          <w:p w14:paraId="5B6D0C25"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0177D25E" w14:textId="2F9E571E"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6CCE1B5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52</w:t>
            </w:r>
          </w:p>
        </w:tc>
        <w:tc>
          <w:tcPr>
            <w:tcW w:w="1297" w:type="dxa"/>
            <w:tcBorders>
              <w:top w:val="nil"/>
              <w:left w:val="nil"/>
              <w:bottom w:val="nil"/>
              <w:right w:val="nil"/>
            </w:tcBorders>
            <w:shd w:val="clear" w:color="auto" w:fill="auto"/>
            <w:noWrap/>
            <w:vAlign w:val="bottom"/>
            <w:hideMark/>
          </w:tcPr>
          <w:p w14:paraId="39FBC57A"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0AD3BBDB"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04D48AA9"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11D07863"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05A71B0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3,39</w:t>
            </w:r>
          </w:p>
        </w:tc>
        <w:tc>
          <w:tcPr>
            <w:tcW w:w="445" w:type="dxa"/>
            <w:tcBorders>
              <w:top w:val="nil"/>
              <w:left w:val="single" w:sz="4" w:space="0" w:color="auto"/>
              <w:bottom w:val="single" w:sz="4" w:space="0" w:color="auto"/>
              <w:right w:val="nil"/>
            </w:tcBorders>
            <w:shd w:val="clear" w:color="auto" w:fill="auto"/>
            <w:noWrap/>
            <w:vAlign w:val="bottom"/>
            <w:hideMark/>
          </w:tcPr>
          <w:p w14:paraId="76C388D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56</w:t>
            </w:r>
          </w:p>
        </w:tc>
        <w:tc>
          <w:tcPr>
            <w:tcW w:w="1357" w:type="dxa"/>
            <w:tcBorders>
              <w:top w:val="nil"/>
              <w:left w:val="nil"/>
              <w:bottom w:val="single" w:sz="4" w:space="0" w:color="auto"/>
              <w:right w:val="nil"/>
            </w:tcBorders>
            <w:shd w:val="clear" w:color="auto" w:fill="auto"/>
            <w:noWrap/>
            <w:vAlign w:val="bottom"/>
            <w:hideMark/>
          </w:tcPr>
          <w:p w14:paraId="4665A90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0,6 (0,4; 0,9)</w:t>
            </w:r>
          </w:p>
        </w:tc>
        <w:tc>
          <w:tcPr>
            <w:tcW w:w="1095" w:type="dxa"/>
            <w:tcBorders>
              <w:top w:val="nil"/>
              <w:left w:val="nil"/>
              <w:bottom w:val="single" w:sz="4" w:space="0" w:color="auto"/>
              <w:right w:val="single" w:sz="4" w:space="0" w:color="auto"/>
            </w:tcBorders>
            <w:shd w:val="clear" w:color="auto" w:fill="auto"/>
            <w:noWrap/>
            <w:vAlign w:val="bottom"/>
            <w:hideMark/>
          </w:tcPr>
          <w:p w14:paraId="4511397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0,024</w:t>
            </w:r>
          </w:p>
        </w:tc>
        <w:tc>
          <w:tcPr>
            <w:tcW w:w="343" w:type="dxa"/>
            <w:tcBorders>
              <w:top w:val="nil"/>
              <w:left w:val="nil"/>
              <w:bottom w:val="single" w:sz="4" w:space="0" w:color="auto"/>
              <w:right w:val="nil"/>
            </w:tcBorders>
            <w:shd w:val="clear" w:color="auto" w:fill="auto"/>
            <w:noWrap/>
            <w:vAlign w:val="bottom"/>
            <w:hideMark/>
          </w:tcPr>
          <w:p w14:paraId="40D5991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50</w:t>
            </w:r>
          </w:p>
        </w:tc>
        <w:tc>
          <w:tcPr>
            <w:tcW w:w="1297" w:type="dxa"/>
            <w:tcBorders>
              <w:top w:val="nil"/>
              <w:left w:val="nil"/>
              <w:bottom w:val="single" w:sz="4" w:space="0" w:color="auto"/>
              <w:right w:val="nil"/>
            </w:tcBorders>
            <w:shd w:val="clear" w:color="auto" w:fill="auto"/>
            <w:noWrap/>
            <w:vAlign w:val="bottom"/>
            <w:hideMark/>
          </w:tcPr>
          <w:p w14:paraId="5D5ED68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0,6 (0,4; 0,8)</w:t>
            </w:r>
          </w:p>
        </w:tc>
        <w:tc>
          <w:tcPr>
            <w:tcW w:w="1095" w:type="dxa"/>
            <w:tcBorders>
              <w:top w:val="nil"/>
              <w:left w:val="nil"/>
              <w:bottom w:val="single" w:sz="4" w:space="0" w:color="auto"/>
              <w:right w:val="nil"/>
            </w:tcBorders>
            <w:shd w:val="clear" w:color="auto" w:fill="auto"/>
            <w:noWrap/>
            <w:vAlign w:val="bottom"/>
            <w:hideMark/>
          </w:tcPr>
          <w:p w14:paraId="1A59DF3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0,007</w:t>
            </w:r>
          </w:p>
        </w:tc>
      </w:tr>
      <w:tr w:rsidR="00E3045E" w:rsidRPr="00E3045E" w14:paraId="1F4AFB02"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68D834C8"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CEP7</w:t>
            </w:r>
          </w:p>
        </w:tc>
        <w:tc>
          <w:tcPr>
            <w:tcW w:w="1460" w:type="dxa"/>
            <w:tcBorders>
              <w:top w:val="nil"/>
              <w:left w:val="nil"/>
              <w:bottom w:val="nil"/>
              <w:right w:val="nil"/>
            </w:tcBorders>
            <w:shd w:val="clear" w:color="auto" w:fill="auto"/>
            <w:noWrap/>
            <w:vAlign w:val="bottom"/>
            <w:hideMark/>
          </w:tcPr>
          <w:p w14:paraId="496DD01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2,04</w:t>
            </w:r>
          </w:p>
        </w:tc>
        <w:tc>
          <w:tcPr>
            <w:tcW w:w="445" w:type="dxa"/>
            <w:tcBorders>
              <w:top w:val="nil"/>
              <w:left w:val="single" w:sz="4" w:space="0" w:color="auto"/>
              <w:bottom w:val="nil"/>
              <w:right w:val="nil"/>
            </w:tcBorders>
            <w:shd w:val="clear" w:color="auto" w:fill="auto"/>
            <w:noWrap/>
            <w:vAlign w:val="bottom"/>
            <w:hideMark/>
          </w:tcPr>
          <w:p w14:paraId="14D60B9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18</w:t>
            </w:r>
          </w:p>
        </w:tc>
        <w:tc>
          <w:tcPr>
            <w:tcW w:w="1357" w:type="dxa"/>
            <w:tcBorders>
              <w:top w:val="nil"/>
              <w:left w:val="nil"/>
              <w:bottom w:val="nil"/>
              <w:right w:val="nil"/>
            </w:tcBorders>
            <w:shd w:val="clear" w:color="auto" w:fill="auto"/>
            <w:noWrap/>
            <w:vAlign w:val="bottom"/>
            <w:hideMark/>
          </w:tcPr>
          <w:p w14:paraId="72871031"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4285296D" w14:textId="6880F65C"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09931DB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16</w:t>
            </w:r>
          </w:p>
        </w:tc>
        <w:tc>
          <w:tcPr>
            <w:tcW w:w="1297" w:type="dxa"/>
            <w:tcBorders>
              <w:top w:val="nil"/>
              <w:left w:val="nil"/>
              <w:bottom w:val="nil"/>
              <w:right w:val="nil"/>
            </w:tcBorders>
            <w:shd w:val="clear" w:color="auto" w:fill="auto"/>
            <w:noWrap/>
            <w:vAlign w:val="bottom"/>
            <w:hideMark/>
          </w:tcPr>
          <w:p w14:paraId="6BE84E52"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4A119341"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254EB573"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1A8C3FC4"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1176F2F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2,04</w:t>
            </w:r>
          </w:p>
        </w:tc>
        <w:tc>
          <w:tcPr>
            <w:tcW w:w="445" w:type="dxa"/>
            <w:tcBorders>
              <w:top w:val="nil"/>
              <w:left w:val="single" w:sz="4" w:space="0" w:color="auto"/>
              <w:bottom w:val="single" w:sz="4" w:space="0" w:color="auto"/>
              <w:right w:val="nil"/>
            </w:tcBorders>
            <w:shd w:val="clear" w:color="auto" w:fill="auto"/>
            <w:noWrap/>
            <w:vAlign w:val="bottom"/>
            <w:hideMark/>
          </w:tcPr>
          <w:p w14:paraId="1B546A8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89</w:t>
            </w:r>
          </w:p>
        </w:tc>
        <w:tc>
          <w:tcPr>
            <w:tcW w:w="1357" w:type="dxa"/>
            <w:tcBorders>
              <w:top w:val="nil"/>
              <w:left w:val="nil"/>
              <w:bottom w:val="single" w:sz="4" w:space="0" w:color="auto"/>
              <w:right w:val="nil"/>
            </w:tcBorders>
            <w:shd w:val="clear" w:color="auto" w:fill="auto"/>
            <w:noWrap/>
            <w:vAlign w:val="bottom"/>
            <w:hideMark/>
          </w:tcPr>
          <w:p w14:paraId="1088046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1,1 (0,6; 1,8)</w:t>
            </w:r>
          </w:p>
        </w:tc>
        <w:tc>
          <w:tcPr>
            <w:tcW w:w="1095" w:type="dxa"/>
            <w:tcBorders>
              <w:top w:val="nil"/>
              <w:left w:val="nil"/>
              <w:bottom w:val="single" w:sz="4" w:space="0" w:color="auto"/>
              <w:right w:val="single" w:sz="4" w:space="0" w:color="auto"/>
            </w:tcBorders>
            <w:shd w:val="clear" w:color="auto" w:fill="auto"/>
            <w:noWrap/>
            <w:vAlign w:val="bottom"/>
            <w:hideMark/>
          </w:tcPr>
          <w:p w14:paraId="4D1EB0B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0,828</w:t>
            </w:r>
          </w:p>
        </w:tc>
        <w:tc>
          <w:tcPr>
            <w:tcW w:w="343" w:type="dxa"/>
            <w:tcBorders>
              <w:top w:val="nil"/>
              <w:left w:val="nil"/>
              <w:bottom w:val="single" w:sz="4" w:space="0" w:color="auto"/>
              <w:right w:val="nil"/>
            </w:tcBorders>
            <w:shd w:val="clear" w:color="auto" w:fill="auto"/>
            <w:noWrap/>
            <w:vAlign w:val="bottom"/>
            <w:hideMark/>
          </w:tcPr>
          <w:p w14:paraId="2D6D9A7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80</w:t>
            </w:r>
          </w:p>
        </w:tc>
        <w:tc>
          <w:tcPr>
            <w:tcW w:w="1297" w:type="dxa"/>
            <w:tcBorders>
              <w:top w:val="nil"/>
              <w:left w:val="nil"/>
              <w:bottom w:val="single" w:sz="4" w:space="0" w:color="auto"/>
              <w:right w:val="nil"/>
            </w:tcBorders>
            <w:shd w:val="clear" w:color="auto" w:fill="auto"/>
            <w:noWrap/>
            <w:vAlign w:val="bottom"/>
            <w:hideMark/>
          </w:tcPr>
          <w:p w14:paraId="60CBC67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1,4 (0,8; 2,6)</w:t>
            </w:r>
          </w:p>
        </w:tc>
        <w:tc>
          <w:tcPr>
            <w:tcW w:w="1095" w:type="dxa"/>
            <w:tcBorders>
              <w:top w:val="nil"/>
              <w:left w:val="nil"/>
              <w:bottom w:val="single" w:sz="4" w:space="0" w:color="auto"/>
              <w:right w:val="nil"/>
            </w:tcBorders>
            <w:shd w:val="clear" w:color="auto" w:fill="auto"/>
            <w:noWrap/>
            <w:vAlign w:val="bottom"/>
            <w:hideMark/>
          </w:tcPr>
          <w:p w14:paraId="048960A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0,244</w:t>
            </w:r>
          </w:p>
        </w:tc>
      </w:tr>
      <w:tr w:rsidR="00E3045E" w:rsidRPr="00E3045E" w14:paraId="4CA38EC7"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5793C622"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BCR</w:t>
            </w:r>
          </w:p>
        </w:tc>
        <w:tc>
          <w:tcPr>
            <w:tcW w:w="1460" w:type="dxa"/>
            <w:tcBorders>
              <w:top w:val="nil"/>
              <w:left w:val="nil"/>
              <w:bottom w:val="nil"/>
              <w:right w:val="nil"/>
            </w:tcBorders>
            <w:shd w:val="clear" w:color="auto" w:fill="auto"/>
            <w:noWrap/>
            <w:vAlign w:val="bottom"/>
            <w:hideMark/>
          </w:tcPr>
          <w:p w14:paraId="5B24D98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2,04</w:t>
            </w:r>
          </w:p>
        </w:tc>
        <w:tc>
          <w:tcPr>
            <w:tcW w:w="445" w:type="dxa"/>
            <w:tcBorders>
              <w:top w:val="nil"/>
              <w:left w:val="single" w:sz="4" w:space="0" w:color="auto"/>
              <w:bottom w:val="nil"/>
              <w:right w:val="nil"/>
            </w:tcBorders>
            <w:shd w:val="clear" w:color="auto" w:fill="auto"/>
            <w:noWrap/>
            <w:vAlign w:val="bottom"/>
            <w:hideMark/>
          </w:tcPr>
          <w:p w14:paraId="2FB9B4F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31</w:t>
            </w:r>
          </w:p>
        </w:tc>
        <w:tc>
          <w:tcPr>
            <w:tcW w:w="1357" w:type="dxa"/>
            <w:tcBorders>
              <w:top w:val="nil"/>
              <w:left w:val="nil"/>
              <w:bottom w:val="nil"/>
              <w:right w:val="nil"/>
            </w:tcBorders>
            <w:shd w:val="clear" w:color="auto" w:fill="auto"/>
            <w:noWrap/>
            <w:vAlign w:val="bottom"/>
            <w:hideMark/>
          </w:tcPr>
          <w:p w14:paraId="0260F015"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5BE70282" w14:textId="367806CE"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48582DD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30</w:t>
            </w:r>
          </w:p>
        </w:tc>
        <w:tc>
          <w:tcPr>
            <w:tcW w:w="1297" w:type="dxa"/>
            <w:tcBorders>
              <w:top w:val="nil"/>
              <w:left w:val="nil"/>
              <w:bottom w:val="nil"/>
              <w:right w:val="nil"/>
            </w:tcBorders>
            <w:shd w:val="clear" w:color="auto" w:fill="auto"/>
            <w:noWrap/>
            <w:vAlign w:val="bottom"/>
            <w:hideMark/>
          </w:tcPr>
          <w:p w14:paraId="79E452B2"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47456795"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22FD0F02"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39A9455B"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2DD67E7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2,04</w:t>
            </w:r>
          </w:p>
        </w:tc>
        <w:tc>
          <w:tcPr>
            <w:tcW w:w="445" w:type="dxa"/>
            <w:tcBorders>
              <w:top w:val="nil"/>
              <w:left w:val="single" w:sz="4" w:space="0" w:color="auto"/>
              <w:bottom w:val="single" w:sz="4" w:space="0" w:color="auto"/>
              <w:right w:val="nil"/>
            </w:tcBorders>
            <w:shd w:val="clear" w:color="auto" w:fill="auto"/>
            <w:noWrap/>
            <w:vAlign w:val="bottom"/>
            <w:hideMark/>
          </w:tcPr>
          <w:p w14:paraId="18BE5CD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54</w:t>
            </w:r>
          </w:p>
        </w:tc>
        <w:tc>
          <w:tcPr>
            <w:tcW w:w="1357" w:type="dxa"/>
            <w:tcBorders>
              <w:top w:val="nil"/>
              <w:left w:val="nil"/>
              <w:bottom w:val="single" w:sz="4" w:space="0" w:color="auto"/>
              <w:right w:val="nil"/>
            </w:tcBorders>
            <w:shd w:val="clear" w:color="auto" w:fill="auto"/>
            <w:noWrap/>
            <w:vAlign w:val="bottom"/>
            <w:hideMark/>
          </w:tcPr>
          <w:p w14:paraId="59FD8EF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1,6 (1; 2,6)</w:t>
            </w:r>
          </w:p>
        </w:tc>
        <w:tc>
          <w:tcPr>
            <w:tcW w:w="1095" w:type="dxa"/>
            <w:tcBorders>
              <w:top w:val="nil"/>
              <w:left w:val="nil"/>
              <w:bottom w:val="single" w:sz="4" w:space="0" w:color="auto"/>
              <w:right w:val="single" w:sz="4" w:space="0" w:color="auto"/>
            </w:tcBorders>
            <w:shd w:val="clear" w:color="auto" w:fill="auto"/>
            <w:noWrap/>
            <w:vAlign w:val="bottom"/>
            <w:hideMark/>
          </w:tcPr>
          <w:p w14:paraId="6F63275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0.053</w:t>
            </w:r>
          </w:p>
        </w:tc>
        <w:tc>
          <w:tcPr>
            <w:tcW w:w="343" w:type="dxa"/>
            <w:tcBorders>
              <w:top w:val="nil"/>
              <w:left w:val="nil"/>
              <w:bottom w:val="single" w:sz="4" w:space="0" w:color="auto"/>
              <w:right w:val="nil"/>
            </w:tcBorders>
            <w:shd w:val="clear" w:color="auto" w:fill="auto"/>
            <w:noWrap/>
            <w:vAlign w:val="bottom"/>
            <w:hideMark/>
          </w:tcPr>
          <w:p w14:paraId="49E8637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45</w:t>
            </w:r>
          </w:p>
        </w:tc>
        <w:tc>
          <w:tcPr>
            <w:tcW w:w="1297" w:type="dxa"/>
            <w:tcBorders>
              <w:top w:val="nil"/>
              <w:left w:val="nil"/>
              <w:bottom w:val="single" w:sz="4" w:space="0" w:color="auto"/>
              <w:right w:val="nil"/>
            </w:tcBorders>
            <w:shd w:val="clear" w:color="auto" w:fill="auto"/>
            <w:noWrap/>
            <w:vAlign w:val="bottom"/>
            <w:hideMark/>
          </w:tcPr>
          <w:p w14:paraId="733C644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1,5 (0,9; 2,5)</w:t>
            </w:r>
          </w:p>
        </w:tc>
        <w:tc>
          <w:tcPr>
            <w:tcW w:w="1095" w:type="dxa"/>
            <w:tcBorders>
              <w:top w:val="nil"/>
              <w:left w:val="nil"/>
              <w:bottom w:val="single" w:sz="4" w:space="0" w:color="auto"/>
              <w:right w:val="nil"/>
            </w:tcBorders>
            <w:shd w:val="clear" w:color="auto" w:fill="auto"/>
            <w:noWrap/>
            <w:vAlign w:val="bottom"/>
            <w:hideMark/>
          </w:tcPr>
          <w:p w14:paraId="6EE003C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0,095</w:t>
            </w:r>
          </w:p>
        </w:tc>
      </w:tr>
      <w:tr w:rsidR="00E3045E" w:rsidRPr="00E3045E" w14:paraId="1A298B31"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613577FF"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22q12.2</w:t>
            </w:r>
          </w:p>
        </w:tc>
        <w:tc>
          <w:tcPr>
            <w:tcW w:w="1460" w:type="dxa"/>
            <w:tcBorders>
              <w:top w:val="nil"/>
              <w:left w:val="nil"/>
              <w:bottom w:val="nil"/>
              <w:right w:val="nil"/>
            </w:tcBorders>
            <w:shd w:val="clear" w:color="auto" w:fill="auto"/>
            <w:noWrap/>
            <w:vAlign w:val="bottom"/>
            <w:hideMark/>
          </w:tcPr>
          <w:p w14:paraId="5B495B4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2,48</w:t>
            </w:r>
          </w:p>
        </w:tc>
        <w:tc>
          <w:tcPr>
            <w:tcW w:w="445" w:type="dxa"/>
            <w:tcBorders>
              <w:top w:val="nil"/>
              <w:left w:val="single" w:sz="4" w:space="0" w:color="auto"/>
              <w:bottom w:val="nil"/>
              <w:right w:val="nil"/>
            </w:tcBorders>
            <w:shd w:val="clear" w:color="auto" w:fill="auto"/>
            <w:noWrap/>
            <w:vAlign w:val="bottom"/>
            <w:hideMark/>
          </w:tcPr>
          <w:p w14:paraId="283FDDB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76</w:t>
            </w:r>
          </w:p>
        </w:tc>
        <w:tc>
          <w:tcPr>
            <w:tcW w:w="1357" w:type="dxa"/>
            <w:tcBorders>
              <w:top w:val="nil"/>
              <w:left w:val="nil"/>
              <w:bottom w:val="nil"/>
              <w:right w:val="nil"/>
            </w:tcBorders>
            <w:shd w:val="clear" w:color="auto" w:fill="auto"/>
            <w:noWrap/>
            <w:vAlign w:val="bottom"/>
            <w:hideMark/>
          </w:tcPr>
          <w:p w14:paraId="35292898"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07071FC5" w14:textId="35A9EF71"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375A862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67</w:t>
            </w:r>
          </w:p>
        </w:tc>
        <w:tc>
          <w:tcPr>
            <w:tcW w:w="1297" w:type="dxa"/>
            <w:tcBorders>
              <w:top w:val="nil"/>
              <w:left w:val="nil"/>
              <w:bottom w:val="nil"/>
              <w:right w:val="nil"/>
            </w:tcBorders>
            <w:shd w:val="clear" w:color="auto" w:fill="auto"/>
            <w:noWrap/>
            <w:vAlign w:val="bottom"/>
            <w:hideMark/>
          </w:tcPr>
          <w:p w14:paraId="26D99236"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03CAE7C1"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424C0C36"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46CD937E"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57A0278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2,48</w:t>
            </w:r>
          </w:p>
        </w:tc>
        <w:tc>
          <w:tcPr>
            <w:tcW w:w="445" w:type="dxa"/>
            <w:tcBorders>
              <w:top w:val="nil"/>
              <w:left w:val="single" w:sz="4" w:space="0" w:color="auto"/>
              <w:bottom w:val="single" w:sz="4" w:space="0" w:color="auto"/>
              <w:right w:val="nil"/>
            </w:tcBorders>
            <w:shd w:val="clear" w:color="auto" w:fill="auto"/>
            <w:noWrap/>
            <w:vAlign w:val="bottom"/>
            <w:hideMark/>
          </w:tcPr>
          <w:p w14:paraId="361A6A2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20</w:t>
            </w:r>
          </w:p>
        </w:tc>
        <w:tc>
          <w:tcPr>
            <w:tcW w:w="1357" w:type="dxa"/>
            <w:tcBorders>
              <w:top w:val="nil"/>
              <w:left w:val="nil"/>
              <w:bottom w:val="single" w:sz="4" w:space="0" w:color="auto"/>
              <w:right w:val="nil"/>
            </w:tcBorders>
            <w:shd w:val="clear" w:color="auto" w:fill="auto"/>
            <w:noWrap/>
            <w:vAlign w:val="bottom"/>
            <w:hideMark/>
          </w:tcPr>
          <w:p w14:paraId="2E67EFE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1,7 (1; 2,8)</w:t>
            </w:r>
          </w:p>
        </w:tc>
        <w:tc>
          <w:tcPr>
            <w:tcW w:w="1095" w:type="dxa"/>
            <w:tcBorders>
              <w:top w:val="nil"/>
              <w:left w:val="nil"/>
              <w:bottom w:val="single" w:sz="4" w:space="0" w:color="auto"/>
              <w:right w:val="single" w:sz="4" w:space="0" w:color="auto"/>
            </w:tcBorders>
            <w:shd w:val="clear" w:color="auto" w:fill="auto"/>
            <w:noWrap/>
            <w:vAlign w:val="bottom"/>
            <w:hideMark/>
          </w:tcPr>
          <w:p w14:paraId="646C3E0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0,052</w:t>
            </w:r>
          </w:p>
        </w:tc>
        <w:tc>
          <w:tcPr>
            <w:tcW w:w="343" w:type="dxa"/>
            <w:tcBorders>
              <w:top w:val="nil"/>
              <w:left w:val="nil"/>
              <w:bottom w:val="single" w:sz="4" w:space="0" w:color="auto"/>
              <w:right w:val="nil"/>
            </w:tcBorders>
            <w:shd w:val="clear" w:color="auto" w:fill="auto"/>
            <w:noWrap/>
            <w:vAlign w:val="bottom"/>
            <w:hideMark/>
          </w:tcPr>
          <w:p w14:paraId="2795423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17</w:t>
            </w:r>
          </w:p>
        </w:tc>
        <w:tc>
          <w:tcPr>
            <w:tcW w:w="1297" w:type="dxa"/>
            <w:tcBorders>
              <w:top w:val="nil"/>
              <w:left w:val="nil"/>
              <w:bottom w:val="single" w:sz="4" w:space="0" w:color="auto"/>
              <w:right w:val="nil"/>
            </w:tcBorders>
            <w:shd w:val="clear" w:color="auto" w:fill="auto"/>
            <w:noWrap/>
            <w:vAlign w:val="bottom"/>
            <w:hideMark/>
          </w:tcPr>
          <w:p w14:paraId="241A8C2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2,2 (1,2; 4,1)</w:t>
            </w:r>
          </w:p>
        </w:tc>
        <w:tc>
          <w:tcPr>
            <w:tcW w:w="1095" w:type="dxa"/>
            <w:tcBorders>
              <w:top w:val="nil"/>
              <w:left w:val="nil"/>
              <w:bottom w:val="single" w:sz="4" w:space="0" w:color="auto"/>
              <w:right w:val="nil"/>
            </w:tcBorders>
            <w:shd w:val="clear" w:color="auto" w:fill="auto"/>
            <w:noWrap/>
            <w:vAlign w:val="bottom"/>
            <w:hideMark/>
          </w:tcPr>
          <w:p w14:paraId="298083C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0,009</w:t>
            </w:r>
          </w:p>
        </w:tc>
      </w:tr>
      <w:tr w:rsidR="00E3045E" w:rsidRPr="00E3045E" w14:paraId="76D4D3CC"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7A7D3FD1"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9p21.3</w:t>
            </w:r>
          </w:p>
        </w:tc>
        <w:tc>
          <w:tcPr>
            <w:tcW w:w="1460" w:type="dxa"/>
            <w:tcBorders>
              <w:top w:val="nil"/>
              <w:left w:val="nil"/>
              <w:bottom w:val="nil"/>
              <w:right w:val="nil"/>
            </w:tcBorders>
            <w:shd w:val="clear" w:color="auto" w:fill="auto"/>
            <w:noWrap/>
            <w:vAlign w:val="bottom"/>
            <w:hideMark/>
          </w:tcPr>
          <w:p w14:paraId="32062AB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1,86</w:t>
            </w:r>
          </w:p>
        </w:tc>
        <w:tc>
          <w:tcPr>
            <w:tcW w:w="445" w:type="dxa"/>
            <w:tcBorders>
              <w:top w:val="nil"/>
              <w:left w:val="single" w:sz="4" w:space="0" w:color="auto"/>
              <w:bottom w:val="nil"/>
              <w:right w:val="nil"/>
            </w:tcBorders>
            <w:shd w:val="clear" w:color="auto" w:fill="auto"/>
            <w:noWrap/>
            <w:vAlign w:val="bottom"/>
            <w:hideMark/>
          </w:tcPr>
          <w:p w14:paraId="31A176A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32</w:t>
            </w:r>
          </w:p>
        </w:tc>
        <w:tc>
          <w:tcPr>
            <w:tcW w:w="1357" w:type="dxa"/>
            <w:tcBorders>
              <w:top w:val="nil"/>
              <w:left w:val="nil"/>
              <w:bottom w:val="nil"/>
              <w:right w:val="nil"/>
            </w:tcBorders>
            <w:shd w:val="clear" w:color="auto" w:fill="auto"/>
            <w:noWrap/>
            <w:vAlign w:val="bottom"/>
            <w:hideMark/>
          </w:tcPr>
          <w:p w14:paraId="1A5121FC"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35918110" w14:textId="53539D63"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2A11055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28</w:t>
            </w:r>
          </w:p>
        </w:tc>
        <w:tc>
          <w:tcPr>
            <w:tcW w:w="1297" w:type="dxa"/>
            <w:tcBorders>
              <w:top w:val="nil"/>
              <w:left w:val="nil"/>
              <w:bottom w:val="nil"/>
              <w:right w:val="nil"/>
            </w:tcBorders>
            <w:shd w:val="clear" w:color="auto" w:fill="auto"/>
            <w:noWrap/>
            <w:vAlign w:val="bottom"/>
            <w:hideMark/>
          </w:tcPr>
          <w:p w14:paraId="6A070C8F"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2B79B300"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63A7CAEF"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5DCE4047"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4C84D7B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1,86</w:t>
            </w:r>
          </w:p>
        </w:tc>
        <w:tc>
          <w:tcPr>
            <w:tcW w:w="445" w:type="dxa"/>
            <w:tcBorders>
              <w:top w:val="nil"/>
              <w:left w:val="single" w:sz="4" w:space="0" w:color="auto"/>
              <w:bottom w:val="single" w:sz="4" w:space="0" w:color="auto"/>
              <w:right w:val="nil"/>
            </w:tcBorders>
            <w:shd w:val="clear" w:color="auto" w:fill="auto"/>
            <w:noWrap/>
            <w:vAlign w:val="bottom"/>
            <w:hideMark/>
          </w:tcPr>
          <w:p w14:paraId="1F54148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75</w:t>
            </w:r>
          </w:p>
        </w:tc>
        <w:tc>
          <w:tcPr>
            <w:tcW w:w="1357" w:type="dxa"/>
            <w:tcBorders>
              <w:top w:val="nil"/>
              <w:left w:val="nil"/>
              <w:bottom w:val="single" w:sz="4" w:space="0" w:color="auto"/>
              <w:right w:val="nil"/>
            </w:tcBorders>
            <w:shd w:val="clear" w:color="auto" w:fill="auto"/>
            <w:noWrap/>
            <w:vAlign w:val="bottom"/>
            <w:hideMark/>
          </w:tcPr>
          <w:p w14:paraId="77A3FD0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1,3 (0,8; 2)</w:t>
            </w:r>
          </w:p>
        </w:tc>
        <w:tc>
          <w:tcPr>
            <w:tcW w:w="1095" w:type="dxa"/>
            <w:tcBorders>
              <w:top w:val="nil"/>
              <w:left w:val="nil"/>
              <w:bottom w:val="single" w:sz="4" w:space="0" w:color="auto"/>
              <w:right w:val="single" w:sz="4" w:space="0" w:color="auto"/>
            </w:tcBorders>
            <w:shd w:val="clear" w:color="auto" w:fill="auto"/>
            <w:noWrap/>
            <w:vAlign w:val="bottom"/>
            <w:hideMark/>
          </w:tcPr>
          <w:p w14:paraId="692E865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0,236</w:t>
            </w:r>
          </w:p>
        </w:tc>
        <w:tc>
          <w:tcPr>
            <w:tcW w:w="343" w:type="dxa"/>
            <w:tcBorders>
              <w:top w:val="nil"/>
              <w:left w:val="nil"/>
              <w:bottom w:val="single" w:sz="4" w:space="0" w:color="auto"/>
              <w:right w:val="nil"/>
            </w:tcBorders>
            <w:shd w:val="clear" w:color="auto" w:fill="auto"/>
            <w:noWrap/>
            <w:vAlign w:val="bottom"/>
            <w:hideMark/>
          </w:tcPr>
          <w:p w14:paraId="38E4125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67</w:t>
            </w:r>
          </w:p>
        </w:tc>
        <w:tc>
          <w:tcPr>
            <w:tcW w:w="1297" w:type="dxa"/>
            <w:tcBorders>
              <w:top w:val="nil"/>
              <w:left w:val="nil"/>
              <w:bottom w:val="single" w:sz="4" w:space="0" w:color="auto"/>
              <w:right w:val="nil"/>
            </w:tcBorders>
            <w:shd w:val="clear" w:color="auto" w:fill="auto"/>
            <w:noWrap/>
            <w:vAlign w:val="bottom"/>
            <w:hideMark/>
          </w:tcPr>
          <w:p w14:paraId="20A16F6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1,5 (0,9; 2,4)</w:t>
            </w:r>
          </w:p>
        </w:tc>
        <w:tc>
          <w:tcPr>
            <w:tcW w:w="1095" w:type="dxa"/>
            <w:tcBorders>
              <w:top w:val="nil"/>
              <w:left w:val="nil"/>
              <w:bottom w:val="single" w:sz="4" w:space="0" w:color="auto"/>
              <w:right w:val="nil"/>
            </w:tcBorders>
            <w:shd w:val="clear" w:color="auto" w:fill="auto"/>
            <w:noWrap/>
            <w:vAlign w:val="bottom"/>
            <w:hideMark/>
          </w:tcPr>
          <w:p w14:paraId="6C3C62D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0,091</w:t>
            </w:r>
          </w:p>
        </w:tc>
      </w:tr>
      <w:tr w:rsidR="00E3045E" w:rsidRPr="00E3045E" w14:paraId="1520622F"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372118F4"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RB1</w:t>
            </w:r>
          </w:p>
        </w:tc>
        <w:tc>
          <w:tcPr>
            <w:tcW w:w="1460" w:type="dxa"/>
            <w:tcBorders>
              <w:top w:val="nil"/>
              <w:left w:val="nil"/>
              <w:bottom w:val="nil"/>
              <w:right w:val="nil"/>
            </w:tcBorders>
            <w:shd w:val="clear" w:color="auto" w:fill="auto"/>
            <w:noWrap/>
            <w:vAlign w:val="bottom"/>
            <w:hideMark/>
          </w:tcPr>
          <w:p w14:paraId="0BC7123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2,26</w:t>
            </w:r>
          </w:p>
        </w:tc>
        <w:tc>
          <w:tcPr>
            <w:tcW w:w="445" w:type="dxa"/>
            <w:tcBorders>
              <w:top w:val="nil"/>
              <w:left w:val="single" w:sz="4" w:space="0" w:color="auto"/>
              <w:bottom w:val="nil"/>
              <w:right w:val="nil"/>
            </w:tcBorders>
            <w:shd w:val="clear" w:color="auto" w:fill="auto"/>
            <w:noWrap/>
            <w:vAlign w:val="bottom"/>
            <w:hideMark/>
          </w:tcPr>
          <w:p w14:paraId="6F12D66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93</w:t>
            </w:r>
          </w:p>
        </w:tc>
        <w:tc>
          <w:tcPr>
            <w:tcW w:w="1357" w:type="dxa"/>
            <w:tcBorders>
              <w:top w:val="nil"/>
              <w:left w:val="nil"/>
              <w:bottom w:val="nil"/>
              <w:right w:val="nil"/>
            </w:tcBorders>
            <w:shd w:val="clear" w:color="auto" w:fill="auto"/>
            <w:noWrap/>
            <w:vAlign w:val="bottom"/>
            <w:hideMark/>
          </w:tcPr>
          <w:p w14:paraId="40B8AC2D"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07B20402" w14:textId="49C9C8EA"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5350630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85</w:t>
            </w:r>
          </w:p>
        </w:tc>
        <w:tc>
          <w:tcPr>
            <w:tcW w:w="1297" w:type="dxa"/>
            <w:tcBorders>
              <w:top w:val="nil"/>
              <w:left w:val="nil"/>
              <w:bottom w:val="nil"/>
              <w:right w:val="nil"/>
            </w:tcBorders>
            <w:shd w:val="clear" w:color="auto" w:fill="auto"/>
            <w:noWrap/>
            <w:vAlign w:val="bottom"/>
            <w:hideMark/>
          </w:tcPr>
          <w:p w14:paraId="4DF47E2D"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379974BE"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492B4088"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166371A7"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000BDF9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2,26</w:t>
            </w:r>
          </w:p>
        </w:tc>
        <w:tc>
          <w:tcPr>
            <w:tcW w:w="445" w:type="dxa"/>
            <w:tcBorders>
              <w:top w:val="nil"/>
              <w:left w:val="single" w:sz="4" w:space="0" w:color="auto"/>
              <w:bottom w:val="single" w:sz="4" w:space="0" w:color="auto"/>
              <w:right w:val="nil"/>
            </w:tcBorders>
            <w:shd w:val="clear" w:color="auto" w:fill="auto"/>
            <w:noWrap/>
            <w:vAlign w:val="bottom"/>
            <w:hideMark/>
          </w:tcPr>
          <w:p w14:paraId="628CBDF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14</w:t>
            </w:r>
          </w:p>
        </w:tc>
        <w:tc>
          <w:tcPr>
            <w:tcW w:w="1357" w:type="dxa"/>
            <w:tcBorders>
              <w:top w:val="nil"/>
              <w:left w:val="nil"/>
              <w:bottom w:val="single" w:sz="4" w:space="0" w:color="auto"/>
              <w:right w:val="nil"/>
            </w:tcBorders>
            <w:shd w:val="clear" w:color="auto" w:fill="auto"/>
            <w:noWrap/>
            <w:vAlign w:val="bottom"/>
            <w:hideMark/>
          </w:tcPr>
          <w:p w14:paraId="4C60124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2,5 (1,4; 4,7)</w:t>
            </w:r>
          </w:p>
        </w:tc>
        <w:tc>
          <w:tcPr>
            <w:tcW w:w="1095" w:type="dxa"/>
            <w:tcBorders>
              <w:top w:val="nil"/>
              <w:left w:val="nil"/>
              <w:bottom w:val="single" w:sz="4" w:space="0" w:color="auto"/>
              <w:right w:val="single" w:sz="4" w:space="0" w:color="auto"/>
            </w:tcBorders>
            <w:shd w:val="clear" w:color="auto" w:fill="auto"/>
            <w:noWrap/>
            <w:vAlign w:val="bottom"/>
            <w:hideMark/>
          </w:tcPr>
          <w:p w14:paraId="1CAA371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0.003</w:t>
            </w:r>
          </w:p>
        </w:tc>
        <w:tc>
          <w:tcPr>
            <w:tcW w:w="343" w:type="dxa"/>
            <w:tcBorders>
              <w:top w:val="nil"/>
              <w:left w:val="nil"/>
              <w:bottom w:val="single" w:sz="4" w:space="0" w:color="auto"/>
              <w:right w:val="nil"/>
            </w:tcBorders>
            <w:shd w:val="clear" w:color="auto" w:fill="auto"/>
            <w:noWrap/>
            <w:vAlign w:val="bottom"/>
            <w:hideMark/>
          </w:tcPr>
          <w:p w14:paraId="490F31A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11</w:t>
            </w:r>
          </w:p>
        </w:tc>
        <w:tc>
          <w:tcPr>
            <w:tcW w:w="1297" w:type="dxa"/>
            <w:tcBorders>
              <w:top w:val="nil"/>
              <w:left w:val="nil"/>
              <w:bottom w:val="single" w:sz="4" w:space="0" w:color="auto"/>
              <w:right w:val="nil"/>
            </w:tcBorders>
            <w:shd w:val="clear" w:color="auto" w:fill="auto"/>
            <w:noWrap/>
            <w:vAlign w:val="bottom"/>
            <w:hideMark/>
          </w:tcPr>
          <w:p w14:paraId="66F0F9D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2,6 (1,3; 5,2)</w:t>
            </w:r>
          </w:p>
        </w:tc>
        <w:tc>
          <w:tcPr>
            <w:tcW w:w="1095" w:type="dxa"/>
            <w:tcBorders>
              <w:top w:val="nil"/>
              <w:left w:val="nil"/>
              <w:bottom w:val="single" w:sz="4" w:space="0" w:color="auto"/>
              <w:right w:val="nil"/>
            </w:tcBorders>
            <w:shd w:val="clear" w:color="auto" w:fill="auto"/>
            <w:noWrap/>
            <w:vAlign w:val="bottom"/>
            <w:hideMark/>
          </w:tcPr>
          <w:p w14:paraId="45AE421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0,006</w:t>
            </w:r>
          </w:p>
        </w:tc>
      </w:tr>
      <w:tr w:rsidR="00E3045E" w:rsidRPr="00E3045E" w14:paraId="3A349588"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1B576DC3"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13q12.11</w:t>
            </w:r>
          </w:p>
        </w:tc>
        <w:tc>
          <w:tcPr>
            <w:tcW w:w="1460" w:type="dxa"/>
            <w:tcBorders>
              <w:top w:val="nil"/>
              <w:left w:val="nil"/>
              <w:bottom w:val="nil"/>
              <w:right w:val="nil"/>
            </w:tcBorders>
            <w:shd w:val="clear" w:color="auto" w:fill="auto"/>
            <w:noWrap/>
            <w:vAlign w:val="bottom"/>
            <w:hideMark/>
          </w:tcPr>
          <w:p w14:paraId="041A88D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2,01</w:t>
            </w:r>
          </w:p>
        </w:tc>
        <w:tc>
          <w:tcPr>
            <w:tcW w:w="445" w:type="dxa"/>
            <w:tcBorders>
              <w:top w:val="nil"/>
              <w:left w:val="single" w:sz="4" w:space="0" w:color="auto"/>
              <w:bottom w:val="nil"/>
              <w:right w:val="nil"/>
            </w:tcBorders>
            <w:shd w:val="clear" w:color="auto" w:fill="auto"/>
            <w:noWrap/>
            <w:vAlign w:val="bottom"/>
            <w:hideMark/>
          </w:tcPr>
          <w:p w14:paraId="0900600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23</w:t>
            </w:r>
          </w:p>
        </w:tc>
        <w:tc>
          <w:tcPr>
            <w:tcW w:w="1357" w:type="dxa"/>
            <w:tcBorders>
              <w:top w:val="nil"/>
              <w:left w:val="nil"/>
              <w:bottom w:val="nil"/>
              <w:right w:val="nil"/>
            </w:tcBorders>
            <w:shd w:val="clear" w:color="auto" w:fill="auto"/>
            <w:noWrap/>
            <w:vAlign w:val="bottom"/>
            <w:hideMark/>
          </w:tcPr>
          <w:p w14:paraId="6E707755"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6B9ED7B6" w14:textId="5D2D8CB4"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47C6473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23</w:t>
            </w:r>
          </w:p>
        </w:tc>
        <w:tc>
          <w:tcPr>
            <w:tcW w:w="1297" w:type="dxa"/>
            <w:tcBorders>
              <w:top w:val="nil"/>
              <w:left w:val="nil"/>
              <w:bottom w:val="nil"/>
              <w:right w:val="nil"/>
            </w:tcBorders>
            <w:shd w:val="clear" w:color="auto" w:fill="auto"/>
            <w:noWrap/>
            <w:vAlign w:val="bottom"/>
            <w:hideMark/>
          </w:tcPr>
          <w:p w14:paraId="1CA8058B"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74E96E2C"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10C56E81"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0E594C84"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12D909B8"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2,01</w:t>
            </w:r>
          </w:p>
        </w:tc>
        <w:tc>
          <w:tcPr>
            <w:tcW w:w="445" w:type="dxa"/>
            <w:tcBorders>
              <w:top w:val="nil"/>
              <w:left w:val="single" w:sz="4" w:space="0" w:color="auto"/>
              <w:bottom w:val="single" w:sz="4" w:space="0" w:color="auto"/>
              <w:right w:val="nil"/>
            </w:tcBorders>
            <w:shd w:val="clear" w:color="auto" w:fill="auto"/>
            <w:noWrap/>
            <w:vAlign w:val="bottom"/>
            <w:hideMark/>
          </w:tcPr>
          <w:p w14:paraId="2B56A04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59</w:t>
            </w:r>
          </w:p>
        </w:tc>
        <w:tc>
          <w:tcPr>
            <w:tcW w:w="1357" w:type="dxa"/>
            <w:tcBorders>
              <w:top w:val="nil"/>
              <w:left w:val="nil"/>
              <w:bottom w:val="single" w:sz="4" w:space="0" w:color="auto"/>
              <w:right w:val="nil"/>
            </w:tcBorders>
            <w:shd w:val="clear" w:color="auto" w:fill="auto"/>
            <w:noWrap/>
            <w:vAlign w:val="bottom"/>
            <w:hideMark/>
          </w:tcPr>
          <w:p w14:paraId="3550764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1,5 (0,9; 2,6)</w:t>
            </w:r>
          </w:p>
        </w:tc>
        <w:tc>
          <w:tcPr>
            <w:tcW w:w="1095" w:type="dxa"/>
            <w:tcBorders>
              <w:top w:val="nil"/>
              <w:left w:val="nil"/>
              <w:bottom w:val="single" w:sz="4" w:space="0" w:color="auto"/>
              <w:right w:val="single" w:sz="4" w:space="0" w:color="auto"/>
            </w:tcBorders>
            <w:shd w:val="clear" w:color="auto" w:fill="auto"/>
            <w:noWrap/>
            <w:vAlign w:val="bottom"/>
            <w:hideMark/>
          </w:tcPr>
          <w:p w14:paraId="6AD54BA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0,138</w:t>
            </w:r>
          </w:p>
        </w:tc>
        <w:tc>
          <w:tcPr>
            <w:tcW w:w="343" w:type="dxa"/>
            <w:tcBorders>
              <w:top w:val="nil"/>
              <w:left w:val="nil"/>
              <w:bottom w:val="single" w:sz="4" w:space="0" w:color="auto"/>
              <w:right w:val="nil"/>
            </w:tcBorders>
            <w:shd w:val="clear" w:color="auto" w:fill="auto"/>
            <w:noWrap/>
            <w:vAlign w:val="bottom"/>
            <w:hideMark/>
          </w:tcPr>
          <w:p w14:paraId="13C3BCF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53</w:t>
            </w:r>
          </w:p>
        </w:tc>
        <w:tc>
          <w:tcPr>
            <w:tcW w:w="1297" w:type="dxa"/>
            <w:tcBorders>
              <w:top w:val="nil"/>
              <w:left w:val="nil"/>
              <w:bottom w:val="single" w:sz="4" w:space="0" w:color="auto"/>
              <w:right w:val="nil"/>
            </w:tcBorders>
            <w:shd w:val="clear" w:color="auto" w:fill="auto"/>
            <w:noWrap/>
            <w:vAlign w:val="bottom"/>
            <w:hideMark/>
          </w:tcPr>
          <w:p w14:paraId="573599F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1,5 (0,8; 2,7)</w:t>
            </w:r>
          </w:p>
        </w:tc>
        <w:tc>
          <w:tcPr>
            <w:tcW w:w="1095" w:type="dxa"/>
            <w:tcBorders>
              <w:top w:val="nil"/>
              <w:left w:val="nil"/>
              <w:bottom w:val="single" w:sz="4" w:space="0" w:color="auto"/>
              <w:right w:val="nil"/>
            </w:tcBorders>
            <w:shd w:val="clear" w:color="auto" w:fill="auto"/>
            <w:noWrap/>
            <w:vAlign w:val="bottom"/>
            <w:hideMark/>
          </w:tcPr>
          <w:p w14:paraId="3E6055B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0,165</w:t>
            </w:r>
          </w:p>
        </w:tc>
      </w:tr>
      <w:tr w:rsidR="00E3045E" w:rsidRPr="00E3045E" w14:paraId="695A4AEB"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012D0B9B"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p53</w:t>
            </w:r>
          </w:p>
        </w:tc>
        <w:tc>
          <w:tcPr>
            <w:tcW w:w="1460" w:type="dxa"/>
            <w:tcBorders>
              <w:top w:val="nil"/>
              <w:left w:val="nil"/>
              <w:bottom w:val="nil"/>
              <w:right w:val="nil"/>
            </w:tcBorders>
            <w:shd w:val="clear" w:color="auto" w:fill="auto"/>
            <w:noWrap/>
            <w:vAlign w:val="bottom"/>
            <w:hideMark/>
          </w:tcPr>
          <w:p w14:paraId="3822EA6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2,42</w:t>
            </w:r>
          </w:p>
        </w:tc>
        <w:tc>
          <w:tcPr>
            <w:tcW w:w="445" w:type="dxa"/>
            <w:tcBorders>
              <w:top w:val="nil"/>
              <w:left w:val="single" w:sz="4" w:space="0" w:color="auto"/>
              <w:bottom w:val="nil"/>
              <w:right w:val="nil"/>
            </w:tcBorders>
            <w:shd w:val="clear" w:color="auto" w:fill="auto"/>
            <w:noWrap/>
            <w:vAlign w:val="bottom"/>
            <w:hideMark/>
          </w:tcPr>
          <w:p w14:paraId="2E86B0D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93</w:t>
            </w:r>
          </w:p>
        </w:tc>
        <w:tc>
          <w:tcPr>
            <w:tcW w:w="1357" w:type="dxa"/>
            <w:tcBorders>
              <w:top w:val="nil"/>
              <w:left w:val="nil"/>
              <w:bottom w:val="nil"/>
              <w:right w:val="nil"/>
            </w:tcBorders>
            <w:shd w:val="clear" w:color="auto" w:fill="auto"/>
            <w:noWrap/>
            <w:vAlign w:val="bottom"/>
            <w:hideMark/>
          </w:tcPr>
          <w:p w14:paraId="003AAAA8"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65B1A940" w14:textId="377BAB1C"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6BB6DB4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84</w:t>
            </w:r>
          </w:p>
        </w:tc>
        <w:tc>
          <w:tcPr>
            <w:tcW w:w="1297" w:type="dxa"/>
            <w:tcBorders>
              <w:top w:val="nil"/>
              <w:left w:val="nil"/>
              <w:bottom w:val="nil"/>
              <w:right w:val="nil"/>
            </w:tcBorders>
            <w:shd w:val="clear" w:color="auto" w:fill="auto"/>
            <w:noWrap/>
            <w:vAlign w:val="bottom"/>
            <w:hideMark/>
          </w:tcPr>
          <w:p w14:paraId="6106677D"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4DBD11A2"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12F0AE63"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47F8F5C2"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34F8EBE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2,42</w:t>
            </w:r>
          </w:p>
        </w:tc>
        <w:tc>
          <w:tcPr>
            <w:tcW w:w="445" w:type="dxa"/>
            <w:tcBorders>
              <w:top w:val="nil"/>
              <w:left w:val="single" w:sz="4" w:space="0" w:color="auto"/>
              <w:bottom w:val="single" w:sz="4" w:space="0" w:color="auto"/>
              <w:right w:val="nil"/>
            </w:tcBorders>
            <w:shd w:val="clear" w:color="auto" w:fill="auto"/>
            <w:noWrap/>
            <w:vAlign w:val="bottom"/>
            <w:hideMark/>
          </w:tcPr>
          <w:p w14:paraId="4C7E708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21</w:t>
            </w:r>
          </w:p>
        </w:tc>
        <w:tc>
          <w:tcPr>
            <w:tcW w:w="1357" w:type="dxa"/>
            <w:tcBorders>
              <w:top w:val="nil"/>
              <w:left w:val="nil"/>
              <w:bottom w:val="single" w:sz="4" w:space="0" w:color="auto"/>
              <w:right w:val="nil"/>
            </w:tcBorders>
            <w:shd w:val="clear" w:color="auto" w:fill="auto"/>
            <w:noWrap/>
            <w:vAlign w:val="bottom"/>
            <w:hideMark/>
          </w:tcPr>
          <w:p w14:paraId="29B0D28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0,5 (0,3; 0,9)</w:t>
            </w:r>
          </w:p>
        </w:tc>
        <w:tc>
          <w:tcPr>
            <w:tcW w:w="1095" w:type="dxa"/>
            <w:tcBorders>
              <w:top w:val="nil"/>
              <w:left w:val="nil"/>
              <w:bottom w:val="single" w:sz="4" w:space="0" w:color="auto"/>
              <w:right w:val="single" w:sz="4" w:space="0" w:color="auto"/>
            </w:tcBorders>
            <w:shd w:val="clear" w:color="auto" w:fill="auto"/>
            <w:noWrap/>
            <w:vAlign w:val="bottom"/>
            <w:hideMark/>
          </w:tcPr>
          <w:p w14:paraId="7F8A325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0,019</w:t>
            </w:r>
          </w:p>
        </w:tc>
        <w:tc>
          <w:tcPr>
            <w:tcW w:w="343" w:type="dxa"/>
            <w:tcBorders>
              <w:top w:val="nil"/>
              <w:left w:val="nil"/>
              <w:bottom w:val="single" w:sz="4" w:space="0" w:color="auto"/>
              <w:right w:val="nil"/>
            </w:tcBorders>
            <w:shd w:val="clear" w:color="auto" w:fill="auto"/>
            <w:noWrap/>
            <w:vAlign w:val="bottom"/>
            <w:hideMark/>
          </w:tcPr>
          <w:p w14:paraId="73B9A8D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18</w:t>
            </w:r>
          </w:p>
        </w:tc>
        <w:tc>
          <w:tcPr>
            <w:tcW w:w="1297" w:type="dxa"/>
            <w:tcBorders>
              <w:top w:val="nil"/>
              <w:left w:val="nil"/>
              <w:bottom w:val="single" w:sz="4" w:space="0" w:color="auto"/>
              <w:right w:val="nil"/>
            </w:tcBorders>
            <w:shd w:val="clear" w:color="auto" w:fill="auto"/>
            <w:noWrap/>
            <w:vAlign w:val="bottom"/>
            <w:hideMark/>
          </w:tcPr>
          <w:p w14:paraId="348E2DC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0,5 (0,3; 0,9)</w:t>
            </w:r>
          </w:p>
        </w:tc>
        <w:tc>
          <w:tcPr>
            <w:tcW w:w="1095" w:type="dxa"/>
            <w:tcBorders>
              <w:top w:val="nil"/>
              <w:left w:val="nil"/>
              <w:bottom w:val="single" w:sz="4" w:space="0" w:color="auto"/>
              <w:right w:val="nil"/>
            </w:tcBorders>
            <w:shd w:val="clear" w:color="auto" w:fill="auto"/>
            <w:noWrap/>
            <w:vAlign w:val="bottom"/>
            <w:hideMark/>
          </w:tcPr>
          <w:p w14:paraId="4D7EC24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0,02</w:t>
            </w:r>
          </w:p>
        </w:tc>
      </w:tr>
      <w:tr w:rsidR="00E3045E" w:rsidRPr="00E3045E" w14:paraId="4347CD36"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365EB819"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MDM2</w:t>
            </w:r>
          </w:p>
        </w:tc>
        <w:tc>
          <w:tcPr>
            <w:tcW w:w="1460" w:type="dxa"/>
            <w:tcBorders>
              <w:top w:val="nil"/>
              <w:left w:val="nil"/>
              <w:bottom w:val="nil"/>
              <w:right w:val="nil"/>
            </w:tcBorders>
            <w:shd w:val="clear" w:color="auto" w:fill="auto"/>
            <w:noWrap/>
            <w:vAlign w:val="bottom"/>
            <w:hideMark/>
          </w:tcPr>
          <w:p w14:paraId="6AC9706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1,97</w:t>
            </w:r>
          </w:p>
        </w:tc>
        <w:tc>
          <w:tcPr>
            <w:tcW w:w="445" w:type="dxa"/>
            <w:tcBorders>
              <w:top w:val="nil"/>
              <w:left w:val="single" w:sz="4" w:space="0" w:color="auto"/>
              <w:bottom w:val="nil"/>
              <w:right w:val="nil"/>
            </w:tcBorders>
            <w:shd w:val="clear" w:color="auto" w:fill="auto"/>
            <w:noWrap/>
            <w:vAlign w:val="bottom"/>
            <w:hideMark/>
          </w:tcPr>
          <w:p w14:paraId="4CE9C05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9</w:t>
            </w:r>
          </w:p>
        </w:tc>
        <w:tc>
          <w:tcPr>
            <w:tcW w:w="1357" w:type="dxa"/>
            <w:tcBorders>
              <w:top w:val="nil"/>
              <w:left w:val="nil"/>
              <w:bottom w:val="nil"/>
              <w:right w:val="nil"/>
            </w:tcBorders>
            <w:shd w:val="clear" w:color="auto" w:fill="auto"/>
            <w:noWrap/>
            <w:vAlign w:val="bottom"/>
            <w:hideMark/>
          </w:tcPr>
          <w:p w14:paraId="3E838D03"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57C57EA9" w14:textId="1E602339"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4E98F9A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9</w:t>
            </w:r>
          </w:p>
        </w:tc>
        <w:tc>
          <w:tcPr>
            <w:tcW w:w="1297" w:type="dxa"/>
            <w:tcBorders>
              <w:top w:val="nil"/>
              <w:left w:val="nil"/>
              <w:bottom w:val="nil"/>
              <w:right w:val="nil"/>
            </w:tcBorders>
            <w:shd w:val="clear" w:color="auto" w:fill="auto"/>
            <w:noWrap/>
            <w:vAlign w:val="bottom"/>
            <w:hideMark/>
          </w:tcPr>
          <w:p w14:paraId="5DAF4B58"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28EA6595"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7A57E130"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3498606B"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54B7AD8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1,97</w:t>
            </w:r>
          </w:p>
        </w:tc>
        <w:tc>
          <w:tcPr>
            <w:tcW w:w="445" w:type="dxa"/>
            <w:tcBorders>
              <w:top w:val="nil"/>
              <w:left w:val="single" w:sz="4" w:space="0" w:color="auto"/>
              <w:bottom w:val="single" w:sz="4" w:space="0" w:color="auto"/>
              <w:right w:val="nil"/>
            </w:tcBorders>
            <w:shd w:val="clear" w:color="auto" w:fill="auto"/>
            <w:noWrap/>
            <w:vAlign w:val="bottom"/>
            <w:hideMark/>
          </w:tcPr>
          <w:p w14:paraId="2588166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101</w:t>
            </w:r>
          </w:p>
        </w:tc>
        <w:tc>
          <w:tcPr>
            <w:tcW w:w="1357" w:type="dxa"/>
            <w:tcBorders>
              <w:top w:val="nil"/>
              <w:left w:val="nil"/>
              <w:bottom w:val="single" w:sz="4" w:space="0" w:color="auto"/>
              <w:right w:val="nil"/>
            </w:tcBorders>
            <w:shd w:val="clear" w:color="auto" w:fill="auto"/>
            <w:noWrap/>
            <w:vAlign w:val="bottom"/>
            <w:hideMark/>
          </w:tcPr>
          <w:p w14:paraId="70CFBCB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0,6 (0,3; 1,3)</w:t>
            </w:r>
          </w:p>
        </w:tc>
        <w:tc>
          <w:tcPr>
            <w:tcW w:w="1095" w:type="dxa"/>
            <w:tcBorders>
              <w:top w:val="nil"/>
              <w:left w:val="nil"/>
              <w:bottom w:val="single" w:sz="4" w:space="0" w:color="auto"/>
              <w:right w:val="single" w:sz="4" w:space="0" w:color="auto"/>
            </w:tcBorders>
            <w:shd w:val="clear" w:color="auto" w:fill="auto"/>
            <w:noWrap/>
            <w:vAlign w:val="bottom"/>
            <w:hideMark/>
          </w:tcPr>
          <w:p w14:paraId="6C878FC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0,186</w:t>
            </w:r>
          </w:p>
        </w:tc>
        <w:tc>
          <w:tcPr>
            <w:tcW w:w="343" w:type="dxa"/>
            <w:tcBorders>
              <w:top w:val="nil"/>
              <w:left w:val="nil"/>
              <w:bottom w:val="single" w:sz="4" w:space="0" w:color="auto"/>
              <w:right w:val="nil"/>
            </w:tcBorders>
            <w:shd w:val="clear" w:color="auto" w:fill="auto"/>
            <w:noWrap/>
            <w:vAlign w:val="bottom"/>
            <w:hideMark/>
          </w:tcPr>
          <w:p w14:paraId="27A369E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89</w:t>
            </w:r>
          </w:p>
        </w:tc>
        <w:tc>
          <w:tcPr>
            <w:tcW w:w="1297" w:type="dxa"/>
            <w:tcBorders>
              <w:top w:val="nil"/>
              <w:left w:val="nil"/>
              <w:bottom w:val="single" w:sz="4" w:space="0" w:color="auto"/>
              <w:right w:val="nil"/>
            </w:tcBorders>
            <w:shd w:val="clear" w:color="auto" w:fill="auto"/>
            <w:noWrap/>
            <w:vAlign w:val="bottom"/>
            <w:hideMark/>
          </w:tcPr>
          <w:p w14:paraId="4323C8E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0,5 (0,3; 1,1)</w:t>
            </w:r>
          </w:p>
        </w:tc>
        <w:tc>
          <w:tcPr>
            <w:tcW w:w="1095" w:type="dxa"/>
            <w:tcBorders>
              <w:top w:val="nil"/>
              <w:left w:val="nil"/>
              <w:bottom w:val="single" w:sz="4" w:space="0" w:color="auto"/>
              <w:right w:val="nil"/>
            </w:tcBorders>
            <w:shd w:val="clear" w:color="auto" w:fill="auto"/>
            <w:noWrap/>
            <w:vAlign w:val="bottom"/>
            <w:hideMark/>
          </w:tcPr>
          <w:p w14:paraId="4EDFCA1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0,111</w:t>
            </w:r>
          </w:p>
        </w:tc>
      </w:tr>
      <w:tr w:rsidR="00E3045E" w:rsidRPr="00E3045E" w14:paraId="2F851837"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1866E7AD"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10p11.1</w:t>
            </w:r>
          </w:p>
        </w:tc>
        <w:tc>
          <w:tcPr>
            <w:tcW w:w="1460" w:type="dxa"/>
            <w:tcBorders>
              <w:top w:val="nil"/>
              <w:left w:val="nil"/>
              <w:bottom w:val="nil"/>
              <w:right w:val="nil"/>
            </w:tcBorders>
            <w:shd w:val="clear" w:color="auto" w:fill="auto"/>
            <w:noWrap/>
            <w:vAlign w:val="bottom"/>
            <w:hideMark/>
          </w:tcPr>
          <w:p w14:paraId="3ED2876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2,11</w:t>
            </w:r>
          </w:p>
        </w:tc>
        <w:tc>
          <w:tcPr>
            <w:tcW w:w="445" w:type="dxa"/>
            <w:tcBorders>
              <w:top w:val="nil"/>
              <w:left w:val="single" w:sz="4" w:space="0" w:color="auto"/>
              <w:bottom w:val="nil"/>
              <w:right w:val="nil"/>
            </w:tcBorders>
            <w:shd w:val="clear" w:color="auto" w:fill="auto"/>
            <w:noWrap/>
            <w:vAlign w:val="bottom"/>
            <w:hideMark/>
          </w:tcPr>
          <w:p w14:paraId="2DA2478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81</w:t>
            </w:r>
          </w:p>
        </w:tc>
        <w:tc>
          <w:tcPr>
            <w:tcW w:w="1357" w:type="dxa"/>
            <w:tcBorders>
              <w:top w:val="nil"/>
              <w:left w:val="nil"/>
              <w:bottom w:val="nil"/>
              <w:right w:val="nil"/>
            </w:tcBorders>
            <w:shd w:val="clear" w:color="auto" w:fill="auto"/>
            <w:noWrap/>
            <w:vAlign w:val="bottom"/>
            <w:hideMark/>
          </w:tcPr>
          <w:p w14:paraId="459FB5BA"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1B0B81AE" w14:textId="6933F136" w:rsidR="00E3045E" w:rsidRPr="00E3045E" w:rsidRDefault="00E3045E" w:rsidP="00E3045E">
            <w:pPr>
              <w:spacing w:after="0" w:line="240" w:lineRule="auto"/>
              <w:jc w:val="center"/>
              <w:rPr>
                <w:rFonts w:eastAsia="Times New Roman" w:cstheme="minorHAnsi"/>
                <w:color w:val="000000"/>
                <w:sz w:val="20"/>
                <w:szCs w:val="20"/>
              </w:rPr>
            </w:pPr>
          </w:p>
        </w:tc>
        <w:tc>
          <w:tcPr>
            <w:tcW w:w="343" w:type="dxa"/>
            <w:tcBorders>
              <w:top w:val="nil"/>
              <w:left w:val="nil"/>
              <w:bottom w:val="nil"/>
              <w:right w:val="nil"/>
            </w:tcBorders>
            <w:shd w:val="clear" w:color="auto" w:fill="auto"/>
            <w:noWrap/>
            <w:vAlign w:val="bottom"/>
            <w:hideMark/>
          </w:tcPr>
          <w:p w14:paraId="237AB34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72</w:t>
            </w:r>
          </w:p>
        </w:tc>
        <w:tc>
          <w:tcPr>
            <w:tcW w:w="1297" w:type="dxa"/>
            <w:tcBorders>
              <w:top w:val="nil"/>
              <w:left w:val="nil"/>
              <w:bottom w:val="nil"/>
              <w:right w:val="nil"/>
            </w:tcBorders>
            <w:shd w:val="clear" w:color="auto" w:fill="auto"/>
            <w:noWrap/>
            <w:vAlign w:val="bottom"/>
            <w:hideMark/>
          </w:tcPr>
          <w:p w14:paraId="353C4DB6"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657E0B51"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4505AF14"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1FFEBE24"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0AD11B7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2,11</w:t>
            </w:r>
          </w:p>
        </w:tc>
        <w:tc>
          <w:tcPr>
            <w:tcW w:w="445" w:type="dxa"/>
            <w:tcBorders>
              <w:top w:val="nil"/>
              <w:left w:val="single" w:sz="4" w:space="0" w:color="auto"/>
              <w:bottom w:val="single" w:sz="4" w:space="0" w:color="auto"/>
              <w:right w:val="nil"/>
            </w:tcBorders>
            <w:shd w:val="clear" w:color="auto" w:fill="auto"/>
            <w:noWrap/>
            <w:vAlign w:val="bottom"/>
            <w:hideMark/>
          </w:tcPr>
          <w:p w14:paraId="1318249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16</w:t>
            </w:r>
          </w:p>
        </w:tc>
        <w:tc>
          <w:tcPr>
            <w:tcW w:w="1357" w:type="dxa"/>
            <w:tcBorders>
              <w:top w:val="nil"/>
              <w:left w:val="nil"/>
              <w:bottom w:val="single" w:sz="4" w:space="0" w:color="auto"/>
              <w:right w:val="nil"/>
            </w:tcBorders>
            <w:shd w:val="clear" w:color="auto" w:fill="auto"/>
            <w:noWrap/>
            <w:vAlign w:val="bottom"/>
            <w:hideMark/>
          </w:tcPr>
          <w:p w14:paraId="203F6AD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0,8 (0,4; 1,5)</w:t>
            </w:r>
          </w:p>
        </w:tc>
        <w:tc>
          <w:tcPr>
            <w:tcW w:w="1095" w:type="dxa"/>
            <w:tcBorders>
              <w:top w:val="nil"/>
              <w:left w:val="nil"/>
              <w:bottom w:val="single" w:sz="4" w:space="0" w:color="auto"/>
              <w:right w:val="single" w:sz="4" w:space="0" w:color="auto"/>
            </w:tcBorders>
            <w:shd w:val="clear" w:color="auto" w:fill="auto"/>
            <w:noWrap/>
            <w:vAlign w:val="bottom"/>
            <w:hideMark/>
          </w:tcPr>
          <w:p w14:paraId="3BF2EC1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0,522</w:t>
            </w:r>
          </w:p>
        </w:tc>
        <w:tc>
          <w:tcPr>
            <w:tcW w:w="343" w:type="dxa"/>
            <w:tcBorders>
              <w:top w:val="nil"/>
              <w:left w:val="nil"/>
              <w:bottom w:val="single" w:sz="4" w:space="0" w:color="auto"/>
              <w:right w:val="nil"/>
            </w:tcBorders>
            <w:shd w:val="clear" w:color="auto" w:fill="auto"/>
            <w:noWrap/>
            <w:vAlign w:val="bottom"/>
            <w:hideMark/>
          </w:tcPr>
          <w:p w14:paraId="7156E47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15</w:t>
            </w:r>
          </w:p>
        </w:tc>
        <w:tc>
          <w:tcPr>
            <w:tcW w:w="1297" w:type="dxa"/>
            <w:tcBorders>
              <w:top w:val="nil"/>
              <w:left w:val="nil"/>
              <w:bottom w:val="single" w:sz="4" w:space="0" w:color="auto"/>
              <w:right w:val="nil"/>
            </w:tcBorders>
            <w:shd w:val="clear" w:color="auto" w:fill="auto"/>
            <w:noWrap/>
            <w:vAlign w:val="bottom"/>
            <w:hideMark/>
          </w:tcPr>
          <w:p w14:paraId="2D88CF4E"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0,7 (0,4; 1,4)</w:t>
            </w:r>
          </w:p>
        </w:tc>
        <w:tc>
          <w:tcPr>
            <w:tcW w:w="1095" w:type="dxa"/>
            <w:tcBorders>
              <w:top w:val="nil"/>
              <w:left w:val="nil"/>
              <w:bottom w:val="single" w:sz="4" w:space="0" w:color="auto"/>
              <w:right w:val="nil"/>
            </w:tcBorders>
            <w:shd w:val="clear" w:color="auto" w:fill="auto"/>
            <w:noWrap/>
            <w:vAlign w:val="bottom"/>
            <w:hideMark/>
          </w:tcPr>
          <w:p w14:paraId="74859DD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0,337</w:t>
            </w:r>
          </w:p>
        </w:tc>
      </w:tr>
      <w:tr w:rsidR="00E3045E" w:rsidRPr="00E3045E" w14:paraId="15F044BB"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061A67EA"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19q13</w:t>
            </w:r>
          </w:p>
        </w:tc>
        <w:tc>
          <w:tcPr>
            <w:tcW w:w="1460" w:type="dxa"/>
            <w:tcBorders>
              <w:top w:val="nil"/>
              <w:left w:val="nil"/>
              <w:bottom w:val="nil"/>
              <w:right w:val="nil"/>
            </w:tcBorders>
            <w:shd w:val="clear" w:color="auto" w:fill="auto"/>
            <w:noWrap/>
            <w:vAlign w:val="bottom"/>
            <w:hideMark/>
          </w:tcPr>
          <w:p w14:paraId="3E1120B9"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1,83</w:t>
            </w:r>
          </w:p>
        </w:tc>
        <w:tc>
          <w:tcPr>
            <w:tcW w:w="445" w:type="dxa"/>
            <w:tcBorders>
              <w:top w:val="nil"/>
              <w:left w:val="single" w:sz="4" w:space="0" w:color="auto"/>
              <w:bottom w:val="nil"/>
              <w:right w:val="nil"/>
            </w:tcBorders>
            <w:shd w:val="clear" w:color="auto" w:fill="auto"/>
            <w:noWrap/>
            <w:vAlign w:val="bottom"/>
            <w:hideMark/>
          </w:tcPr>
          <w:p w14:paraId="32213332"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10</w:t>
            </w:r>
          </w:p>
        </w:tc>
        <w:tc>
          <w:tcPr>
            <w:tcW w:w="1357" w:type="dxa"/>
            <w:tcBorders>
              <w:top w:val="nil"/>
              <w:left w:val="nil"/>
              <w:bottom w:val="nil"/>
              <w:right w:val="nil"/>
            </w:tcBorders>
            <w:shd w:val="clear" w:color="auto" w:fill="auto"/>
            <w:noWrap/>
            <w:vAlign w:val="bottom"/>
            <w:hideMark/>
          </w:tcPr>
          <w:p w14:paraId="3EB5E4C6"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6316511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 </w:t>
            </w:r>
          </w:p>
        </w:tc>
        <w:tc>
          <w:tcPr>
            <w:tcW w:w="343" w:type="dxa"/>
            <w:tcBorders>
              <w:top w:val="nil"/>
              <w:left w:val="nil"/>
              <w:bottom w:val="nil"/>
              <w:right w:val="nil"/>
            </w:tcBorders>
            <w:shd w:val="clear" w:color="auto" w:fill="auto"/>
            <w:noWrap/>
            <w:vAlign w:val="bottom"/>
            <w:hideMark/>
          </w:tcPr>
          <w:p w14:paraId="6A313B3D"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10</w:t>
            </w:r>
          </w:p>
        </w:tc>
        <w:tc>
          <w:tcPr>
            <w:tcW w:w="1297" w:type="dxa"/>
            <w:tcBorders>
              <w:top w:val="nil"/>
              <w:left w:val="nil"/>
              <w:bottom w:val="nil"/>
              <w:right w:val="nil"/>
            </w:tcBorders>
            <w:shd w:val="clear" w:color="auto" w:fill="auto"/>
            <w:noWrap/>
            <w:vAlign w:val="bottom"/>
            <w:hideMark/>
          </w:tcPr>
          <w:p w14:paraId="7DBA7E3B" w14:textId="77777777" w:rsidR="00E3045E" w:rsidRPr="00E3045E" w:rsidRDefault="00E3045E" w:rsidP="00E3045E">
            <w:pPr>
              <w:spacing w:after="0" w:line="240" w:lineRule="auto"/>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76898CED"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2C21091F"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3D896B50"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5BE6AA70"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1,83</w:t>
            </w:r>
          </w:p>
        </w:tc>
        <w:tc>
          <w:tcPr>
            <w:tcW w:w="445" w:type="dxa"/>
            <w:tcBorders>
              <w:top w:val="nil"/>
              <w:left w:val="single" w:sz="4" w:space="0" w:color="auto"/>
              <w:bottom w:val="single" w:sz="4" w:space="0" w:color="auto"/>
              <w:right w:val="nil"/>
            </w:tcBorders>
            <w:shd w:val="clear" w:color="auto" w:fill="auto"/>
            <w:noWrap/>
            <w:vAlign w:val="bottom"/>
            <w:hideMark/>
          </w:tcPr>
          <w:p w14:paraId="3B256461"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104</w:t>
            </w:r>
          </w:p>
        </w:tc>
        <w:tc>
          <w:tcPr>
            <w:tcW w:w="1357" w:type="dxa"/>
            <w:tcBorders>
              <w:top w:val="nil"/>
              <w:left w:val="nil"/>
              <w:bottom w:val="single" w:sz="4" w:space="0" w:color="auto"/>
              <w:right w:val="nil"/>
            </w:tcBorders>
            <w:shd w:val="clear" w:color="auto" w:fill="auto"/>
            <w:noWrap/>
            <w:vAlign w:val="bottom"/>
            <w:hideMark/>
          </w:tcPr>
          <w:p w14:paraId="2488A0F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0,8 (0,4; 1,5)</w:t>
            </w:r>
          </w:p>
        </w:tc>
        <w:tc>
          <w:tcPr>
            <w:tcW w:w="1095" w:type="dxa"/>
            <w:tcBorders>
              <w:top w:val="nil"/>
              <w:left w:val="nil"/>
              <w:bottom w:val="single" w:sz="4" w:space="0" w:color="auto"/>
              <w:right w:val="single" w:sz="4" w:space="0" w:color="auto"/>
            </w:tcBorders>
            <w:shd w:val="clear" w:color="auto" w:fill="auto"/>
            <w:noWrap/>
            <w:vAlign w:val="bottom"/>
            <w:hideMark/>
          </w:tcPr>
          <w:p w14:paraId="28945217"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0,465</w:t>
            </w:r>
          </w:p>
        </w:tc>
        <w:tc>
          <w:tcPr>
            <w:tcW w:w="343" w:type="dxa"/>
            <w:tcBorders>
              <w:top w:val="nil"/>
              <w:left w:val="nil"/>
              <w:bottom w:val="single" w:sz="4" w:space="0" w:color="auto"/>
              <w:right w:val="nil"/>
            </w:tcBorders>
            <w:shd w:val="clear" w:color="auto" w:fill="auto"/>
            <w:noWrap/>
            <w:vAlign w:val="bottom"/>
            <w:hideMark/>
          </w:tcPr>
          <w:p w14:paraId="5D1E09D4"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90</w:t>
            </w:r>
          </w:p>
        </w:tc>
        <w:tc>
          <w:tcPr>
            <w:tcW w:w="1297" w:type="dxa"/>
            <w:tcBorders>
              <w:top w:val="nil"/>
              <w:left w:val="nil"/>
              <w:bottom w:val="single" w:sz="4" w:space="0" w:color="auto"/>
              <w:right w:val="nil"/>
            </w:tcBorders>
            <w:shd w:val="clear" w:color="auto" w:fill="auto"/>
            <w:noWrap/>
            <w:vAlign w:val="bottom"/>
            <w:hideMark/>
          </w:tcPr>
          <w:p w14:paraId="646C032C"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0,4 (0,2; 0,8)</w:t>
            </w:r>
          </w:p>
        </w:tc>
        <w:tc>
          <w:tcPr>
            <w:tcW w:w="1095" w:type="dxa"/>
            <w:tcBorders>
              <w:top w:val="nil"/>
              <w:left w:val="nil"/>
              <w:bottom w:val="single" w:sz="4" w:space="0" w:color="auto"/>
              <w:right w:val="nil"/>
            </w:tcBorders>
            <w:shd w:val="clear" w:color="auto" w:fill="auto"/>
            <w:noWrap/>
            <w:vAlign w:val="bottom"/>
            <w:hideMark/>
          </w:tcPr>
          <w:p w14:paraId="1EC2A42D"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0,012</w:t>
            </w:r>
          </w:p>
        </w:tc>
      </w:tr>
      <w:tr w:rsidR="00E3045E" w:rsidRPr="00E3045E" w14:paraId="3BE16E85" w14:textId="77777777" w:rsidTr="00E3045E">
        <w:trPr>
          <w:trHeight w:val="227"/>
          <w:jc w:val="center"/>
        </w:trPr>
        <w:tc>
          <w:tcPr>
            <w:tcW w:w="1340" w:type="dxa"/>
            <w:tcBorders>
              <w:top w:val="nil"/>
              <w:left w:val="nil"/>
              <w:bottom w:val="nil"/>
              <w:right w:val="nil"/>
            </w:tcBorders>
            <w:shd w:val="clear" w:color="auto" w:fill="auto"/>
            <w:noWrap/>
            <w:vAlign w:val="bottom"/>
            <w:hideMark/>
          </w:tcPr>
          <w:p w14:paraId="0A67BBA3" w14:textId="77777777" w:rsidR="00E3045E" w:rsidRPr="00E3045E" w:rsidRDefault="00E3045E" w:rsidP="00E3045E">
            <w:pPr>
              <w:spacing w:after="0" w:line="240" w:lineRule="auto"/>
              <w:rPr>
                <w:rFonts w:eastAsia="Times New Roman" w:cstheme="minorHAnsi"/>
                <w:i/>
                <w:iCs/>
                <w:color w:val="000000"/>
                <w:sz w:val="20"/>
                <w:szCs w:val="20"/>
              </w:rPr>
            </w:pPr>
            <w:r w:rsidRPr="00E3045E">
              <w:rPr>
                <w:rFonts w:eastAsia="Times New Roman" w:cstheme="minorHAnsi"/>
                <w:i/>
                <w:iCs/>
                <w:color w:val="000000"/>
                <w:sz w:val="20"/>
                <w:szCs w:val="20"/>
              </w:rPr>
              <w:t>CCND1</w:t>
            </w:r>
          </w:p>
        </w:tc>
        <w:tc>
          <w:tcPr>
            <w:tcW w:w="1460" w:type="dxa"/>
            <w:tcBorders>
              <w:top w:val="nil"/>
              <w:left w:val="nil"/>
              <w:bottom w:val="nil"/>
              <w:right w:val="nil"/>
            </w:tcBorders>
            <w:shd w:val="clear" w:color="auto" w:fill="auto"/>
            <w:noWrap/>
            <w:vAlign w:val="bottom"/>
            <w:hideMark/>
          </w:tcPr>
          <w:p w14:paraId="489619BB"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&lt;= 2,48</w:t>
            </w:r>
          </w:p>
        </w:tc>
        <w:tc>
          <w:tcPr>
            <w:tcW w:w="445" w:type="dxa"/>
            <w:tcBorders>
              <w:top w:val="nil"/>
              <w:left w:val="single" w:sz="4" w:space="0" w:color="auto"/>
              <w:bottom w:val="nil"/>
              <w:right w:val="nil"/>
            </w:tcBorders>
            <w:shd w:val="clear" w:color="auto" w:fill="auto"/>
            <w:noWrap/>
            <w:vAlign w:val="bottom"/>
            <w:hideMark/>
          </w:tcPr>
          <w:p w14:paraId="4165F9A5"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81</w:t>
            </w:r>
          </w:p>
        </w:tc>
        <w:tc>
          <w:tcPr>
            <w:tcW w:w="1357" w:type="dxa"/>
            <w:tcBorders>
              <w:top w:val="nil"/>
              <w:left w:val="nil"/>
              <w:bottom w:val="nil"/>
              <w:right w:val="nil"/>
            </w:tcBorders>
            <w:shd w:val="clear" w:color="auto" w:fill="auto"/>
            <w:noWrap/>
            <w:vAlign w:val="bottom"/>
            <w:hideMark/>
          </w:tcPr>
          <w:p w14:paraId="0026F933" w14:textId="77777777" w:rsidR="00E3045E" w:rsidRPr="00E3045E" w:rsidRDefault="00E3045E" w:rsidP="00E3045E">
            <w:pPr>
              <w:spacing w:after="0" w:line="240" w:lineRule="auto"/>
              <w:jc w:val="center"/>
              <w:rPr>
                <w:rFonts w:eastAsia="Times New Roman" w:cstheme="minorHAnsi"/>
                <w:color w:val="000000"/>
                <w:sz w:val="20"/>
                <w:szCs w:val="20"/>
              </w:rPr>
            </w:pPr>
          </w:p>
        </w:tc>
        <w:tc>
          <w:tcPr>
            <w:tcW w:w="1095" w:type="dxa"/>
            <w:tcBorders>
              <w:top w:val="nil"/>
              <w:left w:val="nil"/>
              <w:bottom w:val="nil"/>
              <w:right w:val="single" w:sz="4" w:space="0" w:color="auto"/>
            </w:tcBorders>
            <w:shd w:val="clear" w:color="auto" w:fill="auto"/>
            <w:noWrap/>
            <w:vAlign w:val="bottom"/>
            <w:hideMark/>
          </w:tcPr>
          <w:p w14:paraId="7232CD3A"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 </w:t>
            </w:r>
          </w:p>
        </w:tc>
        <w:tc>
          <w:tcPr>
            <w:tcW w:w="343" w:type="dxa"/>
            <w:tcBorders>
              <w:top w:val="nil"/>
              <w:left w:val="nil"/>
              <w:bottom w:val="nil"/>
              <w:right w:val="nil"/>
            </w:tcBorders>
            <w:shd w:val="clear" w:color="auto" w:fill="auto"/>
            <w:noWrap/>
            <w:vAlign w:val="bottom"/>
            <w:hideMark/>
          </w:tcPr>
          <w:p w14:paraId="21F810A7"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74</w:t>
            </w:r>
          </w:p>
        </w:tc>
        <w:tc>
          <w:tcPr>
            <w:tcW w:w="1297" w:type="dxa"/>
            <w:tcBorders>
              <w:top w:val="nil"/>
              <w:left w:val="nil"/>
              <w:bottom w:val="nil"/>
              <w:right w:val="nil"/>
            </w:tcBorders>
            <w:shd w:val="clear" w:color="auto" w:fill="auto"/>
            <w:noWrap/>
            <w:vAlign w:val="bottom"/>
            <w:hideMark/>
          </w:tcPr>
          <w:p w14:paraId="44A38BCB" w14:textId="77777777" w:rsidR="00E3045E" w:rsidRPr="00E3045E" w:rsidRDefault="00E3045E" w:rsidP="00E3045E">
            <w:pPr>
              <w:spacing w:after="0" w:line="240" w:lineRule="auto"/>
              <w:rPr>
                <w:rFonts w:eastAsia="Times New Roman" w:cstheme="minorHAnsi"/>
                <w:color w:val="000000"/>
                <w:sz w:val="20"/>
                <w:szCs w:val="20"/>
              </w:rPr>
            </w:pPr>
          </w:p>
        </w:tc>
        <w:tc>
          <w:tcPr>
            <w:tcW w:w="1095" w:type="dxa"/>
            <w:tcBorders>
              <w:top w:val="nil"/>
              <w:left w:val="nil"/>
              <w:bottom w:val="nil"/>
              <w:right w:val="nil"/>
            </w:tcBorders>
            <w:shd w:val="clear" w:color="auto" w:fill="auto"/>
            <w:noWrap/>
            <w:vAlign w:val="bottom"/>
            <w:hideMark/>
          </w:tcPr>
          <w:p w14:paraId="5136BC44" w14:textId="77777777" w:rsidR="00E3045E" w:rsidRPr="00E3045E" w:rsidRDefault="00E3045E" w:rsidP="00E3045E">
            <w:pPr>
              <w:spacing w:after="0" w:line="240" w:lineRule="auto"/>
              <w:jc w:val="center"/>
              <w:rPr>
                <w:rFonts w:eastAsia="Times New Roman" w:cstheme="minorHAnsi"/>
                <w:sz w:val="20"/>
                <w:szCs w:val="20"/>
              </w:rPr>
            </w:pPr>
          </w:p>
        </w:tc>
      </w:tr>
      <w:tr w:rsidR="00E3045E" w:rsidRPr="00E3045E" w14:paraId="1C80B6AE" w14:textId="77777777" w:rsidTr="00E3045E">
        <w:trPr>
          <w:trHeight w:val="227"/>
          <w:jc w:val="center"/>
        </w:trPr>
        <w:tc>
          <w:tcPr>
            <w:tcW w:w="1340" w:type="dxa"/>
            <w:tcBorders>
              <w:top w:val="nil"/>
              <w:left w:val="nil"/>
              <w:bottom w:val="single" w:sz="4" w:space="0" w:color="auto"/>
              <w:right w:val="nil"/>
            </w:tcBorders>
            <w:shd w:val="clear" w:color="auto" w:fill="auto"/>
            <w:noWrap/>
            <w:vAlign w:val="bottom"/>
            <w:hideMark/>
          </w:tcPr>
          <w:p w14:paraId="5259BAC8"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 </w:t>
            </w:r>
          </w:p>
        </w:tc>
        <w:tc>
          <w:tcPr>
            <w:tcW w:w="1460" w:type="dxa"/>
            <w:tcBorders>
              <w:top w:val="nil"/>
              <w:left w:val="nil"/>
              <w:bottom w:val="single" w:sz="4" w:space="0" w:color="auto"/>
              <w:right w:val="nil"/>
            </w:tcBorders>
            <w:shd w:val="clear" w:color="auto" w:fill="auto"/>
            <w:noWrap/>
            <w:vAlign w:val="bottom"/>
            <w:hideMark/>
          </w:tcPr>
          <w:p w14:paraId="575F7C0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&gt; 2,48</w:t>
            </w:r>
          </w:p>
        </w:tc>
        <w:tc>
          <w:tcPr>
            <w:tcW w:w="445" w:type="dxa"/>
            <w:tcBorders>
              <w:top w:val="nil"/>
              <w:left w:val="single" w:sz="4" w:space="0" w:color="auto"/>
              <w:bottom w:val="single" w:sz="4" w:space="0" w:color="auto"/>
              <w:right w:val="nil"/>
            </w:tcBorders>
            <w:shd w:val="clear" w:color="auto" w:fill="auto"/>
            <w:noWrap/>
            <w:vAlign w:val="bottom"/>
            <w:hideMark/>
          </w:tcPr>
          <w:p w14:paraId="0525C53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12</w:t>
            </w:r>
          </w:p>
        </w:tc>
        <w:tc>
          <w:tcPr>
            <w:tcW w:w="1357" w:type="dxa"/>
            <w:tcBorders>
              <w:top w:val="nil"/>
              <w:left w:val="nil"/>
              <w:bottom w:val="single" w:sz="4" w:space="0" w:color="auto"/>
              <w:right w:val="nil"/>
            </w:tcBorders>
            <w:shd w:val="clear" w:color="auto" w:fill="auto"/>
            <w:noWrap/>
            <w:vAlign w:val="bottom"/>
            <w:hideMark/>
          </w:tcPr>
          <w:p w14:paraId="150B1943"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0,6 (0,3; 1,2)</w:t>
            </w:r>
          </w:p>
        </w:tc>
        <w:tc>
          <w:tcPr>
            <w:tcW w:w="1095" w:type="dxa"/>
            <w:tcBorders>
              <w:top w:val="nil"/>
              <w:left w:val="nil"/>
              <w:bottom w:val="single" w:sz="4" w:space="0" w:color="auto"/>
              <w:right w:val="single" w:sz="4" w:space="0" w:color="auto"/>
            </w:tcBorders>
            <w:shd w:val="clear" w:color="auto" w:fill="auto"/>
            <w:noWrap/>
            <w:vAlign w:val="bottom"/>
            <w:hideMark/>
          </w:tcPr>
          <w:p w14:paraId="65D4C9BF"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0,178</w:t>
            </w:r>
          </w:p>
        </w:tc>
        <w:tc>
          <w:tcPr>
            <w:tcW w:w="343" w:type="dxa"/>
            <w:tcBorders>
              <w:top w:val="nil"/>
              <w:left w:val="nil"/>
              <w:bottom w:val="single" w:sz="4" w:space="0" w:color="auto"/>
              <w:right w:val="nil"/>
            </w:tcBorders>
            <w:shd w:val="clear" w:color="auto" w:fill="auto"/>
            <w:noWrap/>
            <w:vAlign w:val="bottom"/>
            <w:hideMark/>
          </w:tcPr>
          <w:p w14:paraId="2F4C9D3F" w14:textId="77777777" w:rsidR="00E3045E" w:rsidRPr="00E3045E" w:rsidRDefault="00E3045E" w:rsidP="00E3045E">
            <w:pPr>
              <w:spacing w:after="0" w:line="240" w:lineRule="auto"/>
              <w:rPr>
                <w:rFonts w:eastAsia="Times New Roman" w:cstheme="minorHAnsi"/>
                <w:color w:val="000000"/>
                <w:sz w:val="20"/>
                <w:szCs w:val="20"/>
              </w:rPr>
            </w:pPr>
            <w:r w:rsidRPr="00E3045E">
              <w:rPr>
                <w:rFonts w:eastAsia="Times New Roman" w:cstheme="minorHAnsi"/>
                <w:color w:val="000000"/>
                <w:sz w:val="20"/>
                <w:szCs w:val="20"/>
              </w:rPr>
              <w:t>11</w:t>
            </w:r>
          </w:p>
        </w:tc>
        <w:tc>
          <w:tcPr>
            <w:tcW w:w="1297" w:type="dxa"/>
            <w:tcBorders>
              <w:top w:val="nil"/>
              <w:left w:val="nil"/>
              <w:bottom w:val="single" w:sz="4" w:space="0" w:color="auto"/>
              <w:right w:val="nil"/>
            </w:tcBorders>
            <w:shd w:val="clear" w:color="auto" w:fill="auto"/>
            <w:noWrap/>
            <w:vAlign w:val="bottom"/>
            <w:hideMark/>
          </w:tcPr>
          <w:p w14:paraId="29395334"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0,4 (0,2; 0,9)</w:t>
            </w:r>
          </w:p>
        </w:tc>
        <w:tc>
          <w:tcPr>
            <w:tcW w:w="1095" w:type="dxa"/>
            <w:tcBorders>
              <w:top w:val="nil"/>
              <w:left w:val="nil"/>
              <w:bottom w:val="single" w:sz="4" w:space="0" w:color="auto"/>
              <w:right w:val="nil"/>
            </w:tcBorders>
            <w:shd w:val="clear" w:color="auto" w:fill="auto"/>
            <w:noWrap/>
            <w:vAlign w:val="bottom"/>
            <w:hideMark/>
          </w:tcPr>
          <w:p w14:paraId="1739B926" w14:textId="77777777" w:rsidR="00E3045E" w:rsidRPr="00E3045E" w:rsidRDefault="00E3045E" w:rsidP="00E3045E">
            <w:pPr>
              <w:spacing w:after="0" w:line="240" w:lineRule="auto"/>
              <w:jc w:val="center"/>
              <w:rPr>
                <w:rFonts w:eastAsia="Times New Roman" w:cstheme="minorHAnsi"/>
                <w:color w:val="000000"/>
                <w:sz w:val="20"/>
                <w:szCs w:val="20"/>
              </w:rPr>
            </w:pPr>
            <w:r w:rsidRPr="00E3045E">
              <w:rPr>
                <w:rFonts w:eastAsia="Times New Roman" w:cstheme="minorHAnsi"/>
                <w:color w:val="000000"/>
                <w:sz w:val="20"/>
                <w:szCs w:val="20"/>
              </w:rPr>
              <w:t>0,034</w:t>
            </w:r>
          </w:p>
        </w:tc>
      </w:tr>
    </w:tbl>
    <w:p w14:paraId="748C5D7D" w14:textId="47EB8C54" w:rsidR="00F57E5F" w:rsidRPr="00F57E5F" w:rsidRDefault="00F57E5F" w:rsidP="00F57E5F"/>
    <w:p w14:paraId="32735F8A" w14:textId="77777777" w:rsidR="00F57E5F" w:rsidRPr="00F57E5F" w:rsidRDefault="00F57E5F" w:rsidP="00F57E5F"/>
    <w:p w14:paraId="4FDAAE0E" w14:textId="4B98677A" w:rsidR="00F57E5F" w:rsidRDefault="00F57E5F" w:rsidP="00512C86">
      <w:pPr>
        <w:jc w:val="both"/>
        <w:sectPr w:rsidR="00F57E5F">
          <w:pgSz w:w="11906" w:h="16838"/>
          <w:pgMar w:top="1417" w:right="1417" w:bottom="1417" w:left="1417" w:header="708" w:footer="708" w:gutter="0"/>
          <w:cols w:space="708"/>
          <w:docGrid w:linePitch="360"/>
        </w:sectPr>
      </w:pPr>
    </w:p>
    <w:p w14:paraId="25867C7E" w14:textId="556893FB" w:rsidR="00512C86" w:rsidRDefault="00F57E5F" w:rsidP="00512C86">
      <w:pPr>
        <w:jc w:val="both"/>
      </w:pPr>
      <w:r w:rsidRPr="00C82E63">
        <w:rPr>
          <w:noProof/>
        </w:rPr>
        <w:drawing>
          <wp:anchor distT="0" distB="0" distL="114300" distR="114300" simplePos="0" relativeHeight="251672576" behindDoc="1" locked="0" layoutInCell="1" allowOverlap="1" wp14:anchorId="3BCBC1DD" wp14:editId="6118F474">
            <wp:simplePos x="0" y="0"/>
            <wp:positionH relativeFrom="margin">
              <wp:align>center</wp:align>
            </wp:positionH>
            <wp:positionV relativeFrom="paragraph">
              <wp:posOffset>0</wp:posOffset>
            </wp:positionV>
            <wp:extent cx="7331710" cy="3877310"/>
            <wp:effectExtent l="0" t="0" r="2540" b="8890"/>
            <wp:wrapTight wrapText="bothSides">
              <wp:wrapPolygon edited="0">
                <wp:start x="0" y="0"/>
                <wp:lineTo x="0" y="21543"/>
                <wp:lineTo x="21551" y="21543"/>
                <wp:lineTo x="21551" y="0"/>
                <wp:lineTo x="0" y="0"/>
              </wp:wrapPolygon>
            </wp:wrapTight>
            <wp:docPr id="1" name="Obrázek 1">
              <a:extLst xmlns:a="http://schemas.openxmlformats.org/drawingml/2006/main">
                <a:ext uri="{FF2B5EF4-FFF2-40B4-BE49-F238E27FC236}">
                  <a16:creationId xmlns:a16="http://schemas.microsoft.com/office/drawing/2014/main" id="{777B8450-F119-44A5-AB33-F6A6CFF19C31}"/>
                </a:ext>
              </a:extLst>
            </wp:docPr>
            <wp:cNvGraphicFramePr/>
            <a:graphic xmlns:a="http://schemas.openxmlformats.org/drawingml/2006/main">
              <a:graphicData uri="http://schemas.openxmlformats.org/drawingml/2006/picture">
                <pic:pic xmlns:pic="http://schemas.openxmlformats.org/drawingml/2006/picture">
                  <pic:nvPicPr>
                    <pic:cNvPr id="2" name="Obrázek 1">
                      <a:extLst>
                        <a:ext uri="{FF2B5EF4-FFF2-40B4-BE49-F238E27FC236}">
                          <a16:creationId xmlns:a16="http://schemas.microsoft.com/office/drawing/2014/main" id="{777B8450-F119-44A5-AB33-F6A6CFF19C3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331710" cy="3877310"/>
                    </a:xfrm>
                    <a:prstGeom prst="rect">
                      <a:avLst/>
                    </a:prstGeom>
                  </pic:spPr>
                </pic:pic>
              </a:graphicData>
            </a:graphic>
            <wp14:sizeRelH relativeFrom="page">
              <wp14:pctWidth>0</wp14:pctWidth>
            </wp14:sizeRelH>
            <wp14:sizeRelV relativeFrom="page">
              <wp14:pctHeight>0</wp14:pctHeight>
            </wp14:sizeRelV>
          </wp:anchor>
        </w:drawing>
      </w:r>
    </w:p>
    <w:p w14:paraId="5B46127A" w14:textId="56F1BD64" w:rsidR="00512C86" w:rsidRDefault="00512C86" w:rsidP="00512C86">
      <w:pPr>
        <w:jc w:val="both"/>
      </w:pPr>
    </w:p>
    <w:p w14:paraId="6BCF8B59" w14:textId="0C57165E" w:rsidR="00512C86" w:rsidRDefault="00512C86" w:rsidP="00512C86">
      <w:pPr>
        <w:jc w:val="both"/>
      </w:pPr>
    </w:p>
    <w:p w14:paraId="605ED781" w14:textId="45DD093D" w:rsidR="00512C86" w:rsidRDefault="00512C86" w:rsidP="00512C86">
      <w:pPr>
        <w:jc w:val="both"/>
      </w:pPr>
    </w:p>
    <w:p w14:paraId="7606978F" w14:textId="21534D77" w:rsidR="00512C86" w:rsidRDefault="00512C86" w:rsidP="00512C86">
      <w:pPr>
        <w:jc w:val="both"/>
      </w:pPr>
    </w:p>
    <w:p w14:paraId="63B2D97B" w14:textId="3019AB00" w:rsidR="00512C86" w:rsidRDefault="00512C86" w:rsidP="00512C86">
      <w:pPr>
        <w:jc w:val="both"/>
      </w:pPr>
    </w:p>
    <w:p w14:paraId="68290F79" w14:textId="2075A625" w:rsidR="00512C86" w:rsidRDefault="00512C86" w:rsidP="00512C86">
      <w:pPr>
        <w:jc w:val="both"/>
      </w:pPr>
    </w:p>
    <w:p w14:paraId="7CD7221A" w14:textId="3EA3117A" w:rsidR="00512C86" w:rsidRDefault="00512C86" w:rsidP="00512C86">
      <w:pPr>
        <w:jc w:val="both"/>
      </w:pPr>
    </w:p>
    <w:p w14:paraId="0578FDF1" w14:textId="73F5C658" w:rsidR="00512C86" w:rsidRDefault="00512C86" w:rsidP="00512C86">
      <w:pPr>
        <w:jc w:val="both"/>
      </w:pPr>
    </w:p>
    <w:p w14:paraId="575F857F" w14:textId="10CB30C6" w:rsidR="00512C86" w:rsidRDefault="00512C86" w:rsidP="00512C86">
      <w:pPr>
        <w:jc w:val="both"/>
      </w:pPr>
    </w:p>
    <w:p w14:paraId="28118269" w14:textId="1D3D2B6B" w:rsidR="00512C86" w:rsidRDefault="00512C86" w:rsidP="00512C86">
      <w:pPr>
        <w:jc w:val="both"/>
      </w:pPr>
    </w:p>
    <w:p w14:paraId="5966D73F" w14:textId="0401D3B1" w:rsidR="00512C86" w:rsidRDefault="000B0BA1" w:rsidP="00512C86">
      <w:pPr>
        <w:jc w:val="both"/>
      </w:pPr>
      <w:r w:rsidRPr="000D5861">
        <w:rPr>
          <w:i/>
          <w:noProof/>
        </w:rPr>
        <mc:AlternateContent>
          <mc:Choice Requires="wps">
            <w:drawing>
              <wp:anchor distT="45720" distB="45720" distL="114300" distR="114300" simplePos="0" relativeHeight="251664384" behindDoc="1" locked="0" layoutInCell="1" allowOverlap="1" wp14:anchorId="74F45BE8" wp14:editId="72746A35">
                <wp:simplePos x="0" y="0"/>
                <wp:positionH relativeFrom="margin">
                  <wp:posOffset>401320</wp:posOffset>
                </wp:positionH>
                <wp:positionV relativeFrom="paragraph">
                  <wp:posOffset>601980</wp:posOffset>
                </wp:positionV>
                <wp:extent cx="8394065" cy="1508125"/>
                <wp:effectExtent l="0" t="0" r="0" b="0"/>
                <wp:wrapTight wrapText="bothSides">
                  <wp:wrapPolygon edited="0">
                    <wp:start x="147" y="0"/>
                    <wp:lineTo x="147" y="21282"/>
                    <wp:lineTo x="21422" y="21282"/>
                    <wp:lineTo x="21422" y="0"/>
                    <wp:lineTo x="147" y="0"/>
                  </wp:wrapPolygon>
                </wp:wrapTight>
                <wp:docPr id="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4065" cy="1508125"/>
                        </a:xfrm>
                        <a:prstGeom prst="rect">
                          <a:avLst/>
                        </a:prstGeom>
                        <a:noFill/>
                        <a:ln w="9525">
                          <a:noFill/>
                          <a:miter lim="800000"/>
                          <a:headEnd/>
                          <a:tailEnd/>
                        </a:ln>
                      </wps:spPr>
                      <wps:txbx>
                        <w:txbxContent>
                          <w:p w14:paraId="06C6CC8C" w14:textId="7D59B417" w:rsidR="009036BC" w:rsidRDefault="009036BC" w:rsidP="008B00E9">
                            <w:pPr>
                              <w:jc w:val="both"/>
                              <w:rPr>
                                <w:sz w:val="20"/>
                                <w:szCs w:val="20"/>
                              </w:rPr>
                            </w:pPr>
                            <w:bookmarkStart w:id="116" w:name="_Toc67162697"/>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10</w:t>
                            </w:r>
                            <w:r w:rsidRPr="00306B65">
                              <w:rPr>
                                <w:b/>
                                <w:bCs/>
                                <w:sz w:val="20"/>
                                <w:szCs w:val="20"/>
                              </w:rPr>
                              <w:fldChar w:fldCharType="end"/>
                            </w:r>
                            <w:r w:rsidRPr="00306B65">
                              <w:rPr>
                                <w:b/>
                                <w:bCs/>
                                <w:sz w:val="20"/>
                                <w:szCs w:val="20"/>
                              </w:rPr>
                              <w:t>:</w:t>
                            </w:r>
                            <w:r>
                              <w:rPr>
                                <w:b/>
                                <w:bCs/>
                                <w:sz w:val="20"/>
                                <w:szCs w:val="20"/>
                              </w:rPr>
                              <w:t xml:space="preserve"> </w:t>
                            </w:r>
                            <w:r w:rsidRPr="008B00E9">
                              <w:rPr>
                                <w:sz w:val="20"/>
                                <w:szCs w:val="20"/>
                              </w:rPr>
                              <w:t>Výsledky multivariátního Coxova modelu proporčních rizik pro OS u studovaných proměnných (vybrané klinické faktory a molekulární markery) ve skupinách dle terapie, vyjádřeno poměrem rizik (bod – bodový odhad, úsečka koresponduje s 95 % intervalem spolehlivost; v případě většího intervalu je použita šipka) pro každou hladinu uvedených faktorů. Referenční kategorie je označena jako “(ref.)”. Každý faktor byl analyzován v separátním modelu s adjustací na kategorie věku a Karnofsk</w:t>
                            </w:r>
                            <w:r>
                              <w:rPr>
                                <w:sz w:val="20"/>
                                <w:szCs w:val="20"/>
                              </w:rPr>
                              <w:t xml:space="preserve">ého </w:t>
                            </w:r>
                            <w:r w:rsidRPr="008B00E9">
                              <w:rPr>
                                <w:sz w:val="20"/>
                                <w:szCs w:val="20"/>
                              </w:rPr>
                              <w:t>skóre. Signifikantní výsledky (p&lt;0.05) jsou vyznačeny červeně; tečkovaná linie označuje poměr rizik roven 1.</w:t>
                            </w:r>
                            <w:bookmarkEnd w:id="116"/>
                            <w:r w:rsidRPr="008B00E9">
                              <w:rPr>
                                <w:sz w:val="20"/>
                                <w:szCs w:val="20"/>
                              </w:rPr>
                              <w:t xml:space="preserve"> </w:t>
                            </w:r>
                          </w:p>
                          <w:p w14:paraId="69222B25" w14:textId="2F7A6D7B" w:rsidR="009036BC" w:rsidRPr="008B00E9" w:rsidRDefault="009036BC" w:rsidP="008B00E9">
                            <w:pPr>
                              <w:jc w:val="both"/>
                              <w:rPr>
                                <w:sz w:val="20"/>
                                <w:szCs w:val="20"/>
                              </w:rPr>
                            </w:pPr>
                            <w:r w:rsidRPr="008B00E9">
                              <w:rPr>
                                <w:sz w:val="20"/>
                                <w:szCs w:val="20"/>
                              </w:rPr>
                              <w:t xml:space="preserve">RT – radiotherapie; CHT+RT – chemoradiotherapie; F – ženy; M – muži; F – frontální; O – okcipitální; P – parietální; T – temporální; </w:t>
                            </w:r>
                            <w:r w:rsidRPr="00D10B90">
                              <w:rPr>
                                <w:i/>
                                <w:iCs/>
                                <w:sz w:val="20"/>
                                <w:szCs w:val="20"/>
                              </w:rPr>
                              <w:t>BCR</w:t>
                            </w:r>
                            <w:r w:rsidRPr="008B00E9">
                              <w:rPr>
                                <w:sz w:val="20"/>
                                <w:szCs w:val="20"/>
                              </w:rPr>
                              <w:t xml:space="preserve"> – breakpoint cluster region; </w:t>
                            </w:r>
                            <w:r w:rsidRPr="00D10B90">
                              <w:rPr>
                                <w:i/>
                                <w:iCs/>
                                <w:sz w:val="20"/>
                                <w:szCs w:val="20"/>
                              </w:rPr>
                              <w:t>EGFR1</w:t>
                            </w:r>
                            <w:r w:rsidRPr="008B00E9">
                              <w:rPr>
                                <w:sz w:val="20"/>
                                <w:szCs w:val="20"/>
                              </w:rPr>
                              <w:t xml:space="preserve"> – receptor epidermálního růstového faktoru 1; </w:t>
                            </w:r>
                            <w:r w:rsidRPr="00D10B90">
                              <w:rPr>
                                <w:i/>
                                <w:iCs/>
                                <w:sz w:val="20"/>
                                <w:szCs w:val="20"/>
                              </w:rPr>
                              <w:t>RB1</w:t>
                            </w:r>
                            <w:r w:rsidRPr="008B00E9">
                              <w:rPr>
                                <w:sz w:val="20"/>
                                <w:szCs w:val="20"/>
                              </w:rPr>
                              <w:t xml:space="preserve"> – retinoblastoma gene 1; </w:t>
                            </w:r>
                            <w:r w:rsidRPr="00D10B90">
                              <w:rPr>
                                <w:i/>
                                <w:iCs/>
                                <w:sz w:val="20"/>
                                <w:szCs w:val="20"/>
                              </w:rPr>
                              <w:t>TP53</w:t>
                            </w:r>
                            <w:r w:rsidRPr="008B00E9">
                              <w:rPr>
                                <w:sz w:val="20"/>
                                <w:szCs w:val="20"/>
                              </w:rPr>
                              <w:t xml:space="preserve"> - tumor protein P53; </w:t>
                            </w:r>
                            <w:r w:rsidRPr="00D10B90">
                              <w:rPr>
                                <w:i/>
                                <w:iCs/>
                                <w:sz w:val="20"/>
                                <w:szCs w:val="20"/>
                              </w:rPr>
                              <w:t>MDM2</w:t>
                            </w:r>
                            <w:r w:rsidRPr="008B00E9">
                              <w:rPr>
                                <w:sz w:val="20"/>
                                <w:szCs w:val="20"/>
                              </w:rPr>
                              <w:t xml:space="preserve"> – mouse double minute 2 homolog; </w:t>
                            </w:r>
                            <w:r w:rsidRPr="00D10B90">
                              <w:rPr>
                                <w:i/>
                                <w:iCs/>
                                <w:sz w:val="20"/>
                                <w:szCs w:val="20"/>
                              </w:rPr>
                              <w:t>CCND1</w:t>
                            </w:r>
                            <w:r w:rsidRPr="008B00E9">
                              <w:rPr>
                                <w:sz w:val="20"/>
                                <w:szCs w:val="20"/>
                              </w:rPr>
                              <w:t xml:space="preserve"> – cyclin D1; </w:t>
                            </w:r>
                            <w:r w:rsidRPr="00D10B90">
                              <w:rPr>
                                <w:i/>
                                <w:iCs/>
                                <w:sz w:val="20"/>
                                <w:szCs w:val="20"/>
                              </w:rPr>
                              <w:t>MGMT</w:t>
                            </w:r>
                            <w:r w:rsidRPr="008B00E9">
                              <w:rPr>
                                <w:sz w:val="20"/>
                                <w:szCs w:val="20"/>
                              </w:rPr>
                              <w:t xml:space="preserve"> - O6-metylguanin-DNA methyltransferáza.</w:t>
                            </w:r>
                          </w:p>
                          <w:p w14:paraId="6714E8C2" w14:textId="3AC8CD2F" w:rsidR="009036BC" w:rsidRPr="004105E1" w:rsidRDefault="009036BC" w:rsidP="00512C86">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F45BE8" id="_x0000_t202" coordsize="21600,21600" o:spt="202" path="m,l,21600r21600,l21600,xe">
                <v:stroke joinstyle="miter"/>
                <v:path gradientshapeok="t" o:connecttype="rect"/>
              </v:shapetype>
              <v:shape id="_x0000_s1027" type="#_x0000_t202" style="position:absolute;left:0;text-align:left;margin-left:31.6pt;margin-top:47.4pt;width:660.95pt;height:118.7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COFQIAAAAEAAAOAAAAZHJzL2Uyb0RvYy54bWysU9uO0zAQfUfiHyy/0yQlWdqo6WrZZRHS&#10;cpF2+QDXcRoL22Nst0n5I76DH2PstKVa3hB5sOzM+MycM8er61ErshfOSzANLWY5JcJwaKXZNvTr&#10;0/2rBSU+MNMyBUY09CA8vV6/fLEabC3m0INqhSMIYnw92Ib2Idg6yzzvhWZ+BlYYDHbgNAt4dNus&#10;dWxAdK2yeZ5fZQO41jrgwnv8ezcF6Trhd53g4XPXeRGIaij2FtLq0rqJa7ZesXrrmO0lP7bB/qEL&#10;zaTBomeoOxYY2Tn5F5SW3IGHLsw46Ay6TnKROCCbIn/G5rFnViQuKI63Z5n8/4Pln/ZfHJEtzq6k&#10;xDCNM3oSY4D9r5/EghJkHjUarK8x9dFichjfwoj5ia+3D8C/eWLgtmdmK26cg6EXrMUei3gzu7g6&#10;4fgIshk+Qou12C5AAho7p6OAKAlBdJzV4Twf7Idw/Ll4vSzzq4oSjrGiyhfFvEo1WH26bp0P7wVo&#10;EjcNdWiABM/2Dz7Edlh9SonVDNxLpZIJlCFDQ5cVQj6LaBnQo0pq7CCP3+SayPKdadPlwKSa9lhA&#10;mSPtyHTiHMbNOKl8UnMD7QF1cDBZEp8QbnpwPygZ0I4N9d93zAlK1AeDWi6Lsoz+TYeyejPHg7uM&#10;bC4jzHCEamigZNrehuT5idgNat7JpEYcztTJsWW0WRLp+CSijy/PKevPw13/BgAA//8DAFBLAwQU&#10;AAYACAAAACEAgNV46t4AAAAKAQAADwAAAGRycy9kb3ducmV2LnhtbEyPzU7DMBCE70i8g7VI3Kjd&#10;uK3akE2FQFxBlB+Jmxtvk4h4HcVuE94e90SPoxnNfFNsJ9eJEw2h9YwwnykQxJW3LdcIH+/Pd2sQ&#10;IRq2pvNMCL8UYFteXxUmt37kNzrtYi1SCYfcIDQx9rmUoWrImTDzPXHyDn5wJiY51NIOZkzlrpOZ&#10;UivpTMtpoTE9PTZU/eyODuHz5fD9tVCv9ZNb9qOflGS3kYi3N9PDPYhIU/wPwxk/oUOZmPb+yDaI&#10;DmGls5RE2CzSg7Ov18s5iD2C1pkGWRby8kL5BwAA//8DAFBLAQItABQABgAIAAAAIQC2gziS/gAA&#10;AOEBAAATAAAAAAAAAAAAAAAAAAAAAABbQ29udGVudF9UeXBlc10ueG1sUEsBAi0AFAAGAAgAAAAh&#10;ADj9If/WAAAAlAEAAAsAAAAAAAAAAAAAAAAALwEAAF9yZWxzLy5yZWxzUEsBAi0AFAAGAAgAAAAh&#10;AJBk8I4VAgAAAAQAAA4AAAAAAAAAAAAAAAAALgIAAGRycy9lMm9Eb2MueG1sUEsBAi0AFAAGAAgA&#10;AAAhAIDVeOreAAAACgEAAA8AAAAAAAAAAAAAAAAAbwQAAGRycy9kb3ducmV2LnhtbFBLBQYAAAAA&#10;BAAEAPMAAAB6BQAAAAA=&#10;" filled="f" stroked="f">
                <v:textbox>
                  <w:txbxContent>
                    <w:p w14:paraId="06C6CC8C" w14:textId="7D59B417" w:rsidR="009036BC" w:rsidRDefault="009036BC" w:rsidP="008B00E9">
                      <w:pPr>
                        <w:jc w:val="both"/>
                        <w:rPr>
                          <w:sz w:val="20"/>
                          <w:szCs w:val="20"/>
                        </w:rPr>
                      </w:pPr>
                      <w:bookmarkStart w:id="117" w:name="_Toc67162697"/>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10</w:t>
                      </w:r>
                      <w:r w:rsidRPr="00306B65">
                        <w:rPr>
                          <w:b/>
                          <w:bCs/>
                          <w:sz w:val="20"/>
                          <w:szCs w:val="20"/>
                        </w:rPr>
                        <w:fldChar w:fldCharType="end"/>
                      </w:r>
                      <w:r w:rsidRPr="00306B65">
                        <w:rPr>
                          <w:b/>
                          <w:bCs/>
                          <w:sz w:val="20"/>
                          <w:szCs w:val="20"/>
                        </w:rPr>
                        <w:t>:</w:t>
                      </w:r>
                      <w:r>
                        <w:rPr>
                          <w:b/>
                          <w:bCs/>
                          <w:sz w:val="20"/>
                          <w:szCs w:val="20"/>
                        </w:rPr>
                        <w:t xml:space="preserve"> </w:t>
                      </w:r>
                      <w:r w:rsidRPr="008B00E9">
                        <w:rPr>
                          <w:sz w:val="20"/>
                          <w:szCs w:val="20"/>
                        </w:rPr>
                        <w:t>Výsledky multivariátního Coxova modelu proporčních rizik pro OS u studovaných proměnných (vybrané klinické faktory a molekulární markery) ve skupinách dle terapie, vyjádřeno poměrem rizik (bod – bodový odhad, úsečka koresponduje s 95 % intervalem spolehlivost; v případě většího intervalu je použita šipka) pro každou hladinu uvedených faktorů. Referenční kategorie je označena jako “(ref.)”. Každý faktor byl analyzován v separátním modelu s adjustací na kategorie věku a Karnofsk</w:t>
                      </w:r>
                      <w:r>
                        <w:rPr>
                          <w:sz w:val="20"/>
                          <w:szCs w:val="20"/>
                        </w:rPr>
                        <w:t xml:space="preserve">ého </w:t>
                      </w:r>
                      <w:r w:rsidRPr="008B00E9">
                        <w:rPr>
                          <w:sz w:val="20"/>
                          <w:szCs w:val="20"/>
                        </w:rPr>
                        <w:t>skóre. Signifikantní výsledky (p&lt;0.05) jsou vyznačeny červeně; tečkovaná linie označuje poměr rizik roven 1.</w:t>
                      </w:r>
                      <w:bookmarkEnd w:id="117"/>
                      <w:r w:rsidRPr="008B00E9">
                        <w:rPr>
                          <w:sz w:val="20"/>
                          <w:szCs w:val="20"/>
                        </w:rPr>
                        <w:t xml:space="preserve"> </w:t>
                      </w:r>
                    </w:p>
                    <w:p w14:paraId="69222B25" w14:textId="2F7A6D7B" w:rsidR="009036BC" w:rsidRPr="008B00E9" w:rsidRDefault="009036BC" w:rsidP="008B00E9">
                      <w:pPr>
                        <w:jc w:val="both"/>
                        <w:rPr>
                          <w:sz w:val="20"/>
                          <w:szCs w:val="20"/>
                        </w:rPr>
                      </w:pPr>
                      <w:r w:rsidRPr="008B00E9">
                        <w:rPr>
                          <w:sz w:val="20"/>
                          <w:szCs w:val="20"/>
                        </w:rPr>
                        <w:t xml:space="preserve">RT – radiotherapie; CHT+RT – chemoradiotherapie; F – ženy; M – muži; F – frontální; O – okcipitální; P – parietální; T – temporální; </w:t>
                      </w:r>
                      <w:r w:rsidRPr="00D10B90">
                        <w:rPr>
                          <w:i/>
                          <w:iCs/>
                          <w:sz w:val="20"/>
                          <w:szCs w:val="20"/>
                        </w:rPr>
                        <w:t>BCR</w:t>
                      </w:r>
                      <w:r w:rsidRPr="008B00E9">
                        <w:rPr>
                          <w:sz w:val="20"/>
                          <w:szCs w:val="20"/>
                        </w:rPr>
                        <w:t xml:space="preserve"> – breakpoint cluster region; </w:t>
                      </w:r>
                      <w:r w:rsidRPr="00D10B90">
                        <w:rPr>
                          <w:i/>
                          <w:iCs/>
                          <w:sz w:val="20"/>
                          <w:szCs w:val="20"/>
                        </w:rPr>
                        <w:t>EGFR1</w:t>
                      </w:r>
                      <w:r w:rsidRPr="008B00E9">
                        <w:rPr>
                          <w:sz w:val="20"/>
                          <w:szCs w:val="20"/>
                        </w:rPr>
                        <w:t xml:space="preserve"> – receptor epidermálního růstového faktoru 1; </w:t>
                      </w:r>
                      <w:r w:rsidRPr="00D10B90">
                        <w:rPr>
                          <w:i/>
                          <w:iCs/>
                          <w:sz w:val="20"/>
                          <w:szCs w:val="20"/>
                        </w:rPr>
                        <w:t>RB1</w:t>
                      </w:r>
                      <w:r w:rsidRPr="008B00E9">
                        <w:rPr>
                          <w:sz w:val="20"/>
                          <w:szCs w:val="20"/>
                        </w:rPr>
                        <w:t xml:space="preserve"> – retinoblastoma gene 1; </w:t>
                      </w:r>
                      <w:r w:rsidRPr="00D10B90">
                        <w:rPr>
                          <w:i/>
                          <w:iCs/>
                          <w:sz w:val="20"/>
                          <w:szCs w:val="20"/>
                        </w:rPr>
                        <w:t>TP53</w:t>
                      </w:r>
                      <w:r w:rsidRPr="008B00E9">
                        <w:rPr>
                          <w:sz w:val="20"/>
                          <w:szCs w:val="20"/>
                        </w:rPr>
                        <w:t xml:space="preserve"> - tumor protein P53; </w:t>
                      </w:r>
                      <w:r w:rsidRPr="00D10B90">
                        <w:rPr>
                          <w:i/>
                          <w:iCs/>
                          <w:sz w:val="20"/>
                          <w:szCs w:val="20"/>
                        </w:rPr>
                        <w:t>MDM2</w:t>
                      </w:r>
                      <w:r w:rsidRPr="008B00E9">
                        <w:rPr>
                          <w:sz w:val="20"/>
                          <w:szCs w:val="20"/>
                        </w:rPr>
                        <w:t xml:space="preserve"> – mouse double minute 2 homolog; </w:t>
                      </w:r>
                      <w:r w:rsidRPr="00D10B90">
                        <w:rPr>
                          <w:i/>
                          <w:iCs/>
                          <w:sz w:val="20"/>
                          <w:szCs w:val="20"/>
                        </w:rPr>
                        <w:t>CCND1</w:t>
                      </w:r>
                      <w:r w:rsidRPr="008B00E9">
                        <w:rPr>
                          <w:sz w:val="20"/>
                          <w:szCs w:val="20"/>
                        </w:rPr>
                        <w:t xml:space="preserve"> – cyclin D1; </w:t>
                      </w:r>
                      <w:r w:rsidRPr="00D10B90">
                        <w:rPr>
                          <w:i/>
                          <w:iCs/>
                          <w:sz w:val="20"/>
                          <w:szCs w:val="20"/>
                        </w:rPr>
                        <w:t>MGMT</w:t>
                      </w:r>
                      <w:r w:rsidRPr="008B00E9">
                        <w:rPr>
                          <w:sz w:val="20"/>
                          <w:szCs w:val="20"/>
                        </w:rPr>
                        <w:t xml:space="preserve"> - O6-metylguanin-DNA methyltransferáza.</w:t>
                      </w:r>
                    </w:p>
                    <w:p w14:paraId="6714E8C2" w14:textId="3AC8CD2F" w:rsidR="009036BC" w:rsidRPr="004105E1" w:rsidRDefault="009036BC" w:rsidP="00512C86">
                      <w:pPr>
                        <w:rPr>
                          <w:sz w:val="20"/>
                          <w:szCs w:val="20"/>
                        </w:rPr>
                      </w:pPr>
                    </w:p>
                  </w:txbxContent>
                </v:textbox>
                <w10:wrap type="tight" anchorx="margin"/>
              </v:shape>
            </w:pict>
          </mc:Fallback>
        </mc:AlternateContent>
      </w:r>
    </w:p>
    <w:p w14:paraId="182474C5" w14:textId="36C7067F" w:rsidR="00512C86" w:rsidRDefault="00F57E5F" w:rsidP="00512C86">
      <w:pPr>
        <w:jc w:val="both"/>
      </w:pPr>
      <w:r>
        <w:rPr>
          <w:noProof/>
        </w:rPr>
        <w:drawing>
          <wp:anchor distT="0" distB="0" distL="114300" distR="114300" simplePos="0" relativeHeight="251666432" behindDoc="1" locked="0" layoutInCell="1" allowOverlap="1" wp14:anchorId="38003C49" wp14:editId="13A1C791">
            <wp:simplePos x="0" y="0"/>
            <wp:positionH relativeFrom="margin">
              <wp:align>center</wp:align>
            </wp:positionH>
            <wp:positionV relativeFrom="paragraph">
              <wp:posOffset>145415</wp:posOffset>
            </wp:positionV>
            <wp:extent cx="7308000" cy="3852000"/>
            <wp:effectExtent l="0" t="0" r="7620" b="0"/>
            <wp:wrapTight wrapText="bothSides">
              <wp:wrapPolygon edited="0">
                <wp:start x="0" y="0"/>
                <wp:lineTo x="0" y="21472"/>
                <wp:lineTo x="21566" y="21472"/>
                <wp:lineTo x="21566" y="0"/>
                <wp:lineTo x="0" y="0"/>
              </wp:wrapPolygon>
            </wp:wrapTight>
            <wp:docPr id="15" name="Obrázek 2">
              <a:extLst xmlns:a="http://schemas.openxmlformats.org/drawingml/2006/main">
                <a:ext uri="{FF2B5EF4-FFF2-40B4-BE49-F238E27FC236}">
                  <a16:creationId xmlns:a16="http://schemas.microsoft.com/office/drawing/2014/main" id="{71A22F89-9A75-446A-B809-3BB0ED7487DA}"/>
                </a:ext>
              </a:extLst>
            </wp:docPr>
            <wp:cNvGraphicFramePr/>
            <a:graphic xmlns:a="http://schemas.openxmlformats.org/drawingml/2006/main">
              <a:graphicData uri="http://schemas.openxmlformats.org/drawingml/2006/picture">
                <pic:pic xmlns:pic="http://schemas.openxmlformats.org/drawingml/2006/picture">
                  <pic:nvPicPr>
                    <pic:cNvPr id="3" name="Obrázek 2">
                      <a:extLst>
                        <a:ext uri="{FF2B5EF4-FFF2-40B4-BE49-F238E27FC236}">
                          <a16:creationId xmlns:a16="http://schemas.microsoft.com/office/drawing/2014/main" id="{71A22F89-9A75-446A-B809-3BB0ED7487DA}"/>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308000" cy="3852000"/>
                    </a:xfrm>
                    <a:prstGeom prst="rect">
                      <a:avLst/>
                    </a:prstGeom>
                  </pic:spPr>
                </pic:pic>
              </a:graphicData>
            </a:graphic>
            <wp14:sizeRelH relativeFrom="page">
              <wp14:pctWidth>0</wp14:pctWidth>
            </wp14:sizeRelH>
            <wp14:sizeRelV relativeFrom="page">
              <wp14:pctHeight>0</wp14:pctHeight>
            </wp14:sizeRelV>
          </wp:anchor>
        </w:drawing>
      </w:r>
    </w:p>
    <w:p w14:paraId="3308130C" w14:textId="08139E71" w:rsidR="00512C86" w:rsidRDefault="00512C86" w:rsidP="00512C86">
      <w:pPr>
        <w:jc w:val="both"/>
      </w:pPr>
    </w:p>
    <w:p w14:paraId="034436C8" w14:textId="4CFE41D3" w:rsidR="00512C86" w:rsidRDefault="00512C86" w:rsidP="00512C86">
      <w:pPr>
        <w:jc w:val="both"/>
      </w:pPr>
    </w:p>
    <w:p w14:paraId="51302B72" w14:textId="34392D87" w:rsidR="00512C86" w:rsidRDefault="00512C86" w:rsidP="00512C86">
      <w:pPr>
        <w:jc w:val="both"/>
      </w:pPr>
    </w:p>
    <w:p w14:paraId="0A9639EF" w14:textId="5C9B569C" w:rsidR="00512C86" w:rsidRDefault="00512C86" w:rsidP="00512C86">
      <w:pPr>
        <w:jc w:val="both"/>
      </w:pPr>
    </w:p>
    <w:p w14:paraId="3057FAD3" w14:textId="5D7A64D5" w:rsidR="00512C86" w:rsidRDefault="00512C86" w:rsidP="00512C86">
      <w:pPr>
        <w:jc w:val="both"/>
      </w:pPr>
    </w:p>
    <w:p w14:paraId="5E72AF6A" w14:textId="0AF1B7FD" w:rsidR="00512C86" w:rsidRDefault="00512C86" w:rsidP="00512C86">
      <w:pPr>
        <w:jc w:val="both"/>
      </w:pPr>
    </w:p>
    <w:p w14:paraId="0ACF19E4" w14:textId="2312FEE6" w:rsidR="00512C86" w:rsidRDefault="00512C86" w:rsidP="00512C86">
      <w:pPr>
        <w:jc w:val="both"/>
      </w:pPr>
    </w:p>
    <w:p w14:paraId="2AC98C9B" w14:textId="397D5449" w:rsidR="00512C86" w:rsidRDefault="00512C86" w:rsidP="00512C86">
      <w:pPr>
        <w:jc w:val="both"/>
      </w:pPr>
    </w:p>
    <w:p w14:paraId="07796606" w14:textId="38E07EC4" w:rsidR="00512C86" w:rsidRDefault="00512C86" w:rsidP="00512C86">
      <w:pPr>
        <w:jc w:val="both"/>
      </w:pPr>
    </w:p>
    <w:p w14:paraId="176BF00F" w14:textId="50FC2643" w:rsidR="00512C86" w:rsidRDefault="00512C86" w:rsidP="00512C86">
      <w:pPr>
        <w:jc w:val="both"/>
      </w:pPr>
    </w:p>
    <w:p w14:paraId="7454B1E0" w14:textId="3833D2DB" w:rsidR="00512C86" w:rsidRDefault="00512C86" w:rsidP="00512C86">
      <w:pPr>
        <w:jc w:val="both"/>
      </w:pPr>
    </w:p>
    <w:p w14:paraId="372CE4EA" w14:textId="7AE6E5CF" w:rsidR="00E83E88" w:rsidRDefault="00D10B90" w:rsidP="00512C86">
      <w:pPr>
        <w:jc w:val="both"/>
      </w:pPr>
      <w:r w:rsidRPr="000D5861">
        <w:rPr>
          <w:i/>
          <w:noProof/>
        </w:rPr>
        <mc:AlternateContent>
          <mc:Choice Requires="wps">
            <w:drawing>
              <wp:anchor distT="45720" distB="45720" distL="114300" distR="114300" simplePos="0" relativeHeight="251668480" behindDoc="1" locked="0" layoutInCell="1" allowOverlap="1" wp14:anchorId="0630C5BE" wp14:editId="0361F6CE">
                <wp:simplePos x="0" y="0"/>
                <wp:positionH relativeFrom="margin">
                  <wp:posOffset>605790</wp:posOffset>
                </wp:positionH>
                <wp:positionV relativeFrom="paragraph">
                  <wp:posOffset>180975</wp:posOffset>
                </wp:positionV>
                <wp:extent cx="7992745" cy="1699260"/>
                <wp:effectExtent l="0" t="0" r="0" b="0"/>
                <wp:wrapTight wrapText="bothSides">
                  <wp:wrapPolygon edited="0">
                    <wp:start x="154" y="0"/>
                    <wp:lineTo x="154" y="21309"/>
                    <wp:lineTo x="21416" y="21309"/>
                    <wp:lineTo x="21416" y="0"/>
                    <wp:lineTo x="154" y="0"/>
                  </wp:wrapPolygon>
                </wp:wrapTight>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2745" cy="1699260"/>
                        </a:xfrm>
                        <a:prstGeom prst="rect">
                          <a:avLst/>
                        </a:prstGeom>
                        <a:noFill/>
                        <a:ln w="9525">
                          <a:noFill/>
                          <a:miter lim="800000"/>
                          <a:headEnd/>
                          <a:tailEnd/>
                        </a:ln>
                      </wps:spPr>
                      <wps:txbx>
                        <w:txbxContent>
                          <w:p w14:paraId="5B6B0D4A" w14:textId="6626C8EB" w:rsidR="009036BC" w:rsidRDefault="009036BC" w:rsidP="008B00E9">
                            <w:pPr>
                              <w:jc w:val="both"/>
                              <w:rPr>
                                <w:sz w:val="20"/>
                                <w:szCs w:val="20"/>
                              </w:rPr>
                            </w:pPr>
                            <w:bookmarkStart w:id="118" w:name="_Toc67162698"/>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11</w:t>
                            </w:r>
                            <w:r w:rsidRPr="00306B65">
                              <w:rPr>
                                <w:b/>
                                <w:bCs/>
                                <w:sz w:val="20"/>
                                <w:szCs w:val="20"/>
                              </w:rPr>
                              <w:fldChar w:fldCharType="end"/>
                            </w:r>
                            <w:r w:rsidRPr="00306B65">
                              <w:rPr>
                                <w:b/>
                                <w:bCs/>
                                <w:sz w:val="20"/>
                                <w:szCs w:val="20"/>
                              </w:rPr>
                              <w:t>:</w:t>
                            </w:r>
                            <w:r>
                              <w:rPr>
                                <w:b/>
                                <w:bCs/>
                                <w:sz w:val="20"/>
                                <w:szCs w:val="20"/>
                              </w:rPr>
                              <w:t xml:space="preserve">  </w:t>
                            </w:r>
                            <w:r w:rsidRPr="008B00E9">
                              <w:rPr>
                                <w:sz w:val="20"/>
                                <w:szCs w:val="20"/>
                              </w:rPr>
                              <w:t>Výsledky multivariátního Coxova modelu proporčních rizik pro PFS u studovaných proměnných (vybrané klinické faktory a molekulární markery) ve skupinách dle terapie, vyjádřeno poměrem rizik (bod – bodový odhad, úsečka koresponduje s 95 % intervalem spolehlivost; v případě většího intervalu je použita šipka) pro každou hladinu uvedených faktorů. Referenční kategorie je označena jako “(ref.)”. Každý faktor byl analyzován v separátním modelu s adjustací na kategorie věku a Karnofsk</w:t>
                            </w:r>
                            <w:r>
                              <w:rPr>
                                <w:sz w:val="20"/>
                                <w:szCs w:val="20"/>
                              </w:rPr>
                              <w:t>ého</w:t>
                            </w:r>
                            <w:r w:rsidRPr="008B00E9">
                              <w:rPr>
                                <w:sz w:val="20"/>
                                <w:szCs w:val="20"/>
                              </w:rPr>
                              <w:t xml:space="preserve"> skóre. Signifikantní výsledky (p&lt;0.05) jsou vyznačeny červeně; tečkovaná linie označuje poměr rizik roven 1.</w:t>
                            </w:r>
                            <w:bookmarkEnd w:id="118"/>
                            <w:r w:rsidRPr="008B00E9">
                              <w:rPr>
                                <w:sz w:val="20"/>
                                <w:szCs w:val="20"/>
                              </w:rPr>
                              <w:t xml:space="preserve"> </w:t>
                            </w:r>
                          </w:p>
                          <w:p w14:paraId="31368EDB" w14:textId="5112DB11" w:rsidR="009036BC" w:rsidRPr="008B00E9" w:rsidRDefault="009036BC" w:rsidP="008B00E9">
                            <w:pPr>
                              <w:jc w:val="both"/>
                              <w:rPr>
                                <w:sz w:val="20"/>
                                <w:szCs w:val="20"/>
                              </w:rPr>
                            </w:pPr>
                            <w:r w:rsidRPr="008B00E9">
                              <w:rPr>
                                <w:sz w:val="20"/>
                                <w:szCs w:val="20"/>
                              </w:rPr>
                              <w:t xml:space="preserve">RT – radioterapie; CHT+RT – chemoradioterapie; F – ženy; M – muži; F – frontální; O – okcipitální; P – parietální; T – temporální; </w:t>
                            </w:r>
                            <w:r w:rsidRPr="00D10B90">
                              <w:rPr>
                                <w:i/>
                                <w:iCs/>
                                <w:sz w:val="20"/>
                                <w:szCs w:val="20"/>
                              </w:rPr>
                              <w:t>BCR</w:t>
                            </w:r>
                            <w:r w:rsidRPr="008B00E9">
                              <w:rPr>
                                <w:sz w:val="20"/>
                                <w:szCs w:val="20"/>
                              </w:rPr>
                              <w:t xml:space="preserve"> – breakpoint cluster region; </w:t>
                            </w:r>
                            <w:r w:rsidRPr="00D10B90">
                              <w:rPr>
                                <w:i/>
                                <w:iCs/>
                                <w:sz w:val="20"/>
                                <w:szCs w:val="20"/>
                              </w:rPr>
                              <w:t>EGFR1</w:t>
                            </w:r>
                            <w:r w:rsidRPr="008B00E9">
                              <w:rPr>
                                <w:sz w:val="20"/>
                                <w:szCs w:val="20"/>
                              </w:rPr>
                              <w:t xml:space="preserve"> – receptor epidermálního růstového faktoru 1; </w:t>
                            </w:r>
                            <w:r w:rsidRPr="00D10B90">
                              <w:rPr>
                                <w:i/>
                                <w:iCs/>
                                <w:sz w:val="20"/>
                                <w:szCs w:val="20"/>
                              </w:rPr>
                              <w:t>RB1</w:t>
                            </w:r>
                            <w:r w:rsidRPr="008B00E9">
                              <w:rPr>
                                <w:sz w:val="20"/>
                                <w:szCs w:val="20"/>
                              </w:rPr>
                              <w:t xml:space="preserve"> – retinoblastoma gene 1; </w:t>
                            </w:r>
                            <w:r w:rsidRPr="00D10B90">
                              <w:rPr>
                                <w:i/>
                                <w:iCs/>
                                <w:sz w:val="20"/>
                                <w:szCs w:val="20"/>
                              </w:rPr>
                              <w:t>TP53</w:t>
                            </w:r>
                            <w:r w:rsidRPr="008B00E9">
                              <w:rPr>
                                <w:sz w:val="20"/>
                                <w:szCs w:val="20"/>
                              </w:rPr>
                              <w:t xml:space="preserve"> - tumor protein P53; </w:t>
                            </w:r>
                            <w:r w:rsidRPr="00D10B90">
                              <w:rPr>
                                <w:i/>
                                <w:iCs/>
                                <w:sz w:val="20"/>
                                <w:szCs w:val="20"/>
                              </w:rPr>
                              <w:t>MDM2</w:t>
                            </w:r>
                            <w:r w:rsidRPr="008B00E9">
                              <w:rPr>
                                <w:sz w:val="20"/>
                                <w:szCs w:val="20"/>
                              </w:rPr>
                              <w:t xml:space="preserve"> – mouse double minute 2 homolog; CCND1 – cyclin D1; </w:t>
                            </w:r>
                            <w:r w:rsidRPr="00D10B90">
                              <w:rPr>
                                <w:i/>
                                <w:iCs/>
                                <w:sz w:val="20"/>
                                <w:szCs w:val="20"/>
                              </w:rPr>
                              <w:t>MGMT</w:t>
                            </w:r>
                            <w:r w:rsidRPr="008B00E9">
                              <w:rPr>
                                <w:sz w:val="20"/>
                                <w:szCs w:val="20"/>
                              </w:rPr>
                              <w:t xml:space="preserve"> - O6-metylguanin-DNA methyltransferáza.</w:t>
                            </w:r>
                          </w:p>
                          <w:p w14:paraId="5C921381" w14:textId="58EFFD78" w:rsidR="009036BC" w:rsidRPr="0010124A" w:rsidRDefault="009036BC" w:rsidP="003D14B5">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0C5BE" id="_x0000_s1028" type="#_x0000_t202" style="position:absolute;left:0;text-align:left;margin-left:47.7pt;margin-top:14.25pt;width:629.35pt;height:133.8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2NkFQIAAP8DAAAOAAAAZHJzL2Uyb0RvYy54bWysU9uO0zAQfUfiHyy/07RRLzRqulp2WYS0&#10;XKRdPmDqOI2F7TG222T5I76DH2PsdEsFb4g8WJ6M53jOmePN1WA0O0ofFNqazyZTzqQV2Ci7r/mX&#10;x7tXrzkLEWwDGq2s+ZMM/Gr78sWmd5UssUPdSM8IxIaqdzXvYnRVUQTRSQNhgk5aSrboDUQK/b5o&#10;PPSEbnRRTqfLokffOI9ChkB/b8ck32b8tpUifmrbICPTNafeYl59XndpLbYbqPYeXKfEqQ34hy4M&#10;KEuXnqFuIQI7ePUXlFHCY8A2TgSaAttWCZk5EJvZ9A82Dx04mbmQOMGdZQr/D1Z8PH72TDU1p0FZ&#10;MDSiRzlEPP78wRxqycokUe9CRScfHJ2NwxscaNSZbnD3KL4GZvGmA7uX195j30loqMVZqiwuSkec&#10;kEB2/Qds6C44RMxAQ+tN0o8UYYROo3o6j4f6YYJ+rtbrcjVfcCYoN1tStMwDLKB6Lnc+xHcSDUub&#10;mnuaf4aH432IqR2ono+k2yzeKa2zB7Rlfc3Xi3KRCy4yRkWyqFaGNJqmbzRNYvnWNrk4gtLjni7Q&#10;9kQ7MR05x2E3ZJHPau6weSIdPI6OpBdEmw79d856cmPNw7cDeMmZfm9Jy/VsPk/2zcF8sSop8JeZ&#10;3WUGrCComkfOxu1NzJYfKV+T5q3KaqThjJ2cWiaXZZFOLyLZ+DLOp36/2+0vAAAA//8DAFBLAwQU&#10;AAYACAAAACEAScz9qN4AAAAKAQAADwAAAGRycy9kb3ducmV2LnhtbEyPzU7DMBCE70i8g7VI3Kid&#10;klRNiFMhEFcqyo/EbRtvk4h4HcVuE96+7gmOszOa+bbczLYXJxp951hDslAgiGtnOm40fLy/3K1B&#10;+IBssHdMGn7Jw6a6viqxMG7iNzrtQiNiCfsCNbQhDIWUvm7Jol+4gTh6BzdaDFGOjTQjTrHc9nKp&#10;1Epa7DgutDjQU0v1z+5oNXy+Hr6/UrVtnm02TG5Wkm0utb69mR8fQASaw18YLvgRHarItHdHNl70&#10;GvIsjUkNy3UG4uLfZ2kCYh8v+SoBWZXy/wvVGQAA//8DAFBLAQItABQABgAIAAAAIQC2gziS/gAA&#10;AOEBAAATAAAAAAAAAAAAAAAAAAAAAABbQ29udGVudF9UeXBlc10ueG1sUEsBAi0AFAAGAAgAAAAh&#10;ADj9If/WAAAAlAEAAAsAAAAAAAAAAAAAAAAALwEAAF9yZWxzLy5yZWxzUEsBAi0AFAAGAAgAAAAh&#10;AN6vY2QVAgAA/wMAAA4AAAAAAAAAAAAAAAAALgIAAGRycy9lMm9Eb2MueG1sUEsBAi0AFAAGAAgA&#10;AAAhAEnM/ajeAAAACgEAAA8AAAAAAAAAAAAAAAAAbwQAAGRycy9kb3ducmV2LnhtbFBLBQYAAAAA&#10;BAAEAPMAAAB6BQAAAAA=&#10;" filled="f" stroked="f">
                <v:textbox>
                  <w:txbxContent>
                    <w:p w14:paraId="5B6B0D4A" w14:textId="6626C8EB" w:rsidR="009036BC" w:rsidRDefault="009036BC" w:rsidP="008B00E9">
                      <w:pPr>
                        <w:jc w:val="both"/>
                        <w:rPr>
                          <w:sz w:val="20"/>
                          <w:szCs w:val="20"/>
                        </w:rPr>
                      </w:pPr>
                      <w:bookmarkStart w:id="119" w:name="_Toc67162698"/>
                      <w:r w:rsidRPr="00306B65">
                        <w:rPr>
                          <w:b/>
                          <w:bCs/>
                          <w:sz w:val="20"/>
                          <w:szCs w:val="20"/>
                        </w:rPr>
                        <w:t xml:space="preserve">Obrázek </w:t>
                      </w:r>
                      <w:r w:rsidRPr="00306B65">
                        <w:rPr>
                          <w:b/>
                          <w:bCs/>
                          <w:sz w:val="20"/>
                          <w:szCs w:val="20"/>
                        </w:rPr>
                        <w:fldChar w:fldCharType="begin"/>
                      </w:r>
                      <w:r w:rsidRPr="00306B65">
                        <w:rPr>
                          <w:b/>
                          <w:bCs/>
                          <w:sz w:val="20"/>
                          <w:szCs w:val="20"/>
                        </w:rPr>
                        <w:instrText xml:space="preserve"> SEQ Obrázek \* ARABIC </w:instrText>
                      </w:r>
                      <w:r w:rsidRPr="00306B65">
                        <w:rPr>
                          <w:b/>
                          <w:bCs/>
                          <w:sz w:val="20"/>
                          <w:szCs w:val="20"/>
                        </w:rPr>
                        <w:fldChar w:fldCharType="separate"/>
                      </w:r>
                      <w:r w:rsidR="00C43719">
                        <w:rPr>
                          <w:b/>
                          <w:bCs/>
                          <w:noProof/>
                          <w:sz w:val="20"/>
                          <w:szCs w:val="20"/>
                        </w:rPr>
                        <w:t>11</w:t>
                      </w:r>
                      <w:r w:rsidRPr="00306B65">
                        <w:rPr>
                          <w:b/>
                          <w:bCs/>
                          <w:sz w:val="20"/>
                          <w:szCs w:val="20"/>
                        </w:rPr>
                        <w:fldChar w:fldCharType="end"/>
                      </w:r>
                      <w:r w:rsidRPr="00306B65">
                        <w:rPr>
                          <w:b/>
                          <w:bCs/>
                          <w:sz w:val="20"/>
                          <w:szCs w:val="20"/>
                        </w:rPr>
                        <w:t>:</w:t>
                      </w:r>
                      <w:r>
                        <w:rPr>
                          <w:b/>
                          <w:bCs/>
                          <w:sz w:val="20"/>
                          <w:szCs w:val="20"/>
                        </w:rPr>
                        <w:t xml:space="preserve">  </w:t>
                      </w:r>
                      <w:r w:rsidRPr="008B00E9">
                        <w:rPr>
                          <w:sz w:val="20"/>
                          <w:szCs w:val="20"/>
                        </w:rPr>
                        <w:t>Výsledky multivariátního Coxova modelu proporčních rizik pro PFS u studovaných proměnných (vybrané klinické faktory a molekulární markery) ve skupinách dle terapie, vyjádřeno poměrem rizik (bod – bodový odhad, úsečka koresponduje s 95 % intervalem spolehlivost; v případě většího intervalu je použita šipka) pro každou hladinu uvedených faktorů. Referenční kategorie je označena jako “(ref.)”. Každý faktor byl analyzován v separátním modelu s adjustací na kategorie věku a Karnofsk</w:t>
                      </w:r>
                      <w:r>
                        <w:rPr>
                          <w:sz w:val="20"/>
                          <w:szCs w:val="20"/>
                        </w:rPr>
                        <w:t>ého</w:t>
                      </w:r>
                      <w:r w:rsidRPr="008B00E9">
                        <w:rPr>
                          <w:sz w:val="20"/>
                          <w:szCs w:val="20"/>
                        </w:rPr>
                        <w:t xml:space="preserve"> skóre. Signifikantní výsledky (p&lt;0.05) jsou vyznačeny červeně; tečkovaná linie označuje poměr rizik roven 1.</w:t>
                      </w:r>
                      <w:bookmarkEnd w:id="119"/>
                      <w:r w:rsidRPr="008B00E9">
                        <w:rPr>
                          <w:sz w:val="20"/>
                          <w:szCs w:val="20"/>
                        </w:rPr>
                        <w:t xml:space="preserve"> </w:t>
                      </w:r>
                    </w:p>
                    <w:p w14:paraId="31368EDB" w14:textId="5112DB11" w:rsidR="009036BC" w:rsidRPr="008B00E9" w:rsidRDefault="009036BC" w:rsidP="008B00E9">
                      <w:pPr>
                        <w:jc w:val="both"/>
                        <w:rPr>
                          <w:sz w:val="20"/>
                          <w:szCs w:val="20"/>
                        </w:rPr>
                      </w:pPr>
                      <w:r w:rsidRPr="008B00E9">
                        <w:rPr>
                          <w:sz w:val="20"/>
                          <w:szCs w:val="20"/>
                        </w:rPr>
                        <w:t xml:space="preserve">RT – radioterapie; CHT+RT – chemoradioterapie; F – ženy; M – muži; F – frontální; O – okcipitální; P – parietální; T – temporální; </w:t>
                      </w:r>
                      <w:r w:rsidRPr="00D10B90">
                        <w:rPr>
                          <w:i/>
                          <w:iCs/>
                          <w:sz w:val="20"/>
                          <w:szCs w:val="20"/>
                        </w:rPr>
                        <w:t>BCR</w:t>
                      </w:r>
                      <w:r w:rsidRPr="008B00E9">
                        <w:rPr>
                          <w:sz w:val="20"/>
                          <w:szCs w:val="20"/>
                        </w:rPr>
                        <w:t xml:space="preserve"> – breakpoint cluster region; </w:t>
                      </w:r>
                      <w:r w:rsidRPr="00D10B90">
                        <w:rPr>
                          <w:i/>
                          <w:iCs/>
                          <w:sz w:val="20"/>
                          <w:szCs w:val="20"/>
                        </w:rPr>
                        <w:t>EGFR1</w:t>
                      </w:r>
                      <w:r w:rsidRPr="008B00E9">
                        <w:rPr>
                          <w:sz w:val="20"/>
                          <w:szCs w:val="20"/>
                        </w:rPr>
                        <w:t xml:space="preserve"> – receptor epidermálního růstového faktoru 1; </w:t>
                      </w:r>
                      <w:r w:rsidRPr="00D10B90">
                        <w:rPr>
                          <w:i/>
                          <w:iCs/>
                          <w:sz w:val="20"/>
                          <w:szCs w:val="20"/>
                        </w:rPr>
                        <w:t>RB1</w:t>
                      </w:r>
                      <w:r w:rsidRPr="008B00E9">
                        <w:rPr>
                          <w:sz w:val="20"/>
                          <w:szCs w:val="20"/>
                        </w:rPr>
                        <w:t xml:space="preserve"> – retinoblastoma gene 1; </w:t>
                      </w:r>
                      <w:r w:rsidRPr="00D10B90">
                        <w:rPr>
                          <w:i/>
                          <w:iCs/>
                          <w:sz w:val="20"/>
                          <w:szCs w:val="20"/>
                        </w:rPr>
                        <w:t>TP53</w:t>
                      </w:r>
                      <w:r w:rsidRPr="008B00E9">
                        <w:rPr>
                          <w:sz w:val="20"/>
                          <w:szCs w:val="20"/>
                        </w:rPr>
                        <w:t xml:space="preserve"> - tumor protein P53; </w:t>
                      </w:r>
                      <w:r w:rsidRPr="00D10B90">
                        <w:rPr>
                          <w:i/>
                          <w:iCs/>
                          <w:sz w:val="20"/>
                          <w:szCs w:val="20"/>
                        </w:rPr>
                        <w:t>MDM2</w:t>
                      </w:r>
                      <w:r w:rsidRPr="008B00E9">
                        <w:rPr>
                          <w:sz w:val="20"/>
                          <w:szCs w:val="20"/>
                        </w:rPr>
                        <w:t xml:space="preserve"> – mouse double minute 2 homolog; CCND1 – cyclin D1; </w:t>
                      </w:r>
                      <w:r w:rsidRPr="00D10B90">
                        <w:rPr>
                          <w:i/>
                          <w:iCs/>
                          <w:sz w:val="20"/>
                          <w:szCs w:val="20"/>
                        </w:rPr>
                        <w:t>MGMT</w:t>
                      </w:r>
                      <w:r w:rsidRPr="008B00E9">
                        <w:rPr>
                          <w:sz w:val="20"/>
                          <w:szCs w:val="20"/>
                        </w:rPr>
                        <w:t xml:space="preserve"> - O6-metylguanin-DNA methyltransferáza.</w:t>
                      </w:r>
                    </w:p>
                    <w:p w14:paraId="5C921381" w14:textId="58EFFD78" w:rsidR="009036BC" w:rsidRPr="0010124A" w:rsidRDefault="009036BC" w:rsidP="003D14B5">
                      <w:pPr>
                        <w:rPr>
                          <w:sz w:val="18"/>
                          <w:szCs w:val="18"/>
                        </w:rPr>
                      </w:pPr>
                    </w:p>
                  </w:txbxContent>
                </v:textbox>
                <w10:wrap type="tight" anchorx="margin"/>
              </v:shape>
            </w:pict>
          </mc:Fallback>
        </mc:AlternateContent>
      </w:r>
    </w:p>
    <w:p w14:paraId="29E48804" w14:textId="5C4C6C62" w:rsidR="00E83E88" w:rsidRDefault="00E83E88" w:rsidP="00512C86">
      <w:pPr>
        <w:jc w:val="both"/>
      </w:pPr>
    </w:p>
    <w:p w14:paraId="7F9565E2" w14:textId="6F5B9DFD" w:rsidR="004105E1" w:rsidRDefault="004105E1" w:rsidP="00E83E88">
      <w:pPr>
        <w:jc w:val="both"/>
      </w:pPr>
    </w:p>
    <w:p w14:paraId="4499E1F1" w14:textId="77777777" w:rsidR="004105E1" w:rsidRDefault="004105E1" w:rsidP="00E83E88">
      <w:pPr>
        <w:jc w:val="both"/>
      </w:pPr>
    </w:p>
    <w:p w14:paraId="190DC007" w14:textId="77777777" w:rsidR="004105E1" w:rsidRDefault="004105E1" w:rsidP="00E83E88">
      <w:pPr>
        <w:jc w:val="both"/>
      </w:pPr>
    </w:p>
    <w:p w14:paraId="27A9EE78" w14:textId="77777777" w:rsidR="000B0BA1" w:rsidRDefault="000B0BA1" w:rsidP="00E83E88">
      <w:pPr>
        <w:jc w:val="both"/>
        <w:sectPr w:rsidR="000B0BA1" w:rsidSect="00F57E5F">
          <w:pgSz w:w="16838" w:h="11906" w:orient="landscape"/>
          <w:pgMar w:top="1417" w:right="1417" w:bottom="1417" w:left="1417" w:header="708" w:footer="708" w:gutter="0"/>
          <w:cols w:space="708"/>
          <w:docGrid w:linePitch="360"/>
        </w:sectPr>
      </w:pPr>
    </w:p>
    <w:p w14:paraId="7F9DEFF5" w14:textId="40508778" w:rsidR="00F57E5F" w:rsidRDefault="00F57E5F" w:rsidP="00CE58AB">
      <w:pPr>
        <w:pStyle w:val="Nadpis4"/>
      </w:pPr>
      <w:bookmarkStart w:id="120" w:name="_Toc88741513"/>
      <w:r>
        <w:t>Shrnutí výsledků</w:t>
      </w:r>
      <w:bookmarkEnd w:id="120"/>
    </w:p>
    <w:p w14:paraId="5E784B9C" w14:textId="2B0013DD" w:rsidR="00013038" w:rsidRPr="009E26D8" w:rsidRDefault="00013038" w:rsidP="00F57E5F">
      <w:pPr>
        <w:jc w:val="both"/>
      </w:pPr>
      <w:r w:rsidRPr="009E26D8">
        <w:t xml:space="preserve">Ve skupině pacientů léčených radioterapií byly nalezeny výrazné prognosticky negativní faktory pro OS jakými jsou 1q HCN, </w:t>
      </w:r>
      <w:r w:rsidRPr="00B47AD2">
        <w:rPr>
          <w:i/>
          <w:iCs/>
        </w:rPr>
        <w:t>BCR</w:t>
      </w:r>
      <w:r w:rsidRPr="009E26D8">
        <w:t xml:space="preserve"> HCN a </w:t>
      </w:r>
      <w:r w:rsidRPr="00B47AD2">
        <w:rPr>
          <w:i/>
          <w:iCs/>
        </w:rPr>
        <w:t>RB1</w:t>
      </w:r>
      <w:r w:rsidRPr="009E26D8">
        <w:t xml:space="preserve"> HCN, co se týče negativních prognostických faktorů PFS se jedná o 1q HCN a 22q12.2 HCN.</w:t>
      </w:r>
    </w:p>
    <w:p w14:paraId="36426636" w14:textId="403FA048" w:rsidR="00013038" w:rsidRPr="009E26D8" w:rsidRDefault="00013038" w:rsidP="00F57E5F">
      <w:pPr>
        <w:jc w:val="both"/>
      </w:pPr>
      <w:r w:rsidRPr="009E26D8">
        <w:t xml:space="preserve">Ve skupině pacientů léčených chemoradioterapií </w:t>
      </w:r>
      <w:r w:rsidR="009E26D8">
        <w:t xml:space="preserve">bylo jako negativními klinickými faktory označeno mužské pohlaví, </w:t>
      </w:r>
      <w:r w:rsidR="009E26D8" w:rsidRPr="009E26D8">
        <w:t xml:space="preserve">vysoké Karnofského skóre, vyšší věk, vyšší exprese Ki67 a status 22q12.2 HCN. Naopak genetické markery jako </w:t>
      </w:r>
      <w:r w:rsidR="009E26D8" w:rsidRPr="00B47AD2">
        <w:rPr>
          <w:i/>
          <w:iCs/>
        </w:rPr>
        <w:t>CCND1</w:t>
      </w:r>
      <w:r w:rsidR="009E26D8" w:rsidRPr="009E26D8">
        <w:t xml:space="preserve"> HCN, 19q13 HCN, </w:t>
      </w:r>
      <w:r w:rsidR="009E26D8" w:rsidRPr="00B47AD2">
        <w:rPr>
          <w:i/>
          <w:iCs/>
        </w:rPr>
        <w:t>MDM2</w:t>
      </w:r>
      <w:r w:rsidR="009E26D8" w:rsidRPr="009E26D8">
        <w:t xml:space="preserve"> HCN a </w:t>
      </w:r>
      <w:r w:rsidR="00B47AD2" w:rsidRPr="00B47AD2">
        <w:rPr>
          <w:i/>
          <w:iCs/>
        </w:rPr>
        <w:t>P</w:t>
      </w:r>
      <w:r w:rsidR="009E26D8" w:rsidRPr="00B47AD2">
        <w:rPr>
          <w:i/>
          <w:iCs/>
        </w:rPr>
        <w:t>53</w:t>
      </w:r>
      <w:r w:rsidR="009E26D8" w:rsidRPr="009E26D8">
        <w:t xml:space="preserve"> HCN byly potvrzeny jako pozitivní markery jak OS tak PFS.</w:t>
      </w:r>
    </w:p>
    <w:p w14:paraId="2482E2E7" w14:textId="1B4EA8C6" w:rsidR="00F57E5F" w:rsidRPr="009E26D8" w:rsidRDefault="009E26D8" w:rsidP="00F57E5F">
      <w:pPr>
        <w:jc w:val="both"/>
      </w:pPr>
      <w:r w:rsidRPr="009E26D8">
        <w:t xml:space="preserve">I přes malý soubor pacientů bez terapie se zdá, že mužské pohlaví, status kouření a </w:t>
      </w:r>
      <w:r w:rsidRPr="00B47AD2">
        <w:rPr>
          <w:i/>
          <w:iCs/>
        </w:rPr>
        <w:t>CCND1</w:t>
      </w:r>
      <w:r w:rsidRPr="009E26D8">
        <w:t xml:space="preserve"> HCN mají negativní vliv na prognózu.</w:t>
      </w:r>
    </w:p>
    <w:p w14:paraId="0133443B" w14:textId="69F54742" w:rsidR="009E26D8" w:rsidRPr="009E26D8" w:rsidRDefault="009E26D8" w:rsidP="00F57E5F">
      <w:pPr>
        <w:jc w:val="both"/>
      </w:pPr>
      <w:r w:rsidRPr="009E26D8">
        <w:t>V případě celé kohorty pacientů byly označeny za negativní prognosti</w:t>
      </w:r>
      <w:r w:rsidR="00B47AD2">
        <w:t>c</w:t>
      </w:r>
      <w:r w:rsidRPr="009E26D8">
        <w:t>ké faktory mužské pohlaví</w:t>
      </w:r>
      <w:r w:rsidR="00B47AD2">
        <w:t>,</w:t>
      </w:r>
      <w:r w:rsidRPr="009E26D8">
        <w:t xml:space="preserve"> </w:t>
      </w:r>
      <w:r w:rsidRPr="00B47AD2">
        <w:rPr>
          <w:i/>
          <w:iCs/>
        </w:rPr>
        <w:t>RB1</w:t>
      </w:r>
      <w:r w:rsidRPr="009E26D8">
        <w:t xml:space="preserve"> HCN a 22q12.2 HCN</w:t>
      </w:r>
      <w:r>
        <w:t xml:space="preserve">. </w:t>
      </w:r>
      <w:r w:rsidR="00B47AD2">
        <w:t xml:space="preserve">Naopak status </w:t>
      </w:r>
      <w:r w:rsidR="00B47AD2" w:rsidRPr="00B47AD2">
        <w:rPr>
          <w:i/>
          <w:iCs/>
        </w:rPr>
        <w:t>EGFR1</w:t>
      </w:r>
      <w:r w:rsidR="00B47AD2" w:rsidRPr="00B47AD2">
        <w:t xml:space="preserve"> HCN, </w:t>
      </w:r>
      <w:r w:rsidR="00B47AD2" w:rsidRPr="00B47AD2">
        <w:rPr>
          <w:i/>
          <w:iCs/>
        </w:rPr>
        <w:t>P53</w:t>
      </w:r>
      <w:r w:rsidR="00B47AD2" w:rsidRPr="00B47AD2">
        <w:t xml:space="preserve"> HCN, </w:t>
      </w:r>
      <w:r w:rsidR="00B47AD2" w:rsidRPr="00B47AD2">
        <w:rPr>
          <w:i/>
          <w:iCs/>
        </w:rPr>
        <w:t>CCND1</w:t>
      </w:r>
      <w:r w:rsidR="00B47AD2" w:rsidRPr="00B47AD2">
        <w:t xml:space="preserve"> HCN a 19q13 HCN</w:t>
      </w:r>
      <w:r w:rsidR="00B47AD2">
        <w:t xml:space="preserve"> se jeví jako pozitivní prognostické faktory.</w:t>
      </w:r>
    </w:p>
    <w:p w14:paraId="6DF814DF" w14:textId="57EEC88B" w:rsidR="00E914CD" w:rsidRDefault="00E914CD" w:rsidP="00E914CD">
      <w:pPr>
        <w:jc w:val="both"/>
      </w:pPr>
    </w:p>
    <w:p w14:paraId="7E9050C9" w14:textId="107B9CEE" w:rsidR="00E914CD" w:rsidRDefault="00E914CD" w:rsidP="00E914CD">
      <w:pPr>
        <w:pStyle w:val="Nadpis3"/>
      </w:pPr>
      <w:bookmarkStart w:id="121" w:name="_Toc88741514"/>
      <w:r>
        <w:t>Diskuze</w:t>
      </w:r>
      <w:bookmarkEnd w:id="121"/>
    </w:p>
    <w:p w14:paraId="71401FD0" w14:textId="77777777" w:rsidR="00160EA4" w:rsidRPr="00160EA4" w:rsidRDefault="00160EA4" w:rsidP="00160EA4">
      <w:pPr>
        <w:rPr>
          <w:sz w:val="12"/>
          <w:szCs w:val="12"/>
        </w:rPr>
      </w:pPr>
    </w:p>
    <w:p w14:paraId="3E62637D" w14:textId="5F289AFB" w:rsidR="004B194F" w:rsidRDefault="00DD0243" w:rsidP="004B194F">
      <w:pPr>
        <w:jc w:val="both"/>
        <w:rPr>
          <w:highlight w:val="yellow"/>
        </w:rPr>
      </w:pPr>
      <w:r w:rsidRPr="00DD0243">
        <w:t xml:space="preserve">I přes </w:t>
      </w:r>
      <w:r w:rsidR="008B00E9">
        <w:t>značnou</w:t>
      </w:r>
      <w:r w:rsidRPr="00DD0243">
        <w:t xml:space="preserve"> snahu odhalit molekulární podstatu GBM</w:t>
      </w:r>
      <w:r>
        <w:t xml:space="preserve">, zůstávají role známých klíčových genů a molekulárních markerů nejasné </w:t>
      </w:r>
      <w:r w:rsidR="00EA5CBA">
        <w:fldChar w:fldCharType="begin" w:fldLock="1"/>
      </w:r>
      <w:r w:rsidR="00C21F70">
        <w:instrText>ADDIN CSL_CITATION {"citationItems":[{"id":"ITEM-1","itemData":{"DOI":"10.7717/peerj.6560","ISSN":"21678359","abstract":"Gliomas are a very diverse group of brain tumors that are most commonly primary tumor and difficult to cure in central nervous system. It’s necessary to distinguish low-grade tumors from high-grade tumors by understanding the molecular basis of different grades of glioma, which is an important step in defining new biomarkers and therapeutic strategies. We have chosen the gene expression profile GSE52009 from gene expression omnibus (GEO) database to detect important differential genes. GSE52009 contains 120 samples, including 60 WHO II samples and 24 WHO IV samples that were selected in our analysis. We used the GEO2R tool to pick out differently expressed genes (DEGs) between low-grade glioma and high-grade glioma, and then we used the database for annotation, visualization and integrated discovery to perform gene ontology analysis and Kyoto encyclopedia of gene and genome pathway analysis. Furthermore, we used the Cytoscape search tool for the retrieval of interacting genes with molecular complex detection plug-in applied to achieve the visualization of protein–protein interaction (PPI). We selected 15 hub genes with higher degrees of connectivity, including tissue inhibitors metalloproteinases-1 and serum amyloid A1; additionally, we used GSE53733 containing 70 glioblastoma samples to conduct Gene Set Enrichment Analysis. In conclusion, our bioinformatics analysis showed that DEGs and hub genes may be defined as new biomarkers for diagnosis and for guiding the therapeutic strategies of glioblastoma.","author":[{"dropping-particle":"","family":"Xu","given":"Yang","non-dropping-particle":"","parse-names":false,"suffix":""},{"dropping-particle":"","family":"Geng","given":"Rongxin","non-dropping-particle":"","parse-names":false,"suffix":""},{"dropping-particle":"","family":"Yuan","given":"Fan'en","non-dropping-particle":"","parse-names":false,"suffix":""},{"dropping-particle":"","family":"Sun","given":"Qian","non-dropping-particle":"","parse-names":false,"suffix":""},{"dropping-particle":"","family":"Liu","given":"Baohui","non-dropping-particle":"","parse-names":false,"suffix":""},{"dropping-particle":"","family":"Chen","given":"Qianxue","non-dropping-particle":"","parse-names":false,"suffix":""}],"container-title":"PeerJ","id":"ITEM-1","issue":"3","issued":{"date-parts":[["2019"]]},"publisher":"PeerJ Inc.","title":"Identification of differentially expressed key genes between glioblastoma and low-grade glioma by bioinformatics analysis","type":"article-journal","volume":"2019"},"uris":["http://www.mendeley.com/documents/?uuid=6b674745-57b4-4f4f-8b88-64bfb3e3e1fc"]},{"id":"ITEM-2","itemData":{"DOI":"10.3892/etm.2019.7975","ISSN":"1792-0981","abstract":"Glioblastoma (GBM), characterized by high morbidity and mortality, is one of the most common lethal diseases worldwide. To identify the molecular mechanisms that contribute to the development of GBM, three cohort profile datasets (GSE50161, GSE90598 and GSE104291) were integrated and thoroughly analyzed; these datasets included 57 GBM cases and 22 cases of normal brain tissue. The current study identified differentially expressed genes (DEGs), and analyzed potential candidate genes and pathways. Additionally, a DEGs-associated protein-protein interaction (PPI) network was established for further investigation. Then, the hub genes associated with prognosis were identified using a Kaplan-Meier analysis based on The Cancer Genome Atlas database. Firstly, the current study identified 378 consistent DEGs (240 upregulated and 138 downregu-lated). Secondly, a cluster analysis of the DEGs was performed based on functions of the DEGs and signaling pathways were analyzed using the enrichment analysis tool on DAVID. Thirdly, 245 DEGs were identified using PPI network analysis.","author":[{"dropping-particle":"","family":"Li","given":"Lei","non-dropping-particle":"","parse-names":false,"suffix":""},{"dropping-particle":"","family":"Liu","given":"Xiaohui","non-dropping-particle":"","parse-names":false,"suffix":""},{"dropping-particle":"","family":"Ma","given":"Xiaoye","non-dropping-particle":"","parse-names":false,"suffix":""},{"dropping-particle":"","family":"Deng","given":"Xianyu","non-dropping-particle":"","parse-names":false,"suffix":""},{"dropping-particle":"","family":"Ji","given":"Tao","non-dropping-particle":"","parse-names":false,"suffix":""},{"dropping-particle":"","family":"Hu","given":"Pingping","non-dropping-particle":"","parse-names":false,"suffix":""},{"dropping-particle":"","family":"Wan","given":"Ronghao","non-dropping-particle":"","parse-names":false,"suffix":""},{"dropping-particle":"","family":"Qiu","given":"Huijia","non-dropping-particle":"","parse-names":false,"suffix":""},{"dropping-particle":"","family":"Cui","given":"Daming","non-dropping-particle":"","parse-names":false,"suffix":""},{"dropping-particle":"","family":"Gao","given":"Liang","non-dropping-particle":"","parse-names":false,"suffix":""}],"container-title":"Experimental and Therapeutic Medicine","id":"ITEM-2","issue":"5","issued":{"date-parts":[["2019","9","5"]]},"page":"3439-3449","publisher":"Spandidos Publications","title":"Identification of key candidate genes and pathways in glioblastoma by integrated bioinformatical analysis","type":"article-journal","volume":"18"},"uris":["http://www.mendeley.com/documents/?uuid=5df97605-d80e-3517-898b-449be957d693"]},{"id":"ITEM-3","itemData":{"DOI":"10.1093/jnen/nlaa059","ISSN":"15546578","PMID":"32647886","abstract":"IDH-wildtype glioblastoma is a relatively common malignant brain tumor in adults. These patients generally have dismal prognoses, although outliers with long survival have been noted in the literature. Recently, it has been reported that many histologically lower-grade IDH-wildtype astrocytomas have a similar clinical outcome to grade IV tumors, suggesting they may represent early or under-sampled glioblastomas. cIMPACT-NOW 3 guidelines now recommend upgrading IDH-wildtype astrocytomas with certain molecular criteria (EGFR amplifications, chromosome 7 gain/10 loss, and/or TERT promoter mutations), establishing the concept of a “molecular grade IV” astrocytoma. In this report, we apply these cIMPACT-NOW 3 criteria to 2 independent glioblastoma cohorts, totaling 393 public database and institutional glioblastoma cases: 89 cases without any of the cIMPACT-NOW 3 criteria (GBM-C0) and 304 cases with one or more criteria (GBM-C1-3). In the GBM-C0 groups, there was a trend toward longer recurrence-free survival (median 12-17 vs 6-10 months), significantly longer overall survival (median 32-41 vs 15-18 months), younger age at initial diagnosis, and lower overall mutation burden compared to the GBM-C1-3 cohorts. These data suggest that while histologic features may not be ideal indicators of patient survival in IDH-wildtype astrocytomas, these 3 molecular features may also be important prognostic factors in IDH-wildtype glioblastoma.","author":[{"dropping-particle":"","family":"Galbraith","given":"Kristyn","non-dropping-particle":"","parse-names":false,"suffix":""},{"dropping-particle":"","family":"Kumar","given":"Ashwani","non-dropping-particle":"","parse-names":false,"suffix":""},{"dropping-particle":"","family":"Abdullah","given":"Kalil G.","non-dropping-particle":"","parse-names":false,"suffix":""},{"dropping-particle":"","family":"Walker","given":"Jamie M.","non-dropping-particle":"","parse-names":false,"suffix":""},{"dropping-particle":"","family":"Adams","given":"Steven H.","non-dropping-particle":"","parse-names":false,"suffix":""},{"dropping-particle":"","family":"Prior","given":"Timothy","non-dropping-particle":"","parse-names":false,"suffix":""},{"dropping-particle":"","family":"Dimentberg","given":"Ryan","non-dropping-particle":"","parse-names":false,"suffix":""},{"dropping-particle":"","family":"Henderson","given":"Fraser C.","non-dropping-particle":"","parse-names":false,"suffix":""},{"dropping-particle":"","family":"Mirchia","given":"Kanish","non-dropping-particle":"","parse-names":false,"suffix":""},{"dropping-particle":"","family":"Sathe","given":"Adwait Amod","non-dropping-particle":"","parse-names":false,"suffix":""},{"dropping-particle":"","family":"Viapiano","given":"Mariano S.","non-dropping-particle":"","parse-names":false,"suffix":""},{"dropping-particle":"","family":"Chin","given":"Lawrence S.","non-dropping-particle":"","parse-names":false,"suffix":""},{"dropping-particle":"","family":"Corona","given":"Robert J.","non-dropping-particle":"","parse-names":false,"suffix":""},{"dropping-particle":"","family":"Hatanpaa","given":"Kimmo J.","non-dropping-particle":"","parse-names":false,"suffix":""},{"dropping-particle":"","family":"Snuderl","given":"Matija","non-dropping-particle":"","parse-names":false,"suffix":""},{"dropping-particle":"","family":"Xing","given":"Chao","non-dropping-particle":"","parse-names":false,"suffix":""},{"dropping-particle":"","family":"Brem","given":"Steven","non-dropping-particle":"","parse-names":false,"suffix":""},{"dropping-particle":"","family":"Richardson","given":"Timothy E.","non-dropping-particle":"","parse-names":false,"suffix":""}],"container-title":"Journal of Neuropathology and Experimental Neurology","id":"ITEM-3","issue":"8","issued":{"date-parts":[["2020","8","1"]]},"page":"843-854","publisher":"Oxford University Press","title":"Molecular correlates of long survival in IDH-Wildtype glioblastoma cohorts","type":"article-journal","volume":"79"},"uris":["http://www.mendeley.com/documents/?uuid=27a1b03b-8639-3eba-b45a-88ee37a40e3a"]}],"mendeley":{"formattedCitation":"&lt;sup&gt;247–249&lt;/sup&gt;","plainTextFormattedCitation":"247–249","previouslyFormattedCitation":"&lt;sup&gt;247–249&lt;/sup&gt;"},"properties":{"noteIndex":0},"schema":"https://github.com/citation-style-language/schema/raw/master/csl-citation.json"}</w:instrText>
      </w:r>
      <w:r w:rsidR="00EA5CBA">
        <w:fldChar w:fldCharType="separate"/>
      </w:r>
      <w:r w:rsidR="00403A59" w:rsidRPr="00403A59">
        <w:rPr>
          <w:noProof/>
          <w:vertAlign w:val="superscript"/>
        </w:rPr>
        <w:t>247–249</w:t>
      </w:r>
      <w:r w:rsidR="00EA5CBA">
        <w:fldChar w:fldCharType="end"/>
      </w:r>
      <w:r w:rsidR="00EA5CBA">
        <w:t xml:space="preserve">. </w:t>
      </w:r>
      <w:r>
        <w:t xml:space="preserve">Předchozí studie se snažily najít rozdílné molekulární znaky u difuzních gliomů a tím odhalit klinicky relevantní a funkčně rozdílné podskupiny GBM, </w:t>
      </w:r>
      <w:r w:rsidR="00B47AD2">
        <w:t>které však nenašly uplatnění v klinické praxi</w:t>
      </w:r>
      <w:r w:rsidR="00EA5CBA">
        <w:fldChar w:fldCharType="begin" w:fldLock="1"/>
      </w:r>
      <w:r w:rsidR="00C21F70">
        <w:instrText>ADDIN CSL_CITATION {"citationItems":[{"id":"ITEM-1","itemData":{"DOI":"10.3103/S0095452714060036","ISSN":"19349440","abstract":"Two glioblastoma groups, which are distinguished from each other by expression level of 416 genes (p ≤ 0.05), were determined using a mathematical model of linear Boolean programming on the basis of gene expression data, obtained by microarray analysis of the glioblastomas and available in Gene Expression Omnibus (GEO) data base. The expression level of 15 genes was more than two-fold higher in the first group of glioblastoma (80 samples) in comparison with the second group (144 samples) and 401 genes and more than two-fold lower as compared to the second group. Ten of 15 genes, which expression level prevailed in the first group, encode the proteins involved in cell cycle regulation and cell proliferation. A significant percentage of 401 genes are the genes that encode proteins involved in the functioning of neural cells and participating in the processes such as synaptic transmission, neurogenesis, the formation of myelin sheath, axon formation. Kohonen map, built on the basis of the data of 15 genes with prevailed expression in the first group and 60 (of 401) genes, whose expression level elevated in the second group, confirmed the existence of two glioblastoma groups with specific gene expression profiles. Distribution of the glioblastomas into two groups may reflect two pathways of astrocytic glioma development, one of which leads to the formation of tumors with higher levels of gene expression, which protein products are involved in cell cycle regulation and proliferation. On the other hand, the existence of two molecular variants may reflect different states of glioblastoma progression.","author":[{"dropping-particle":"V.","family":"Dmitrenko","given":"V.","non-dropping-particle":"","parse-names":false,"suffix":""},{"dropping-particle":"V.","family":"Iershov","given":"A.","non-dropping-particle":"","parse-names":false,"suffix":""},{"dropping-particle":"","family":"Stetsyuk","given":"P. I.","non-dropping-particle":"","parse-names":false,"suffix":""},{"dropping-particle":"","family":"Lykhovid","given":"A. P.","non-dropping-particle":"","parse-names":false,"suffix":""},{"dropping-particle":"","family":"Laptin","given":"Yu P.","non-dropping-particle":"","parse-names":false,"suffix":""},{"dropping-particle":"","family":"Schwartz","given":"D. R.","non-dropping-particle":"","parse-names":false,"suffix":""},{"dropping-particle":"","family":"Mekler","given":"A. A.","non-dropping-particle":"","parse-names":false,"suffix":""},{"dropping-particle":"","family":"Kavsan","given":"V. M.","non-dropping-particle":"","parse-names":false,"suffix":""}],"container-title":"Cytology and Genetics","id":"ITEM-1","issue":"6","issued":{"date-parts":[["2014","12","3"]]},"page":"383-391","publisher":"Allerton Press Incorporation","title":"Determination of molecular glioblastoma subclasses on the basis of analysis of gene expression","type":"article-journal","volume":"48"},"uris":["http://www.mendeley.com/documents/?uuid=376df84e-cdba-398d-b81d-f1ce8fca82de"]},{"id":"ITEM-2","itemData":{"DOI":"10.1371/journal.pone.0007752","ISSN":"19326203","PMID":"19915670","abstract":"Background: Glioblastoma multiforme (GBM) is an umbrella designation that includes a heterogeneous group of primary brain tumors. Several classification strategies of GBM have been reported, some by clinical course and others by resemblance to cell types either in the adult or during development. From a practical and therapeutic standpoint, classifying GBMs by signal transduction pathway activation and by mutation in pathway member genes may be particularly valuable for the development of targeted therapies. Methodology/Principal Findings: We performed targeted proteomic analysis of 27 surgical glioma samples to identify patterns of coordinate activation among glioma-relevant signal transduction pathways, then compared these results with integrated analysis of genomic and expression data of 243 GBM samples from The Cancer Genome Atlas (TCGA). In the pattern of signaling, three subclasses of GBM emerge which appear to be associated with predominance of EGFR activation, PDGFR activation, or loss of the RAS regulator NF1. The EGFR signaling class has prominent Notch pathway activation measured by elevated expression of Notch ligands, cleaved Notch receptor, and downstream target Hes1. The PDGF class showed high levels of PDGFB ligand and phosphorylation of PDGFRβ and NFKB. NF1-loss was associated with lower overall MAPK and PI3K activation and relative overexpression of the mesenchymal marker YKL40. These three signaling classes appear to correspond with distinct transcriptomal subclasses of primary GBM samples from TCGA for which copy number aberration and mutation of EGFR, PDGFRA, and NF1 are signature events. Conclusions/Significance: Proteomic analysis of GBM samples revealed three patterns of expression and activation of proteins in glioma-relevant signaling pathways. These three classes are comprised of roughly equal numbers showing either EGFR activation associated with amplification and mutation of the receptor, PDGF-pathway activation that is primarily ligand-driven, or loss of NF1 expression. The associated signaling activities correlating with these sentinel alterations provide insight into glioma biology and therapeutic strategies. © 2009 Brennan et al.","author":[{"dropping-particle":"","family":"Brennan","given":"Cameron","non-dropping-particle":"","parse-names":false,"suffix":""},{"dropping-particle":"","family":"Momota","given":"Hiroyuki","non-dropping-particle":"","parse-names":false,"suffix":""},{"dropping-particle":"","family":"Hambardzumyan","given":"Dolores","non-dropping-particle":"","parse-names":false,"suffix":""},{"dropping-particle":"","family":"Ozawa","given":"Tatsuya","non-dropping-particle":"","parse-names":false,"suffix":""},{"dropping-particle":"","family":"Tandon","given":"Adesh","non-dropping-particle":"","parse-names":false,"suffix":""},{"dropping-particle":"","family":"Pedraza","given":"Alicia","non-dropping-particle":"","parse-names":false,"suffix":""},{"dropping-particle":"","family":"Holland","given":"Eric","non-dropping-particle":"","parse-names":false,"suffix":""}],"container-title":"PLoS ONE","id":"ITEM-2","issue":"11","issued":{"date-parts":[["2009","11","13"]]},"publisher":"Public Library of Science","title":"Glioblastoma subclasses can be defined by activity among signal transduction pathways and associated genomic alterations","type":"article-journal","volume":"4"},"uris":["http://www.mendeley.com/documents/?uuid=720e9451-accf-350b-82ba-b754cbe94c6f"]},{"id":"ITEM-3","itemData":{"DOI":"10.1016/j.ccr.2006.02.019","ISSN":"15356108","PMID":"16530701","abstract":"Previously undescribed prognostic subclasses of high-grade astrocytoma are identified and discovered to resemble stages in neurogenesis. One tumor class displaying neuronal lineage markers shows longer survival, while two tumor classes enriched for neural stem cell markers display equally short survival. Poor prognosis subclasses exhibit markers either of proliferation or of angiogenesis and mesenchyme. Upon recurrence, tumors frequently shift toward the mesenchymal subclass. Chromosomal locations of genes distinguishing tumor subclass parallel DNA copy number differences between subclasses. Functional relevance of tumor subtype molecular signatures is suggested by the ability of cell line signatures to predict neurosphere growth. A robust two-gene prognostic model utilizing PTEN and DLL3 expression suggests that Akt and Notch signaling are hallmarks of poor prognosis versus better prognosis gliomas, respectively. © 2006 Elsevier Inc.","author":[{"dropping-particle":"","family":"Phillips","given":"Heidi S.","non-dropping-particle":"","parse-names":false,"suffix":""},{"dropping-particle":"","family":"Kharbanda","given":"Samir","non-dropping-particle":"","parse-names":false,"suffix":""},{"dropping-particle":"","family":"Chen","given":"Ruihuan","non-dropping-particle":"","parse-names":false,"suffix":""},{"dropping-particle":"","family":"Forrest","given":"William F.","non-dropping-particle":"","parse-names":false,"suffix":""},{"dropping-particle":"","family":"Soriano","given":"Robert H.","non-dropping-particle":"","parse-names":false,"suffix":""},{"dropping-particle":"","family":"Wu","given":"Thomas D.","non-dropping-particle":"","parse-names":false,"suffix":""},{"dropping-particle":"","family":"Misra","given":"Anjan","non-dropping-particle":"","parse-names":false,"suffix":""},{"dropping-particle":"","family":"Nigro","given":"Janice M.","non-dropping-particle":"","parse-names":false,"suffix":""},{"dropping-particle":"","family":"Colman","given":"Howard","non-dropping-particle":"","parse-names":false,"suffix":""},{"dropping-particle":"","family":"Soroceanu","given":"Liliana","non-dropping-particle":"","parse-names":false,"suffix":""},{"dropping-particle":"","family":"Williams","given":"P. Mickey","non-dropping-particle":"","parse-names":false,"suffix":""},{"dropping-particle":"","family":"Modrusan","given":"Zora","non-dropping-particle":"","parse-names":false,"suffix":""},{"dropping-particle":"","family":"Feuerstein","given":"Burt G.","non-dropping-particle":"","parse-names":false,"suffix":""},{"dropping-particle":"","family":"Aldape","given":"Ken","non-dropping-particle":"","parse-names":false,"suffix":""}],"container-title":"Cancer Cell","id":"ITEM-3","issue":"3","issued":{"date-parts":[["2006","3","1"]]},"page":"157-173","publisher":"Cell Press","title":"Molecular subclasses of high-grade glioma predict prognosis, delineate a pattern of disease progression, and resemble stages in neurogenesis","type":"article-journal","volume":"9"},"uris":["http://www.mendeley.com/documents/?uuid=d530789f-38b6-37aa-ad8b-5275dc883181"]},{"id":"ITEM-4","itemData":{"DOI":"10.3389/fonc.2019.01433","ISSN":"2234943X","abstract":"Objectives: In the present study, we aimed to determine the candidate genes that may function as biomarkers to further distinguish patients with isocitrate dehydrogenase (IDH)-wildtype glioblastoma (GBM), which are heterogeneous with respect to clinical outcomes. Materials and Methods: We selected 41 candidate genes associated with overall survival (OS) using univariate Cox regression from IDH-wildtype GBM patients based on RNA sequencing (RNAseq) expression data from the Chinese Glioma Genome Atlas (CGGA, n = 105) and The Cancer Genome Atlas (TCGA, n = 139) cohorts. Next, a seven-gene-based risk signature was formulated according to Least Absolute Shrinkage and Selection Operator (LASSO) regression algorithm in the CGGA RNAseq database as a training set, while another 525 IDH-wildtype GBM patient TCGA datasets, consisting of RNA sequencing and microarray data, were used for validation. Patient survival in the low- and high-risk groups was calculated using Kaplan-Meier survival curve analysis and the log-rank test. Uni-and multivariate Cox regression analysis was used to assess the prognosis value. Gene oncology (GO) and gene set enrichment analysis (GSEA) were performed for the functional analysis of the seven-gene-based risk signature. Results: We developed a seven-gene-based signature, which allocated each patient to a risk group (low or high). Patients in the high-risk group had dramatically shorter overall survival than their low-risk counterparts in three independent cohorts. Univariate and multivariate analysis showed that the seven-gene signature remained an independent prognostic factor. Moreover, the seven-gene risk signature exhibited a striking prognostic validity, with AUC of 78.4 and 73.9%, which was higher than for traditional “age” (53.7%, 62.4%) and “GBM sub-type” (57.7%, 52.9%) in the CGGA- and TCGA-RNAseq databases, respectively. Subsequent bioinformatics analysis predicted that the seven-gene signature was involved in the inflammatory response, immune response, cell adhesion, and apoptotic process. Conclusions: Our findings indicate that the seven-gene signature could be a potential prognostic biomarker. This study refined the current classification system of IDH-wildtype GBM and may provide a novel perspective for the research and individual therapy of IDH-wildtype GBM.","author":[{"dropping-particle":"","family":"Liu","given":"Yu Qing","non-dropping-particle":"","parse-names":false,"suffix":""},{"dropping-particle":"","family":"Wu","given":"Fan","non-dropping-particle":"","parse-names":false,"suffix":""},{"dropping-particle":"","family":"Li","given":"Jing Jun","non-dropping-particle":"","parse-names":false,"suffix":""},{"dropping-particle":"","family":"Li","given":"Yang Fang","non-dropping-particle":"","parse-names":false,"suffix":""},{"dropping-particle":"","family":"Liu","given":"Xing","non-dropping-particle":"","parse-names":false,"suffix":""},{"dropping-particle":"","family":"Wang","given":"Zheng","non-dropping-particle":"","parse-names":false,"suffix":""},{"dropping-particle":"","family":"Chai","given":"Rui Chao","non-dropping-particle":"","parse-names":false,"suffix":""}],"container-title":"Frontiers in Oncology","id":"ITEM-4","issued":{"date-parts":[["2019","12","17"]]},"page":"1433","publisher":"Frontiers Media S.A.","title":"Gene Expression Profiling Stratifies IDH-Wildtype Glioblastoma With Distinct Prognoses","type":"article-journal","volume":"9"},"uris":["http://www.mendeley.com/documents/?uuid=aa7881c1-c34e-3457-ad30-6492898e69f3"]},{"id":"ITEM-5","itemData":{"DOI":"10.1093/noajnl/vdaa126","ISSN":"2632-2498","author":[{"dropping-particle":"","family":"Ma","given":"Sirui","non-dropping-particle":"","parse-names":false,"suffix":""},{"dropping-particle":"","family":"Rudra","given":"Soumon","non-dropping-particle":"","parse-names":false,"suffix":""},{"dropping-particle":"","family":"Campian","given":"Jian L","non-dropping-particle":"","parse-names":false,"suffix":""},{"dropping-particle":"","family":"Dahiya","given":"Sonika","non-dropping-particle":"","parse-names":false,"suffix":""},{"dropping-particle":"","family":"Dunn","given":"Gavin P","non-dropping-particle":"","parse-names":false,"suffix":""},{"dropping-particle":"","family":"Johanns","given":"Tanner","non-dropping-particle":"","parse-names":false,"suffix":""},{"dropping-particle":"","family":"Goldstein","given":"Michael","non-dropping-particle":"","parse-names":false,"suffix":""},{"dropping-particle":"","family":"Kim","given":"Albert H","non-dropping-particle":"","parse-names":false,"suffix":""},{"dropping-particle":"","family":"Huang","given":"Jiayi","non-dropping-particle":"","parse-names":false,"suffix":""}],"container-title":"Neuro-Oncology Advances","id":"ITEM-5","issue":"1","issued":{"date-parts":[["2020","1","1"]]},"publisher":"Oxford University Press (OUP)","title":"Prognostic impact of CDKN2A/B deletion, TERT mutation, and EGFR amplification on histological and molecular IDH-wildtype glioblastoma","type":"article-journal","volume":"2"},"uris":["http://www.mendeley.com/documents/?uuid=7cafcb94-c44f-37bf-8526-e7a502967e32"]}],"mendeley":{"formattedCitation":"&lt;sup&gt;250–254&lt;/sup&gt;","plainTextFormattedCitation":"250–254","previouslyFormattedCitation":"&lt;sup&gt;250–254&lt;/sup&gt;"},"properties":{"noteIndex":0},"schema":"https://github.com/citation-style-language/schema/raw/master/csl-citation.json"}</w:instrText>
      </w:r>
      <w:r w:rsidR="00EA5CBA">
        <w:fldChar w:fldCharType="separate"/>
      </w:r>
      <w:r w:rsidR="00403A59" w:rsidRPr="00403A59">
        <w:rPr>
          <w:noProof/>
          <w:vertAlign w:val="superscript"/>
        </w:rPr>
        <w:t>250–254</w:t>
      </w:r>
      <w:r w:rsidR="00EA5CBA">
        <w:fldChar w:fldCharType="end"/>
      </w:r>
      <w:r w:rsidR="00EA5CBA">
        <w:t xml:space="preserve">. </w:t>
      </w:r>
      <w:r w:rsidR="004B194F">
        <w:t>Dalším problémem jsou nejednoznačné vlivy genetických aberací uvedené napříč literaturou. Navíc většina studií zahrnuje pacienty, kteří podstoupili jak biopsii tak resekci</w:t>
      </w:r>
      <w:r w:rsidR="00EA5CBA" w:rsidRPr="00EA5CBA">
        <w:fldChar w:fldCharType="begin" w:fldLock="1"/>
      </w:r>
      <w:r w:rsidR="00C21F70">
        <w:instrText>ADDIN CSL_CITATION {"citationItems":[{"id":"ITEM-1","itemData":{"DOI":"10.1186/s40478-019-0817-0","ISSN":"20515960","PMID":"31623667","abstract":"The detection of IDH mutations in patients with diffusely infiltrating malignant astrocytomas resulted in substantial modifications in the concept of WHO classification of these tumors. An important underlying observation was that patients with anaplastic astrocytomas (AA) without IDH mutation had a clinical course similar to that of patients with glioblastomas (GBM). The underlying observations of the German Glioma Network and NOA-04, however, were based on mixed patient cohorts. While most GBM patients received combined radiochemotherapy, patients with AA usually had radiotherapy or chemotherapy only. This intrinsic shortcoming of the study raised the question of whether patients with AA, IDH wildtype, WHO grade III, might have better prognosis if treated with combined radiochemotherapy than patients with GBM receiving the same combination therapy. Thus, the question remains whether the established histopathological grading criteria for malignant astrocytomas in the absence of an IDH mutation are still important if neither vascular proliferation nor necrosis are detectable. All patients in the cohort investigated here with the diagnosis of AA or GBM were subjected to a combined radiochemotherapy according to the Stupp protocol independently of the histopathological diagnosis. Thus, the analysis of these patients allows to clarify whether patients with AA, IDH wildtype, WHO grade III have a prognosis similar to that of GBM, IDH wildtype, WHO grade IV, even under equivalent therapeutic conditions. We determined the IDH1 and IDH2 status by sequencing, the MGMT status by pyrosequencing after bisulfite treatment and the EGFR status of the patients by FISH. In fact, the patients with the histopathological diagnosis of an AA IDH wild-type under similar aggressive therapy showed a comparable and therefore no better prognosis (median overall survival (mOS) 16 months) than patients with a GBM (mOS 13 months). Instead, patients with an AA and an IDH mutation receiving the same therapy had a mOS of 54 months. Thus, it can be concluded that in the absence of an IDH mutation, the established histopathological grading criteria 'necrosis' and 'vascular proliferation' actually lose their prognostic significance. If, on the other hand, patients with malignant astrocytomas and an IDH mutation are examined, there is still a difference between patients with necrosis and/or vascular proliferation and those whose tumors do not show such characteristics. Accordingly, in pati…","author":[{"dropping-particle":"","family":"Christians","given":"Arne","non-dropping-particle":"","parse-names":false,"suffix":""},{"dropping-particle":"","family":"Adel-Horowski","given":"Antonia","non-dropping-particle":"","parse-names":false,"suffix":""},{"dropping-particle":"","family":"Banan","given":"Rouzbeh","non-dropping-particle":"","parse-names":false,"suffix":""},{"dropping-particle":"","family":"Lehmann","given":"Ulrich","non-dropping-particle":"","parse-names":false,"suffix":""},{"dropping-particle":"","family":"Bartels","given":"Stephan","non-dropping-particle":"","parse-names":false,"suffix":""},{"dropping-particle":"","family":"Behling","given":"Felix","non-dropping-particle":"","parse-names":false,"suffix":""},{"dropping-particle":"","family":"Barrantes-Freer","given":"Alonso","non-dropping-particle":"","parse-names":false,"suffix":""},{"dropping-particle":"","family":"Stadelmann","given":"Christine","non-dropping-particle":"","parse-names":false,"suffix":""},{"dropping-particle":"","family":"Rohde","given":"Veit","non-dropping-particle":"","parse-names":false,"suffix":""},{"dropping-particle":"","family":"Stockhammer","given":"Florian","non-dropping-particle":"","parse-names":false,"suffix":""},{"dropping-particle":"","family":"Hartmann","given":"Christian","non-dropping-particle":"","parse-names":false,"suffix":""}],"container-title":"Acta Neuropathologica Communications","id":"ITEM-1","issue":"1","issued":{"date-parts":[["2019","1","3"]]},"page":"156","publisher":"BioMed Central Ltd.","title":"The prognostic role of IDH mutations in homogeneously treated patients with anaplastic astrocytomas and glioblastomas","type":"article-journal","volume":"7"},"uris":["http://www.mendeley.com/documents/?uuid=9bbb4fcd-5369-3369-9620-a8697301ea4a"]},{"id":"ITEM-2","itemData":{"DOI":"10.1016/S1470-2045(09)70025-7","ISSN":"14702045","PMID":"19269895","abstract":"Background: In 2004, a randomised phase III trial by the European Organisation for Research and Treatment of Cancer (EORTC) and National Cancer Institute of Canada Clinical Trials Group (NCIC) reported improved median and 2-year survival for patients with glioblastoma treated with concomitant and adjuvant temozolomide and radiotherapy. We report the final results with a median follow-up of more than 5 years. Methods: Adult patients with newly diagnosed glioblastoma were randomly assigned to receive either standard radiotherapy or identical radiotherapy with concomitant temozolomide followed by up to six cycles of adjuvant temozolomide. The methylation status of the methyl-guanine methyl transferase gene, MGMT, was determined retrospectively from the tumour tissue of 206 patients. The primary endpoint was overall survival. Analyses were by intention to treat. This trial is registered with Clinicaltrials.gov, number NCT00006353. Findings: Between Aug 17, 2000, and March 22, 2002, 573 patients were assigned to treatment. 278 (97%) of 286 patients in the radiotherapy alone group and 254 (89%) of 287 in the combined-treatment group died during 5 years of follow-up. Overall survival was 27·2% (95% CI 22·2-32·5) at 2 years, 16·0% (12·0-20·6) at 3 years, 12·1% (8·5-16·4) at 4 years, and 9·8% (6·4-14·0) at 5 years with temozolomide, versus 10·9% (7·6-14·8), 4·4% (2·4-7·2), 3·0% (1·4-5·7), and 1·9% (0·6-4·4) with radiotherapy alone (hazard ratio 0·6, 95% CI 0·5-0·7; p&lt;0·0001). A benefit of combined therapy was recorded in all clinical prognostic subgroups, including patients aged 60-70 years. Methylation of the MGMT promoter was the strongest predictor for outcome and benefit from temozolomide chemotherapy. Interpretation: Benefits of adjuvant temozolomide with radiotherapy lasted throughout 5 years of follow-up. A few patients in favourable prognostic categories survive longer than 5 years. MGMT methylation status identifies patients most likely to benefit from the addition of temozolomide. Funding: EORTC, NCIC, Nélia and Amadeo Barletta Foundation, Schering-Plough. © 2009 Elsevier Ltd. All rights reserved.","author":[{"dropping-particle":"","family":"Stupp","given":"Roger","non-dropping-particle":"","parse-names":false,"suffix":""},{"dropping-particle":"","family":"Hegi","given":"Monika E.","non-dropping-particle":"","parse-names":false,"suffix":""},{"dropping-particle":"","family":"Mason","given":"Warren P.","non-dropping-particle":"","parse-names":false,"suffix":""},{"dropping-particle":"","family":"Bent","given":"Martin J.","non-dropping-particle":"van den","parse-names":false,"suffix":""},{"dropping-particle":"","family":"Taphoorn","given":"Martin JB","non-dropping-particle":"","parse-names":false,"suffix":""},{"dropping-particle":"","family":"Janzer","given":"Robert C.","non-dropping-particle":"","parse-names":false,"suffix":""},{"dropping-particle":"","family":"Ludwin","given":"Samuel K.","non-dropping-particle":"","parse-names":false,"suffix":""},{"dropping-particle":"","family":"Allgeier","given":"Anouk","non-dropping-particle":"","parse-names":false,"suffix":""},{"dropping-particle":"","family":"Fisher","given":"Barbara","non-dropping-particle":"","parse-names":false,"suffix":""},{"dropping-particle":"","family":"Belanger","given":"Karl","non-dropping-particle":"","parse-names":false,"suffix":""},{"dropping-particle":"","family":"Hau","given":"Peter","non-dropping-particle":"","parse-names":false,"suffix":""},{"dropping-particle":"","family":"Brandes","given":"Alba A.","non-dropping-particle":"","parse-names":false,"suffix":""},{"dropping-particle":"","family":"Gijtenbeek","given":"Johanna","non-dropping-particle":"","parse-names":false,"suffix":""},{"dropping-particle":"","family":"Marosi","given":"Christine","non-dropping-particle":"","parse-names":false,"suffix":""},{"dropping-particle":"","family":"Vecht","given":"Charles J.","non-dropping-particle":"","parse-names":false,"suffix":""},{"dropping-particle":"","family":"Mokhtari","given":"Karima","non-dropping-particle":"","parse-names":false,"suffix":""},{"dropping-particle":"","family":"Wesseling","given":"Pieter","non-dropping-particle":"","parse-names":false,"suffix":""},{"dropping-particle":"","family":"Villa","given":"Salvador","non-dropping-particle":"","parse-names":false,"suffix":""},{"dropping-particle":"","family":"Eisenhauer","given":"Elizabeth","non-dropping-particle":"","parse-names":false,"suffix":""},{"dropping-particle":"","family":"Gorlia","given":"Thierry","non-dropping-particle":"","parse-names":false,"suffix":""},{"dropping-particle":"","family":"Weller","given":"Michael","non-dropping-particle":"","parse-names":false,"suffix":""},{"dropping-particle":"","family":"Lacombe","given":"Denis","non-dropping-particle":"","parse-names":false,"suffix":""},{"dropping-particle":"","family":"Cairncross","given":"J. Gregory","non-dropping-particle":"","parse-names":false,"suffix":""},{"dropping-particle":"","family":"Mirimanoff","given":"René Olivier","non-dropping-particle":"","parse-names":false,"suffix":""}],"container-title":"The Lancet Oncology","id":"ITEM-2","issue":"5","issued":{"date-parts":[["2009"]]},"page":"459-466","publisher":"Lancet Publishing Group","title":"Effects of radiotherapy with concomitant and adjuvant temozolomide versus radiotherapy alone on survival in glioblastoma in a randomised phase III study: 5-year analysis of the EORTC-NCIC trial","type":"article-journal","volume":"10"},"uris":["http://www.mendeley.com/documents/?uuid=d07850ab-3f41-3567-8b8e-06af35b2be21"]},{"id":"ITEM-3","itemData":{"DOI":"10.1186/s13014-017-0929-2","ISSN":"1748717X","PMID":"29212499","abstract":"BACKGROUND: The optimization of the management for elderly glioblastoma patients is crucial given the demographics of aging in many countries. We report the outcomes for a \"real-life\" patient cohort (i.e. unselected) comprising consecutive glioblastoma patients aged 70 years or more, treated with different radiotherapy +/- temozolomide regimens.\nMETHODS: From 2003 to 2016, 104 patients ≥ 70 years of age, consecutively treated by radiotherapy for glioblastoma, were included in this study. All patients were diagnosed with IDH-wild type glioblastoma according to pathological criteria.\nRESULTS: Our patient cohort comprised 51 female patients (49%) and 53 male. The median cohort age was 75 years (70-88), and the median Karnofsky performance status (KPS) was 70 (30-100). Five (5%) patients underwent macroscopic complete resection, 9 (9%) had partial resection, and 90 (86%), a stereotactic biopsy. The MGMT promoter was methylated in 33/73 cases (45%). Fifty-two (50%), 38 (36%), and 14 (14%) patients were categorized with RPA scores of III, IV, and I-II. Thirty-three (32%) patients received normofractionated radiotherapy (60 Gy, 30 sessions) with temozolomide (Stupp), 37 (35%) received hypofractionated radiotherapy (median dose 40 Gy, 15 sessions) with temozolomide (HFRT + TMZ), and 34 (33%) HFRT alone. Patients receiving only HFRT were significantly older, with lower KPSs. The median overall survival (OS; all patients) was 5.2 months. OS rates at 12, 18, and 24 months, were 19%, 12%, and 5%, respectively, with no statistical differences between patients receiving Stupp or HFRT + TMZ (P = 0.22). In contrast, patients receiving HFRT alone manifested a significantly shorter survival time (3.9 months vs. 5.9 months, P = 0.018). In multivariate analyses, the prognostic factors for OS were: i) the type of surgery (HR: 0.47 [0.26-0.86], P = 0.014), ii) RPA class (HR: 2.15 [1.17-3.95], P = 0.014), and iii) temozolomide use irrespective of radiotherapy schedule (HR: 0.54 [0.33-0.88], P &lt; 0.02). MGMT promoter methylation was neither a prognostic nor a predictive factor.\nCONCLUSIONS: These outcomes agree with the literature in terms of optimal surgery and the use of HFRT as a standard treatment for elderly GBM patients. Our study emphasizes the potential benefit of using temozolomide with radiotherapy in a real-life cohort of elderly GBM patients, irrespective of their MGMT status.","author":[{"dropping-particle":"","family":"Biau","given":"J.","non-dropping-particle":"","parse-names":false,"suffix":""},{"dropping-particle":"","family":"Chautard","given":"E.","non-dropping-particle":"","parse-names":false,"suffix":""},{"dropping-particle":"","family":"Schlichting","given":"E.","non-dropping-particle":"De","parse-names":false,"suffix":""},{"dropping-particle":"","family":"Dupic","given":"G.","non-dropping-particle":"","parse-names":false,"suffix":""},{"dropping-particle":"","family":"Pereira","given":"B.","non-dropping-particle":"","parse-names":false,"suffix":""},{"dropping-particle":"","family":"Fogli","given":"A.","non-dropping-particle":"","parse-names":false,"suffix":""},{"dropping-particle":"","family":"Müller-Barthélémy","given":"M.","non-dropping-particle":"","parse-names":false,"suffix":""},{"dropping-particle":"","family":"Dalloz","given":"P.","non-dropping-particle":"","parse-names":false,"suffix":""},{"dropping-particle":"","family":"Khalil","given":"T.","non-dropping-particle":"","parse-names":false,"suffix":""},{"dropping-particle":"","family":"Dillies","given":"A. F.","non-dropping-particle":"","parse-names":false,"suffix":""},{"dropping-particle":"","family":"Durando","given":"X.","non-dropping-particle":"","parse-names":false,"suffix":""},{"dropping-particle":"","family":"Godfraind","given":"C.","non-dropping-particle":"","parse-names":false,"suffix":""},{"dropping-particle":"","family":"Verrelle","given":"P.","non-dropping-particle":"","parse-names":false,"suffix":""}],"container-title":"Radiation oncology (London, England)","id":"ITEM-3","issue":"1","issued":{"date-parts":[["2017","12","6"]]},"page":"197","publisher":"BioMed Central","title":"Radiotherapy plus temozolomide in elderly patients with glioblastoma: a \"real-life\" report","type":"article-journal","volume":"12"},"uris":["http://www.mendeley.com/documents/?uuid=d89c69fa-2b9f-3a2d-82d5-fdbc2562c1e8"]},{"id":"ITEM-4","itemData":{"DOI":"10.3389/fonc.2020.00596","ISSN":"2234-943X","abstract":"Introduction: O6-methylguanine-methyltransferase (MGMT) promoter methylation and isocitrate dehydrogenase (IDH) mutation status are important prognostic factors for patients with glioblastoma. There are conflicting reports about a differential topographical distribution of glioblastoma with vs. without MGMT promoter methylation, possibly caused by molecular heterogeneity in glioblastoma populations. We initiated this study to re-evaluate the topographical distribution of glioblastoma with vs. without MGMT promoter methylation in light of the updated WHO 2016 classification. Methods: Preoperative T2-weighted/FLAIR and postcontrast T1-weighted MRI scans of patients aged 18 year or older with IDH wildtype glioblastoma were collected. Tumors were semi-automatically segmented, and the topographical distribution between glioblastoma with vs. without MGMT promoter methylation was visualized using frequency heatmaps. Then, voxel-wise differences were analyzed using permutation testing with Threshold Free Cluster Enhancement. Results: Four hundred thirty-six IDH wildtype glioblastoma patients were included; 211 with and 225 without MGMT promoter methylation. Visual examination suggested that when compared with MGMT unmethylated glioblastoma, MGMT methylated glioblastoma were more frequently located near bifrontal and left occipital periventricular area and less frequently near the right occipital periventricular area. Statistical analyses, however, showed no significant difference in topographical distribution between MGMT methylated vs. MGMT unmethylated glioblastoma. Conclusions: This study re-evaluated the topographical distribution of MGMT promoter methylation in 436 newly diagnosed IDH wildtype glioblastoma, which is the largest homogenous IDH wildtype glioblastoma population to date. There was no statistically significant difference in anatomical localization between MGMT methylated vs. unmethylated IDH wildtype glioblastoma.","author":[{"dropping-particle":"","family":"Incekara","given":"Fatih","non-dropping-particle":"","parse-names":false,"suffix":""},{"dropping-particle":"","family":"Voort","given":"Sebastian R.","non-dropping-particle":"van der","parse-names":false,"suffix":""},{"dropping-particle":"","family":"Dubbink","given":"Hendrikus J.","non-dropping-particle":"","parse-names":false,"suffix":""},{"dropping-particle":"","family":"Atmodimedjo","given":"Peggy N.","non-dropping-particle":"","parse-names":false,"suffix":""},{"dropping-particle":"","family":"Nandoe Tewarie","given":"Rishi","non-dropping-particle":"","parse-names":false,"suffix":""},{"dropping-particle":"","family":"Lycklama","given":"Geert","non-dropping-particle":"","parse-names":false,"suffix":""},{"dropping-particle":"","family":"Vincent","given":"Arnaud J. P. E.","non-dropping-particle":"","parse-names":false,"suffix":""},{"dropping-particle":"","family":"Kros","given":"Johan M.","non-dropping-particle":"","parse-names":false,"suffix":""},{"dropping-particle":"","family":"Klein","given":"Stefan","non-dropping-particle":"","parse-names":false,"suffix":""},{"dropping-particle":"","family":"Bent","given":"Martin","non-dropping-particle":"van den","parse-names":false,"suffix":""},{"dropping-particle":"","family":"Smits","given":"Marion","non-dropping-particle":"","parse-names":false,"suffix":""}],"container-title":"Frontiers in Oncology","id":"ITEM-4","issued":{"date-parts":[["2020","5","12"]]},"page":"596","publisher":"Frontiers Media S.A.","title":"Topographical Mapping of 436 Newly Diagnosed IDH Wildtype Glioblastoma With vs. Without MGMT Promoter Methylation","type":"article-journal","volume":"10"},"uris":["http://www.mendeley.com/documents/?uuid=f2e725c1-357f-36d0-9484-eb7b6063ae1c"]},{"id":"ITEM-5","itemData":{"DOI":"10.1371/journal.pone.0130596","ISSN":"19326203","PMID":"26158269","abstract":"Background: A very small proportion of patients diagnosed with glioblastoma (GBM) survive more than 3 years. Isocitrate dehydrogenase 1 or 2 (IDH1/2) mutations define a small subgroup of GBM patients with favourable prognosis. However, it remains controversial whether long-term survivors (LTS) are found among those IDH1/2 mutated patients. Methods: We retrospectively analyzed 207 GBM patients followed at Lariboisière Hospital (Paris) between 2005 and 2010. Clinical parameters were obtained from medical records. Mutations of IDH1/2 were analyzed in these patients, by immunohistochemistry for the R132H mutation of IDH1 and by high-resolution melting-curve analysis, followed by Sanger sequencing for IDH1 and IDH2 exon 4 mutations. Mutation rates in LTS and non-LTS groups were compared by Chi square Pearson test. Results: Seventeen patients with survival &gt;3 years were identified (8.2% of the total series). The median overall survival in long-term survivors was 4.6 years. Subgroup analysis found that the median age at diagnosis was significantly higher for non long-term survivors (non-LTS) compared to LTS (60 versus 51 years, p &lt;0.03). The difference in the rate of IDH mutation between non-LTS and LTS was statistically not significant (1.16% versus 5.9%, p = 0.144). Among LTS, 10 out of 16 tumors presented a methylation of MGMT promoter. Conclusions: This study confirms that long-term survival in GBM patients is if at all only weakly correlated to IDH-mutation.","author":[{"dropping-particle":"","family":"Amelot","given":"Aymeric","non-dropping-particle":"","parse-names":false,"suffix":""},{"dropping-particle":"","family":"Cremoux","given":"Patricia","non-dropping-particle":"De","parse-names":false,"suffix":""},{"dropping-particle":"","family":"Quillien","given":"Véronique","non-dropping-particle":"","parse-names":false,"suffix":""},{"dropping-particle":"","family":"Polivka","given":"Marc","non-dropping-particle":"","parse-names":false,"suffix":""},{"dropping-particle":"","family":"Adle-Biassette","given":"Homa","non-dropping-particle":"","parse-names":false,"suffix":""},{"dropping-particle":"","family":"Lehmann-Che","given":"Jacqueline","non-dropping-particle":"","parse-names":false,"suffix":""},{"dropping-particle":"","family":"Françoise","given":"Laurence","non-dropping-particle":"","parse-names":false,"suffix":""},{"dropping-particle":"","family":"Carpentier","given":"Antoine F.","non-dropping-particle":"","parse-names":false,"suffix":""},{"dropping-particle":"","family":"George","given":"Bernard","non-dropping-particle":"","parse-names":false,"suffix":""},{"dropping-particle":"","family":"Mandonnet","given":"Emmanuel","non-dropping-particle":"","parse-names":false,"suffix":""},{"dropping-particle":"","family":"Froelich","given":"Sébastien","non-dropping-particle":"","parse-names":false,"suffix":""}],"container-title":"PLoS ONE","id":"ITEM-5","issue":"7","issued":{"date-parts":[["2015","7","9"]]},"publisher":"Public Library of Science","title":"IDH-mutation is a weak predictor of long-term survival in glioblastoma patients","type":"article-journal","volume":"10"},"uris":["http://www.mendeley.com/documents/?uuid=9e7383a6-b6bf-3b4d-8e0f-9ef10da9148c"]}],"mendeley":{"formattedCitation":"&lt;sup&gt;239,255–258&lt;/sup&gt;","plainTextFormattedCitation":"239,255–258","previouslyFormattedCitation":"&lt;sup&gt;239,255–258&lt;/sup&gt;"},"properties":{"noteIndex":0},"schema":"https://github.com/citation-style-language/schema/raw/master/csl-citation.json"}</w:instrText>
      </w:r>
      <w:r w:rsidR="00EA5CBA" w:rsidRPr="00EA5CBA">
        <w:fldChar w:fldCharType="separate"/>
      </w:r>
      <w:r w:rsidR="00403A59" w:rsidRPr="00403A59">
        <w:rPr>
          <w:noProof/>
          <w:vertAlign w:val="superscript"/>
        </w:rPr>
        <w:t>239,255–258</w:t>
      </w:r>
      <w:r w:rsidR="00EA5CBA" w:rsidRPr="00EA5CBA">
        <w:fldChar w:fldCharType="end"/>
      </w:r>
      <w:r w:rsidR="00160EA4" w:rsidRPr="00EA5CBA">
        <w:t>,</w:t>
      </w:r>
      <w:r w:rsidR="004B194F" w:rsidRPr="00EA5CBA">
        <w:t xml:space="preserve"> zatímco naše studie je zaměřena pouze na pacienty s radikální resekcí. To by mělo </w:t>
      </w:r>
      <w:r w:rsidR="00B47AD2">
        <w:t>z</w:t>
      </w:r>
      <w:r w:rsidR="004B194F" w:rsidRPr="00EA5CBA">
        <w:t xml:space="preserve">redukovat heterogenitu a pomoci odhalit efekt specifických genetických faktorů. Analýza </w:t>
      </w:r>
      <w:r w:rsidR="00890147" w:rsidRPr="00EA5CBA">
        <w:t>informací od pacientů</w:t>
      </w:r>
      <w:r w:rsidR="00B47AD2">
        <w:t xml:space="preserve"> s GBM</w:t>
      </w:r>
      <w:r w:rsidR="00890147" w:rsidRPr="00EA5CBA">
        <w:t xml:space="preserve"> naznačuje, že hlavním důvodem pro léčbu bez radioterapie byl špatný</w:t>
      </w:r>
      <w:r w:rsidR="009B0AE2">
        <w:t xml:space="preserve"> neurologický status (KS &lt; 60) </w:t>
      </w:r>
      <w:r w:rsidR="00890147" w:rsidRPr="00EA5CBA">
        <w:t>po operaci. Indikace pro samotnou radioterapii a přerušení předběžné chemoradioterapie byl špatný neurologický status (KS ≈ 60) po operaci</w:t>
      </w:r>
      <w:r w:rsidR="00890147">
        <w:t xml:space="preserve"> a rychlé klinic</w:t>
      </w:r>
      <w:r w:rsidR="00EA5CBA">
        <w:t>k</w:t>
      </w:r>
      <w:r w:rsidR="00890147">
        <w:t>é zhoršení během onkoterapie. Z důvodu malé skupiny pacientů bez onkologické léčby (n=24) nebyla dostatečně provedena multivariátní analýza a tudíž nebylo možné spočítat odhad relativních rizik pro OS a PFS.</w:t>
      </w:r>
    </w:p>
    <w:p w14:paraId="552CE6F2" w14:textId="0DA60238" w:rsidR="00BF1B3F" w:rsidRDefault="00BF1B3F" w:rsidP="00160EA4">
      <w:pPr>
        <w:jc w:val="both"/>
      </w:pPr>
      <w:r w:rsidRPr="00BF1B3F">
        <w:t xml:space="preserve">Nejlepší outcome pacientů </w:t>
      </w:r>
      <w:r w:rsidR="00B47AD2">
        <w:t>s </w:t>
      </w:r>
      <w:r w:rsidR="00B47AD2" w:rsidRPr="00BF1B3F">
        <w:t>gli</w:t>
      </w:r>
      <w:r w:rsidR="00B47AD2">
        <w:t>o</w:t>
      </w:r>
      <w:r w:rsidR="0068057D">
        <w:t>blastomem</w:t>
      </w:r>
      <w:r w:rsidR="00B47AD2" w:rsidRPr="00BF1B3F">
        <w:t xml:space="preserve"> </w:t>
      </w:r>
      <w:r w:rsidR="0068057D">
        <w:t>byl sledován</w:t>
      </w:r>
      <w:r w:rsidRPr="00BF1B3F">
        <w:t xml:space="preserve"> </w:t>
      </w:r>
      <w:r>
        <w:t>při agresivní multimodální terapii zahrnující bezpečnou a maximální resekci následovanou chemoradioterapií</w:t>
      </w:r>
      <w:r w:rsidR="00EA5CBA">
        <w:fldChar w:fldCharType="begin" w:fldLock="1"/>
      </w:r>
      <w:r w:rsidR="00C21F70">
        <w:instrText>ADDIN CSL_CITATION {"citationItems":[{"id":"ITEM-1","itemData":{"DOI":"10.1093/nop/npz046","ISSN":"20542585","abstract":"Background: Historical controls continue to be used in early-phase brain tumor trials. We aim to show that historical changes in survival trends for glioblastoma (GBM) call into question the use of noncontemporary controls. Methods: We analyzed data from 46 106 primary GBM cases from the SEER database (1998-2016). We performed trend analysis on survival outcomes (2-year survival probability, median survival, and hazard ratios) and patient characteristics (age, sex, resection extent, and treatment type). Results: In 2005-2016 (ie, the post-Stupp protocol era), fitting a parameter independently to each year, there was a demonstrable increase in median survival (R2 = 0.81, P &lt;. 001) and 2-year survival probability (R2 = 0.55, P =. 006) for GBM. Trend analysis of the hazard ratio showed a significant time-dependent downward trend (R2 = 0.62, P =. 002). When controlling, via multivariable Cox regression modeling, for age, sex, resection extent, and treatment type, there was a persistent downward trend in hazard ratios with increases in calendar time, especially in the most recent data. Conclusion: Contemporary GBM patients face a different overall hazard profile from their historical counterparts, which is evident in changes in measures of patient survival and parametric hazard modeling. Though there was a plateau in these measures before 2005 (pre-Stupp protocol), there is no evidence of a new plateau in recent years even when controlling for known prognostic factors (age, sex, resection extent, and treatment type), suggesting that it may be insufficient to match contemporary patients and noncontemporary controls on the basis of these factors.","author":[{"dropping-particle":"","family":"Sheikh","given":"Shehryar","non-dropping-particle":"","parse-names":false,"suffix":""},{"dropping-particle":"","family":"Radivoyevitch","given":"Tom","non-dropping-particle":"","parse-names":false,"suffix":""},{"dropping-particle":"","family":"Barnholtz-Sloan","given":"Jill S.","non-dropping-particle":"","parse-names":false,"suffix":""},{"dropping-particle":"","family":"Vogelbaum","given":"Michael","non-dropping-particle":"","parse-names":false,"suffix":""}],"container-title":"Neuro-Oncology Practice","id":"ITEM-1","issue":"2","issued":{"date-parts":[["2020","3","19"]]},"page":"158-163","publisher":"Oxford University Press","title":"Long-term trends in glioblastoma survival: Implications for historical control groups in clinical trials","type":"article-journal","volume":"7"},"uris":["http://www.mendeley.com/documents/?uuid=5ff73a03-a9c6-3cbc-8d6e-67f85263fb9a"]}],"mendeley":{"formattedCitation":"&lt;sup&gt;259&lt;/sup&gt;","plainTextFormattedCitation":"259","previouslyFormattedCitation":"&lt;sup&gt;259&lt;/sup&gt;"},"properties":{"noteIndex":0},"schema":"https://github.com/citation-style-language/schema/raw/master/csl-citation.json"}</w:instrText>
      </w:r>
      <w:r w:rsidR="00EA5CBA">
        <w:fldChar w:fldCharType="separate"/>
      </w:r>
      <w:r w:rsidR="00403A59" w:rsidRPr="00403A59">
        <w:rPr>
          <w:noProof/>
          <w:vertAlign w:val="superscript"/>
        </w:rPr>
        <w:t>259</w:t>
      </w:r>
      <w:r w:rsidR="00EA5CBA">
        <w:fldChar w:fldCharType="end"/>
      </w:r>
      <w:r w:rsidR="00EA5CBA">
        <w:t>.</w:t>
      </w:r>
      <w:r>
        <w:t xml:space="preserve"> U studované kohorty </w:t>
      </w:r>
      <w:r w:rsidR="005F09C6">
        <w:t xml:space="preserve">byl každý pacient s resekcí znovu evaluován pro určení nejvhodnější onkoterapie. </w:t>
      </w:r>
    </w:p>
    <w:p w14:paraId="12715338" w14:textId="02882DEA" w:rsidR="0068057D" w:rsidRDefault="005F09C6" w:rsidP="00160EA4">
      <w:pPr>
        <w:jc w:val="both"/>
      </w:pPr>
      <w:r w:rsidRPr="005F09C6">
        <w:t>Pacienti s GBM bez onkologické léčby</w:t>
      </w:r>
      <w:r>
        <w:t xml:space="preserve"> nebo léčení pouze radioterapií </w:t>
      </w:r>
      <w:r w:rsidR="0068057D">
        <w:t>mají</w:t>
      </w:r>
      <w:r>
        <w:t xml:space="preserve"> špatnou prognózou a </w:t>
      </w:r>
      <w:r w:rsidR="0068057D">
        <w:t xml:space="preserve">je u nich pozorován </w:t>
      </w:r>
      <w:r>
        <w:t>rychlý růst nádoru</w:t>
      </w:r>
      <w:r w:rsidR="00EA5CBA">
        <w:fldChar w:fldCharType="begin" w:fldLock="1"/>
      </w:r>
      <w:r w:rsidR="00C21F70">
        <w:instrText>ADDIN CSL_CITATION {"citationItems":[{"id":"ITEM-1","itemData":{"DOI":"10.1093/neuonc/nov029","ISSN":"15235866","PMID":"25758748","abstract":"Background Glioblastomas are primary malignant brain tumors with a dismal prognosis. Knowledge of growth rates and underlying growth dynamics is useful for understanding basic tumor biology, developing realistic tumor models, and planning treatment logistics. Methods By using repeated pretreatment contrast-enhanced T1-weighted MRI scans from 106 patients (aged 26-83 years), we studied the growth dynamics of untreated glioblastomas in vivo. Growth rates were calculated as specific growth rates and equivalent volume doubling times. The fit of different possible growth models was assessed using maximum likelihood estimations. Results There were large variations in growth rates between patients. The median specific growth rate of the tumors was 1.4% per day, and the equivalent volume doubling time was 49.6 days. Exploring 3 different tumor growth models showed similar statistical fit for a Gompertzian growth model and a linear radial growth model and worse fit for an exponential growth model. However, large tumors had significantly lower growth rates than smaller tumors, supporting the assumption that glioblastomas reach a plateau phase and thus exhibit Gompertzian growth. Conclusion Based on the fast growth rate of glioblastoma shown in this study, it is evident that poor treatment logistics will influence tumor size before surgery and can cause significant regrowth before adjuvant treatment. Since there is a known association between tumor volume, extent of surgical resection, and response to adjuvant therapy, it is likely that waiting times play a role in patient outcomes.","author":[{"dropping-particle":"","family":"Stensjøen","given":"Anne Line","non-dropping-particle":"","parse-names":false,"suffix":""},{"dropping-particle":"","family":"Solheim","given":"Ole","non-dropping-particle":"","parse-names":false,"suffix":""},{"dropping-particle":"","family":"Kvistad","given":"Kjell Arne","non-dropping-particle":"","parse-names":false,"suffix":""},{"dropping-particle":"","family":"Håberg","given":"Asta K.","non-dropping-particle":"","parse-names":false,"suffix":""},{"dropping-particle":"","family":"Salvesen","given":"Øyvind","non-dropping-particle":"","parse-names":false,"suffix":""},{"dropping-particle":"","family":"Berntsen","given":"Erik Magnus","non-dropping-particle":"","parse-names":false,"suffix":""}],"container-title":"Neuro-Oncology","id":"ITEM-1","issue":"10","issued":{"date-parts":[["2015","10","1"]]},"page":"1402-1411","publisher":"Oxford University Press","title":"Growth dynamics of untreated glioblastomas in vivo","type":"article-journal","volume":"17"},"uris":["http://www.mendeley.com/documents/?uuid=2987ffef-b3e6-3b8e-a8b3-0a14feb9b68e"]}],"mendeley":{"formattedCitation":"&lt;sup&gt;260&lt;/sup&gt;","plainTextFormattedCitation":"260","previouslyFormattedCitation":"&lt;sup&gt;260&lt;/sup&gt;"},"properties":{"noteIndex":0},"schema":"https://github.com/citation-style-language/schema/raw/master/csl-citation.json"}</w:instrText>
      </w:r>
      <w:r w:rsidR="00EA5CBA">
        <w:fldChar w:fldCharType="separate"/>
      </w:r>
      <w:r w:rsidR="00403A59" w:rsidRPr="00403A59">
        <w:rPr>
          <w:noProof/>
          <w:vertAlign w:val="superscript"/>
        </w:rPr>
        <w:t>260</w:t>
      </w:r>
      <w:r w:rsidR="00EA5CBA">
        <w:fldChar w:fldCharType="end"/>
      </w:r>
      <w:r w:rsidR="00EA5CBA">
        <w:t>.</w:t>
      </w:r>
      <w:r>
        <w:t xml:space="preserve"> Na základě naší statistické analýzy</w:t>
      </w:r>
      <w:r w:rsidR="00DA1912">
        <w:t xml:space="preserve"> bylo odhaleno pouze malé množství pozitivních prognostických faktorů u skupiny bez onkoterapie</w:t>
      </w:r>
      <w:r w:rsidR="009D5866">
        <w:t xml:space="preserve">. </w:t>
      </w:r>
      <w:r w:rsidR="0068057D" w:rsidRPr="0068057D">
        <w:t xml:space="preserve">Proto jsme dospěli k závěru, </w:t>
      </w:r>
      <w:r w:rsidR="0068057D">
        <w:t>je vhodné aplikovat adjuvantní terapii, která by zajistila zpomalení progrese nádoru. I pro tyto pacienty by bylo vhodné najít novou léčebnou strategii.</w:t>
      </w:r>
    </w:p>
    <w:p w14:paraId="5C6249FF" w14:textId="0E312F0A" w:rsidR="00DA1912" w:rsidRPr="00DA1912" w:rsidRDefault="00DA1912" w:rsidP="00160EA4">
      <w:pPr>
        <w:jc w:val="both"/>
      </w:pPr>
      <w:r w:rsidRPr="00DA1912">
        <w:t xml:space="preserve">Hlavní </w:t>
      </w:r>
      <w:r>
        <w:t>cílem většiny zveřejněných studií o GBM bylo identifikovat klinicky relevantní biomarkery s potencionální aplikací v klinické praxi jako tomu je</w:t>
      </w:r>
      <w:r w:rsidR="0068057D">
        <w:t xml:space="preserve"> právě</w:t>
      </w:r>
      <w:r>
        <w:t xml:space="preserve"> u </w:t>
      </w:r>
      <w:r w:rsidRPr="00B47AD2">
        <w:rPr>
          <w:i/>
          <w:iCs/>
        </w:rPr>
        <w:t>IDH</w:t>
      </w:r>
      <w:r w:rsidR="00EA5CBA">
        <w:fldChar w:fldCharType="begin" w:fldLock="1"/>
      </w:r>
      <w:r w:rsidR="00F90F1D">
        <w:instrText>ADDIN CSL_CITATION {"citationItems":[{"id":"ITEM-1","itemData":{"DOI":"10.1007/s00401-016-1545-1","ISSN":"14320533","PMID":"27157931","abstract":"The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Neuropathologica","id":"ITEM-1","issue":"6","issued":{"date-parts":[["2016","6","1"]]},"page":"803-820","publisher":"Springer Verlag","title":"The 2016 World Health Organization Classification of Tumors of the Central Nervous System: a summary","type":"article","volume":"131"},"uris":["http://www.mendeley.com/documents/?uuid=61d17050-a6fc-32c6-ad78-ea3ccfc131ec"]}],"mendeley":{"formattedCitation":"&lt;sup&gt;41&lt;/sup&gt;","plainTextFormattedCitation":"41","previouslyFormattedCitation":"&lt;sup&gt;41&lt;/sup&gt;"},"properties":{"noteIndex":0},"schema":"https://github.com/citation-style-language/schema/raw/master/csl-citation.json"}</w:instrText>
      </w:r>
      <w:r w:rsidR="00EA5CBA">
        <w:fldChar w:fldCharType="separate"/>
      </w:r>
      <w:r w:rsidR="00CB0011" w:rsidRPr="00CB0011">
        <w:rPr>
          <w:noProof/>
          <w:vertAlign w:val="superscript"/>
        </w:rPr>
        <w:t>41</w:t>
      </w:r>
      <w:r w:rsidR="00EA5CBA">
        <w:fldChar w:fldCharType="end"/>
      </w:r>
      <w:r w:rsidR="00EA5CBA">
        <w:t xml:space="preserve">. </w:t>
      </w:r>
      <w:r>
        <w:t xml:space="preserve">Tato práce byla zaměřena na vybrané genetické markery u pacientů s GBM </w:t>
      </w:r>
      <w:r w:rsidRPr="00B47AD2">
        <w:rPr>
          <w:i/>
          <w:iCs/>
        </w:rPr>
        <w:t>IDH</w:t>
      </w:r>
      <w:r>
        <w:t xml:space="preserve"> wt a cílem bylo odhalit jejich vliv na vývoj onemocnění a na léčbu.</w:t>
      </w:r>
    </w:p>
    <w:p w14:paraId="50DE4460" w14:textId="4EEE181F" w:rsidR="0026562C" w:rsidRPr="0026562C" w:rsidRDefault="00DA1912" w:rsidP="0026562C">
      <w:pPr>
        <w:jc w:val="both"/>
      </w:pPr>
      <w:r w:rsidRPr="00B47AD2">
        <w:rPr>
          <w:i/>
          <w:iCs/>
        </w:rPr>
        <w:t>CCND1</w:t>
      </w:r>
      <w:r w:rsidRPr="0026562C">
        <w:t xml:space="preserve"> HCN </w:t>
      </w:r>
      <w:r w:rsidR="0026562C" w:rsidRPr="0026562C">
        <w:t>se jeví jako jasný pozitivní marker pro OS a PFS ve skupině pacie</w:t>
      </w:r>
      <w:r w:rsidR="00B47AD2">
        <w:t>n</w:t>
      </w:r>
      <w:r w:rsidR="0026562C" w:rsidRPr="0026562C">
        <w:t>tů léčených chemoradioterapií, avšak opačný efekt byl pozorován u pacientů bez chemoterapie i radioterapie. To může být dáno zvýšenou chemosenzitivitou u nádorů s vyšší expresí tohoto genu</w:t>
      </w:r>
      <w:r w:rsidR="00EA5CBA">
        <w:fldChar w:fldCharType="begin" w:fldLock="1"/>
      </w:r>
      <w:r w:rsidR="00C21F70">
        <w:instrText>ADDIN CSL_CITATION {"citationItems":[{"id":"ITEM-1","itemData":{"DOI":"10.1126/science.2683075","ISSN":"00368075","PMID":"2683075","abstract":"Cells prepare for S phase during the G1 phase of the cell cycle. Cell biological methods have provided knowledge of cycle kinetics and of substages of G1 that are determined by extracellular signals. Through the use of biochemical and molecular biological techniques to study effects of growth factors, oncogenes, and inhibitors, intracellular events during G 1 that lead to DNA synthesis are rapidly being discovered. Many cells in vivo are in a quiescent state (G0), with unduplicated DNA. Cells can be activated to reenter the cycle during G1. Similarly, cells in culture can be shifted between G0 and G1. These switches in and out of G1 are the main determinants of post-embryonic cell proliferation rate and are defectively controlled in cancer cells.","author":[{"dropping-particle":"","family":"Pardee","given":"Arthur B.","non-dropping-particle":"","parse-names":false,"suffix":""}],"container-title":"Science","id":"ITEM-1","issue":"4930","issued":{"date-parts":[["1989"]]},"page":"603-608","publisher":"Science","title":"G1 events and regulation of cell proliferation","type":"article-journal","volume":"246"},"uris":["http://www.mendeley.com/documents/?uuid=6d115631-d5bf-3921-b08d-317d685e1e28"]}],"mendeley":{"formattedCitation":"&lt;sup&gt;261&lt;/sup&gt;","plainTextFormattedCitation":"261","previouslyFormattedCitation":"&lt;sup&gt;261&lt;/sup&gt;"},"properties":{"noteIndex":0},"schema":"https://github.com/citation-style-language/schema/raw/master/csl-citation.json"}</w:instrText>
      </w:r>
      <w:r w:rsidR="00EA5CBA">
        <w:fldChar w:fldCharType="separate"/>
      </w:r>
      <w:r w:rsidR="00403A59" w:rsidRPr="00403A59">
        <w:rPr>
          <w:noProof/>
          <w:vertAlign w:val="superscript"/>
        </w:rPr>
        <w:t>261</w:t>
      </w:r>
      <w:r w:rsidR="00EA5CBA">
        <w:fldChar w:fldCharType="end"/>
      </w:r>
      <w:r w:rsidR="00160EA4" w:rsidRPr="0026562C">
        <w:t xml:space="preserve">. </w:t>
      </w:r>
      <w:r w:rsidR="0026562C" w:rsidRPr="00B47AD2">
        <w:rPr>
          <w:i/>
          <w:iCs/>
        </w:rPr>
        <w:t>CCND1</w:t>
      </w:r>
      <w:r w:rsidR="0026562C" w:rsidRPr="0026562C">
        <w:t xml:space="preserve"> gen reguluje přechod buněčného cyklu z G1 do S fáze a je tedy zapojen do proliferace a diferenciace</w:t>
      </w:r>
      <w:r w:rsidR="00EA5CBA">
        <w:fldChar w:fldCharType="begin" w:fldLock="1"/>
      </w:r>
      <w:r w:rsidR="00D745ED">
        <w:instrText>ADDIN CSL_CITATION {"citationItems":[{"id":"ITEM-1","itemData":{"DOI":"10.1159/000495920","ISSN":"1015-8987","abstract":"&lt;p&gt;Background/Aims: Cyclin D1 (CCND1) is frequently overexpressed in malignant gliomas. We have previously shown ectopic overexpression of CCND1 in human malignant gliomas cell lines. Methods: Quantitative reverse transcriptase PCR (qRT-PCR) and Western Blot (WB) was performed to investigate the expression of CCND1 in glioma tissues and cell lines. The biological function of CCND1 was also investigated through knockdown and overexpression of BCYRN1 in vitro. Results: Here we reported that CCND1 expression was positively associated with the pathological grade and proliferative activity of astrocytomas, as the lowest expression was found in normal brain tissue (N = 3) whereas the highest expression was in high-grade glioma tissue (N = 25). Additionally, we found that the expression level of CCND1 was associated with IC50 values in malignant glioma cell lines. Forced inhibition of CCND1 increased temozolomide efficacy in U251 and SHG-44 cells. After CCND1 overexpression, the temozolomide efficacy decreased in U251 and SHG-44 cells. Colony survival assay and apoptosis analysis confirmed that CCND1 inhibition renders cells more sensitive to temozolomide treatment and temozolomide-induced apoptosis in U251 and SHG-44 cells. Inhibition of P-gp (MDR1) by Tariquidar overcomes the effects of CCND1 overexpression on inhibiting temozolomide-induced apoptosis. Inhibition of CCND1 inhibited cell growth in vitro and in vivo significantly more effectively after temozolomide treatments than single temozolomide treatments. Finally, inhibition of CCND1 in glioma cells reduced tumor volume in a murine model. Conclusion: Taken together, these data indicate that CCND1 overexpression upregulate P-gp and induces chemoresistance in human malignant gliomas cells and that inhibition of CCND1 may be an effective means of overcoming CCND1 associated chemoresistance in human malignant glioma cells.&lt;/p&gt;","author":[{"dropping-particle":"","family":"Zhang","given":"Danfeng","non-dropping-particle":"","parse-names":false,"suffix":""},{"dropping-particle":"","family":"Dai","given":"Dawei","non-dropping-particle":"","parse-names":false,"suffix":""},{"dropping-particle":"","family":"Zhou","given":"Mengxia","non-dropping-particle":"","parse-names":false,"suffix":""},{"dropping-particle":"","family":"Li","given":"Zhenxing","non-dropping-particle":"","parse-names":false,"suffix":""},{"dropping-particle":"","family":"Wang","given":"Chunhui","non-dropping-particle":"","parse-names":false,"suffix":""},{"dropping-particle":"","family":"Lu","given":"Yicheng","non-dropping-particle":"","parse-names":false,"suffix":""},{"dropping-particle":"","family":"Li","given":"Yiming","non-dropping-particle":"","parse-names":false,"suffix":""},{"dropping-particle":"","family":"Wang","given":"Junyu","non-dropping-particle":"","parse-names":false,"suffix":""}],"container-title":"Cellular Physiology and Biochemistry","id":"ITEM-1","issue":"6","issued":{"date-parts":[["2018","1","1"]]},"page":"2496-2508","publisher":"S. Karger AG","title":"Inhibition of Cyclin D1 Expression in Human Glioblastoma Cells is Associated with Increased Temozolomide Chemosensitivity","type":"article-journal","volume":"51"},"uris":["http://www.mendeley.com/documents/?uuid=e76077fd-6af2-345e-9170-e93a2f9b3457"]}],"mendeley":{"formattedCitation":"&lt;sup&gt;183&lt;/sup&gt;","plainTextFormattedCitation":"183","previouslyFormattedCitation":"&lt;sup&gt;183&lt;/sup&gt;"},"properties":{"noteIndex":0},"schema":"https://github.com/citation-style-language/schema/raw/master/csl-citation.json"}</w:instrText>
      </w:r>
      <w:r w:rsidR="00EA5CBA">
        <w:fldChar w:fldCharType="separate"/>
      </w:r>
      <w:r w:rsidR="00A47FB6" w:rsidRPr="00A47FB6">
        <w:rPr>
          <w:noProof/>
          <w:vertAlign w:val="superscript"/>
        </w:rPr>
        <w:t>183</w:t>
      </w:r>
      <w:r w:rsidR="00EA5CBA">
        <w:fldChar w:fldCharType="end"/>
      </w:r>
      <w:r w:rsidR="00EA5CBA">
        <w:t>.</w:t>
      </w:r>
    </w:p>
    <w:p w14:paraId="47272002" w14:textId="2E2F542B" w:rsidR="0026562C" w:rsidRPr="0026562C" w:rsidRDefault="0068057D" w:rsidP="00160EA4">
      <w:pPr>
        <w:jc w:val="both"/>
      </w:pPr>
      <w:r>
        <w:t>Zvýšená</w:t>
      </w:r>
      <w:r w:rsidR="0026562C" w:rsidRPr="0026562C">
        <w:t xml:space="preserve"> exprese </w:t>
      </w:r>
      <w:r w:rsidR="0026562C" w:rsidRPr="00B47AD2">
        <w:rPr>
          <w:i/>
          <w:iCs/>
        </w:rPr>
        <w:t>MDM2</w:t>
      </w:r>
      <w:r w:rsidR="0026562C" w:rsidRPr="0026562C">
        <w:t xml:space="preserve"> blokuje aktivitu p53, což vede k nekontrolovatelné proliferaci a vzniku nádoru mozku. Kupodivu z našich výsledků vyplývá, že amplifikace </w:t>
      </w:r>
      <w:r w:rsidR="0026562C" w:rsidRPr="00B47AD2">
        <w:rPr>
          <w:i/>
          <w:iCs/>
        </w:rPr>
        <w:t>MDM2</w:t>
      </w:r>
      <w:r w:rsidR="0026562C" w:rsidRPr="0026562C">
        <w:t xml:space="preserve"> měla pozitivní vliv na přežití jak u skupiny léčené chemoradioterapií</w:t>
      </w:r>
      <w:r>
        <w:t>,</w:t>
      </w:r>
      <w:r w:rsidR="0026562C" w:rsidRPr="0026562C">
        <w:t xml:space="preserve"> tak u celé kohorty pacientů. </w:t>
      </w:r>
      <w:r w:rsidR="0026562C">
        <w:t xml:space="preserve">Navíc měla amplifikace </w:t>
      </w:r>
      <w:r>
        <w:rPr>
          <w:i/>
          <w:iCs/>
        </w:rPr>
        <w:t>P</w:t>
      </w:r>
      <w:r w:rsidR="0026562C" w:rsidRPr="00B47AD2">
        <w:rPr>
          <w:i/>
          <w:iCs/>
        </w:rPr>
        <w:t>53</w:t>
      </w:r>
      <w:r w:rsidR="0026562C">
        <w:t xml:space="preserve"> pozitivní vliv na přežití </w:t>
      </w:r>
      <w:r w:rsidR="00EC4C46">
        <w:t>ve skupině všech pacientů. Z toho vyplývá, že</w:t>
      </w:r>
      <w:r w:rsidR="00B47AD2">
        <w:t xml:space="preserve"> </w:t>
      </w:r>
      <w:r w:rsidR="00E51DAD">
        <w:t xml:space="preserve">je do gliomageneze zapojen velmi komplexní proces </w:t>
      </w:r>
      <w:r w:rsidR="00EC4C46">
        <w:t>zpětnovazebn</w:t>
      </w:r>
      <w:r w:rsidR="00E51DAD">
        <w:t>é</w:t>
      </w:r>
      <w:r w:rsidR="00EC4C46">
        <w:t xml:space="preserve"> smyčk</w:t>
      </w:r>
      <w:r w:rsidR="009B0AE2">
        <w:t>y</w:t>
      </w:r>
      <w:r w:rsidR="00EC4C46">
        <w:t xml:space="preserve"> </w:t>
      </w:r>
      <w:r>
        <w:t>P</w:t>
      </w:r>
      <w:r w:rsidR="00EC4C46">
        <w:t>53-</w:t>
      </w:r>
      <w:r w:rsidR="00EC4C46" w:rsidRPr="009B0AE2">
        <w:rPr>
          <w:iCs/>
        </w:rPr>
        <w:t>MDM2</w:t>
      </w:r>
      <w:r w:rsidR="00E51DAD">
        <w:t>.</w:t>
      </w:r>
    </w:p>
    <w:p w14:paraId="6139ED9A" w14:textId="5A2FA09D" w:rsidR="00EC4C46" w:rsidRDefault="00E51DAD" w:rsidP="00160EA4">
      <w:pPr>
        <w:jc w:val="both"/>
        <w:rPr>
          <w:highlight w:val="yellow"/>
        </w:rPr>
      </w:pPr>
      <w:r>
        <w:t>N</w:t>
      </w:r>
      <w:r w:rsidRPr="00EC4C46">
        <w:t xml:space="preserve">apříč skupinami </w:t>
      </w:r>
      <w:r>
        <w:t>byl odhalen negativ</w:t>
      </w:r>
      <w:r w:rsidR="00EC4C46" w:rsidRPr="00EC4C46">
        <w:t xml:space="preserve">ní vliv polyzomie oblasti 22q12.2 na PFS, což by </w:t>
      </w:r>
      <w:r w:rsidR="00EC4C46">
        <w:t>mohlo být předmětem pro další analýzy</w:t>
      </w:r>
      <w:r w:rsidR="00EC4C46" w:rsidRPr="00EC4C46">
        <w:t>. Negativní efekt ztráty 22q na progresi gliom</w:t>
      </w:r>
      <w:r w:rsidR="00EC4C46">
        <w:t>u</w:t>
      </w:r>
      <w:r w:rsidR="00EC4C46" w:rsidRPr="00EC4C46">
        <w:t xml:space="preserve"> byly už dříve zdokumentovány  </w:t>
      </w:r>
      <w:r w:rsidR="001738A0">
        <w:fldChar w:fldCharType="begin" w:fldLock="1"/>
      </w:r>
      <w:r w:rsidR="00C21F70">
        <w:instrText>ADDIN CSL_CITATION {"citationItems":[{"id":"ITEM-1","itemData":{"DOI":"10.1007/s11060-005-7019-2","ISSN":"0167594X","PMID":"16283437","abstract":"Loss of heterozygosity (LOH) of chromosome 22q has been investigated in 160 gliomas. LOH at one or more microsatellite increased with increasing grade of the tumor (P &lt; 0.01). LOH22q was more frequent in astrocytic tumors (37%) compared to mixed or oligodendroglial tumors (21%) (P = 0.02). LOH22q was correlated to 10q loss but not to 1p or 9p loss. Taken together, these data suggest that LOH22q is an alteration associated with malignant progression of gliomas. © Springer 2005.","author":[{"dropping-particle":"","family":"Laigle-Donadey","given":"Florence","non-dropping-particle":"","parse-names":false,"suffix":""},{"dropping-particle":"","family":"Crinière","given":"Emmanuelle","non-dropping-particle":"","parse-names":false,"suffix":""},{"dropping-particle":"","family":"Benouaich","given":"Alexandra","non-dropping-particle":"","parse-names":false,"suffix":""},{"dropping-particle":"","family":"Lesueur","given":"Emmanuelle","non-dropping-particle":"","parse-names":false,"suffix":""},{"dropping-particle":"","family":"Mokhtari","given":"Karima","non-dropping-particle":"","parse-names":false,"suffix":""},{"dropping-particle":"","family":"Khe","given":"Hoang Xuan","non-dropping-particle":"","parse-names":false,"suffix":""},{"dropping-particle":"","family":"Sanson","given":"Marc","non-dropping-particle":"","parse-names":false,"suffix":""}],"container-title":"Journal of Neuro-Oncology","id":"ITEM-1","issue":"3","issued":{"date-parts":[["2006","9","1"]]},"page":"265-268","publisher":"Springer","title":"Loss of 22q chromosome is related to glioma progression and loss of 10q","type":"article-journal","volume":"76"},"uris":["http://www.mendeley.com/documents/?uuid=9c9c9a7e-5537-3a73-ab40-d0e6a853574e"]},{"id":"ITEM-2","itemData":{"DOI":"10.1038/labinvest.3700223","ISSN":"00236837","PMID":"15592495","abstract":"Frequent allelic losses on the long arm of chromosome 22 (22q) in gliomas indicate the presence of tumor suppressor gene (TSG) at this location. However, the target gene(s) residing in this chromosome are still unknown and their putative roles in the development of astrocytic tumors, especially in secondary glioblastoma, have not yet been defined. To compile a precise physical map for the region of common deletions in astrocytic tumors, we performed a high-density loss of heterozygosity (LOH) analysis using 31 polymorphic microsatellite markers spanning 22q in a series of grade II diffuse astrocytomas, anaplastic astrocytomas, primary glioblastomas, and secondary glioblastomas that had evolved from lower grade astrocytomas. LOH was found at one or more loci in 33% (12/36) of grade II diffuse astrocytomas, in 40% (4/10) of anaplastic astrocytomas, in 41% (26/64) of primary glioblastomas, and in 82% (23/28) of secondary glioblastomas. Characterization of the 22q deletions in primary glioblastomas identified two sites of minimally deleted regions at 22q12.3-13.2 and 22q13.31. Interestingly, 22 of 23 secondary glioblastomas affected shared a deletion in the same small (957kb) region of 22q12.3, a region in which the human tissue inhibitor of metalloproteinases-3 (TIMP-3) is located. Investigation of the promoter methylation and expression of this gene indicated that frequent hypermethylation correlated with loss of TIMP-3 expression in secondary glioblastoma. This epigenetic change was significantly correlated to poor survival in eight patients with grade II diffuse astrocytoma. Our results suggest that a 957kb locus, located at 22q12.3, may contain the putative TSG, TIMP-3, that appears to be relevant to progression to secondary glioblastoma and subsequently to the prognosis of grade II diffuse astrocytoma. In addition, the possibility of other putative TSGs on 22q12.3-13.2 and 22q13.31 that may also be involved in the development of primary glioblastomas cannot be ruled out.","author":[{"dropping-particle":"","family":"Nakamura","given":"Mitsutoshi","non-dropping-particle":"","parse-names":false,"suffix":""},{"dropping-particle":"","family":"Ishida","given":"Eiwa","non-dropping-particle":"","parse-names":false,"suffix":""},{"dropping-particle":"","family":"Shimada","given":"Keiji","non-dropping-particle":"","parse-names":false,"suffix":""},{"dropping-particle":"","family":"Kishi","given":"Munehiro","non-dropping-particle":"","parse-names":false,"suffix":""},{"dropping-particle":"","family":"Nakase","given":"Hiroyuki","non-dropping-particle":"","parse-names":false,"suffix":""},{"dropping-particle":"","family":"Sakaki","given":"Toshisuke","non-dropping-particle":"","parse-names":false,"suffix":""},{"dropping-particle":"","family":"Konishi","given":"Noboru","non-dropping-particle":"","parse-names":false,"suffix":""}],"container-title":"Laboratory Investigation","id":"ITEM-2","issue":"2","issued":{"date-parts":[["2005","2"]]},"page":"165-175","publisher":"Lab Invest","title":"Frequent LOH on 22q12.3 and TIMP-3 inactivation occur in the progression to secondary glioblastomas","type":"article-journal","volume":"85"},"uris":["http://www.mendeley.com/documents/?uuid=f2310f0f-bc2c-3077-b32a-d67a220d6919"]},{"id":"ITEM-3","itemData":{"DOI":"10.1002/(SICI)1097-0215(20000201)85:3&lt;336::AID-IJC7&gt;3.0.CO;2-9","ISSN":"00207136","PMID":"10652423","abstract":"Loss of heterozygosity for chromosome 22 (LOH 22) occurs in gliomas of all malignancy grades. Neurofibromatosis type 2 (NF2) patients are at increased risk of developing a glioma. However, the NF2 gene in 22ql2.2 is not involved in glioma tumorigenesis. To detect additional regions on chromosome 22 that may harbor tumor suppressor genes important in glioma tumorigenesis, we determined LOH 22 profiles for 159 gliomas using 32 markers. LOH 22 was found in 46 tumors (29%). Thirteen tumors displayed partial LOH 22, from which we deduced a region of common deletion between markers D22S928 and D22S1169 in 22q13.3. LOH of at least this region was detected in 13% of the astrocytomas (As), in 20% of the anaplastic astrocytomas (AAs) and in 35% of the glioblastomas multiforme (GBMs). The significant increased frequency of LOH 22ql3.3 in the highest malignancy grade (GBM vs. A and AA, p = 0.02) indicates that loss of this region is associated with astrocytoma progression.","author":[{"dropping-particle":"","family":"Oskam","given":"Niels T.","non-dropping-particle":"","parse-names":false,"suffix":""},{"dropping-particle":"","family":"Bijleveld","given":"Engelien H.","non-dropping-particle":"","parse-names":false,"suffix":""},{"dropping-particle":"","family":"Hulsebos","given":"Theo J.M.","non-dropping-particle":"","parse-names":false,"suffix":""}],"container-title":"International Journal of Cancer","id":"ITEM-3","issue":"3","issued":{"date-parts":[["2000","2","1"]]},"page":"336-339","publisher":"John Wiley &amp; Sons, Ltd","title":"A region of common deletion in 22q13.3 In human glioma associated with astrocytoma progression","type":"article-journal","volume":"85"},"uris":["http://www.mendeley.com/documents/?uuid=87f3b5f0-fd18-3ec0-a965-0e8426ce6a51"]}],"mendeley":{"formattedCitation":"&lt;sup&gt;262–264&lt;/sup&gt;","plainTextFormattedCitation":"262–264","previouslyFormattedCitation":"&lt;sup&gt;262–264&lt;/sup&gt;"},"properties":{"noteIndex":0},"schema":"https://github.com/citation-style-language/schema/raw/master/csl-citation.json"}</w:instrText>
      </w:r>
      <w:r w:rsidR="001738A0">
        <w:fldChar w:fldCharType="separate"/>
      </w:r>
      <w:r w:rsidR="00403A59" w:rsidRPr="00403A59">
        <w:rPr>
          <w:noProof/>
          <w:vertAlign w:val="superscript"/>
        </w:rPr>
        <w:t>262–264</w:t>
      </w:r>
      <w:r w:rsidR="001738A0">
        <w:fldChar w:fldCharType="end"/>
      </w:r>
      <w:r w:rsidR="001738A0">
        <w:t xml:space="preserve">, </w:t>
      </w:r>
      <w:r w:rsidR="00EC4C46" w:rsidRPr="00EC4C46">
        <w:t xml:space="preserve">a polyzomie oblasti 22q12.2 byla identifikována jako maligní komponenta u gangliomu. Tato oblast obsahuje gen </w:t>
      </w:r>
      <w:r w:rsidR="00EC4C46" w:rsidRPr="00B47AD2">
        <w:rPr>
          <w:i/>
          <w:iCs/>
        </w:rPr>
        <w:t>EWSR1</w:t>
      </w:r>
      <w:r w:rsidR="00EC4C46" w:rsidRPr="00EC4C46">
        <w:t>, který je spojen s Ewingovým sarkomem</w:t>
      </w:r>
      <w:r w:rsidR="00372180">
        <w:t xml:space="preserve">, s </w:t>
      </w:r>
      <w:r w:rsidR="00EC4C46" w:rsidRPr="00EC4C46">
        <w:t xml:space="preserve">neuroektodermálními </w:t>
      </w:r>
      <w:r w:rsidR="00372180">
        <w:t>i</w:t>
      </w:r>
      <w:r w:rsidR="00EC4C46" w:rsidRPr="00EC4C46">
        <w:t xml:space="preserve"> dalšími druhy nádorů</w:t>
      </w:r>
      <w:r w:rsidR="001738A0" w:rsidRPr="001738A0">
        <w:fldChar w:fldCharType="begin" w:fldLock="1"/>
      </w:r>
      <w:r w:rsidR="00C21F70">
        <w:instrText>ADDIN CSL_CITATION {"citationItems":[{"id":"ITEM-1","itemData":{"DOI":"10.1111/his.12269","ISSN":"03090167","PMID":"24320889","abstract":"Many soft tissue sarcomas have chromosomal translocations with resultant formation of new fusion genes. Among the genes that can be rearranged, the EWSR1 gene has been identified as a partner in a wide variety of clinically and pathologically diverse sarcomas as well as some non-mesenchymal tumours. The former include Ewing sarcoma and similar (Ewing-like) small round cell sarcomas, desmoplastic small round cell tumour, myxoid liposarcoma, extraskeletal myxoid chondrosarcoma, angiomatoid fibrous histiocytoma, clear cell sarcoma of soft tissue and clear cell sarcoma-like tumours of the gastrointestinal tract, primary pulmonary myxoid sarcoma, extrasalivary myoepithelial tumours and sporadic examples of low-grade fibromyxoid sarcoma, sclerosing epithelioid fibrosarcoma and mesothelioma. EWSR1 is a 'promiscuous' gene that can fuse with many different partner genes, but sometimes this results in phenotypically identical tumours. EWSR1 can, conversely, partner with the same genes in morphologically and behaviourally different neoplasms. This paper reviews the diversity of the several soft tissue tumour types that are associated with rearrangement of the EWSR1 gene. © 2013 John Wiley &amp; Sons Ltd.","author":[{"dropping-particle":"","family":"Fisher","given":"Cyril","non-dropping-particle":"","parse-names":false,"suffix":""}],"container-title":"Histopathology","id":"ITEM-1","issue":"1","issued":{"date-parts":[["2014","1"]]},"page":"134-150","publisher":"Histopathology","title":"The diversity of soft tissue tumours with EWSR1 gene rearrangements: A review","type":"article","volume":"64"},"uris":["http://www.mendeley.com/documents/?uuid=6960117b-fc0d-3658-ad36-6742119ccd0c"]},{"id":"ITEM-2","itemData":{"DOI":"10.1215/15228517-2006-029","ISSN":"1523-5866","abstract":"Gangliogliomas are generally benign tumors, composed of transformed neuronal and glial elements, with rare malignant progression of the glial component. The current study of a rare case of a woman harboring a ganglioglioma with areas of malignant transformation addresses two fundamental questions: (1) Are the ganglioglioma and its malignant component clonal in origin? (2) What are the genetic alterations associated with the initiation and subsequent malignant progression of ganglioglioma? By using the human androgen receptor gene (HUMARA) assay, we found the ganglioglioma and the malignant component to be clonal in origin, suggestive of initial transformation of a single neuroglial precursor cell with subsequent malignant progression. Conventional and array comparative genomic hybridization (approximately 2.5-Mb resolution) analyses found chromosomal losses to be predominant in the benign areas of the ganglioglioma, with gains more prevalent in the malignant component. Regions of chromosomal loss, postulated to harbor genes involved in the initiation of ganglioglioma, included 1p35-36, 2p16-15, 3q13.1-13.3, 3q24-25.3, 6p21.3-21.2, 6q24-25.2, 9p12, Xp11.3-11.22, and Xq22.1-22.3. Direct analysis demonstrated loss of pl9 expression and p53 mutation in the malignant areas, highly suggestive of these alterations being involved in the malignant progression of the ganglioglioma. Additional chromosomal alterations specific to the malignancy involved gains on 1p35-34.2, 2q24.1-32.3, 3q13.1-13.3, 6q13-16.2, 7q11.2-31.3, 8q21.1-23, 11q12-31, and 12q13.2-21.3. This molecular-pathological study has provided insight into the pathogenesis of gangliogliomas and associated rare malignant progression. Deciphering the specific genes residing in these chromosomal regions may further our understanding of not only these rare tumors but also the more common gliomas. Copyright 2007 by the Society for Neuro-Oncology.","author":[{"dropping-particle":"","family":"Pandita","given":"Ajay","non-dropping-particle":"","parse-names":false,"suffix":""},{"dropping-particle":"","family":"Balasubramaniam","given":"Anandh","non-dropping-particle":"","parse-names":false,"suffix":""},{"dropping-particle":"","family":"Perrin","given":"Richard","non-dropping-particle":"","parse-names":false,"suffix":""},{"dropping-particle":"","family":"Shannon","given":"Patrick","non-dropping-particle":"","parse-names":false,"suffix":""},{"dropping-particle":"","family":"Guha","given":"Abhijit","non-dropping-particle":"","parse-names":false,"suffix":""}],"container-title":"Neuro-Oncology","id":"ITEM-2","issue":"2","issued":{"date-parts":[["2007","4","1"]]},"page":"124-134","publisher":"Oxford Academic","title":"Malignant and benign ganglioglioma: A pathological and molecular study1","type":"article-journal","volume":"9"},"uris":["http://www.mendeley.com/documents/?uuid=288504c6-0a85-3179-95ce-8a186291a06c"]}],"mendeley":{"formattedCitation":"&lt;sup&gt;265,266&lt;/sup&gt;","plainTextFormattedCitation":"265,266","previouslyFormattedCitation":"&lt;sup&gt;265,266&lt;/sup&gt;"},"properties":{"noteIndex":0},"schema":"https://github.com/citation-style-language/schema/raw/master/csl-citation.json"}</w:instrText>
      </w:r>
      <w:r w:rsidR="001738A0" w:rsidRPr="001738A0">
        <w:fldChar w:fldCharType="separate"/>
      </w:r>
      <w:r w:rsidR="00403A59" w:rsidRPr="00403A59">
        <w:rPr>
          <w:noProof/>
          <w:vertAlign w:val="superscript"/>
        </w:rPr>
        <w:t>265,266</w:t>
      </w:r>
      <w:r w:rsidR="001738A0" w:rsidRPr="001738A0">
        <w:fldChar w:fldCharType="end"/>
      </w:r>
      <w:r w:rsidR="001738A0" w:rsidRPr="001738A0">
        <w:t>.</w:t>
      </w:r>
    </w:p>
    <w:p w14:paraId="6CAE0B62" w14:textId="0F47E61A" w:rsidR="00160EA4" w:rsidRPr="00F101D4" w:rsidRDefault="00F101D4" w:rsidP="00F101D4">
      <w:pPr>
        <w:jc w:val="both"/>
      </w:pPr>
      <w:r w:rsidRPr="00F101D4">
        <w:t>Kodelece 1p/19q je znakem oligodendrogliomů s relativně dobrou prognózou. GBM jsou často charakterizovány navýšeným počtem chromozomů 1/19 i 19/20 a obě varianty jsou spojovány s lepšími outcomy</w:t>
      </w:r>
      <w:r w:rsidR="001738A0">
        <w:fldChar w:fldCharType="begin" w:fldLock="1"/>
      </w:r>
      <w:r w:rsidR="00C21F70">
        <w:instrText>ADDIN CSL_CITATION {"citationItems":[{"id":"ITEM-1","itemData":{"DOI":"10.1093/neuonc/noy108","ISSN":"1522-8517","abstract":"Background. Copy number alterations form prognostic molecular subtypes of glioblastoma with clear differences in median overall survival. In this study, we leverage molecular data from several glioblastoma cohorts to define the distribution of copy number subtypes across random cohorts as well as cohorts with selection biases for patients with inherently better outcome. Methods. Copy number subtype frequency was established for 4 glioblastoma patient cohorts. Two randomly selected cohorts include The Cancer Genome Atlas (TCGA) and the German Glioma Network (GGN). Two more selective cohorts include the phase II trial ARTE in elderly patients with newly diagnosed glioblastoma and a multi-institutional cohort focused on paired resected initial/recurrent glioblastoma. The paired initial/recurrent cohort also had exome data available, which allowed for evaluation of multidimensional scaling analysis. Results. Smaller selective glioblastoma cohorts are enriched for copy number subtypes that are associated with better survival, reflecting the selection of patients who do well enough to enter a clinical trial or who are deemed well enough to undergo resection at recurrence. Adding exome data to copy number data provides additional data reflective of outcome. Conclusions. The overall outcome for diffuse glioma patients is predicted by DNA structure at initial tumor resection. Molecular signature shifts across glioblastoma populations reflect the inherent bias of patient selection toward longer survival in clinical trials. Therefore it may be important to include molecular profiling, including copy number, when enrolling patients for clinical trials in order to balance arms and extrapolate relevance to the general glioblastoma population.","author":[{"dropping-particle":"","family":"Cimino","given":"Patrick J","non-dropping-particle":"","parse-names":false,"suffix":""},{"dropping-particle":"","family":"McFerrin","given":"Lisa","non-dropping-particle":"","parse-names":false,"suffix":""},{"dropping-particle":"","family":"Wirsching","given":"Hans-Georg","non-dropping-particle":"","parse-names":false,"suffix":""},{"dropping-particle":"","family":"Arora","given":"Sonali","non-dropping-particle":"","parse-names":false,"suffix":""},{"dropping-particle":"","family":"Bolouri","given":"Hamid","non-dropping-particle":"","parse-names":false,"suffix":""},{"dropping-particle":"","family":"Rabadan","given":"Raul","non-dropping-particle":"","parse-names":false,"suffix":""},{"dropping-particle":"","family":"Weller","given":"Michael","non-dropping-particle":"","parse-names":false,"suffix":""},{"dropping-particle":"","family":"Holland","given":"Eric C","non-dropping-particle":"","parse-names":false,"suffix":""}],"container-title":"Neuro-Oncology","id":"ITEM-1","issue":"10","issued":{"date-parts":[["2018","9","3"]]},"page":"1368-1373","publisher":"Oxford University Press","title":"Copy number profiling across glioblastoma populations has implications for clinical trial design","type":"article-journal","volume":"20"},"uris":["http://www.mendeley.com/documents/?uuid=13c7b480-e6f5-3191-8064-6173478f55c0"]},{"id":"ITEM-2","itemData":{"DOI":"10.1007/s00401-015-1427-y","ISSN":"14320533","PMID":"25931051","abstract":"Glioblastoma (GBM) is a devastating tumor and few patients survive beyond 3 years. Defining the molecular determinants underlying long-term survival is essential for insights into tumor biology and biomarker identification. We therefore investigated homogeneously treated, IDHwt long-term (LTS, n = 10) and short-term survivors (STS, n = 6) by microarray transcription profiling. While there was no association of clinical parameters and molecular subtypes with long-term survival, STS tumors were characterized by differential polarization of infiltrating microglia with predominance of the M2 phenotype detectable both on the mRNA and protein level. Furthermore, transcriptional signatures of LTS and STS predicted patient outcome in a large, IDHwt cohort (n = 468). Interrogation of overlapping genomic alterations identified concurrent gain of chromosomes 19 and 20 as a favorable prognostic marker. The strong association of this co-gain with survival was validated by aCGH in a second, independent cohort (n = 124). Finally, FISH and gene expression data revealed gains to constitute low-amplitude, clonal events with a strong impact on transcription. In conclusion, these findings provide important insights into the manipulation of the innate immune system by particularly aggressive GBM tumors. Furthermore, we genomically characterize a previously unknown, clinically relevant subgroup of glioblastoma, which can easily be identified through modern neuropathological workup.","author":[{"dropping-particle":"","family":"Geisenberger","given":"Christoph","non-dropping-particle":"","parse-names":false,"suffix":""},{"dropping-particle":"","family":"Mock","given":"Andreas","non-dropping-particle":"","parse-names":false,"suffix":""},{"dropping-particle":"","family":"Warta","given":"Rolf","non-dropping-particle":"","parse-names":false,"suffix":""},{"dropping-particle":"","family":"Rapp","given":"Carmen","non-dropping-particle":"","parse-names":false,"suffix":""},{"dropping-particle":"","family":"Schwager","given":"Christian","non-dropping-particle":"","parse-names":false,"suffix":""},{"dropping-particle":"","family":"Korshunov","given":"Andrey","non-dropping-particle":"","parse-names":false,"suffix":""},{"dropping-particle":"","family":"Nied","given":"Ann Katrin","non-dropping-particle":"","parse-names":false,"suffix":""},{"dropping-particle":"","family":"Capper","given":"David","non-dropping-particle":"","parse-names":false,"suffix":""},{"dropping-particle":"","family":"Brors","given":"Benedikt","non-dropping-particle":"","parse-names":false,"suffix":""},{"dropping-particle":"","family":"Jungk","given":"Christine","non-dropping-particle":"","parse-names":false,"suffix":""},{"dropping-particle":"","family":"Jones","given":"David","non-dropping-particle":"","parse-names":false,"suffix":""},{"dropping-particle":"","family":"Collins","given":"V. Peter","non-dropping-particle":"","parse-names":false,"suffix":""},{"dropping-particle":"","family":"Ichimura","given":"Koichi","non-dropping-particle":"","parse-names":false,"suffix":""},{"dropping-particle":"","family":"Bäcklund","given":"L. Magnus","non-dropping-particle":"","parse-names":false,"suffix":""},{"dropping-particle":"","family":"Schnabel","given":"Elena","non-dropping-particle":"","parse-names":false,"suffix":""},{"dropping-particle":"","family":"Mittelbron","given":"Michel","non-dropping-particle":"","parse-names":false,"suffix":""},{"dropping-particle":"","family":"Lahrmann","given":"Bernd","non-dropping-particle":"","parse-names":false,"suffix":""},{"dropping-particle":"","family":"Zheng","given":"Siyuan","non-dropping-particle":"","parse-names":false,"suffix":""},{"dropping-particle":"","family":"Verhaak","given":"Roel G.W.","non-dropping-particle":"","parse-names":false,"suffix":""},{"dropping-particle":"","family":"Grabe","given":"Niels","non-dropping-particle":"","parse-names":false,"suffix":""},{"dropping-particle":"","family":"Pfister","given":"Stefan M.","non-dropping-particle":"","parse-names":false,"suffix":""},{"dropping-particle":"","family":"Hartmann","given":"Christian","non-dropping-particle":"","parse-names":false,"suffix":""},{"dropping-particle":"","family":"Deimling","given":"Andreas","non-dropping-particle":"von","parse-names":false,"suffix":""},{"dropping-particle":"","family":"Debus","given":"Jürgen","non-dropping-particle":"","parse-names":false,"suffix":""},{"dropping-particle":"","family":"Unterberg","given":"Andreas","non-dropping-particle":"","parse-names":false,"suffix":""},{"dropping-particle":"","family":"Abdollahi","given":"Amir","non-dropping-particle":"","parse-names":false,"suffix":""},{"dropping-particle":"","family":"Herold-Mende","given":"Christel","non-dropping-particle":"","parse-names":false,"suffix":""}],"container-title":"Acta Neuropathologica","id":"ITEM-2","issue":"3","issued":{"date-parts":[["2015","9","21"]]},"page":"419-434","publisher":"Springer Verlag","title":"Molecular profiling of long-term survivors identifies a subgroup of glioblastoma characterized by chromosome 19/20 co-gain","type":"article-journal","volume":"130"},"uris":["http://www.mendeley.com/documents/?uuid=680bcd8b-3f23-3e0b-8fa1-4df65c859392"]}],"mendeley":{"formattedCitation":"&lt;sup&gt;267,268&lt;/sup&gt;","plainTextFormattedCitation":"267,268","previouslyFormattedCitation":"&lt;sup&gt;267,268&lt;/sup&gt;"},"properties":{"noteIndex":0},"schema":"https://github.com/citation-style-language/schema/raw/master/csl-citation.json"}</w:instrText>
      </w:r>
      <w:r w:rsidR="001738A0">
        <w:fldChar w:fldCharType="separate"/>
      </w:r>
      <w:r w:rsidR="00403A59" w:rsidRPr="00403A59">
        <w:rPr>
          <w:noProof/>
          <w:vertAlign w:val="superscript"/>
        </w:rPr>
        <w:t>267,268</w:t>
      </w:r>
      <w:r w:rsidR="001738A0">
        <w:fldChar w:fldCharType="end"/>
      </w:r>
      <w:r w:rsidRPr="00F101D4">
        <w:t xml:space="preserve">.  Bohužel tento efekt nebyl pozorován u naší kohorty, což může </w:t>
      </w:r>
      <w:r w:rsidR="00E51DAD" w:rsidRPr="00F101D4">
        <w:t xml:space="preserve">být </w:t>
      </w:r>
      <w:r w:rsidRPr="00F101D4">
        <w:t xml:space="preserve">pravděpodobně způsobeno protikladným efektem jiných genetických aberací s negativním efektem na prognózu jako je </w:t>
      </w:r>
      <w:r w:rsidR="00E51DAD">
        <w:t xml:space="preserve">například </w:t>
      </w:r>
      <w:r w:rsidRPr="00F101D4">
        <w:t xml:space="preserve">amplifikace </w:t>
      </w:r>
      <w:r w:rsidRPr="00B47AD2">
        <w:rPr>
          <w:i/>
          <w:iCs/>
        </w:rPr>
        <w:t>EGFR1</w:t>
      </w:r>
      <w:r w:rsidR="001738A0">
        <w:fldChar w:fldCharType="begin" w:fldLock="1"/>
      </w:r>
      <w:r w:rsidR="00C21F70">
        <w:instrText>ADDIN CSL_CITATION {"citationItems":[{"id":"ITEM-1","itemData":{"DOI":"10.3390/cancers12071817","ISSN":"20726694","abstract":"Diffuse gliomas are among the most common adult central nervous system tumors with an annual incidence of more than 16,000 cases in the United States. Until very recently, the diagnosis of these tumors was based solely on morphologic features, however, with the publication of the WHO Classification of Tumours of the Central Nervous System, revised 4th edition in 2016, certain molecular features are now included in the official diagnostic and grading system. One of the most significant of these changes has been the division of adult astrocytomas into IDH-wildtype and IDH-mutant categories in addition to histologic grade as part of the main-line diagnosis, although a great deal of heterogeneity in the clinical outcome still remains to be explained within these categories. Since then, numerous groups have been working to identify additional biomarkers and prognostic factors in diffuse gliomas to help further stratify these tumors in hopes of producing a more complete grading system, as well as understanding the underlying biology that results in differing outcomes. The field of neuro-oncology is currently in the midst of a “molecular revolution” in which increasing emphasis is being placed on genetic and epigenetic features driving current diagnostic, prognostic, and predictive considerations. In this review, we focus on recent advances in adult diffuse glioma biomarkers and prognostic factors and summarize the state of the field.","author":[{"dropping-particle":"","family":"Mirchia","given":"Kanish","non-dropping-particle":"","parse-names":false,"suffix":""},{"dropping-particle":"","family":"Richardson","given":"Timothy E.","non-dropping-particle":"","parse-names":false,"suffix":""}],"container-title":"Cancers","id":"ITEM-1","issue":"7","issued":{"date-parts":[["2020","7","1"]]},"page":"1-22","publisher":"MDPI AG","title":"Beyond IDH-mutation: Emerging molecular diagnostic and prognostic features in adult diffuse gliomas","type":"article","volume":"12"},"uris":["http://www.mendeley.com/documents/?uuid=9b290ce2-3ced-30b4-a8b3-a242ed96abc9"]}],"mendeley":{"formattedCitation":"&lt;sup&gt;269&lt;/sup&gt;","plainTextFormattedCitation":"269","previouslyFormattedCitation":"&lt;sup&gt;269&lt;/sup&gt;"},"properties":{"noteIndex":0},"schema":"https://github.com/citation-style-language/schema/raw/master/csl-citation.json"}</w:instrText>
      </w:r>
      <w:r w:rsidR="001738A0">
        <w:fldChar w:fldCharType="separate"/>
      </w:r>
      <w:r w:rsidR="00403A59" w:rsidRPr="00403A59">
        <w:rPr>
          <w:noProof/>
          <w:vertAlign w:val="superscript"/>
        </w:rPr>
        <w:t>269</w:t>
      </w:r>
      <w:r w:rsidR="001738A0">
        <w:fldChar w:fldCharType="end"/>
      </w:r>
      <w:r w:rsidR="00160EA4" w:rsidRPr="00F101D4">
        <w:t xml:space="preserve">.  </w:t>
      </w:r>
    </w:p>
    <w:p w14:paraId="60C53664" w14:textId="630F38FF" w:rsidR="00B9069D" w:rsidRPr="00205D86" w:rsidRDefault="00B9069D" w:rsidP="00160EA4">
      <w:pPr>
        <w:jc w:val="both"/>
      </w:pPr>
      <w:r w:rsidRPr="00B9069D">
        <w:t>Studie založené na pyrosekvenování</w:t>
      </w:r>
      <w:r>
        <w:t xml:space="preserve"> prokázaly, že rozsáhlá metylace </w:t>
      </w:r>
      <w:r w:rsidRPr="00E51DAD">
        <w:rPr>
          <w:i/>
          <w:iCs/>
        </w:rPr>
        <w:t>MGMT</w:t>
      </w:r>
      <w:r>
        <w:t xml:space="preserve"> je spojena s delším OS a PFS u pacientů s GBM </w:t>
      </w:r>
      <w:r w:rsidRPr="00E51DAD">
        <w:rPr>
          <w:i/>
          <w:iCs/>
        </w:rPr>
        <w:t>IDH</w:t>
      </w:r>
      <w:r>
        <w:t xml:space="preserve"> w</w:t>
      </w:r>
      <w:r w:rsidR="00E51DAD">
        <w:t xml:space="preserve">ild </w:t>
      </w:r>
      <w:r>
        <w:t>t</w:t>
      </w:r>
      <w:r w:rsidR="00E51DAD">
        <w:t>ype</w:t>
      </w:r>
      <w:r>
        <w:t>, což naznačuje možný pozitivní efekt DNA alkylačních chemoterapeutik</w:t>
      </w:r>
      <w:r w:rsidR="001738A0">
        <w:fldChar w:fldCharType="begin" w:fldLock="1"/>
      </w:r>
      <w:r w:rsidR="00C21F70">
        <w:instrText>ADDIN CSL_CITATION {"citationItems":[{"id":"ITEM-1","itemData":{"DOI":"10.1093/neuonc/noy132","ISSN":"15235866","PMID":"30189035","abstract":"Glioblastoma (GBM) is the most common primary malignant brain tumor, with a universally poor prognosis. The emergence of molecular biomarkers has had a significant impact on histological typing and diagnosis, as well as predicting patient survival and response to treatment. The methylation status of the O 6-methylguanine-DNA methyl-transferase (MGMT) gene promoter is one such molecular biomarker. Despite the strong evidence supporting the role of MGMT methylation status in prognostication, its routine implementation in clinical practice has been challenging. The methods and optimal cutoff definitions for MGMT status determination remain controversial. Variation in detection methods between laboratories presents a major challenge for consensus. Moreover, consideration of other clinical and genetic/epigenetic factors must also be incorporated into treatment decision making. In this review, we distill the available evidence to summarize our position on the optimal use of available assays, and propose strategies for resolving cases with equivocal methylation status and a framework for incorporating this important assay into research and clinical practice.","author":[{"dropping-particle":"","family":"Mansouri","given":"Alireza","non-dropping-particle":"","parse-names":false,"suffix":""},{"dropping-particle":"","family":"Hachem","given":"Laureen D.","non-dropping-particle":"","parse-names":false,"suffix":""},{"dropping-particle":"","family":"Mansouri","given":"Sheila","non-dropping-particle":"","parse-names":false,"suffix":""},{"dropping-particle":"","family":"Nassiri","given":"Farshad","non-dropping-particle":"","parse-names":false,"suffix":""},{"dropping-particle":"","family":"Laperriere","given":"Normand J.","non-dropping-particle":"","parse-names":false,"suffix":""},{"dropping-particle":"","family":"Xia","given":"Daniel","non-dropping-particle":"","parse-names":false,"suffix":""},{"dropping-particle":"","family":"Lindeman","given":"Neal I.","non-dropping-particle":"","parse-names":false,"suffix":""},{"dropping-particle":"","family":"Wen","given":"Patrick Y.","non-dropping-particle":"","parse-names":false,"suffix":""},{"dropping-particle":"","family":"Chakravarti","given":"Arnab","non-dropping-particle":"","parse-names":false,"suffix":""},{"dropping-particle":"","family":"Mehta","given":"Minesh P.","non-dropping-particle":"","parse-names":false,"suffix":""},{"dropping-particle":"","family":"Hegi","given":"Monika E.","non-dropping-particle":"","parse-names":false,"suffix":""},{"dropping-particle":"","family":"Stupp","given":"Roger","non-dropping-particle":"","parse-names":false,"suffix":""},{"dropping-particle":"","family":"Aldape","given":"Kenneth D.","non-dropping-particle":"","parse-names":false,"suffix":""},{"dropping-particle":"","family":"Zadeh","given":"Gelareh","non-dropping-particle":"","parse-names":false,"suffix":""}],"container-title":"Neuro-Oncology","id":"ITEM-1","issue":"2","issued":{"date-parts":[["2019","2","14"]]},"page":"167-178","publisher":"Oxford University Press","title":"MGMT promoter methylation status testing to guide therapy for glioblastoma: Refining the approach based on emerging evidence and current challenges","type":"article-journal","volume":"21"},"uris":["http://www.mendeley.com/documents/?uuid=8217826b-6f5d-3e7b-9986-007903aa02ff"]},{"id":"ITEM-2","itemData":{"DOI":"10.1186/s40478-019-0745-z","ISSN":"20515960","PMID":"31167648","abstract":"Methylation of the O(6)-Methylguanine-DNA methyltransferase (MGMT) promoter is predictive for treatment response in glioblastoma patients. However, precise predictive cutoff values to distinguish \"MGMT methylated\" from \"MGMT unmethylated\" patients remain highly debated in terms of pyrosequencing (PSQ) analysis. We retrospectively analyzed a clinically and molecularly very well-characterized cohort of 111 IDH wildtype glioblastoma patients, who underwent gross total tumor resection and received standard Stupp treatment. Detailed clinical parameters were obtained. Predictive cutoff values for MGMT promoter methylation were determined using ROC curve analysis and survival curve comparison using Log-rank (Mantel-Cox) test. MGMT status was analyzed using pyrosequencing (PSQ), semi-quantitative methylation specific PCR (sqMSP) and direct bisulfite sequencing (dBiSeq). Highly methylated (&gt; 20%) MGMT correlated with significantly improved progression-free survival (PFS) and overall survival (OS) in our cohort. Median PFS was 7.2 months in the unmethylated group (UM, &lt; 10% mean methylation), 10.4 months in the low methylated group (LM, 10-20% mean methylation) and 19.83 months in the highly methylated group (HM, &gt; 20% mean methylation). Median OS was 13.4 months for UM, 17.9 months for LM and 29.93 months for HM. Within the LM group, correlation of PSQ and sqMSP or dBiSeq was only conclusive in 51.5% of our cases. ROC curve analysis revealed superior test precision for survival if additional sqMSP results were considered (AUC = 0.76) compared to PSQ (cutoff 10%) alone (AUC = 0.67). We therefore challenge the widely used, strict PSQ cutoff at 10% which might not fully reflect the clinical response to alkylating agents and suggest applying a second method for MGMT testing (e.g. MSP) to confirm PSQ results for patients with LM MGMT levels if therapeutically relevant.","author":[{"dropping-particle":"","family":"Radke","given":"Josefine","non-dropping-particle":"","parse-names":false,"suffix":""},{"dropping-particle":"","family":"Koch","given":"Arend","non-dropping-particle":"","parse-names":false,"suffix":""},{"dropping-particle":"","family":"Pritsch","given":"Fabienne","non-dropping-particle":"","parse-names":false,"suffix":""},{"dropping-particle":"","family":"Schumann","given":"Elisa","non-dropping-particle":"","parse-names":false,"suffix":""},{"dropping-particle":"","family":"Misch","given":"Martin","non-dropping-particle":"","parse-names":false,"suffix":""},{"dropping-particle":"","family":"Hempt","given":"Claudia","non-dropping-particle":"","parse-names":false,"suffix":""},{"dropping-particle":"","family":"Lenz","given":"Klaus","non-dropping-particle":"","parse-names":false,"suffix":""},{"dropping-particle":"","family":"Löbel","given":"Franziska","non-dropping-particle":"","parse-names":false,"suffix":""},{"dropping-particle":"","family":"Paschereit","given":"Fabienne","non-dropping-particle":"","parse-names":false,"suffix":""},{"dropping-particle":"","family":"Heppner","given":"Frank L.","non-dropping-particle":"","parse-names":false,"suffix":""},{"dropping-particle":"","family":"Vajkoczy","given":"Peter","non-dropping-particle":"","parse-names":false,"suffix":""},{"dropping-particle":"","family":"Koll","given":"Randi","non-dropping-particle":"","parse-names":false,"suffix":""},{"dropping-particle":"","family":"Onken","given":"Julia","non-dropping-particle":"","parse-names":false,"suffix":""}],"container-title":"Acta neuropathologica communications","id":"ITEM-2","issue":"1","issued":{"date-parts":[["2019","6","5"]]},"page":"89","publisher":"NLM (Medline)","title":"Predictive MGMT status in a homogeneous cohort of IDH wildtype glioblastoma patients","type":"article-journal","volume":"7"},"uris":["http://www.mendeley.com/documents/?uuid=43d56da8-89a8-30cd-bc16-218ccff85968"]}],"mendeley":{"formattedCitation":"&lt;sup&gt;270,271&lt;/sup&gt;","plainTextFormattedCitation":"270,271","previouslyFormattedCitation":"&lt;sup&gt;270,271&lt;/sup&gt;"},"properties":{"noteIndex":0},"schema":"https://github.com/citation-style-language/schema/raw/master/csl-citation.json"}</w:instrText>
      </w:r>
      <w:r w:rsidR="001738A0">
        <w:fldChar w:fldCharType="separate"/>
      </w:r>
      <w:r w:rsidR="00403A59" w:rsidRPr="00403A59">
        <w:rPr>
          <w:noProof/>
          <w:vertAlign w:val="superscript"/>
        </w:rPr>
        <w:t>270,271</w:t>
      </w:r>
      <w:r w:rsidR="001738A0">
        <w:fldChar w:fldCharType="end"/>
      </w:r>
      <w:r w:rsidR="001738A0">
        <w:t>.</w:t>
      </w:r>
      <w:r>
        <w:t xml:space="preserve"> Studie provedená Marchi </w:t>
      </w:r>
      <w:r w:rsidRPr="00B9069D">
        <w:rPr>
          <w:i/>
          <w:iCs/>
        </w:rPr>
        <w:t>et al.</w:t>
      </w:r>
      <w:r>
        <w:t xml:space="preserve"> prokázala prodloužení OS a PFS </w:t>
      </w:r>
      <w:r w:rsidR="00AA452D">
        <w:t>ve spojitosti s </w:t>
      </w:r>
      <w:r w:rsidR="00AA452D" w:rsidRPr="00E51DAD">
        <w:rPr>
          <w:i/>
          <w:iCs/>
        </w:rPr>
        <w:t>MGMT</w:t>
      </w:r>
      <w:r w:rsidR="00AA452D">
        <w:t xml:space="preserve"> metylací u pacientů, kterým byla provedena </w:t>
      </w:r>
      <w:r w:rsidR="00D43108" w:rsidRPr="00E51DAD">
        <w:t>maximální možná resekce</w:t>
      </w:r>
      <w:r w:rsidR="00D43108">
        <w:t xml:space="preserve"> následovaná chemoradioterapií. Ačkoli </w:t>
      </w:r>
      <w:r w:rsidR="00E51DAD">
        <w:t xml:space="preserve">jsme použili </w:t>
      </w:r>
      <w:r w:rsidR="00D43108">
        <w:t xml:space="preserve">stejný protokol molekulární analýzy, </w:t>
      </w:r>
      <w:r w:rsidR="00E51DAD">
        <w:t>nepozorovali jsme</w:t>
      </w:r>
      <w:r w:rsidR="00D43108">
        <w:t xml:space="preserve"> tento efek</w:t>
      </w:r>
      <w:r w:rsidR="00E51DAD">
        <w:t>t</w:t>
      </w:r>
      <w:r w:rsidR="00D43108">
        <w:t xml:space="preserve"> u naší kohorty GBM pacientů s </w:t>
      </w:r>
      <w:r w:rsidR="00E51DAD" w:rsidRPr="00E51DAD">
        <w:t>totální</w:t>
      </w:r>
      <w:r w:rsidR="00D43108" w:rsidRPr="00E51DAD">
        <w:t xml:space="preserve"> rese</w:t>
      </w:r>
      <w:r w:rsidR="00E51DAD" w:rsidRPr="00E51DAD">
        <w:t>kcí</w:t>
      </w:r>
      <w:r w:rsidR="00D43108">
        <w:t xml:space="preserve"> následovanou chemoradioterapií v porovnání s dalšími vyšetřovanými skupinami </w:t>
      </w:r>
      <w:r w:rsidR="001738A0">
        <w:fldChar w:fldCharType="begin" w:fldLock="1"/>
      </w:r>
      <w:r w:rsidR="00C21F70">
        <w:instrText>ADDIN CSL_CITATION {"citationItems":[{"id":"ITEM-1","itemData":{"DOI":"10.3389/fonc.2019.01569","ISSN":"2234-943X","abstract":"Object: The treatment of choice in glioblastoma (GBM) is the maximal surgical extent of resection (EOR) followed by adjuvant chemo-radiotherapy. Furthermore, methylguanine-DNA methyltransferase (MGMT) promoter methylation is associated with prolonged overall survival (OS) and progression free survival (PFS). The objective of the present study is correlate the biomolecular aspects in relation with EOR. Materials and methods: We analyzed a series of 116 patients with IDH-1 wild type GBM and different EOR (Gross Total Resection—GTR-, Partial Resection—PR- and Biopsy), treated with adjuvant chemo-radiotherapy. The MGMT status was analyzed in terms of promoter methylation and protein expression. Results: When GTR was possible, OS and PFS were significantly better compared to the other two groups (p = 0.001 and p = 0.035, respectively). MGMT methylation was significantly associated with better OS in the biopsy group (p = 0.022) and better OS and PFS in PR (p = 0.02 and p = 0.012, respectively), but not in the GTR group (p = 0.252 for OS, p = 0.256 for PFS) nor the PFS in the biopsy group (p = 0.259). MGMT protein expression levels do not show any association with OS and PFS, regardless of the type of surgery. Conclusions: Our study confirms the positive association of a safe maximal EOR with better OS and PFS, and indicates a positive prognostic value of MGMT methylation status only in case of the presence of residual tumor tissue. MGMT protein expression seems not to play a clinical role in relation with the type of surgery.","author":[{"dropping-particle":"","family":"Marchi","given":"Francesco","non-dropping-particle":"","parse-names":false,"suffix":""},{"dropping-particle":"","family":"Sahnane","given":"Nora","non-dropping-particle":"","parse-names":false,"suffix":""},{"dropping-particle":"","family":"Cerutti","given":"Roberta","non-dropping-particle":"","parse-names":false,"suffix":""},{"dropping-particle":"","family":"Cipriani","given":"Debora","non-dropping-particle":"","parse-names":false,"suffix":""},{"dropping-particle":"","family":"Barizzi","given":"Jessica","non-dropping-particle":"","parse-names":false,"suffix":""},{"dropping-particle":"","family":"Stefanini","given":"Federico Mattia","non-dropping-particle":"","parse-names":false,"suffix":""},{"dropping-particle":"","family":"Epistolio","given":"Samantha","non-dropping-particle":"","parse-names":false,"suffix":""},{"dropping-particle":"","family":"Cerati","given":"Michele","non-dropping-particle":"","parse-names":false,"suffix":""},{"dropping-particle":"","family":"Balbi","given":"Sergio","non-dropping-particle":"","parse-names":false,"suffix":""},{"dropping-particle":"","family":"Mazzucchelli","given":"Luca","non-dropping-particle":"","parse-names":false,"suffix":""},{"dropping-particle":"","family":"Sessa","given":"Fausto","non-dropping-particle":"","parse-names":false,"suffix":""},{"dropping-particle":"","family":"Pesce","given":"Gianfranco Angelo","non-dropping-particle":"","parse-names":false,"suffix":""},{"dropping-particle":"","family":"Reinert","given":"Michael","non-dropping-particle":"","parse-names":false,"suffix":""},{"dropping-particle":"","family":"Frattini","given":"Milo","non-dropping-particle":"","parse-names":false,"suffix":""}],"container-title":"Frontiers in Oncology","id":"ITEM-1","issued":{"date-parts":[["2020","1","24"]]},"page":"1569","publisher":"Frontiers Media S.A.","title":"The Impact of Surgery in IDH 1 Wild Type Glioblastoma in Relation With the MGMT Deregulation","type":"article-journal","volume":"9"},"uris":["http://www.mendeley.com/documents/?uuid=ed806350-1ddb-3b7e-9da8-a9babe1987cf"]}],"mendeley":{"formattedCitation":"&lt;sup&gt;272&lt;/sup&gt;","plainTextFormattedCitation":"272","previouslyFormattedCitation":"&lt;sup&gt;272&lt;/sup&gt;"},"properties":{"noteIndex":0},"schema":"https://github.com/citation-style-language/schema/raw/master/csl-citation.json"}</w:instrText>
      </w:r>
      <w:r w:rsidR="001738A0">
        <w:fldChar w:fldCharType="separate"/>
      </w:r>
      <w:r w:rsidR="00403A59" w:rsidRPr="00403A59">
        <w:rPr>
          <w:noProof/>
          <w:vertAlign w:val="superscript"/>
        </w:rPr>
        <w:t>272</w:t>
      </w:r>
      <w:r w:rsidR="001738A0">
        <w:fldChar w:fldCharType="end"/>
      </w:r>
      <w:r w:rsidR="001738A0">
        <w:t xml:space="preserve">. </w:t>
      </w:r>
      <w:r w:rsidR="00D43108">
        <w:t xml:space="preserve">Status metylace </w:t>
      </w:r>
      <w:r w:rsidR="00D43108" w:rsidRPr="00E51DAD">
        <w:rPr>
          <w:i/>
          <w:iCs/>
        </w:rPr>
        <w:t>MGMT</w:t>
      </w:r>
      <w:r w:rsidR="00D43108">
        <w:t xml:space="preserve"> neměl vliv na klinickou léčbu u GBM pacientů; </w:t>
      </w:r>
      <w:r w:rsidR="00D43108" w:rsidRPr="00205D86">
        <w:t>Stuppův protokol je považován za zlatý standard bez ohledu na metylaci</w:t>
      </w:r>
      <w:r w:rsidR="00E51DAD" w:rsidRPr="00E51DAD">
        <w:rPr>
          <w:i/>
          <w:iCs/>
        </w:rPr>
        <w:t xml:space="preserve"> MGMT</w:t>
      </w:r>
      <w:r w:rsidR="00D43108" w:rsidRPr="00205D86">
        <w:t>.</w:t>
      </w:r>
    </w:p>
    <w:p w14:paraId="5184814F" w14:textId="2B261085" w:rsidR="00D43108" w:rsidRPr="00205D86" w:rsidRDefault="00205D86" w:rsidP="00160EA4">
      <w:pPr>
        <w:jc w:val="both"/>
      </w:pPr>
      <w:r w:rsidRPr="00205D86">
        <w:t xml:space="preserve">Napříč literaturou neexistují studie o GBM zahrnující cut off hodnoty pro markery zahrnuté v naší studii. Z tohoto důvodu byla značná část této práce založena na stanovení LCN a HCN hodnot pro každý marker, což by mohlo posloužit i v následujících studiích z této </w:t>
      </w:r>
      <w:r w:rsidR="00235EA7">
        <w:t>o</w:t>
      </w:r>
      <w:r w:rsidRPr="00205D86">
        <w:t>blasti.</w:t>
      </w:r>
    </w:p>
    <w:p w14:paraId="14950371" w14:textId="1C4A6E99" w:rsidR="00205D86" w:rsidRPr="00205D86" w:rsidRDefault="00205D86" w:rsidP="00160EA4">
      <w:pPr>
        <w:jc w:val="both"/>
      </w:pPr>
      <w:r w:rsidRPr="00205D86">
        <w:t>Naše výsledky potvrdily prognostickou hodnotu</w:t>
      </w:r>
      <w:r>
        <w:t xml:space="preserve"> klinických faktorů jako jsou věk, Karnofsk</w:t>
      </w:r>
      <w:r w:rsidR="009E26D8">
        <w:t>ého</w:t>
      </w:r>
      <w:r>
        <w:t xml:space="preserve"> skóre, kouření a použité terapeutické modality. </w:t>
      </w:r>
      <w:r w:rsidR="00235EA7">
        <w:t xml:space="preserve">Jak naznačují současné experimentální studie, </w:t>
      </w:r>
      <w:r>
        <w:t xml:space="preserve">kouření </w:t>
      </w:r>
      <w:r w:rsidR="00235EA7">
        <w:t>může způsobit maligní změny skrze indu</w:t>
      </w:r>
      <w:r w:rsidR="00E51DAD">
        <w:t>kci</w:t>
      </w:r>
      <w:r w:rsidR="00235EA7">
        <w:t xml:space="preserve"> stimulac</w:t>
      </w:r>
      <w:r w:rsidR="00E51DAD">
        <w:t>e</w:t>
      </w:r>
      <w:r w:rsidR="00235EA7">
        <w:t xml:space="preserve"> nikotinem. </w:t>
      </w:r>
      <w:r w:rsidR="00E51DAD">
        <w:t xml:space="preserve">Napříč literaturou byly však nalezeny </w:t>
      </w:r>
      <w:r w:rsidR="00235EA7">
        <w:t>velmi rozporuplné výsledky</w:t>
      </w:r>
      <w:r w:rsidR="001738A0">
        <w:fldChar w:fldCharType="begin" w:fldLock="1"/>
      </w:r>
      <w:r w:rsidR="00C21F70">
        <w:instrText>ADDIN CSL_CITATION {"citationItems":[{"id":"ITEM-1","itemData":{"DOI":"10.1038/bjc.2013.611","ISSN":"00070920","PMID":"24335921","abstract":"Background:Although cigarette smoking and alcohol drinking increase the risk of several cancers and certain components of cigarette smoke and alcohol can penetrate the blood-brain barrier, it remains unclear whether these exposures influence the risk of glioma.Methods:We examined the associations between cigarette smoking, alcohol intake, and risk of glioma in the National Institutes of Health-AARP Diet and Health Study, a prospective study of 477 095 US men and women ages 50-71 years at baseline. Hazard ratios (HRs) and 95% confidence intervals (CIs) were calculated using models with age as the time metric and adjusted for sex, race/ethnicity, education, and marital status.Results:During a median 10.5 person-years of follow-up, 492 men and 212 women were diagnosed with first primary glioma. Among men, current, heavier smoking was associated with a reduced risk of glioma compared with never smoking, but this was based on only nine cases. No associations were observed between smoking behaviours and glioma risk in women. Greater alcohol consumption was associated with a decreased risk of glioma, particularly among men (&gt;2 drinks per day vs &lt;1 drink per week: HR=0.67, 95% CI=0.51-0.90).Conclusion: Smoking and alcohol drinking do not appear to increase the risk of glioma. © 2014 Cancer Research UK.","author":[{"dropping-particle":"","family":"Braganza","given":"M. Z.","non-dropping-particle":"","parse-names":false,"suffix":""},{"dropping-particle":"","family":"Rajaraman","given":"P.","non-dropping-particle":"","parse-names":false,"suffix":""},{"dropping-particle":"","family":"Park","given":"Y.","non-dropping-particle":"","parse-names":false,"suffix":""},{"dropping-particle":"","family":"Inskip","given":"P. D.","non-dropping-particle":"","parse-names":false,"suffix":""},{"dropping-particle":"","family":"Freedman","given":"N. D.","non-dropping-particle":"","parse-names":false,"suffix":""},{"dropping-particle":"","family":"Hollenbeck","given":"A. R.","non-dropping-particle":"","parse-names":false,"suffix":""},{"dropping-particle":"","family":"González","given":"A. Berrington","non-dropping-particle":"De","parse-names":false,"suffix":""},{"dropping-particle":"","family":"Kitahara","given":"C. M.","non-dropping-particle":"","parse-names":false,"suffix":""}],"container-title":"British Journal of Cancer","id":"ITEM-1","issue":"1","issued":{"date-parts":[["2014"]]},"page":"242-248","publisher":"Br J Cancer","title":"Cigarette smoking, alcohol intake, and risk of glioma in the NIH-AARP diet and health study","type":"article-journal","volume":"110"},"uris":["http://www.mendeley.com/documents/?uuid=ee35f699-3a95-392f-8b39-4c5e89b4e61c"]},{"id":"ITEM-2","itemData":{"DOI":"10.1093/neuonc/nov146","ISSN":"15235866","PMID":"26409568","abstract":"Background Smoking increases the risk of numerous cancers; however, an association of smoking with adult gliomas has not been found in a population. Methods This case-control study included 4556 glioma cases (ICD-9 code 191.0-191.9) aged ≥30 years and 9112 controls from a national survey of smoking and mortality in China in 1989-1991. Controls from 325 255 surviving spouses of all-cause deaths were randomly assigned to cases in each of 103 areas according to sex and age groups at a ratio of 2:1. Smoking information was ascertained retrospectively by interviewing surviving spouses. Results After adjustment for confounders, smoking increased the risk of glioma deaths by 11% (odds ratio [OR] = 1.11; 95% confidence interval [CI]: 1.03-1.21). Compared with non-smokers; the increased risk was 9% (OR = 1.09; 95% CI: 0.99-1.20) in men and 16% (OR = 1.16; 95% CI: 1.00-1.36) in women. The risk increased with age and doses. For individuals aged ≥50 years, smoking was associated with higher risk of glioma death by 25% (OR = 1.25; 95% CI: 1.15-1.38); this increased risk for smokers who smoked ≥20 cigarettes daily for ≥30 years was 53% (OR = 1.53; 95% CI: 1.34-1.74). There were similar findings in both men and women and with either pathology-based or non-pathology-based comparisons. Conclusions This study indicates that smoking is associated with glioma deaths in the Chinese population. Long-term heavy smoking could be a factor for risk stratification in individuals attending brain tumor clinics.","author":[{"dropping-particle":"","family":"Hou","given":"Lei","non-dropping-particle":"","parse-names":false,"suffix":""},{"dropping-particle":"","family":"Jiang","given":"Jingmei","non-dropping-particle":"","parse-names":false,"suffix":""},{"dropping-particle":"","family":"Liu","given":"Boqi","non-dropping-particle":"","parse-names":false,"suffix":""},{"dropping-particle":"","family":"Han","given":"Wei","non-dropping-particle":"","parse-names":false,"suffix":""},{"dropping-particle":"","family":"Wu","given":"Yanping","non-dropping-particle":"","parse-names":false,"suffix":""},{"dropping-particle":"","family":"Zou","given":"Xiaonong","non-dropping-particle":"","parse-names":false,"suffix":""},{"dropping-particle":"","family":"Nasca","given":"Philip C.","non-dropping-particle":"","parse-names":false,"suffix":""},{"dropping-particle":"","family":"Xue","given":"Fang","non-dropping-particle":"","parse-names":false,"suffix":""},{"dropping-particle":"","family":"Chen","given":"Yuanli","non-dropping-particle":"","parse-names":false,"suffix":""},{"dropping-particle":"","family":"Zhang","given":"Biao","non-dropping-particle":"","parse-names":false,"suffix":""},{"dropping-particle":"","family":"Pang","given":"Haiyu","non-dropping-particle":"","parse-names":false,"suffix":""},{"dropping-particle":"","family":"Wang","given":"Yuyan","non-dropping-particle":"","parse-names":false,"suffix":""},{"dropping-particle":"","family":"Wang","given":"Zixing","non-dropping-particle":"","parse-names":false,"suffix":""},{"dropping-particle":"","family":"Li","given":"Junyao","non-dropping-particle":"","parse-names":false,"suffix":""}],"container-title":"Neuro-Oncology","id":"ITEM-2","issue":"1","issued":{"date-parts":[["2016","1","1"]]},"page":"105-113","publisher":"Oxford University Press","title":"Smoking and adult glioma: A population-based case-control study in China","type":"article-journal","volume":"18"},"uris":["http://www.mendeley.com/documents/?uuid=d2be3a4d-4880-3b51-af60-f193164ffe81"]},{"id":"ITEM-3","itemData":{"DOI":"10.2147/OTT.S99713","ISSN":"11786930","abstract":"Background: Cigarette smoking has been shown to be a risk factor for adult glioma by some but not all studies. We conducted a meta-analysis to systematically assess the potential association. Methods: PubMed and EMBASE were searched from the date of their inception to October 1, 2015, to identify relevant articles. Reference lists from these articles were reviewed to identify additional studies. Both cohort and case–control studies were included. Fixed-effects models were used to calculate the overall relative risk (RR) with corresponding 95% confidence intervals (CIs). Results: The final analysis included 24 studies (seven cohort and 17 case–control studies), involving more than 2.3 million individuals. The combined RR was 1.04 (95% CI: 1.00, 1.09; P=0.073) for ever-smokers, 0.97 (95% CI: 0.88, 1.07; P=0.574) for current-smokers, and 1.07 (95% CI: 0.98, 1.16; P=0.130) for past smokers, with little evidence of heterogeneity. Omission of any single study from the analysis had little effect on the result. No evidence of publication bias was found. A small but statistically significant increase was found in past smokers in females (RR: 1.13, 95% CI: 1.00, 1.28; P=0.046) but not in males. Conclusion: In general, there was no association between cigarette smoking and adult glioma. The small but statistically significant association in females requires further investigation.","author":[{"dropping-particle":"","family":"Li","given":"Hong xing","non-dropping-particle":"","parse-names":false,"suffix":""},{"dropping-particle":"","family":"Peng","given":"Xiao xiao","non-dropping-particle":"","parse-names":false,"suffix":""},{"dropping-particle":"","family":"Zong","given":"Qiang","non-dropping-particle":"","parse-names":false,"suffix":""},{"dropping-particle":"","family":"Zhang","given":"Kai","non-dropping-particle":"","parse-names":false,"suffix":""},{"dropping-particle":"","family":"Wang","given":"Ming xin","non-dropping-particle":"","parse-names":false,"suffix":""},{"dropping-particle":"","family":"Liu","given":"Yi zhe","non-dropping-particle":"","parse-names":false,"suffix":""},{"dropping-particle":"","family":"Han","given":"Guang liang","non-dropping-particle":"","parse-names":false,"suffix":""}],"container-title":"OncoTargets and Therapy","id":"ITEM-3","issued":{"date-parts":[["2016","6","14"]]},"page":"3511-3523","publisher":"Dove Medical Press Ltd.","title":"Cigarette smoking and risk of adult glioma: A meta-analysis of 24 observational studies involving more than 2.3 million individuals","type":"article-journal","volume":"9"},"uris":["http://www.mendeley.com/documents/?uuid=9c110780-80dd-38aa-960e-59633faa29d9"]}],"mendeley":{"formattedCitation":"&lt;sup&gt;65,273,274&lt;/sup&gt;","plainTextFormattedCitation":"65,273,274","previouslyFormattedCitation":"&lt;sup&gt;65,273,274&lt;/sup&gt;"},"properties":{"noteIndex":0},"schema":"https://github.com/citation-style-language/schema/raw/master/csl-citation.json"}</w:instrText>
      </w:r>
      <w:r w:rsidR="001738A0">
        <w:fldChar w:fldCharType="separate"/>
      </w:r>
      <w:r w:rsidR="00403A59" w:rsidRPr="00403A59">
        <w:rPr>
          <w:noProof/>
          <w:vertAlign w:val="superscript"/>
        </w:rPr>
        <w:t>65,273,274</w:t>
      </w:r>
      <w:r w:rsidR="001738A0">
        <w:fldChar w:fldCharType="end"/>
      </w:r>
      <w:r w:rsidR="001738A0">
        <w:t xml:space="preserve">. </w:t>
      </w:r>
      <w:r w:rsidR="00235EA7">
        <w:t>Výsledky naší studie naznačují negativní vliv kouření spojený s kratším OS a PFS ve skupině všech pacientů. Kuřáci byli v této skupině převážně muži, což může vysvětlit vliv pohlaví na OS a PFS: muži vykazovali kratší přežití než ženy. Tento efekt by si však zasloužil bližší prozkoumání.</w:t>
      </w:r>
    </w:p>
    <w:p w14:paraId="1A959BF6" w14:textId="647A2DE9" w:rsidR="00FB4542" w:rsidRDefault="00235EA7" w:rsidP="00160EA4">
      <w:pPr>
        <w:jc w:val="both"/>
      </w:pPr>
      <w:r>
        <w:t xml:space="preserve">Tato studie byla zaměřena na četnější skupinu pacientů s GBM </w:t>
      </w:r>
      <w:r w:rsidRPr="00E51DAD">
        <w:rPr>
          <w:i/>
          <w:iCs/>
        </w:rPr>
        <w:t>IDH</w:t>
      </w:r>
      <w:r>
        <w:t xml:space="preserve"> w</w:t>
      </w:r>
      <w:r w:rsidR="00E51DAD">
        <w:t xml:space="preserve">ild </w:t>
      </w:r>
      <w:r>
        <w:t>t</w:t>
      </w:r>
      <w:r w:rsidR="00E51DAD">
        <w:t>ype</w:t>
      </w:r>
      <w:r>
        <w:t>, kteří mají velmi špatnou prognózu. Potvrdili jsme</w:t>
      </w:r>
      <w:r w:rsidR="00FB4542">
        <w:t xml:space="preserve">, že </w:t>
      </w:r>
      <w:r w:rsidR="00FB4542" w:rsidRPr="00E51DAD">
        <w:rPr>
          <w:i/>
          <w:iCs/>
        </w:rPr>
        <w:t>IDH</w:t>
      </w:r>
      <w:r w:rsidR="00FB4542">
        <w:t xml:space="preserve"> w</w:t>
      </w:r>
      <w:r w:rsidR="00E51DAD">
        <w:t xml:space="preserve">ild </w:t>
      </w:r>
      <w:r w:rsidR="00FB4542">
        <w:t>t</w:t>
      </w:r>
      <w:r w:rsidR="00E51DAD">
        <w:t>ype</w:t>
      </w:r>
      <w:r w:rsidR="00FB4542">
        <w:t xml:space="preserve"> glioblastomy jsou velmi heterogenní skupina a prokázali jsme vliv molekulárních aberací na přežití. Ačkoli je Stuppův protokol brán jako standard chemoradioterapeutického režimu a je doporučován pro všechny pacienty s GBM </w:t>
      </w:r>
      <w:r w:rsidR="00FB4542" w:rsidRPr="00E51DAD">
        <w:rPr>
          <w:i/>
          <w:iCs/>
        </w:rPr>
        <w:t>IDH</w:t>
      </w:r>
      <w:r w:rsidR="00FB4542">
        <w:t xml:space="preserve"> w</w:t>
      </w:r>
      <w:r w:rsidR="00E51DAD">
        <w:t xml:space="preserve">ild </w:t>
      </w:r>
      <w:r w:rsidR="00FB4542">
        <w:t>t</w:t>
      </w:r>
      <w:r w:rsidR="00E51DAD">
        <w:t>ype</w:t>
      </w:r>
      <w:r w:rsidR="00FB4542">
        <w:t>, optimální terapeutická strategie je doposud výzvou. Pro vývoj efektivní personalizované léčebné strategie pro pacienty s GBM je potřeba pochopit jak určité biomarkery predikují odpověď na léčbu a jaký mají vliv na outcome pacientů</w:t>
      </w:r>
      <w:r w:rsidR="001738A0">
        <w:fldChar w:fldCharType="begin" w:fldLock="1"/>
      </w:r>
      <w:r w:rsidR="00C21F70">
        <w:instrText>ADDIN CSL_CITATION {"citationItems":[{"id":"ITEM-1","itemData":{"DOI":"10.1093/jnen/nlaa059","ISSN":"15546578","PMID":"32647886","abstract":"IDH-wildtype glioblastoma is a relatively common malignant brain tumor in adults. These patients generally have dismal prognoses, although outliers with long survival have been noted in the literature. Recently, it has been reported that many histologically lower-grade IDH-wildtype astrocytomas have a similar clinical outcome to grade IV tumors, suggesting they may represent early or under-sampled glioblastomas. cIMPACT-NOW 3 guidelines now recommend upgrading IDH-wildtype astrocytomas with certain molecular criteria (EGFR amplifications, chromosome 7 gain/10 loss, and/or TERT promoter mutations), establishing the concept of a “molecular grade IV” astrocytoma. In this report, we apply these cIMPACT-NOW 3 criteria to 2 independent glioblastoma cohorts, totaling 393 public database and institutional glioblastoma cases: 89 cases without any of the cIMPACT-NOW 3 criteria (GBM-C0) and 304 cases with one or more criteria (GBM-C1-3). In the GBM-C0 groups, there was a trend toward longer recurrence-free survival (median 12-17 vs 6-10 months), significantly longer overall survival (median 32-41 vs 15-18 months), younger age at initial diagnosis, and lower overall mutation burden compared to the GBM-C1-3 cohorts. These data suggest that while histologic features may not be ideal indicators of patient survival in IDH-wildtype astrocytomas, these 3 molecular features may also be important prognostic factors in IDH-wildtype glioblastoma.","author":[{"dropping-particle":"","family":"Galbraith","given":"Kristyn","non-dropping-particle":"","parse-names":false,"suffix":""},{"dropping-particle":"","family":"Kumar","given":"Ashwani","non-dropping-particle":"","parse-names":false,"suffix":""},{"dropping-particle":"","family":"Abdullah","given":"Kalil G.","non-dropping-particle":"","parse-names":false,"suffix":""},{"dropping-particle":"","family":"Walker","given":"Jamie M.","non-dropping-particle":"","parse-names":false,"suffix":""},{"dropping-particle":"","family":"Adams","given":"Steven H.","non-dropping-particle":"","parse-names":false,"suffix":""},{"dropping-particle":"","family":"Prior","given":"Timothy","non-dropping-particle":"","parse-names":false,"suffix":""},{"dropping-particle":"","family":"Dimentberg","given":"Ryan","non-dropping-particle":"","parse-names":false,"suffix":""},{"dropping-particle":"","family":"Henderson","given":"Fraser C.","non-dropping-particle":"","parse-names":false,"suffix":""},{"dropping-particle":"","family":"Mirchia","given":"Kanish","non-dropping-particle":"","parse-names":false,"suffix":""},{"dropping-particle":"","family":"Sathe","given":"Adwait Amod","non-dropping-particle":"","parse-names":false,"suffix":""},{"dropping-particle":"","family":"Viapiano","given":"Mariano S.","non-dropping-particle":"","parse-names":false,"suffix":""},{"dropping-particle":"","family":"Chin","given":"Lawrence S.","non-dropping-particle":"","parse-names":false,"suffix":""},{"dropping-particle":"","family":"Corona","given":"Robert J.","non-dropping-particle":"","parse-names":false,"suffix":""},{"dropping-particle":"","family":"Hatanpaa","given":"Kimmo J.","non-dropping-particle":"","parse-names":false,"suffix":""},{"dropping-particle":"","family":"Snuderl","given":"Matija","non-dropping-particle":"","parse-names":false,"suffix":""},{"dropping-particle":"","family":"Xing","given":"Chao","non-dropping-particle":"","parse-names":false,"suffix":""},{"dropping-particle":"","family":"Brem","given":"Steven","non-dropping-particle":"","parse-names":false,"suffix":""},{"dropping-particle":"","family":"Richardson","given":"Timothy E.","non-dropping-particle":"","parse-names":false,"suffix":""}],"container-title":"Journal of Neuropathology and Experimental Neurology","id":"ITEM-1","issue":"8","issued":{"date-parts":[["2020","8","1"]]},"page":"843-854","publisher":"Oxford University Press","title":"Molecular correlates of long survival in IDH-Wildtype glioblastoma cohorts","type":"article-journal","volume":"79"},"uris":["http://www.mendeley.com/documents/?uuid=27a1b03b-8639-3eba-b45a-88ee37a40e3a"]},{"id":"ITEM-2","itemData":{"DOI":"10.3389/fonc.2019.01433","ISSN":"2234943X","abstract":"Objectives: In the present study, we aimed to determine the candidate genes that may function as biomarkers to further distinguish patients with isocitrate dehydrogenase (IDH)-wildtype glioblastoma (GBM), which are heterogeneous with respect to clinical outcomes. Materials and Methods: We selected 41 candidate genes associated with overall survival (OS) using univariate Cox regression from IDH-wildtype GBM patients based on RNA sequencing (RNAseq) expression data from the Chinese Glioma Genome Atlas (CGGA, n = 105) and The Cancer Genome Atlas (TCGA, n = 139) cohorts. Next, a seven-gene-based risk signature was formulated according to Least Absolute Shrinkage and Selection Operator (LASSO) regression algorithm in the CGGA RNAseq database as a training set, while another 525 IDH-wildtype GBM patient TCGA datasets, consisting of RNA sequencing and microarray data, were used for validation. Patient survival in the low- and high-risk groups was calculated using Kaplan-Meier survival curve analysis and the log-rank test. Uni-and multivariate Cox regression analysis was used to assess the prognosis value. Gene oncology (GO) and gene set enrichment analysis (GSEA) were performed for the functional analysis of the seven-gene-based risk signature. Results: We developed a seven-gene-based signature, which allocated each patient to a risk group (low or high). Patients in the high-risk group had dramatically shorter overall survival than their low-risk counterparts in three independent cohorts. Univariate and multivariate analysis showed that the seven-gene signature remained an independent prognostic factor. Moreover, the seven-gene risk signature exhibited a striking prognostic validity, with AUC of 78.4 and 73.9%, which was higher than for traditional “age” (53.7%, 62.4%) and “GBM sub-type” (57.7%, 52.9%) in the CGGA- and TCGA-RNAseq databases, respectively. Subsequent bioinformatics analysis predicted that the seven-gene signature was involved in the inflammatory response, immune response, cell adhesion, and apoptotic process. Conclusions: Our findings indicate that the seven-gene signature could be a potential prognostic biomarker. This study refined the current classification system of IDH-wildtype GBM and may provide a novel perspective for the research and individual therapy of IDH-wildtype GBM.","author":[{"dropping-particle":"","family":"Liu","given":"Yu Qing","non-dropping-particle":"","parse-names":false,"suffix":""},{"dropping-particle":"","family":"Wu","given":"Fan","non-dropping-particle":"","parse-names":false,"suffix":""},{"dropping-particle":"","family":"Li","given":"Jing Jun","non-dropping-particle":"","parse-names":false,"suffix":""},{"dropping-particle":"","family":"Li","given":"Yang Fang","non-dropping-particle":"","parse-names":false,"suffix":""},{"dropping-particle":"","family":"Liu","given":"Xing","non-dropping-particle":"","parse-names":false,"suffix":""},{"dropping-particle":"","family":"Wang","given":"Zheng","non-dropping-particle":"","parse-names":false,"suffix":""},{"dropping-particle":"","family":"Chai","given":"Rui Chao","non-dropping-particle":"","parse-names":false,"suffix":""}],"container-title":"Frontiers in Oncology","id":"ITEM-2","issued":{"date-parts":[["2019","12","17"]]},"page":"1433","publisher":"Frontiers Media S.A.","title":"Gene Expression Profiling Stratifies IDH-Wildtype Glioblastoma With Distinct Prognoses","type":"article-journal","volume":"9"},"uris":["http://www.mendeley.com/documents/?uuid=aa7881c1-c34e-3457-ad30-6492898e69f3"]},{"id":"ITEM-3","itemData":{"DOI":"10.1093/noajnl/vdaa126","ISSN":"2632-2498","author":[{"dropping-particle":"","family":"Ma","given":"Sirui","non-dropping-particle":"","parse-names":false,"suffix":""},{"dropping-particle":"","family":"Rudra","given":"Soumon","non-dropping-particle":"","parse-names":false,"suffix":""},{"dropping-particle":"","family":"Campian","given":"Jian L","non-dropping-particle":"","parse-names":false,"suffix":""},{"dropping-particle":"","family":"Dahiya","given":"Sonika","non-dropping-particle":"","parse-names":false,"suffix":""},{"dropping-particle":"","family":"Dunn","given":"Gavin P","non-dropping-particle":"","parse-names":false,"suffix":""},{"dropping-particle":"","family":"Johanns","given":"Tanner","non-dropping-particle":"","parse-names":false,"suffix":""},{"dropping-particle":"","family":"Goldstein","given":"Michael","non-dropping-particle":"","parse-names":false,"suffix":""},{"dropping-particle":"","family":"Kim","given":"Albert H","non-dropping-particle":"","parse-names":false,"suffix":""},{"dropping-particle":"","family":"Huang","given":"Jiayi","non-dropping-particle":"","parse-names":false,"suffix":""}],"container-title":"Neuro-Oncology Advances","id":"ITEM-3","issue":"1","issued":{"date-parts":[["2020","1","1"]]},"publisher":"Oxford University Press (OUP)","title":"Prognostic impact of CDKN2A/B deletion, TERT mutation, and EGFR amplification on histological and molecular IDH-wildtype glioblastoma","type":"article-journal","volume":"2"},"uris":["http://www.mendeley.com/documents/?uuid=7cafcb94-c44f-37bf-8526-e7a502967e32"]},{"id":"ITEM-4","itemData":{"DOI":"10.1093/noajnl/vdz007","abstract":"Background:In 2016, the World Health Organization reclassified the definition of glioblastoma (GBM), dividing these tumors into isocitrate dehydrogenase (IDH)-wild-type and IDH-mutant GBM, where the vast majority of GBMs are IDH-wild-type. Nomograms are useful tools for individualized estimation of survival. This study aimed to develop and independently validate a nomogram for IDH-wild-type patients with newly diagnosed GBM.\n\nMethods:Data were obtained from newly diagnosed GBM patients from the Ohio Brain Tumor Study (OBTS) and the University of California San Francisco (UCSF) for diagnosis years 2007-2017 with the following variables: age at diagnosis, sex, extent of resection, concurrent radiation/temozolomide (TMZ) status, Karnofsky Performance Status (KPS), O6-methylguanine-DNA methyltransferase (MGMT) methylation status, and IDH mutation status. Survival was assessed using Cox proportional hazards regression, random survival forests, and recursive partitioning analysis, with adjustment for known prognostic factors. The models were developed using the OBTS data and independently validated using the UCSF data. Models were internally validated using 10-fold cross-validation and externally validated by plotting calibration curves.\n\nResults:A final nomogram was validated for IDH-wild-type newly diagnosed GBM. Factors that increased the probability of survival included younger age at diagnosis, female sex, having gross total resection, having concurrent radiation/TMZ, having a high KPS, and having MGMT methylation.\n\nConclusions:A nomogram that calculates individualized survival probabilities for IDH-wild-type patients with newly diagnosed GBM could be useful to physicians for counseling patients regarding treatment decisions and optimizing therapeutic approaches. Free software for implementing this nomogram is provided: https://gcioffi.shinyapps.io/Nomogram_For_IDH_Wildtype_GBM_H_Gittleman/.","author":[{"dropping-particle":"","family":"Gittleman","given":"Haley","non-dropping-particle":"","parse-names":false,"suffix":""},{"dropping-particle":"","family":"Cioffi","given":"Gino","non-dropping-particle":"","parse-names":false,"suffix":""},{"dropping-particle":"","family":"Chunduru","given":"Pranathi","non-dropping-particle":"","parse-names":false,"suffix":""},{"dropping-particle":"","family":"Molinaro","given":"Annette M","non-dropping-particle":"","parse-names":false,"suffix":""},{"dropping-particle":"","family":"Berger","given":"Mitchel S","non-dropping-particle":"","parse-names":false,"suffix":""},{"dropping-particle":"","family":"Sloan","given":"Andrew E","non-dropping-particle":"","parse-names":false,"suffix":""},{"dropping-particle":"","family":"Barnholtz-Sloan","given":"Jill S","non-dropping-particle":"","parse-names":false,"suffix":""}],"container-title":"Neuro-Oncology Advances","id":"ITEM-4","issue":"1","issued":{"date-parts":[["2019","5","1"]]},"publisher":"Oxford University Press (OUP)","title":"An independently validated nomogram for isocitrate dehydrogenase-wild-type glioblastoma patient survival","type":"article-journal","volume":"1"},"uris":["http://www.mendeley.com/documents/?uuid=0e3ba8c2-de7f-3901-b6a9-238256284a8c"]}],"mendeley":{"formattedCitation":"&lt;sup&gt;249,253,254,275&lt;/sup&gt;","plainTextFormattedCitation":"249,253,254,275","previouslyFormattedCitation":"&lt;sup&gt;249,253,254,275&lt;/sup&gt;"},"properties":{"noteIndex":0},"schema":"https://github.com/citation-style-language/schema/raw/master/csl-citation.json"}</w:instrText>
      </w:r>
      <w:r w:rsidR="001738A0">
        <w:fldChar w:fldCharType="separate"/>
      </w:r>
      <w:r w:rsidR="00403A59" w:rsidRPr="00403A59">
        <w:rPr>
          <w:noProof/>
          <w:vertAlign w:val="superscript"/>
        </w:rPr>
        <w:t>249,253,254,275</w:t>
      </w:r>
      <w:r w:rsidR="001738A0">
        <w:fldChar w:fldCharType="end"/>
      </w:r>
      <w:r w:rsidR="001738A0">
        <w:t>.</w:t>
      </w:r>
    </w:p>
    <w:p w14:paraId="3E977A97" w14:textId="460272D2" w:rsidR="00E914CD" w:rsidRDefault="00E914CD" w:rsidP="00E914CD">
      <w:pPr>
        <w:pStyle w:val="Nadpis3"/>
      </w:pPr>
      <w:bookmarkStart w:id="122" w:name="_Toc88741515"/>
      <w:r>
        <w:t>Závěr</w:t>
      </w:r>
      <w:bookmarkEnd w:id="122"/>
    </w:p>
    <w:p w14:paraId="2007E609" w14:textId="3E2A0A48" w:rsidR="00C16CC8" w:rsidRDefault="00E24864" w:rsidP="00C16CC8">
      <w:pPr>
        <w:pStyle w:val="MDPI62BackMatter"/>
        <w:spacing w:after="200" w:line="276" w:lineRule="auto"/>
        <w:ind w:left="0"/>
        <w:rPr>
          <w:rFonts w:asciiTheme="minorHAnsi" w:eastAsiaTheme="minorEastAsia" w:hAnsiTheme="minorHAnsi" w:cstheme="minorBidi"/>
          <w:color w:val="auto"/>
          <w:sz w:val="22"/>
          <w:szCs w:val="22"/>
          <w:lang w:val="cs-CZ" w:eastAsia="cs-CZ" w:bidi="ar-SA"/>
        </w:rPr>
      </w:pPr>
      <w:r w:rsidRPr="0009497E">
        <w:rPr>
          <w:rFonts w:asciiTheme="minorHAnsi" w:eastAsiaTheme="minorEastAsia" w:hAnsiTheme="minorHAnsi" w:cstheme="minorBidi"/>
          <w:color w:val="auto"/>
          <w:sz w:val="22"/>
          <w:szCs w:val="22"/>
          <w:lang w:val="cs-CZ" w:eastAsia="cs-CZ" w:bidi="ar-SA"/>
        </w:rPr>
        <w:t xml:space="preserve">Velké množství studií </w:t>
      </w:r>
      <w:r w:rsidR="0009497E">
        <w:rPr>
          <w:rFonts w:asciiTheme="minorHAnsi" w:eastAsiaTheme="minorEastAsia" w:hAnsiTheme="minorHAnsi" w:cstheme="minorBidi"/>
          <w:color w:val="auto"/>
          <w:sz w:val="22"/>
          <w:szCs w:val="22"/>
          <w:lang w:val="cs-CZ" w:eastAsia="cs-CZ" w:bidi="ar-SA"/>
        </w:rPr>
        <w:t>je</w:t>
      </w:r>
      <w:r w:rsidRPr="0009497E">
        <w:rPr>
          <w:rFonts w:asciiTheme="minorHAnsi" w:eastAsiaTheme="minorEastAsia" w:hAnsiTheme="minorHAnsi" w:cstheme="minorBidi"/>
          <w:color w:val="auto"/>
          <w:sz w:val="22"/>
          <w:szCs w:val="22"/>
          <w:lang w:val="cs-CZ" w:eastAsia="cs-CZ" w:bidi="ar-SA"/>
        </w:rPr>
        <w:t xml:space="preserve"> zaměřeno na prognostické faktory u pacientů s </w:t>
      </w:r>
      <w:r w:rsidRPr="00E51DAD">
        <w:rPr>
          <w:rFonts w:asciiTheme="minorHAnsi" w:eastAsiaTheme="minorEastAsia" w:hAnsiTheme="minorHAnsi" w:cstheme="minorBidi"/>
          <w:i/>
          <w:iCs/>
          <w:color w:val="auto"/>
          <w:sz w:val="22"/>
          <w:szCs w:val="22"/>
          <w:lang w:val="cs-CZ" w:eastAsia="cs-CZ" w:bidi="ar-SA"/>
        </w:rPr>
        <w:t>IDH</w:t>
      </w:r>
      <w:r w:rsidRPr="0009497E">
        <w:rPr>
          <w:rFonts w:asciiTheme="minorHAnsi" w:eastAsiaTheme="minorEastAsia" w:hAnsiTheme="minorHAnsi" w:cstheme="minorBidi"/>
          <w:color w:val="auto"/>
          <w:sz w:val="22"/>
          <w:szCs w:val="22"/>
          <w:lang w:val="cs-CZ" w:eastAsia="cs-CZ" w:bidi="ar-SA"/>
        </w:rPr>
        <w:t xml:space="preserve"> mutovaným glioblastomem, který je charakterizován lepší prognózou; </w:t>
      </w:r>
      <w:r w:rsidRPr="00E51DAD">
        <w:rPr>
          <w:rFonts w:asciiTheme="minorHAnsi" w:eastAsiaTheme="minorEastAsia" w:hAnsiTheme="minorHAnsi" w:cstheme="minorBidi"/>
          <w:i/>
          <w:iCs/>
          <w:color w:val="auto"/>
          <w:sz w:val="22"/>
          <w:szCs w:val="22"/>
          <w:lang w:val="cs-CZ" w:eastAsia="cs-CZ" w:bidi="ar-SA"/>
        </w:rPr>
        <w:t>IDH</w:t>
      </w:r>
      <w:r w:rsidRPr="0009497E">
        <w:rPr>
          <w:rFonts w:asciiTheme="minorHAnsi" w:eastAsiaTheme="minorEastAsia" w:hAnsiTheme="minorHAnsi" w:cstheme="minorBidi"/>
          <w:color w:val="auto"/>
          <w:sz w:val="22"/>
          <w:szCs w:val="22"/>
          <w:lang w:val="cs-CZ" w:eastAsia="cs-CZ" w:bidi="ar-SA"/>
        </w:rPr>
        <w:t xml:space="preserve"> wild type varianta s vyšší četností a </w:t>
      </w:r>
      <w:r w:rsidR="0009497E">
        <w:rPr>
          <w:rFonts w:asciiTheme="minorHAnsi" w:eastAsiaTheme="minorEastAsia" w:hAnsiTheme="minorHAnsi" w:cstheme="minorBidi"/>
          <w:color w:val="auto"/>
          <w:sz w:val="22"/>
          <w:szCs w:val="22"/>
          <w:lang w:val="cs-CZ" w:eastAsia="cs-CZ" w:bidi="ar-SA"/>
        </w:rPr>
        <w:t xml:space="preserve">vyšší </w:t>
      </w:r>
      <w:r w:rsidRPr="0009497E">
        <w:rPr>
          <w:rFonts w:asciiTheme="minorHAnsi" w:eastAsiaTheme="minorEastAsia" w:hAnsiTheme="minorHAnsi" w:cstheme="minorBidi"/>
          <w:color w:val="auto"/>
          <w:sz w:val="22"/>
          <w:szCs w:val="22"/>
          <w:lang w:val="cs-CZ" w:eastAsia="cs-CZ" w:bidi="ar-SA"/>
        </w:rPr>
        <w:t>úmrtností zůstává opomíjena. Předmětem naší studie byli pacienti s </w:t>
      </w:r>
      <w:r w:rsidRPr="00E51DAD">
        <w:rPr>
          <w:rFonts w:asciiTheme="minorHAnsi" w:eastAsiaTheme="minorEastAsia" w:hAnsiTheme="minorHAnsi" w:cstheme="minorBidi"/>
          <w:i/>
          <w:iCs/>
          <w:color w:val="auto"/>
          <w:sz w:val="22"/>
          <w:szCs w:val="22"/>
          <w:lang w:val="cs-CZ" w:eastAsia="cs-CZ" w:bidi="ar-SA"/>
        </w:rPr>
        <w:t>IDH</w:t>
      </w:r>
      <w:r w:rsidRPr="0009497E">
        <w:rPr>
          <w:rFonts w:asciiTheme="minorHAnsi" w:eastAsiaTheme="minorEastAsia" w:hAnsiTheme="minorHAnsi" w:cstheme="minorBidi"/>
          <w:color w:val="auto"/>
          <w:sz w:val="22"/>
          <w:szCs w:val="22"/>
          <w:lang w:val="cs-CZ" w:eastAsia="cs-CZ" w:bidi="ar-SA"/>
        </w:rPr>
        <w:t xml:space="preserve"> wild type glioblastomem léčeni </w:t>
      </w:r>
      <w:r w:rsidR="0009497E">
        <w:rPr>
          <w:rFonts w:asciiTheme="minorHAnsi" w:eastAsiaTheme="minorEastAsia" w:hAnsiTheme="minorHAnsi" w:cstheme="minorBidi"/>
          <w:color w:val="auto"/>
          <w:sz w:val="22"/>
          <w:szCs w:val="22"/>
          <w:lang w:val="cs-CZ" w:eastAsia="cs-CZ" w:bidi="ar-SA"/>
        </w:rPr>
        <w:t>za posledních</w:t>
      </w:r>
      <w:r w:rsidRPr="0009497E">
        <w:rPr>
          <w:rFonts w:asciiTheme="minorHAnsi" w:eastAsiaTheme="minorEastAsia" w:hAnsiTheme="minorHAnsi" w:cstheme="minorBidi"/>
          <w:color w:val="auto"/>
          <w:sz w:val="22"/>
          <w:szCs w:val="22"/>
          <w:lang w:val="cs-CZ" w:eastAsia="cs-CZ" w:bidi="ar-SA"/>
        </w:rPr>
        <w:t xml:space="preserve"> 15 let a jejichž </w:t>
      </w:r>
      <w:r w:rsidRPr="00E51DAD">
        <w:rPr>
          <w:rFonts w:asciiTheme="minorHAnsi" w:eastAsiaTheme="minorEastAsia" w:hAnsiTheme="minorHAnsi" w:cstheme="minorBidi"/>
          <w:i/>
          <w:iCs/>
          <w:color w:val="auto"/>
          <w:sz w:val="22"/>
          <w:szCs w:val="22"/>
          <w:lang w:val="cs-CZ" w:eastAsia="cs-CZ" w:bidi="ar-SA"/>
        </w:rPr>
        <w:t>IDH</w:t>
      </w:r>
      <w:r w:rsidRPr="0009497E">
        <w:rPr>
          <w:rFonts w:asciiTheme="minorHAnsi" w:eastAsiaTheme="minorEastAsia" w:hAnsiTheme="minorHAnsi" w:cstheme="minorBidi"/>
          <w:color w:val="auto"/>
          <w:sz w:val="22"/>
          <w:szCs w:val="22"/>
          <w:lang w:val="cs-CZ" w:eastAsia="cs-CZ" w:bidi="ar-SA"/>
        </w:rPr>
        <w:t xml:space="preserve"> status byl vyšetřen dle doporučení WH</w:t>
      </w:r>
      <w:r w:rsidR="0009497E">
        <w:rPr>
          <w:rFonts w:asciiTheme="minorHAnsi" w:eastAsiaTheme="minorEastAsia" w:hAnsiTheme="minorHAnsi" w:cstheme="minorBidi"/>
          <w:color w:val="auto"/>
          <w:sz w:val="22"/>
          <w:szCs w:val="22"/>
          <w:lang w:val="cs-CZ" w:eastAsia="cs-CZ" w:bidi="ar-SA"/>
        </w:rPr>
        <w:t>O</w:t>
      </w:r>
      <w:r w:rsidRPr="0009497E">
        <w:rPr>
          <w:rFonts w:asciiTheme="minorHAnsi" w:eastAsiaTheme="minorEastAsia" w:hAnsiTheme="minorHAnsi" w:cstheme="minorBidi"/>
          <w:color w:val="auto"/>
          <w:sz w:val="22"/>
          <w:szCs w:val="22"/>
          <w:lang w:val="cs-CZ" w:eastAsia="cs-CZ" w:bidi="ar-SA"/>
        </w:rPr>
        <w:t xml:space="preserve"> z roku </w:t>
      </w:r>
      <w:r w:rsidRPr="00C16CC8">
        <w:rPr>
          <w:rFonts w:asciiTheme="minorHAnsi" w:eastAsiaTheme="minorEastAsia" w:hAnsiTheme="minorHAnsi" w:cstheme="minorBidi"/>
          <w:color w:val="auto"/>
          <w:sz w:val="22"/>
          <w:szCs w:val="22"/>
          <w:lang w:val="cs-CZ" w:eastAsia="cs-CZ" w:bidi="ar-SA"/>
        </w:rPr>
        <w:t>2016</w:t>
      </w:r>
      <w:r w:rsidR="00C16CC8" w:rsidRPr="00C16CC8">
        <w:rPr>
          <w:rFonts w:asciiTheme="minorHAnsi" w:eastAsiaTheme="minorEastAsia" w:hAnsiTheme="minorHAnsi" w:cstheme="minorBidi"/>
          <w:color w:val="auto"/>
          <w:sz w:val="22"/>
          <w:szCs w:val="22"/>
          <w:lang w:val="cs-CZ" w:eastAsia="cs-CZ" w:bidi="ar-SA"/>
        </w:rPr>
        <w:fldChar w:fldCharType="begin" w:fldLock="1"/>
      </w:r>
      <w:r w:rsidR="00236F72">
        <w:rPr>
          <w:rFonts w:asciiTheme="minorHAnsi" w:eastAsiaTheme="minorEastAsia" w:hAnsiTheme="minorHAnsi" w:cstheme="minorBidi"/>
          <w:color w:val="auto"/>
          <w:sz w:val="22"/>
          <w:szCs w:val="22"/>
          <w:lang w:val="cs-CZ" w:eastAsia="cs-CZ" w:bidi="ar-SA"/>
        </w:rPr>
        <w:instrText>ADDIN CSL_CITATION {"citationItems":[{"id":"ITEM-1","itemData":{"DOI":"10.1007/s00401-016-1545-1","ISSN":"14320533","PMID":"27157931","abstract":"The 2016 World Health Organization Classification of Tumors of the Central Nervous System is both a conceptual and practical advance over its 2007 predecessor. For the first time, the WHO classification of CNS tumors uses molecular parameters in addition to histology to define many tumor entities, thus formulating a concept for how CNS tumor diagnoses should be structured in the molecular era. As such, the 2016 CNS WHO presents major restructuring of the diffuse gliomas, medulloblastomas and other embryonal tumors, and incorporates new entities that are defined by both histology and molecular features, including glioblastoma, IDH-wildtype and glioblastoma, IDH-mutant; diffuse midline glioma, H3 K27M–mutant; RELA fusion–positive ependymoma; medulloblastoma, WNT-activated and medulloblastoma, SHH-activated; and embryonal tumour with multilayered rosettes, C19MC-altered. The 2016 edition has added newly recognized neoplasms, and has deleted some entities, variants and patterns that no longer have diagnostic and/or biological relevance. Other notable changes include the addition of brain invasion as a criterion for atypical meningioma and the introduction of a soft tissue-type grading system for the now combined entity of solitary fibrous tumor / hemangiopericytoma—a departure from the manner by which other CNS tumors are graded. Overall, it is hoped that the 2016 CNS WHO will facilitate clinical, experimental and epidemiological studies that will lead to improvements in the lives of patients with brain tumors.","author":[{"dropping-particle":"","family":"Louis","given":"David N.","non-dropping-particle":"","parse-names":false,"suffix":""},{"dropping-particle":"","family":"Perry","given":"Arie","non-dropping-particle":"","parse-names":false,"suffix":""},{"dropping-particle":"","family":"Reifenberger","given":"Guido","non-dropping-particle":"","parse-names":false,"suffix":""},{"dropping-particle":"","family":"Deimling","given":"Andreas","non-dropping-particle":"von","parse-names":false,"suffix":""},{"dropping-particle":"","family":"Figarella-Branger","given":"Dominique","non-dropping-particle":"","parse-names":false,"suffix":""},{"dropping-particle":"","family":"Cavenee","given":"Webster K.","non-dropping-particle":"","parse-names":false,"suffix":""},{"dropping-particle":"","family":"Ohgaki","given":"Hiroko","non-dropping-particle":"","parse-names":false,"suffix":""},{"dropping-particle":"","family":"Wiestler","given":"Otmar D.","non-dropping-particle":"","parse-names":false,"suffix":""},{"dropping-particle":"","family":"Kleihues","given":"Paul","non-dropping-particle":"","parse-names":false,"suffix":""},{"dropping-particle":"","family":"Ellison","given":"David W.","non-dropping-particle":"","parse-names":false,"suffix":""}],"container-title":"Acta Neuropathologica","id":"ITEM-1","issue":"6","issued":{"date-parts":[["2016","6","1"]]},"page":"803-820","publisher":"Springer Verlag","title":"The 2016 World Health Organization Classification of Tumors of the Central Nervous System: a summary","type":"article","volume":"131"},"uris":["http://www.mendeley.com/documents/?uuid=61d17050-a6fc-32c6-ad78-ea3ccfc131ec"]},{"id":"ITEM-2","itemData":{"DOI":"10.1093/neuonc/nox120","PMID":"29016871","author":[{"dropping-particle":"","family":"Dewitt","given":"John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K.","non-dropping-particle":"","parse-names":false,"suffix":""}],"container-title":"Neuro-Oncology","id":"ITEM-2","issue":"12","issued":{"date-parts":[["2017"]]},"page":"1640-1650","publisher":"Oxford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mendeley":{"formattedCitation":"&lt;sup&gt;41,87&lt;/sup&gt;","plainTextFormattedCitation":"41,87","previouslyFormattedCitation":"&lt;sup&gt;41,87&lt;/sup&gt;"},"properties":{"noteIndex":0},"schema":"https://github.com/citation-style-language/schema/raw/master/csl-citation.json"}</w:instrText>
      </w:r>
      <w:r w:rsidR="00C16CC8" w:rsidRPr="00C16CC8">
        <w:rPr>
          <w:rFonts w:asciiTheme="minorHAnsi" w:eastAsiaTheme="minorEastAsia" w:hAnsiTheme="minorHAnsi" w:cstheme="minorBidi"/>
          <w:color w:val="auto"/>
          <w:sz w:val="22"/>
          <w:szCs w:val="22"/>
          <w:lang w:val="cs-CZ" w:eastAsia="cs-CZ" w:bidi="ar-SA"/>
        </w:rPr>
        <w:fldChar w:fldCharType="separate"/>
      </w:r>
      <w:r w:rsidR="00C16CC8" w:rsidRPr="00C16CC8">
        <w:rPr>
          <w:rFonts w:asciiTheme="minorHAnsi" w:eastAsiaTheme="minorEastAsia" w:hAnsiTheme="minorHAnsi" w:cstheme="minorBidi"/>
          <w:noProof/>
          <w:color w:val="auto"/>
          <w:sz w:val="22"/>
          <w:szCs w:val="22"/>
          <w:vertAlign w:val="superscript"/>
          <w:lang w:val="cs-CZ" w:eastAsia="cs-CZ" w:bidi="ar-SA"/>
        </w:rPr>
        <w:t>41,87</w:t>
      </w:r>
      <w:r w:rsidR="00C16CC8" w:rsidRPr="00C16CC8">
        <w:rPr>
          <w:rFonts w:asciiTheme="minorHAnsi" w:eastAsiaTheme="minorEastAsia" w:hAnsiTheme="minorHAnsi" w:cstheme="minorBidi"/>
          <w:color w:val="auto"/>
          <w:sz w:val="22"/>
          <w:szCs w:val="22"/>
          <w:lang w:val="cs-CZ" w:eastAsia="cs-CZ" w:bidi="ar-SA"/>
        </w:rPr>
        <w:fldChar w:fldCharType="end"/>
      </w:r>
      <w:r w:rsidRPr="00C16CC8">
        <w:rPr>
          <w:rFonts w:asciiTheme="minorHAnsi" w:eastAsiaTheme="minorEastAsia" w:hAnsiTheme="minorHAnsi" w:cstheme="minorBidi"/>
          <w:color w:val="auto"/>
          <w:sz w:val="22"/>
          <w:szCs w:val="22"/>
          <w:lang w:val="cs-CZ" w:eastAsia="cs-CZ" w:bidi="ar-SA"/>
        </w:rPr>
        <w:t>.</w:t>
      </w:r>
      <w:r w:rsidRPr="0009497E">
        <w:rPr>
          <w:rFonts w:asciiTheme="minorHAnsi" w:eastAsiaTheme="minorEastAsia" w:hAnsiTheme="minorHAnsi" w:cstheme="minorBidi"/>
          <w:color w:val="auto"/>
          <w:sz w:val="22"/>
          <w:szCs w:val="22"/>
          <w:lang w:val="cs-CZ" w:eastAsia="cs-CZ" w:bidi="ar-SA"/>
        </w:rPr>
        <w:t xml:space="preserve"> Léčebná strategie u této kohorty pacientů byla maximální </w:t>
      </w:r>
      <w:r w:rsidR="0009497E" w:rsidRPr="0009497E">
        <w:rPr>
          <w:rFonts w:asciiTheme="minorHAnsi" w:eastAsiaTheme="minorEastAsia" w:hAnsiTheme="minorHAnsi" w:cstheme="minorBidi"/>
          <w:color w:val="auto"/>
          <w:sz w:val="22"/>
          <w:szCs w:val="22"/>
          <w:lang w:val="cs-CZ" w:eastAsia="cs-CZ" w:bidi="ar-SA"/>
        </w:rPr>
        <w:t>radikální a bezpečná resekce následovaná</w:t>
      </w:r>
      <w:r w:rsidR="0009497E">
        <w:rPr>
          <w:rFonts w:asciiTheme="minorHAnsi" w:eastAsiaTheme="minorEastAsia" w:hAnsiTheme="minorHAnsi" w:cstheme="minorBidi"/>
          <w:color w:val="auto"/>
          <w:sz w:val="22"/>
          <w:szCs w:val="22"/>
          <w:lang w:val="cs-CZ" w:eastAsia="cs-CZ" w:bidi="ar-SA"/>
        </w:rPr>
        <w:t xml:space="preserve"> v možných případech</w:t>
      </w:r>
      <w:r w:rsidR="0009497E" w:rsidRPr="0009497E">
        <w:rPr>
          <w:rFonts w:asciiTheme="minorHAnsi" w:eastAsiaTheme="minorEastAsia" w:hAnsiTheme="minorHAnsi" w:cstheme="minorBidi"/>
          <w:color w:val="auto"/>
          <w:sz w:val="22"/>
          <w:szCs w:val="22"/>
          <w:lang w:val="cs-CZ" w:eastAsia="cs-CZ" w:bidi="ar-SA"/>
        </w:rPr>
        <w:t xml:space="preserve"> onkoterapií</w:t>
      </w:r>
      <w:r w:rsidR="0009497E">
        <w:rPr>
          <w:rFonts w:asciiTheme="minorHAnsi" w:eastAsiaTheme="minorEastAsia" w:hAnsiTheme="minorHAnsi" w:cstheme="minorBidi"/>
          <w:color w:val="auto"/>
          <w:sz w:val="22"/>
          <w:szCs w:val="22"/>
          <w:lang w:val="cs-CZ" w:eastAsia="cs-CZ" w:bidi="ar-SA"/>
        </w:rPr>
        <w:t>.</w:t>
      </w:r>
      <w:r w:rsidR="0009497E" w:rsidRPr="0009497E">
        <w:rPr>
          <w:rFonts w:asciiTheme="minorHAnsi" w:eastAsiaTheme="minorEastAsia" w:hAnsiTheme="minorHAnsi" w:cstheme="minorBidi"/>
          <w:color w:val="auto"/>
          <w:sz w:val="22"/>
          <w:szCs w:val="22"/>
          <w:lang w:val="cs-CZ" w:eastAsia="cs-CZ" w:bidi="ar-SA"/>
        </w:rPr>
        <w:t xml:space="preserve"> </w:t>
      </w:r>
      <w:r w:rsidR="0009497E" w:rsidRPr="00E51DAD">
        <w:rPr>
          <w:rFonts w:asciiTheme="minorHAnsi" w:eastAsiaTheme="minorEastAsia" w:hAnsiTheme="minorHAnsi" w:cstheme="minorBidi"/>
          <w:i/>
          <w:iCs/>
          <w:color w:val="auto"/>
          <w:sz w:val="22"/>
          <w:szCs w:val="22"/>
          <w:lang w:val="cs-CZ" w:eastAsia="cs-CZ" w:bidi="ar-SA"/>
        </w:rPr>
        <w:t>IDH</w:t>
      </w:r>
      <w:r w:rsidR="0009497E" w:rsidRPr="0009497E">
        <w:rPr>
          <w:rFonts w:asciiTheme="minorHAnsi" w:eastAsiaTheme="minorEastAsia" w:hAnsiTheme="minorHAnsi" w:cstheme="minorBidi"/>
          <w:color w:val="auto"/>
          <w:sz w:val="22"/>
          <w:szCs w:val="22"/>
          <w:lang w:val="cs-CZ" w:eastAsia="cs-CZ" w:bidi="ar-SA"/>
        </w:rPr>
        <w:t xml:space="preserve"> w</w:t>
      </w:r>
      <w:r w:rsidR="0009497E">
        <w:rPr>
          <w:rFonts w:asciiTheme="minorHAnsi" w:eastAsiaTheme="minorEastAsia" w:hAnsiTheme="minorHAnsi" w:cstheme="minorBidi"/>
          <w:color w:val="auto"/>
          <w:sz w:val="22"/>
          <w:szCs w:val="22"/>
          <w:lang w:val="cs-CZ" w:eastAsia="cs-CZ" w:bidi="ar-SA"/>
        </w:rPr>
        <w:t xml:space="preserve">ild </w:t>
      </w:r>
      <w:r w:rsidR="0009497E" w:rsidRPr="0009497E">
        <w:rPr>
          <w:rFonts w:asciiTheme="minorHAnsi" w:eastAsiaTheme="minorEastAsia" w:hAnsiTheme="minorHAnsi" w:cstheme="minorBidi"/>
          <w:color w:val="auto"/>
          <w:sz w:val="22"/>
          <w:szCs w:val="22"/>
          <w:lang w:val="cs-CZ" w:eastAsia="cs-CZ" w:bidi="ar-SA"/>
        </w:rPr>
        <w:t>t</w:t>
      </w:r>
      <w:r w:rsidR="0009497E">
        <w:rPr>
          <w:rFonts w:asciiTheme="minorHAnsi" w:eastAsiaTheme="minorEastAsia" w:hAnsiTheme="minorHAnsi" w:cstheme="minorBidi"/>
          <w:color w:val="auto"/>
          <w:sz w:val="22"/>
          <w:szCs w:val="22"/>
          <w:lang w:val="cs-CZ" w:eastAsia="cs-CZ" w:bidi="ar-SA"/>
        </w:rPr>
        <w:t>ype gliomy</w:t>
      </w:r>
      <w:r w:rsidR="0009497E" w:rsidRPr="0009497E">
        <w:rPr>
          <w:rFonts w:asciiTheme="minorHAnsi" w:eastAsiaTheme="minorEastAsia" w:hAnsiTheme="minorHAnsi" w:cstheme="minorBidi"/>
          <w:color w:val="auto"/>
          <w:sz w:val="22"/>
          <w:szCs w:val="22"/>
          <w:lang w:val="cs-CZ" w:eastAsia="cs-CZ" w:bidi="ar-SA"/>
        </w:rPr>
        <w:t xml:space="preserve"> byly tradičně považovány za homogenní a nepříznivý histologický podtyp s omezenou odpovědí na onkoterapii,</w:t>
      </w:r>
      <w:r w:rsidR="0009497E">
        <w:rPr>
          <w:rFonts w:asciiTheme="minorHAnsi" w:eastAsiaTheme="minorEastAsia" w:hAnsiTheme="minorHAnsi" w:cstheme="minorBidi"/>
          <w:color w:val="auto"/>
          <w:sz w:val="22"/>
          <w:szCs w:val="22"/>
          <w:lang w:val="cs-CZ" w:eastAsia="cs-CZ" w:bidi="ar-SA"/>
        </w:rPr>
        <w:t xml:space="preserve"> kde je preferován nihilistický management léčby. Avšak klinický outcome pacientů s tímto typem difuzního gliomu je ve skutečnosti charakterizován obrovskou heterogenitou.</w:t>
      </w:r>
      <w:r w:rsidR="00AF04C6">
        <w:rPr>
          <w:rFonts w:asciiTheme="minorHAnsi" w:eastAsiaTheme="minorEastAsia" w:hAnsiTheme="minorHAnsi" w:cstheme="minorBidi"/>
          <w:color w:val="auto"/>
          <w:sz w:val="22"/>
          <w:szCs w:val="22"/>
          <w:lang w:val="cs-CZ" w:eastAsia="cs-CZ" w:bidi="ar-SA"/>
        </w:rPr>
        <w:t xml:space="preserve"> Skupina </w:t>
      </w:r>
      <w:r w:rsidR="00AF04C6" w:rsidRPr="00A33978">
        <w:rPr>
          <w:rFonts w:asciiTheme="minorHAnsi" w:eastAsiaTheme="minorEastAsia" w:hAnsiTheme="minorHAnsi" w:cstheme="minorBidi"/>
          <w:i/>
          <w:iCs/>
          <w:color w:val="auto"/>
          <w:sz w:val="22"/>
          <w:szCs w:val="22"/>
          <w:lang w:val="cs-CZ" w:eastAsia="cs-CZ" w:bidi="ar-SA"/>
        </w:rPr>
        <w:t>IDH</w:t>
      </w:r>
      <w:r w:rsidR="00AF04C6">
        <w:rPr>
          <w:rFonts w:asciiTheme="minorHAnsi" w:eastAsiaTheme="minorEastAsia" w:hAnsiTheme="minorHAnsi" w:cstheme="minorBidi"/>
          <w:color w:val="auto"/>
          <w:sz w:val="22"/>
          <w:szCs w:val="22"/>
          <w:lang w:val="cs-CZ" w:eastAsia="cs-CZ" w:bidi="ar-SA"/>
        </w:rPr>
        <w:t xml:space="preserve"> wild type glioblastomů s nejhorší prognózou byla charakterizována absencí pozitivních prognostických faktorů a prudkým růstem nádoru. Pacienti spadající do této skupiny byli léčen</w:t>
      </w:r>
      <w:r w:rsidR="00A33978">
        <w:rPr>
          <w:rFonts w:asciiTheme="minorHAnsi" w:eastAsiaTheme="minorEastAsia" w:hAnsiTheme="minorHAnsi" w:cstheme="minorBidi"/>
          <w:color w:val="auto"/>
          <w:sz w:val="22"/>
          <w:szCs w:val="22"/>
          <w:lang w:val="cs-CZ" w:eastAsia="cs-CZ" w:bidi="ar-SA"/>
        </w:rPr>
        <w:t>i</w:t>
      </w:r>
      <w:r w:rsidR="00AF04C6">
        <w:rPr>
          <w:rFonts w:asciiTheme="minorHAnsi" w:eastAsiaTheme="minorEastAsia" w:hAnsiTheme="minorHAnsi" w:cstheme="minorBidi"/>
          <w:color w:val="auto"/>
          <w:sz w:val="22"/>
          <w:szCs w:val="22"/>
          <w:lang w:val="cs-CZ" w:eastAsia="cs-CZ" w:bidi="ar-SA"/>
        </w:rPr>
        <w:t xml:space="preserve"> pouze radioterapií nebo </w:t>
      </w:r>
      <w:r w:rsidR="009B0AE2">
        <w:rPr>
          <w:rFonts w:asciiTheme="minorHAnsi" w:eastAsiaTheme="minorEastAsia" w:hAnsiTheme="minorHAnsi" w:cstheme="minorBidi"/>
          <w:color w:val="auto"/>
          <w:sz w:val="22"/>
          <w:szCs w:val="22"/>
          <w:lang w:val="cs-CZ" w:eastAsia="cs-CZ" w:bidi="ar-SA"/>
        </w:rPr>
        <w:t>byli pouze sledováni</w:t>
      </w:r>
      <w:r w:rsidR="00AF04C6">
        <w:rPr>
          <w:rFonts w:asciiTheme="minorHAnsi" w:eastAsiaTheme="minorEastAsia" w:hAnsiTheme="minorHAnsi" w:cstheme="minorBidi"/>
          <w:color w:val="auto"/>
          <w:sz w:val="22"/>
          <w:szCs w:val="22"/>
          <w:lang w:val="cs-CZ" w:eastAsia="cs-CZ" w:bidi="ar-SA"/>
        </w:rPr>
        <w:t xml:space="preserve">. Cílem naší studie bylo nalézt klinicky a biologicky relevantní prognostické faktory pro </w:t>
      </w:r>
      <w:r w:rsidR="00AF04C6" w:rsidRPr="00E51DAD">
        <w:rPr>
          <w:rFonts w:asciiTheme="minorHAnsi" w:eastAsiaTheme="minorEastAsia" w:hAnsiTheme="minorHAnsi" w:cstheme="minorBidi"/>
          <w:i/>
          <w:iCs/>
          <w:color w:val="auto"/>
          <w:sz w:val="22"/>
          <w:szCs w:val="22"/>
          <w:lang w:val="cs-CZ" w:eastAsia="cs-CZ" w:bidi="ar-SA"/>
        </w:rPr>
        <w:t>IDH</w:t>
      </w:r>
      <w:r w:rsidR="00AF04C6">
        <w:rPr>
          <w:rFonts w:asciiTheme="minorHAnsi" w:eastAsiaTheme="minorEastAsia" w:hAnsiTheme="minorHAnsi" w:cstheme="minorBidi"/>
          <w:color w:val="auto"/>
          <w:sz w:val="22"/>
          <w:szCs w:val="22"/>
          <w:lang w:val="cs-CZ" w:eastAsia="cs-CZ" w:bidi="ar-SA"/>
        </w:rPr>
        <w:t xml:space="preserve"> wild type glioblastomy a odhalit biologické mechanizmy vysvětlující jaký mají tyto faktory vliv na prognózu a identifikovat klinicky relevantní podskupiny. </w:t>
      </w:r>
      <w:r w:rsidR="00AF04C6" w:rsidRPr="00AF04C6">
        <w:rPr>
          <w:rFonts w:asciiTheme="minorHAnsi" w:eastAsiaTheme="minorEastAsia" w:hAnsiTheme="minorHAnsi" w:cstheme="minorBidi"/>
          <w:color w:val="auto"/>
          <w:sz w:val="22"/>
          <w:szCs w:val="22"/>
          <w:lang w:val="cs-CZ" w:eastAsia="cs-CZ" w:bidi="ar-SA"/>
        </w:rPr>
        <w:t xml:space="preserve">Znalost těchto faktorů a jejich dopadu na prognózu by mohla usnadnit rozhodování o tom, jak agresivní by měla být onkologická strategie pro daného pacienta a zda je mimo </w:t>
      </w:r>
      <w:r w:rsidR="009B0AE2">
        <w:rPr>
          <w:rFonts w:asciiTheme="minorHAnsi" w:eastAsiaTheme="minorEastAsia" w:hAnsiTheme="minorHAnsi" w:cstheme="minorBidi"/>
          <w:color w:val="auto"/>
          <w:sz w:val="22"/>
          <w:szCs w:val="22"/>
          <w:lang w:val="cs-CZ" w:eastAsia="cs-CZ" w:bidi="ar-SA"/>
        </w:rPr>
        <w:t xml:space="preserve">to </w:t>
      </w:r>
      <w:r w:rsidR="00C16CC8">
        <w:rPr>
          <w:rFonts w:asciiTheme="minorHAnsi" w:eastAsiaTheme="minorEastAsia" w:hAnsiTheme="minorHAnsi" w:cstheme="minorBidi"/>
          <w:color w:val="auto"/>
          <w:sz w:val="22"/>
          <w:szCs w:val="22"/>
          <w:lang w:val="cs-CZ" w:eastAsia="cs-CZ" w:bidi="ar-SA"/>
        </w:rPr>
        <w:t>případně</w:t>
      </w:r>
      <w:r w:rsidR="00AF04C6" w:rsidRPr="00AF04C6">
        <w:rPr>
          <w:rFonts w:asciiTheme="minorHAnsi" w:eastAsiaTheme="minorEastAsia" w:hAnsiTheme="minorHAnsi" w:cstheme="minorBidi"/>
          <w:color w:val="auto"/>
          <w:sz w:val="22"/>
          <w:szCs w:val="22"/>
          <w:lang w:val="cs-CZ" w:eastAsia="cs-CZ" w:bidi="ar-SA"/>
        </w:rPr>
        <w:t xml:space="preserve"> vyžadována reoperace.</w:t>
      </w:r>
      <w:r w:rsidR="00C16CC8" w:rsidRPr="00C16CC8">
        <w:t xml:space="preserve"> </w:t>
      </w:r>
      <w:r w:rsidR="00C16CC8" w:rsidRPr="00C16CC8">
        <w:rPr>
          <w:rFonts w:asciiTheme="minorHAnsi" w:eastAsiaTheme="minorEastAsia" w:hAnsiTheme="minorHAnsi" w:cstheme="minorBidi"/>
          <w:color w:val="auto"/>
          <w:sz w:val="22"/>
          <w:szCs w:val="22"/>
          <w:lang w:val="cs-CZ" w:eastAsia="cs-CZ" w:bidi="ar-SA"/>
        </w:rPr>
        <w:t>Prezentované výsledky specifick</w:t>
      </w:r>
      <w:r w:rsidR="00C16CC8">
        <w:rPr>
          <w:rFonts w:asciiTheme="minorHAnsi" w:eastAsiaTheme="minorEastAsia" w:hAnsiTheme="minorHAnsi" w:cstheme="minorBidi"/>
          <w:color w:val="auto"/>
          <w:sz w:val="22"/>
          <w:szCs w:val="22"/>
          <w:lang w:val="cs-CZ" w:eastAsia="cs-CZ" w:bidi="ar-SA"/>
        </w:rPr>
        <w:t>ých</w:t>
      </w:r>
      <w:r w:rsidR="00C16CC8" w:rsidRPr="00C16CC8">
        <w:rPr>
          <w:rFonts w:asciiTheme="minorHAnsi" w:eastAsiaTheme="minorEastAsia" w:hAnsiTheme="minorHAnsi" w:cstheme="minorBidi"/>
          <w:color w:val="auto"/>
          <w:sz w:val="22"/>
          <w:szCs w:val="22"/>
          <w:lang w:val="cs-CZ" w:eastAsia="cs-CZ" w:bidi="ar-SA"/>
        </w:rPr>
        <w:t xml:space="preserve"> molekulární</w:t>
      </w:r>
      <w:r w:rsidR="00C16CC8">
        <w:rPr>
          <w:rFonts w:asciiTheme="minorHAnsi" w:eastAsiaTheme="minorEastAsia" w:hAnsiTheme="minorHAnsi" w:cstheme="minorBidi"/>
          <w:color w:val="auto"/>
          <w:sz w:val="22"/>
          <w:szCs w:val="22"/>
          <w:lang w:val="cs-CZ" w:eastAsia="cs-CZ" w:bidi="ar-SA"/>
        </w:rPr>
        <w:t>ch</w:t>
      </w:r>
      <w:r w:rsidR="00C16CC8" w:rsidRPr="00C16CC8">
        <w:rPr>
          <w:rFonts w:asciiTheme="minorHAnsi" w:eastAsiaTheme="minorEastAsia" w:hAnsiTheme="minorHAnsi" w:cstheme="minorBidi"/>
          <w:color w:val="auto"/>
          <w:sz w:val="22"/>
          <w:szCs w:val="22"/>
          <w:lang w:val="cs-CZ" w:eastAsia="cs-CZ" w:bidi="ar-SA"/>
        </w:rPr>
        <w:t xml:space="preserve"> marker</w:t>
      </w:r>
      <w:r w:rsidR="00C16CC8">
        <w:rPr>
          <w:rFonts w:asciiTheme="minorHAnsi" w:eastAsiaTheme="minorEastAsia" w:hAnsiTheme="minorHAnsi" w:cstheme="minorBidi"/>
          <w:color w:val="auto"/>
          <w:sz w:val="22"/>
          <w:szCs w:val="22"/>
          <w:lang w:val="cs-CZ" w:eastAsia="cs-CZ" w:bidi="ar-SA"/>
        </w:rPr>
        <w:t>ů ve vztahu k</w:t>
      </w:r>
      <w:r w:rsidR="00C16CC8" w:rsidRPr="00C16CC8">
        <w:rPr>
          <w:rFonts w:asciiTheme="minorHAnsi" w:eastAsiaTheme="minorEastAsia" w:hAnsiTheme="minorHAnsi" w:cstheme="minorBidi"/>
          <w:color w:val="auto"/>
          <w:sz w:val="22"/>
          <w:szCs w:val="22"/>
          <w:lang w:val="cs-CZ" w:eastAsia="cs-CZ" w:bidi="ar-SA"/>
        </w:rPr>
        <w:t xml:space="preserve"> přežití v této kohortě představují první krok k personalizaci léčby pacientů s </w:t>
      </w:r>
      <w:r w:rsidR="00C16CC8" w:rsidRPr="00E51DAD">
        <w:rPr>
          <w:rFonts w:asciiTheme="minorHAnsi" w:eastAsiaTheme="minorEastAsia" w:hAnsiTheme="minorHAnsi" w:cstheme="minorBidi"/>
          <w:i/>
          <w:iCs/>
          <w:color w:val="auto"/>
          <w:sz w:val="22"/>
          <w:szCs w:val="22"/>
          <w:lang w:val="cs-CZ" w:eastAsia="cs-CZ" w:bidi="ar-SA"/>
        </w:rPr>
        <w:t>IDH</w:t>
      </w:r>
      <w:r w:rsidR="00C16CC8" w:rsidRPr="00C16CC8">
        <w:rPr>
          <w:rFonts w:asciiTheme="minorHAnsi" w:eastAsiaTheme="minorEastAsia" w:hAnsiTheme="minorHAnsi" w:cstheme="minorBidi"/>
          <w:color w:val="auto"/>
          <w:sz w:val="22"/>
          <w:szCs w:val="22"/>
          <w:lang w:val="cs-CZ" w:eastAsia="cs-CZ" w:bidi="ar-SA"/>
        </w:rPr>
        <w:t xml:space="preserve"> w</w:t>
      </w:r>
      <w:r w:rsidR="00C16CC8">
        <w:rPr>
          <w:rFonts w:asciiTheme="minorHAnsi" w:eastAsiaTheme="minorEastAsia" w:hAnsiTheme="minorHAnsi" w:cstheme="minorBidi"/>
          <w:color w:val="auto"/>
          <w:sz w:val="22"/>
          <w:szCs w:val="22"/>
          <w:lang w:val="cs-CZ" w:eastAsia="cs-CZ" w:bidi="ar-SA"/>
        </w:rPr>
        <w:t>ild type</w:t>
      </w:r>
      <w:r w:rsidR="00C16CC8" w:rsidRPr="00C16CC8">
        <w:rPr>
          <w:rFonts w:asciiTheme="minorHAnsi" w:eastAsiaTheme="minorEastAsia" w:hAnsiTheme="minorHAnsi" w:cstheme="minorBidi"/>
          <w:color w:val="auto"/>
          <w:sz w:val="22"/>
          <w:szCs w:val="22"/>
          <w:lang w:val="cs-CZ" w:eastAsia="cs-CZ" w:bidi="ar-SA"/>
        </w:rPr>
        <w:t xml:space="preserve"> GBM</w:t>
      </w:r>
      <w:r w:rsidR="00C16CC8">
        <w:rPr>
          <w:rFonts w:asciiTheme="minorHAnsi" w:eastAsiaTheme="minorEastAsia" w:hAnsiTheme="minorHAnsi" w:cstheme="minorBidi"/>
          <w:color w:val="auto"/>
          <w:sz w:val="22"/>
          <w:szCs w:val="22"/>
          <w:lang w:val="cs-CZ" w:eastAsia="cs-CZ" w:bidi="ar-SA"/>
        </w:rPr>
        <w:t>.</w:t>
      </w:r>
    </w:p>
    <w:p w14:paraId="3058C382" w14:textId="77777777" w:rsidR="00A33978" w:rsidRDefault="00A33978" w:rsidP="00C16CC8">
      <w:pPr>
        <w:pStyle w:val="MDPI62BackMatter"/>
        <w:spacing w:after="200" w:line="276" w:lineRule="auto"/>
        <w:ind w:left="0"/>
        <w:rPr>
          <w:rFonts w:asciiTheme="minorHAnsi" w:eastAsiaTheme="minorEastAsia" w:hAnsiTheme="minorHAnsi" w:cstheme="minorBidi"/>
          <w:color w:val="auto"/>
          <w:sz w:val="22"/>
          <w:szCs w:val="22"/>
          <w:lang w:val="cs-CZ" w:eastAsia="cs-CZ" w:bidi="ar-SA"/>
        </w:rPr>
      </w:pPr>
    </w:p>
    <w:p w14:paraId="105CB416" w14:textId="6B7D3FB6" w:rsidR="00E914CD" w:rsidRPr="00A33978" w:rsidRDefault="00E914CD" w:rsidP="003F1C7A">
      <w:pPr>
        <w:pStyle w:val="Nadpis3"/>
      </w:pPr>
      <w:bookmarkStart w:id="123" w:name="_Toc88741516"/>
      <w:r w:rsidRPr="00A33978">
        <w:t>Podíl autora dizertační prác</w:t>
      </w:r>
      <w:r w:rsidR="003F1C7A" w:rsidRPr="00A33978">
        <w:t>e na daném tématu</w:t>
      </w:r>
      <w:bookmarkEnd w:id="123"/>
    </w:p>
    <w:p w14:paraId="52CF2556" w14:textId="6FD8320D" w:rsidR="00EC6934" w:rsidRPr="00A33978" w:rsidRDefault="00EC6934" w:rsidP="003F1C7A">
      <w:pPr>
        <w:rPr>
          <w:sz w:val="6"/>
          <w:szCs w:val="6"/>
        </w:rPr>
      </w:pPr>
    </w:p>
    <w:p w14:paraId="2D3DB0F7" w14:textId="01A8DBBC" w:rsidR="00A33978" w:rsidRDefault="00A33978" w:rsidP="00A33978">
      <w:pPr>
        <w:jc w:val="both"/>
      </w:pPr>
      <w:r w:rsidRPr="00B85C8E">
        <w:t xml:space="preserve">Uvedená studie je publikována v časopise </w:t>
      </w:r>
      <w:r>
        <w:t>Current Oncolo</w:t>
      </w:r>
      <w:r w:rsidRPr="00A33978">
        <w:t>gy pod názvem The influence of gene aberrations on survival in resected IDH wildtype glioblastoma patients: a single-institution study (viz Přílohy). Autorka se podílela na designu a koordinaci studie včetně provedení vyšetření vzorků pomocí sekvenování a FISH. Zpracovala výsledky a následně rukopis studie.</w:t>
      </w:r>
    </w:p>
    <w:p w14:paraId="50CD7627" w14:textId="51D7DD30" w:rsidR="00EC6934" w:rsidRDefault="00EC6934" w:rsidP="003F1C7A"/>
    <w:p w14:paraId="7211A16F" w14:textId="77777777" w:rsidR="00CE58AB" w:rsidRDefault="00CE58AB" w:rsidP="007C510A">
      <w:pPr>
        <w:pStyle w:val="Nadpis1"/>
        <w:ind w:left="0" w:firstLine="0"/>
        <w:sectPr w:rsidR="00CE58AB" w:rsidSect="000B0BA1">
          <w:pgSz w:w="11906" w:h="16838"/>
          <w:pgMar w:top="1417" w:right="1417" w:bottom="1417" w:left="1417" w:header="708" w:footer="708" w:gutter="0"/>
          <w:cols w:space="708"/>
          <w:docGrid w:linePitch="360"/>
        </w:sectPr>
      </w:pPr>
    </w:p>
    <w:p w14:paraId="11753DF4" w14:textId="0493A1F7" w:rsidR="00B81FB7" w:rsidRDefault="00261E1E" w:rsidP="000E09BB">
      <w:pPr>
        <w:pStyle w:val="Nadpis1"/>
        <w:ind w:left="0" w:firstLine="0"/>
      </w:pPr>
      <w:bookmarkStart w:id="124" w:name="_Toc88741517"/>
      <w:r>
        <w:t>S</w:t>
      </w:r>
      <w:r w:rsidR="00741EFD" w:rsidRPr="001351CF">
        <w:t>ouhrn</w:t>
      </w:r>
      <w:bookmarkEnd w:id="124"/>
      <w:r w:rsidR="00B81FB7">
        <w:t xml:space="preserve"> </w:t>
      </w:r>
    </w:p>
    <w:p w14:paraId="1C069615" w14:textId="4460968F" w:rsidR="000E09BB" w:rsidRDefault="000E09BB" w:rsidP="000E09BB"/>
    <w:p w14:paraId="6193AB5A" w14:textId="2697560B" w:rsidR="002A6D48" w:rsidRDefault="00DA14B6" w:rsidP="002237A2">
      <w:pPr>
        <w:jc w:val="both"/>
      </w:pPr>
      <w:r>
        <w:t xml:space="preserve">Od roku 2016 jsou mutace IDH1/2 klíčovým parametrem v určování diagnózy, prognózy a léčebného režimu u </w:t>
      </w:r>
      <w:r w:rsidRPr="00DA14B6">
        <w:t>difúzní</w:t>
      </w:r>
      <w:r>
        <w:t>ch</w:t>
      </w:r>
      <w:r w:rsidRPr="00DA14B6">
        <w:t xml:space="preserve"> astrocytární</w:t>
      </w:r>
      <w:r>
        <w:t>ch</w:t>
      </w:r>
      <w:r w:rsidRPr="00DA14B6">
        <w:t xml:space="preserve"> a oligodendrogliální</w:t>
      </w:r>
      <w:r>
        <w:t>ch</w:t>
      </w:r>
      <w:r w:rsidRPr="00DA14B6">
        <w:t xml:space="preserve"> nádor</w:t>
      </w:r>
      <w:r>
        <w:t xml:space="preserve">ů. </w:t>
      </w:r>
      <w:r w:rsidR="002A6D48">
        <w:t xml:space="preserve">Současný postup stanovení těchto mutací vychází z imunohistochemického vyšetření pomocí protiláty na průkaz přítomnosti nejčastější varianty </w:t>
      </w:r>
      <w:r w:rsidR="002A6D48" w:rsidRPr="002A6D48">
        <w:rPr>
          <w:i/>
          <w:iCs/>
        </w:rPr>
        <w:t>IDH1</w:t>
      </w:r>
      <w:r w:rsidR="002A6D48">
        <w:t xml:space="preserve"> R132H čítající 90 %. Zbylých 10 % připadá na raritní varianty, které jsou dle WHO vyšetřovány sekvenováním. Toto vyšetření se doporučuje v případě negativního výsledku IHC </w:t>
      </w:r>
      <w:r w:rsidR="002A6D48" w:rsidRPr="002A6D48">
        <w:rPr>
          <w:i/>
          <w:iCs/>
        </w:rPr>
        <w:t>IDH</w:t>
      </w:r>
      <w:r w:rsidR="002A6D48">
        <w:t xml:space="preserve"> R132H a </w:t>
      </w:r>
      <w:r w:rsidR="00F06DE5">
        <w:t>za podmínky</w:t>
      </w:r>
      <w:r w:rsidR="002A6D48">
        <w:t>, že není pacient starší 55 let.</w:t>
      </w:r>
      <w:r w:rsidR="00F06DE5">
        <w:t xml:space="preserve"> </w:t>
      </w:r>
      <w:r w:rsidR="002237A2">
        <w:t xml:space="preserve">Nad tuto věkovou hranici je frekvence mutací uváděna pouze </w:t>
      </w:r>
      <w:r w:rsidR="002237A2" w:rsidRPr="002237A2">
        <w:t xml:space="preserve">okolo 1 % a </w:t>
      </w:r>
      <w:r w:rsidR="00476AC5" w:rsidRPr="002237A2">
        <w:t>finanční nákladovost metod k</w:t>
      </w:r>
      <w:r w:rsidR="002237A2" w:rsidRPr="002237A2">
        <w:t> takto</w:t>
      </w:r>
      <w:r w:rsidR="002237A2">
        <w:t xml:space="preserve"> nízkému záchytu je neúměrně vysoká.</w:t>
      </w:r>
    </w:p>
    <w:p w14:paraId="5DC654B5" w14:textId="592BE6DC" w:rsidR="002F26AC" w:rsidRDefault="00F06DE5" w:rsidP="00AD61B7">
      <w:pPr>
        <w:jc w:val="both"/>
      </w:pPr>
      <w:r>
        <w:t xml:space="preserve">V první části byla retrospektivně vyšetřena skupina pacientů </w:t>
      </w:r>
      <w:r w:rsidR="002237A2">
        <w:t xml:space="preserve">s </w:t>
      </w:r>
      <w:r>
        <w:t xml:space="preserve">gliomem (n = 275), kteří </w:t>
      </w:r>
      <w:r w:rsidRPr="00F06DE5">
        <w:t>podstoupili chirurgické odstranění nádoru</w:t>
      </w:r>
      <w:r>
        <w:t xml:space="preserve">. </w:t>
      </w:r>
      <w:r w:rsidR="002F26AC">
        <w:t xml:space="preserve">Četnost varianty mutace </w:t>
      </w:r>
      <w:r w:rsidR="002F26AC" w:rsidRPr="002237A2">
        <w:rPr>
          <w:i/>
          <w:iCs/>
        </w:rPr>
        <w:t>IDH1</w:t>
      </w:r>
      <w:r w:rsidR="002F26AC">
        <w:t xml:space="preserve"> R132H </w:t>
      </w:r>
      <w:r w:rsidR="002237A2">
        <w:t xml:space="preserve">byla v naší studii </w:t>
      </w:r>
      <w:r w:rsidR="00476AC5">
        <w:t>91</w:t>
      </w:r>
      <w:r w:rsidR="002237A2">
        <w:t xml:space="preserve"> </w:t>
      </w:r>
      <w:r w:rsidR="00476AC5">
        <w:t>%</w:t>
      </w:r>
      <w:r w:rsidR="002237A2">
        <w:t xml:space="preserve">. </w:t>
      </w:r>
      <w:r w:rsidR="002F26AC">
        <w:t xml:space="preserve">Míra shody metod sekvenování a IHC </w:t>
      </w:r>
      <w:r w:rsidR="00476AC5">
        <w:t>b</w:t>
      </w:r>
      <w:r w:rsidR="002F26AC">
        <w:t>yla</w:t>
      </w:r>
      <w:r w:rsidR="009A6830">
        <w:t xml:space="preserve"> spočítána na</w:t>
      </w:r>
      <w:r w:rsidR="002F26AC">
        <w:t xml:space="preserve"> 94 % (60/64). Kromě zmiňované varianty R132H byly vyšetřeny raritní varianty včetně R132C (</w:t>
      </w:r>
      <w:r w:rsidR="002237A2">
        <w:t xml:space="preserve">záchyt </w:t>
      </w:r>
      <w:r w:rsidR="002F26AC">
        <w:t>3 %</w:t>
      </w:r>
      <w:r w:rsidR="00476AC5">
        <w:t xml:space="preserve"> v naší studii</w:t>
      </w:r>
      <w:r w:rsidR="002F26AC">
        <w:t>), R132S (1 %) a R132G a R132L (</w:t>
      </w:r>
      <w:r w:rsidR="002237A2">
        <w:t>v naší práci nebyla detekována</w:t>
      </w:r>
      <w:r w:rsidR="002F26AC">
        <w:t xml:space="preserve">). Varianty </w:t>
      </w:r>
      <w:r w:rsidR="002F26AC" w:rsidRPr="002237A2">
        <w:rPr>
          <w:i/>
          <w:iCs/>
        </w:rPr>
        <w:t>IDH2</w:t>
      </w:r>
      <w:r w:rsidR="002F26AC">
        <w:t xml:space="preserve"> jsou méně časté, přičemž R172K byla pozorována u 3 % pacientů s gliomem, R172M (1 %), R172W (v naší studii nebyla nalezena) a R172S (v naší studii nebyla nalezena)</w:t>
      </w:r>
      <w:r w:rsidR="002237A2">
        <w:t xml:space="preserve">. </w:t>
      </w:r>
      <w:r w:rsidR="002F26AC">
        <w:t xml:space="preserve">V této studii byla prokázána shoda s již dříve publikovanými výsledky četnosti a frekvence jednotlivých variant mutací IDH u gliomů. </w:t>
      </w:r>
      <w:r w:rsidR="009A6830">
        <w:t>Získané výsledky potvrzují, že je vhodné doplnit standardní IHC vyšetření o sekvenování a tak zamezit riziku falešně negativních vzorků</w:t>
      </w:r>
      <w:r w:rsidR="00AD61B7">
        <w:t>. Celkové náklady fast IDH kitu vychází až o polovinu levněji oproti NexteraXT a zároveň dochází ke značnému zkrácení doby zpracování vzorku.  Čímž byl zpochybněn model publikovaný DeWitt z roku 2017</w:t>
      </w:r>
      <w:r w:rsidR="00AD61B7">
        <w:fldChar w:fldCharType="begin" w:fldLock="1"/>
      </w:r>
      <w:r w:rsidR="00AD61B7">
        <w:instrText>ADDIN CSL_CITATION {"citationItems":[{"id":"ITEM-1","itemData":{"DOI":"10.1093/neuonc/nox120","PMID":"29016871","author":[{"dropping-particle":"","family":"Dewitt","given":"John C.","non-dropping-particle":"","parse-names":false,"suffix":""},{"dropping-particle":"","family":"Jordan","given":"Justin T.","non-dropping-particle":"","parse-names":false,"suffix":""},{"dropping-particle":"","family":"Frosch","given":"Matthew P.","non-dropping-particle":"","parse-names":false,"suffix":""},{"dropping-particle":"","family":"Samore","given":"Wesley R.","non-dropping-particle":"","parse-names":false,"suffix":""},{"dropping-particle":"","family":"Iafrate","given":"A. John","non-dropping-particle":"","parse-names":false,"suffix":""},{"dropping-particle":"","family":"Louis","given":"David N.","non-dropping-particle":"","parse-names":false,"suffix":""},{"dropping-particle":"","family":"Lennerz","given":"Jochen K.","non-dropping-particle":"","parse-names":false,"suffix":""}],"container-title":"Neuro-Oncology","id":"ITEM-1","issue":"12","issued":{"date-parts":[["2017"]]},"page":"1640-1650","publisher":"Oxford University Press","title":"Cost-effectiveness of IDH testing in diffuse gliomas according to the 2016 WHO classification of tumors of the central nervous system recommendations","type":"article-journal","volume":"19"},"uris":["http://www.mendeley.com/documents/?uuid=39135120-ce6e-462e-9837-0e92d842edf2"]}],"mendeley":{"formattedCitation":"&lt;sup&gt;87&lt;/sup&gt;","plainTextFormattedCitation":"87"},"properties":{"noteIndex":0},"schema":"https://github.com/citation-style-language/schema/raw/master/csl-citation.json"}</w:instrText>
      </w:r>
      <w:r w:rsidR="00AD61B7">
        <w:fldChar w:fldCharType="separate"/>
      </w:r>
      <w:r w:rsidR="00AD61B7" w:rsidRPr="00AD61B7">
        <w:rPr>
          <w:noProof/>
          <w:vertAlign w:val="superscript"/>
        </w:rPr>
        <w:t>87</w:t>
      </w:r>
      <w:r w:rsidR="00AD61B7">
        <w:fldChar w:fldCharType="end"/>
      </w:r>
      <w:r w:rsidR="00AD61B7">
        <w:t>, který je založen na nákladech za NGS čítajících 1800 USD (~ 1500 eur)</w:t>
      </w:r>
      <w:r w:rsidR="00D03069">
        <w:t xml:space="preserve"> za vzorek</w:t>
      </w:r>
      <w:r w:rsidR="00AD61B7">
        <w:t xml:space="preserve">. Z důvodu značného snížení nákladů na NGS vyšetření doporučujeme analyzování i </w:t>
      </w:r>
      <w:r w:rsidR="00D03069">
        <w:t xml:space="preserve">gliálních </w:t>
      </w:r>
      <w:r w:rsidR="00AD61B7">
        <w:t>nádorů pacientů starších 55 let a postupně by mohl</w:t>
      </w:r>
      <w:r w:rsidR="009B0AE2">
        <w:t>a</w:t>
      </w:r>
      <w:r w:rsidR="00AD61B7">
        <w:t xml:space="preserve"> tato metoda zcela nahradit imunohistochemické vyšetření.</w:t>
      </w:r>
    </w:p>
    <w:p w14:paraId="17DE0133" w14:textId="0277F4DF" w:rsidR="00E530A1" w:rsidRDefault="00AD61B7" w:rsidP="00937254">
      <w:pPr>
        <w:jc w:val="both"/>
      </w:pPr>
      <w:r>
        <w:t xml:space="preserve">Druhá část </w:t>
      </w:r>
      <w:r w:rsidR="00FD1E4F">
        <w:t xml:space="preserve">byla zaměřena na supratentoriální GBM </w:t>
      </w:r>
      <w:r w:rsidR="00FD1E4F" w:rsidRPr="0050425C">
        <w:rPr>
          <w:i/>
          <w:iCs/>
        </w:rPr>
        <w:t>IDH</w:t>
      </w:r>
      <w:r w:rsidR="00FD1E4F">
        <w:t xml:space="preserve"> wild type u dospělých pacientů</w:t>
      </w:r>
      <w:r w:rsidR="0047563C">
        <w:t xml:space="preserve"> (N = 132)</w:t>
      </w:r>
      <w:r w:rsidR="00FD1E4F">
        <w:t>, kteří podstoupili resekci a onkoterapii v období mezi červnem 2006 a červnem 2015. Pacie</w:t>
      </w:r>
      <w:r w:rsidR="0047563C">
        <w:t>n</w:t>
      </w:r>
      <w:r w:rsidR="00FD1E4F">
        <w:t xml:space="preserve">ti byli rozděleni do tří skupin na základě léčebného režimu: bez terapie, léčení radioterapií a léčeni chemoradioterapií. Spolu s molekulárně cytogenetickými charakteristikami, byly získány i klinické informace </w:t>
      </w:r>
      <w:r w:rsidR="0047563C">
        <w:t>pacien</w:t>
      </w:r>
      <w:r w:rsidR="00D03069">
        <w:t>t</w:t>
      </w:r>
      <w:r w:rsidR="0047563C">
        <w:t xml:space="preserve">ů </w:t>
      </w:r>
      <w:r w:rsidR="00FD1E4F">
        <w:t xml:space="preserve">a tato data byla statisticky zpracována. </w:t>
      </w:r>
      <w:r>
        <w:t xml:space="preserve">Ve skupině pacientů léčených radioterapií byly nalezeny výrazné prognosticky negativní faktory pro OS jakými jsou 1q HCN, </w:t>
      </w:r>
      <w:r w:rsidRPr="0047563C">
        <w:rPr>
          <w:i/>
          <w:iCs/>
        </w:rPr>
        <w:t>BCR</w:t>
      </w:r>
      <w:r>
        <w:t xml:space="preserve"> HCN a </w:t>
      </w:r>
      <w:r w:rsidRPr="0047563C">
        <w:rPr>
          <w:i/>
          <w:iCs/>
        </w:rPr>
        <w:t>RB1</w:t>
      </w:r>
      <w:r>
        <w:t xml:space="preserve"> HCN, co se týče negativních prognostických faktorů PFS se jedná o 1q HCN a 22q12.2 HCN.</w:t>
      </w:r>
      <w:r w:rsidR="0047563C">
        <w:t xml:space="preserve"> </w:t>
      </w:r>
      <w:r>
        <w:t xml:space="preserve">Ve skupině pacientů léčených chemoradioterapií bylo jako negativními klinickými faktory označeno mužské pohlaví, vysoké Karnofského skóre, vyšší věk, vyšší exprese Ki67 a status 22q12.2 HCN. Naopak genetické markery jako </w:t>
      </w:r>
      <w:r w:rsidRPr="0047563C">
        <w:rPr>
          <w:i/>
          <w:iCs/>
        </w:rPr>
        <w:t>CCND1</w:t>
      </w:r>
      <w:r>
        <w:t xml:space="preserve"> HCN, 19q13 HCN, </w:t>
      </w:r>
      <w:r w:rsidRPr="0047563C">
        <w:rPr>
          <w:i/>
          <w:iCs/>
        </w:rPr>
        <w:t>MDM2</w:t>
      </w:r>
      <w:r>
        <w:t xml:space="preserve"> HCN a </w:t>
      </w:r>
      <w:r w:rsidRPr="0047563C">
        <w:rPr>
          <w:i/>
          <w:iCs/>
        </w:rPr>
        <w:t>P53</w:t>
      </w:r>
      <w:r>
        <w:t xml:space="preserve"> HCN byly potvrzeny jako pozitivní markery jak OS</w:t>
      </w:r>
      <w:r w:rsidR="00FC4724">
        <w:t>,</w:t>
      </w:r>
      <w:r>
        <w:t xml:space="preserve"> tak PFS.</w:t>
      </w:r>
      <w:r w:rsidR="0047563C">
        <w:t xml:space="preserve"> </w:t>
      </w:r>
      <w:r>
        <w:t xml:space="preserve">I přes malý soubor pacientů bez terapie se zdá, že mužské pohlaví, status kouření a </w:t>
      </w:r>
      <w:r w:rsidRPr="0047563C">
        <w:rPr>
          <w:i/>
          <w:iCs/>
        </w:rPr>
        <w:t>CCND1</w:t>
      </w:r>
      <w:r>
        <w:t xml:space="preserve"> HCN mají negativní vliv na prognózu.</w:t>
      </w:r>
      <w:r w:rsidR="0047563C">
        <w:t xml:space="preserve"> </w:t>
      </w:r>
      <w:r>
        <w:t xml:space="preserve">V případě celé kohorty pacientů byly označeny za negativní prognostické faktory mužské pohlaví, </w:t>
      </w:r>
      <w:r w:rsidRPr="0047563C">
        <w:rPr>
          <w:i/>
          <w:iCs/>
        </w:rPr>
        <w:t>RB1</w:t>
      </w:r>
      <w:r>
        <w:t xml:space="preserve"> HCN a 22q12.2 HCN. Naopak status </w:t>
      </w:r>
      <w:r w:rsidRPr="0047563C">
        <w:rPr>
          <w:i/>
          <w:iCs/>
        </w:rPr>
        <w:t>EGFR1</w:t>
      </w:r>
      <w:r>
        <w:t xml:space="preserve"> HCN, </w:t>
      </w:r>
      <w:r w:rsidRPr="0047563C">
        <w:rPr>
          <w:i/>
          <w:iCs/>
        </w:rPr>
        <w:t>P53</w:t>
      </w:r>
      <w:r>
        <w:t xml:space="preserve"> HCN, </w:t>
      </w:r>
      <w:r w:rsidRPr="0047563C">
        <w:rPr>
          <w:i/>
          <w:iCs/>
        </w:rPr>
        <w:t>CCND1</w:t>
      </w:r>
      <w:r>
        <w:t xml:space="preserve"> HCN a 19q13 HCN se jeví jako pozitivní prognostické faktory.</w:t>
      </w:r>
    </w:p>
    <w:p w14:paraId="3AE0C244" w14:textId="77777777" w:rsidR="00E530A1" w:rsidRDefault="00E530A1" w:rsidP="00E530A1">
      <w:pPr>
        <w:jc w:val="both"/>
      </w:pPr>
      <w:r>
        <w:t xml:space="preserve"> </w:t>
      </w:r>
    </w:p>
    <w:p w14:paraId="2224949A" w14:textId="77777777" w:rsidR="00E530A1" w:rsidRDefault="00E530A1" w:rsidP="00E530A1">
      <w:pPr>
        <w:jc w:val="both"/>
      </w:pPr>
    </w:p>
    <w:p w14:paraId="0B49AAF4" w14:textId="77777777" w:rsidR="00CE58AB" w:rsidRDefault="00CE58AB" w:rsidP="007C510A">
      <w:pPr>
        <w:pStyle w:val="Nadpis1"/>
        <w:ind w:left="0" w:hanging="76"/>
        <w:sectPr w:rsidR="00CE58AB" w:rsidSect="000B0BA1">
          <w:pgSz w:w="11906" w:h="16838"/>
          <w:pgMar w:top="1417" w:right="1417" w:bottom="1417" w:left="1417" w:header="708" w:footer="708" w:gutter="0"/>
          <w:cols w:space="708"/>
          <w:docGrid w:linePitch="360"/>
        </w:sectPr>
      </w:pPr>
    </w:p>
    <w:p w14:paraId="61A0BD32" w14:textId="6FD24A6B" w:rsidR="00741EFD" w:rsidRDefault="00741EFD" w:rsidP="007C510A">
      <w:pPr>
        <w:pStyle w:val="Nadpis1"/>
        <w:ind w:left="0" w:hanging="76"/>
      </w:pPr>
      <w:bookmarkStart w:id="125" w:name="_Toc88741518"/>
      <w:r w:rsidRPr="001351CF">
        <w:t>Summary</w:t>
      </w:r>
      <w:bookmarkEnd w:id="125"/>
    </w:p>
    <w:p w14:paraId="717DDCFC" w14:textId="77777777" w:rsidR="0047563C" w:rsidRPr="0047563C" w:rsidRDefault="0047563C" w:rsidP="0047563C"/>
    <w:p w14:paraId="30794262" w14:textId="3F9DCE38" w:rsidR="00B81FB7" w:rsidRPr="009036BC" w:rsidRDefault="0047563C" w:rsidP="00667A55">
      <w:pPr>
        <w:jc w:val="both"/>
      </w:pPr>
      <w:r w:rsidRPr="009036BC">
        <w:t xml:space="preserve">Since 2016, IDH1/2 mutations have been a key parameter </w:t>
      </w:r>
      <w:r w:rsidR="00667A55" w:rsidRPr="009036BC">
        <w:t xml:space="preserve">for </w:t>
      </w:r>
      <w:r w:rsidRPr="009036BC">
        <w:t xml:space="preserve">the diagnosis, prognosis and treatment regimen of diffuse astrocyte and oligodendroglial tumors. </w:t>
      </w:r>
      <w:r w:rsidR="00667A55" w:rsidRPr="009036BC">
        <w:t xml:space="preserve">The current procedure for examination of these mutations is based on immunohistochemical analysis with an antibody to determine the presence of the most common variant of </w:t>
      </w:r>
      <w:r w:rsidR="00667A55" w:rsidRPr="009036BC">
        <w:rPr>
          <w:i/>
          <w:iCs/>
        </w:rPr>
        <w:t>IDH1</w:t>
      </w:r>
      <w:r w:rsidR="00667A55" w:rsidRPr="009036BC">
        <w:t xml:space="preserve"> R132H, which is counting about 90 %. </w:t>
      </w:r>
      <w:r w:rsidRPr="009036BC">
        <w:t>The remaining 10</w:t>
      </w:r>
      <w:r w:rsidR="009E1C09" w:rsidRPr="009036BC">
        <w:t> </w:t>
      </w:r>
      <w:r w:rsidRPr="009036BC">
        <w:t>% are rare variants, which</w:t>
      </w:r>
      <w:r w:rsidR="00667A55" w:rsidRPr="009036BC">
        <w:t xml:space="preserve"> are</w:t>
      </w:r>
      <w:r w:rsidRPr="009036BC">
        <w:t xml:space="preserve"> according to the WHO </w:t>
      </w:r>
      <w:r w:rsidR="00667A55" w:rsidRPr="009036BC">
        <w:t xml:space="preserve">investigated </w:t>
      </w:r>
      <w:r w:rsidRPr="009036BC">
        <w:t xml:space="preserve">by sequencing. This </w:t>
      </w:r>
      <w:r w:rsidR="00C608F4" w:rsidRPr="009036BC">
        <w:t>procedure</w:t>
      </w:r>
      <w:r w:rsidRPr="009036BC">
        <w:t xml:space="preserve"> is recommended in case of a negative </w:t>
      </w:r>
      <w:r w:rsidR="00C608F4" w:rsidRPr="009036BC">
        <w:t>result of</w:t>
      </w:r>
      <w:r w:rsidR="00667A55" w:rsidRPr="009036BC">
        <w:t xml:space="preserve"> </w:t>
      </w:r>
      <w:r w:rsidRPr="009036BC">
        <w:t xml:space="preserve">IHC </w:t>
      </w:r>
      <w:r w:rsidRPr="009036BC">
        <w:rPr>
          <w:i/>
          <w:iCs/>
        </w:rPr>
        <w:t>IDH</w:t>
      </w:r>
      <w:r w:rsidRPr="009036BC">
        <w:t xml:space="preserve"> R132H </w:t>
      </w:r>
      <w:r w:rsidR="00C608F4" w:rsidRPr="009036BC">
        <w:t xml:space="preserve">in patients younger than 55 years. </w:t>
      </w:r>
      <w:r w:rsidRPr="009036BC">
        <w:t>Above this age limit, the frequency of mutations is reported to be only around 1</w:t>
      </w:r>
      <w:r w:rsidR="009E1C09" w:rsidRPr="009036BC">
        <w:t xml:space="preserve"> </w:t>
      </w:r>
      <w:r w:rsidRPr="009036BC">
        <w:t>%, and the financial cost of methods for such low detection is disproportionately high.</w:t>
      </w:r>
    </w:p>
    <w:p w14:paraId="1C55536A" w14:textId="2A2B8AAB" w:rsidR="00C608F4" w:rsidRPr="009036BC" w:rsidRDefault="00C608F4" w:rsidP="00667A55">
      <w:pPr>
        <w:jc w:val="both"/>
      </w:pPr>
      <w:r w:rsidRPr="009036BC">
        <w:t xml:space="preserve">In the first part, a group of patients with glioma (n = 275) who underwent surgical removal of the tumor was retrospectively examined. The frequency of the </w:t>
      </w:r>
      <w:r w:rsidRPr="009036BC">
        <w:rPr>
          <w:i/>
          <w:iCs/>
        </w:rPr>
        <w:t>IDH1</w:t>
      </w:r>
      <w:r w:rsidRPr="009036BC">
        <w:t xml:space="preserve"> R132H mutation variant in our study was 91 %. The concordance rate of the sequencing and IHC method was 94 % (60/64). In addition to the mentioned variant R132H, rare variants were examined including R132C (in the studied population, it was 3 %), R132S (1 %) and R132G and R132L (were not detected in our work). </w:t>
      </w:r>
      <w:r w:rsidRPr="009036BC">
        <w:rPr>
          <w:i/>
          <w:iCs/>
        </w:rPr>
        <w:t>IDH2</w:t>
      </w:r>
      <w:r w:rsidRPr="009036BC">
        <w:t xml:space="preserve"> variants are less common, with R172K </w:t>
      </w:r>
      <w:r w:rsidR="00D03069" w:rsidRPr="009036BC">
        <w:t xml:space="preserve">being </w:t>
      </w:r>
      <w:r w:rsidRPr="009036BC">
        <w:t>observed in 3 % of glioma patients, R172M (1</w:t>
      </w:r>
      <w:r w:rsidR="00D03069" w:rsidRPr="009036BC">
        <w:t xml:space="preserve"> </w:t>
      </w:r>
      <w:r w:rsidRPr="009036BC">
        <w:t xml:space="preserve">%), R172W (not found in our </w:t>
      </w:r>
      <w:r w:rsidR="00D03069" w:rsidRPr="009036BC">
        <w:t>cohort</w:t>
      </w:r>
      <w:r w:rsidRPr="009036BC">
        <w:t xml:space="preserve">) and R172S (not found in our </w:t>
      </w:r>
      <w:r w:rsidR="00D03069" w:rsidRPr="009036BC">
        <w:t>cohort</w:t>
      </w:r>
      <w:r w:rsidRPr="009036BC">
        <w:t xml:space="preserve">). </w:t>
      </w:r>
      <w:r w:rsidR="00D03069" w:rsidRPr="009036BC">
        <w:t xml:space="preserve">Our data agree with the previously reported stratification and frequency of </w:t>
      </w:r>
      <w:r w:rsidR="00D03069" w:rsidRPr="009036BC">
        <w:rPr>
          <w:i/>
          <w:iCs/>
        </w:rPr>
        <w:t>IDH</w:t>
      </w:r>
      <w:r w:rsidR="00D03069" w:rsidRPr="009036BC">
        <w:t xml:space="preserve"> mutations in gliomas. </w:t>
      </w:r>
      <w:r w:rsidRPr="009036BC">
        <w:t>The obtained results confirm that it is appropriate to supplement the standard IHC examination with sequencing and thus avoid the risk of false negative samples. The total cost of the fast IDH kit is up to half</w:t>
      </w:r>
      <w:r w:rsidR="00D03069" w:rsidRPr="009036BC">
        <w:t xml:space="preserve"> cheaper</w:t>
      </w:r>
      <w:r w:rsidRPr="009036BC">
        <w:t xml:space="preserve"> than NexteraXT and </w:t>
      </w:r>
      <w:r w:rsidR="00D03069" w:rsidRPr="009036BC">
        <w:t>furthermore</w:t>
      </w:r>
      <w:r w:rsidRPr="009036BC">
        <w:t xml:space="preserve"> the sample processing time is significantly reduced. This </w:t>
      </w:r>
      <w:r w:rsidR="00D03069" w:rsidRPr="009036BC">
        <w:t>finding deconstructs</w:t>
      </w:r>
      <w:r w:rsidRPr="009036BC">
        <w:t xml:space="preserve"> the model published by DeWitt in 2017</w:t>
      </w:r>
      <w:r w:rsidRPr="009036BC">
        <w:rPr>
          <w:vertAlign w:val="superscript"/>
        </w:rPr>
        <w:t>87</w:t>
      </w:r>
      <w:r w:rsidRPr="009036BC">
        <w:t>, which is based on an NGS cost of $ 1,800 (~ € 1,500)</w:t>
      </w:r>
      <w:r w:rsidR="00D03069" w:rsidRPr="009036BC">
        <w:t xml:space="preserve"> per sample</w:t>
      </w:r>
      <w:r w:rsidRPr="009036BC">
        <w:t>. Due to the significant reduction in the cost of NGS examination, we recommend th</w:t>
      </w:r>
      <w:r w:rsidR="00D03069" w:rsidRPr="009036BC">
        <w:t>is</w:t>
      </w:r>
      <w:r w:rsidRPr="009036BC">
        <w:t xml:space="preserve"> analysis of</w:t>
      </w:r>
      <w:r w:rsidR="00D03069" w:rsidRPr="009036BC">
        <w:t xml:space="preserve"> glioma</w:t>
      </w:r>
      <w:r w:rsidRPr="009036BC">
        <w:t xml:space="preserve"> tumors in patients older than 55 years, and </w:t>
      </w:r>
      <w:r w:rsidR="00D03069" w:rsidRPr="009036BC">
        <w:t>finally</w:t>
      </w:r>
      <w:r w:rsidRPr="009036BC">
        <w:t xml:space="preserve"> this method could completely replace immunohistochemical examination.</w:t>
      </w:r>
    </w:p>
    <w:p w14:paraId="5FD7F08C" w14:textId="5F01DD33" w:rsidR="00CE58AB" w:rsidRDefault="00D03069" w:rsidP="009E1C09">
      <w:pPr>
        <w:jc w:val="both"/>
        <w:sectPr w:rsidR="00CE58AB" w:rsidSect="000B0BA1">
          <w:pgSz w:w="11906" w:h="16838"/>
          <w:pgMar w:top="1417" w:right="1417" w:bottom="1417" w:left="1417" w:header="708" w:footer="708" w:gutter="0"/>
          <w:cols w:space="708"/>
          <w:docGrid w:linePitch="360"/>
        </w:sectPr>
      </w:pPr>
      <w:r w:rsidRPr="009036BC">
        <w:t xml:space="preserve">The second part was focused on adult supratentorial IDH wt GBM patients who underwent resection and oncotherapy between June 2006 and June 2015 (n = 132). Patients were divided into three groups according to the </w:t>
      </w:r>
      <w:r w:rsidR="009E1C09" w:rsidRPr="009036BC">
        <w:t xml:space="preserve">treamet régime: with no therapy, treated by radiotherapy and treated with chemradiotherapy. Along with molecular cytogenetic characteristics the klinical data were obtained and statistically analyzed. </w:t>
      </w:r>
      <w:r w:rsidRPr="009036BC">
        <w:t>The group with only radiotherapy: Strong negative prognostic factors of OS such as 1q HCN, BCR HCN, and RB1 HCN were confirmed in this group and, furthermore 1q HCN and 22q12.2 HCN was found to be a significant negative prognostic factor of PFS. The group with chemoradiotherapy: Negative clinical factors in the chemoradio-therapy group were male gender, high Karnofsky score, older age, higher expression of Ki67, and 22q12.2 HCN status. On the other hand, genetic markers such as CCND1 HCN, 19q13 HCN, MDM2 HCN, and p53 HCN indicate a positive influence on both OS and PFS in the chemoradiotherapy group. The group with no therapy: Although the group of patients comprised only a small number of participants, male gender, smoking status, and CCND1 HCN were marked as negative prognostic factors in this group. All patient cohort: Male gender, RB1 HCN, and 22q12.2 were confirmed to be nega-tive prognostic markers in the group of all patients. On the contrary, EGFR1 HCN, p53 HCN, CCND1 HCN, and 19q13 HCN were positive prognostic factors.</w:t>
      </w:r>
    </w:p>
    <w:p w14:paraId="7DD661B3" w14:textId="242FFBB4" w:rsidR="002F539C" w:rsidRDefault="002F539C" w:rsidP="007C510A">
      <w:pPr>
        <w:pStyle w:val="Nadpis1"/>
        <w:ind w:left="0" w:hanging="76"/>
      </w:pPr>
      <w:bookmarkStart w:id="126" w:name="_Toc88741519"/>
      <w:r w:rsidRPr="001351CF">
        <w:t>Seznam obrázků a tabulek</w:t>
      </w:r>
      <w:bookmarkEnd w:id="126"/>
    </w:p>
    <w:p w14:paraId="1B9CBF46" w14:textId="6762ABBB" w:rsidR="001A0AFD" w:rsidRDefault="001A0AFD" w:rsidP="001A0AFD"/>
    <w:p w14:paraId="5DCA11E0" w14:textId="6593342E" w:rsidR="00D10B90" w:rsidRDefault="00306B65" w:rsidP="00FD6D74">
      <w:pPr>
        <w:pStyle w:val="Seznamobrzk"/>
        <w:tabs>
          <w:tab w:val="right" w:leader="dot" w:pos="9062"/>
        </w:tabs>
        <w:jc w:val="both"/>
        <w:rPr>
          <w:noProof/>
        </w:rPr>
      </w:pPr>
      <w:r>
        <w:fldChar w:fldCharType="begin"/>
      </w:r>
      <w:r>
        <w:instrText xml:space="preserve"> TOC \h \z \c "Obrázek" </w:instrText>
      </w:r>
      <w:r>
        <w:fldChar w:fldCharType="separate"/>
      </w:r>
      <w:hyperlink w:anchor="_Toc67162688" w:history="1">
        <w:r w:rsidR="00D10B90" w:rsidRPr="008F1D30">
          <w:rPr>
            <w:rStyle w:val="Hypertextovodkaz"/>
            <w:b/>
            <w:bCs/>
            <w:noProof/>
          </w:rPr>
          <w:t xml:space="preserve">Obrázek 1: </w:t>
        </w:r>
        <w:r w:rsidR="00D10B90" w:rsidRPr="008F1D30">
          <w:rPr>
            <w:rStyle w:val="Hypertextovodkaz"/>
            <w:noProof/>
          </w:rPr>
          <w:t>Celosvětová incidence nádorů CNS v přepočtu na 100 000 obyvatel. Převzato z originálu</w:t>
        </w:r>
        <w:r w:rsidR="00D10B90" w:rsidRPr="008F1D30">
          <w:rPr>
            <w:rStyle w:val="Hypertextovodkaz"/>
            <w:noProof/>
            <w:vertAlign w:val="superscript"/>
          </w:rPr>
          <w:t>3</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_Toc67162688 \h </w:instrText>
        </w:r>
        <w:r w:rsidR="00D10B90">
          <w:rPr>
            <w:noProof/>
            <w:webHidden/>
          </w:rPr>
        </w:r>
        <w:r w:rsidR="00D10B90">
          <w:rPr>
            <w:noProof/>
            <w:webHidden/>
          </w:rPr>
          <w:fldChar w:fldCharType="separate"/>
        </w:r>
        <w:r w:rsidR="00C43719">
          <w:rPr>
            <w:noProof/>
            <w:webHidden/>
          </w:rPr>
          <w:t>8</w:t>
        </w:r>
        <w:r w:rsidR="00D10B90">
          <w:rPr>
            <w:noProof/>
            <w:webHidden/>
          </w:rPr>
          <w:fldChar w:fldCharType="end"/>
        </w:r>
      </w:hyperlink>
    </w:p>
    <w:p w14:paraId="2C1CB7D6" w14:textId="1BA1B411" w:rsidR="00D10B90" w:rsidRDefault="00C43719" w:rsidP="00FD6D74">
      <w:pPr>
        <w:pStyle w:val="Seznamobrzk"/>
        <w:tabs>
          <w:tab w:val="right" w:leader="dot" w:pos="9062"/>
        </w:tabs>
        <w:jc w:val="both"/>
        <w:rPr>
          <w:noProof/>
        </w:rPr>
      </w:pPr>
      <w:hyperlink w:anchor="_Toc67162689" w:history="1">
        <w:r w:rsidR="00D10B90" w:rsidRPr="008F1D30">
          <w:rPr>
            <w:rStyle w:val="Hypertextovodkaz"/>
            <w:b/>
            <w:bCs/>
            <w:noProof/>
          </w:rPr>
          <w:t xml:space="preserve">Obrázek 2: </w:t>
        </w:r>
        <w:r w:rsidR="00D10B90" w:rsidRPr="008F1D30">
          <w:rPr>
            <w:rStyle w:val="Hypertextovodkaz"/>
            <w:noProof/>
          </w:rPr>
          <w:t>Míra přežití a distribuce jednotlivých difuzních nádorů dle doporučení WHO 2007 a aktualizace těchto dat dle WHO 2016. Převzato z originálu</w:t>
        </w:r>
        <w:r w:rsidR="00D10B90" w:rsidRPr="008F1D30">
          <w:rPr>
            <w:rStyle w:val="Hypertextovodkaz"/>
            <w:noProof/>
            <w:vertAlign w:val="superscript"/>
          </w:rPr>
          <w:t>13</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_Toc67162689 \h </w:instrText>
        </w:r>
        <w:r w:rsidR="00D10B90">
          <w:rPr>
            <w:noProof/>
            <w:webHidden/>
          </w:rPr>
        </w:r>
        <w:r w:rsidR="00D10B90">
          <w:rPr>
            <w:noProof/>
            <w:webHidden/>
          </w:rPr>
          <w:fldChar w:fldCharType="separate"/>
        </w:r>
        <w:r>
          <w:rPr>
            <w:noProof/>
            <w:webHidden/>
          </w:rPr>
          <w:t>9</w:t>
        </w:r>
        <w:r w:rsidR="00D10B90">
          <w:rPr>
            <w:noProof/>
            <w:webHidden/>
          </w:rPr>
          <w:fldChar w:fldCharType="end"/>
        </w:r>
      </w:hyperlink>
    </w:p>
    <w:p w14:paraId="64C55113" w14:textId="14FAB74A" w:rsidR="00D10B90" w:rsidRDefault="00C43719" w:rsidP="00FD6D74">
      <w:pPr>
        <w:pStyle w:val="Seznamobrzk"/>
        <w:tabs>
          <w:tab w:val="right" w:leader="dot" w:pos="9062"/>
        </w:tabs>
        <w:jc w:val="both"/>
        <w:rPr>
          <w:noProof/>
        </w:rPr>
      </w:pPr>
      <w:hyperlink w:anchor="_Toc67162690" w:history="1">
        <w:r w:rsidR="00D10B90" w:rsidRPr="008F1D30">
          <w:rPr>
            <w:rStyle w:val="Hypertextovodkaz"/>
            <w:b/>
            <w:bCs/>
            <w:noProof/>
          </w:rPr>
          <w:t xml:space="preserve">Obrázek 3: </w:t>
        </w:r>
        <w:r w:rsidR="00D10B90" w:rsidRPr="008F1D30">
          <w:rPr>
            <w:rStyle w:val="Hypertextovodkaz"/>
            <w:noProof/>
          </w:rPr>
          <w:t>Schéma Stuppova protokolu založeného na konkomitantní chemoradioterapii</w:t>
        </w:r>
        <w:r w:rsidR="00D10B90" w:rsidRPr="008F1D30">
          <w:rPr>
            <w:rStyle w:val="Hypertextovodkaz"/>
            <w:noProof/>
            <w:vertAlign w:val="superscript"/>
          </w:rPr>
          <w:t>33</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_Toc67162690 \h </w:instrText>
        </w:r>
        <w:r w:rsidR="00D10B90">
          <w:rPr>
            <w:noProof/>
            <w:webHidden/>
          </w:rPr>
        </w:r>
        <w:r w:rsidR="00D10B90">
          <w:rPr>
            <w:noProof/>
            <w:webHidden/>
          </w:rPr>
          <w:fldChar w:fldCharType="separate"/>
        </w:r>
        <w:r>
          <w:rPr>
            <w:noProof/>
            <w:webHidden/>
          </w:rPr>
          <w:t>12</w:t>
        </w:r>
        <w:r w:rsidR="00D10B90">
          <w:rPr>
            <w:noProof/>
            <w:webHidden/>
          </w:rPr>
          <w:fldChar w:fldCharType="end"/>
        </w:r>
      </w:hyperlink>
    </w:p>
    <w:p w14:paraId="00C438EC" w14:textId="15BB2B94" w:rsidR="00D10B90" w:rsidRDefault="00C43719" w:rsidP="00FD6D74">
      <w:pPr>
        <w:pStyle w:val="Seznamobrzk"/>
        <w:tabs>
          <w:tab w:val="right" w:leader="dot" w:pos="9062"/>
        </w:tabs>
        <w:jc w:val="both"/>
        <w:rPr>
          <w:noProof/>
        </w:rPr>
      </w:pPr>
      <w:hyperlink w:anchor="_Toc67162691" w:history="1">
        <w:r w:rsidR="00D10B90" w:rsidRPr="008F1D30">
          <w:rPr>
            <w:rStyle w:val="Hypertextovodkaz"/>
            <w:b/>
            <w:bCs/>
            <w:noProof/>
          </w:rPr>
          <w:t xml:space="preserve">Obrázek 4: </w:t>
        </w:r>
        <w:r w:rsidR="00D10B90" w:rsidRPr="008F1D30">
          <w:rPr>
            <w:rStyle w:val="Hypertextovodkaz"/>
            <w:noProof/>
          </w:rPr>
          <w:t xml:space="preserve">Klinický postup léčby </w:t>
        </w:r>
        <w:r w:rsidR="00D10B90" w:rsidRPr="008F1D30">
          <w:rPr>
            <w:rStyle w:val="Hypertextovodkaz"/>
            <w:i/>
            <w:iCs/>
            <w:noProof/>
          </w:rPr>
          <w:t>IDH</w:t>
        </w:r>
        <w:r w:rsidR="00D10B90" w:rsidRPr="008F1D30">
          <w:rPr>
            <w:rStyle w:val="Hypertextovodkaz"/>
            <w:noProof/>
          </w:rPr>
          <w:t xml:space="preserve"> mutovaných difuzních gliomů u dospělých. Upraveno dle </w:t>
        </w:r>
        <w:r w:rsidR="00D10B90" w:rsidRPr="008F1D30">
          <w:rPr>
            <w:rStyle w:val="Hypertextovodkaz"/>
            <w:noProof/>
            <w:vertAlign w:val="superscript"/>
          </w:rPr>
          <w:t>37</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_Toc67162691 \h </w:instrText>
        </w:r>
        <w:r w:rsidR="00D10B90">
          <w:rPr>
            <w:noProof/>
            <w:webHidden/>
          </w:rPr>
        </w:r>
        <w:r w:rsidR="00D10B90">
          <w:rPr>
            <w:noProof/>
            <w:webHidden/>
          </w:rPr>
          <w:fldChar w:fldCharType="separate"/>
        </w:r>
        <w:r>
          <w:rPr>
            <w:noProof/>
            <w:webHidden/>
          </w:rPr>
          <w:t>14</w:t>
        </w:r>
        <w:r w:rsidR="00D10B90">
          <w:rPr>
            <w:noProof/>
            <w:webHidden/>
          </w:rPr>
          <w:fldChar w:fldCharType="end"/>
        </w:r>
      </w:hyperlink>
    </w:p>
    <w:p w14:paraId="02C8623F" w14:textId="7B1776F2" w:rsidR="00D10B90" w:rsidRDefault="00C43719" w:rsidP="00FD6D74">
      <w:pPr>
        <w:pStyle w:val="Seznamobrzk"/>
        <w:tabs>
          <w:tab w:val="right" w:leader="dot" w:pos="9062"/>
        </w:tabs>
        <w:jc w:val="both"/>
        <w:rPr>
          <w:noProof/>
        </w:rPr>
      </w:pPr>
      <w:hyperlink w:anchor="_Toc67162692" w:history="1">
        <w:r w:rsidR="00D10B90" w:rsidRPr="008F1D30">
          <w:rPr>
            <w:rStyle w:val="Hypertextovodkaz"/>
            <w:b/>
            <w:bCs/>
            <w:noProof/>
          </w:rPr>
          <w:t xml:space="preserve">Obrázek 5: </w:t>
        </w:r>
        <w:r w:rsidR="00D10B90" w:rsidRPr="008F1D30">
          <w:rPr>
            <w:rStyle w:val="Hypertextovodkaz"/>
            <w:noProof/>
          </w:rPr>
          <w:t xml:space="preserve">Klinický postup léčby </w:t>
        </w:r>
        <w:r w:rsidR="00D10B90" w:rsidRPr="008F1D30">
          <w:rPr>
            <w:rStyle w:val="Hypertextovodkaz"/>
            <w:i/>
            <w:iCs/>
            <w:noProof/>
          </w:rPr>
          <w:t>IDH</w:t>
        </w:r>
        <w:r w:rsidR="00D10B90" w:rsidRPr="008F1D30">
          <w:rPr>
            <w:rStyle w:val="Hypertextovodkaz"/>
            <w:noProof/>
          </w:rPr>
          <w:t xml:space="preserve"> wild type difuzních gliomů u dospělých. Upraveno dle </w:t>
        </w:r>
        <w:r w:rsidR="00D10B90" w:rsidRPr="008F1D30">
          <w:rPr>
            <w:rStyle w:val="Hypertextovodkaz"/>
            <w:noProof/>
            <w:vertAlign w:val="superscript"/>
          </w:rPr>
          <w:t>37</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_Toc67162692 \h </w:instrText>
        </w:r>
        <w:r w:rsidR="00D10B90">
          <w:rPr>
            <w:noProof/>
            <w:webHidden/>
          </w:rPr>
        </w:r>
        <w:r w:rsidR="00D10B90">
          <w:rPr>
            <w:noProof/>
            <w:webHidden/>
          </w:rPr>
          <w:fldChar w:fldCharType="separate"/>
        </w:r>
        <w:r>
          <w:rPr>
            <w:noProof/>
            <w:webHidden/>
          </w:rPr>
          <w:t>14</w:t>
        </w:r>
        <w:r w:rsidR="00D10B90">
          <w:rPr>
            <w:noProof/>
            <w:webHidden/>
          </w:rPr>
          <w:fldChar w:fldCharType="end"/>
        </w:r>
      </w:hyperlink>
    </w:p>
    <w:p w14:paraId="5C6DBA51" w14:textId="4DE36748" w:rsidR="00D10B90" w:rsidRDefault="00C43719" w:rsidP="00FD6D74">
      <w:pPr>
        <w:pStyle w:val="Seznamobrzk"/>
        <w:tabs>
          <w:tab w:val="right" w:leader="dot" w:pos="9062"/>
        </w:tabs>
        <w:jc w:val="both"/>
        <w:rPr>
          <w:noProof/>
        </w:rPr>
      </w:pPr>
      <w:hyperlink w:anchor="_Toc67162693" w:history="1">
        <w:r w:rsidR="00D10B90" w:rsidRPr="008F1D30">
          <w:rPr>
            <w:rStyle w:val="Hypertextovodkaz"/>
            <w:b/>
            <w:bCs/>
            <w:noProof/>
          </w:rPr>
          <w:t xml:space="preserve">Obrázek 6: </w:t>
        </w:r>
        <w:r w:rsidR="00D10B90" w:rsidRPr="008F1D30">
          <w:rPr>
            <w:rStyle w:val="Hypertextovodkaz"/>
            <w:noProof/>
          </w:rPr>
          <w:t>Zjednodušený algoritmus klasifikace difuzních gliomů založených na histologii a genetických znacích. Převzato z originálu</w:t>
        </w:r>
        <w:r w:rsidR="00D10B90" w:rsidRPr="008F1D30">
          <w:rPr>
            <w:rStyle w:val="Hypertextovodkaz"/>
            <w:noProof/>
            <w:vertAlign w:val="superscript"/>
          </w:rPr>
          <w:t>12</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_Toc67162693 \h </w:instrText>
        </w:r>
        <w:r w:rsidR="00D10B90">
          <w:rPr>
            <w:noProof/>
            <w:webHidden/>
          </w:rPr>
        </w:r>
        <w:r w:rsidR="00D10B90">
          <w:rPr>
            <w:noProof/>
            <w:webHidden/>
          </w:rPr>
          <w:fldChar w:fldCharType="separate"/>
        </w:r>
        <w:r>
          <w:rPr>
            <w:noProof/>
            <w:webHidden/>
          </w:rPr>
          <w:t>17</w:t>
        </w:r>
        <w:r w:rsidR="00D10B90">
          <w:rPr>
            <w:noProof/>
            <w:webHidden/>
          </w:rPr>
          <w:fldChar w:fldCharType="end"/>
        </w:r>
      </w:hyperlink>
    </w:p>
    <w:p w14:paraId="789199F0" w14:textId="5ABCE559" w:rsidR="00D10B90" w:rsidRDefault="00C43719" w:rsidP="00FD6D74">
      <w:pPr>
        <w:pStyle w:val="Seznamobrzk"/>
        <w:tabs>
          <w:tab w:val="right" w:leader="dot" w:pos="9062"/>
        </w:tabs>
        <w:jc w:val="both"/>
        <w:rPr>
          <w:noProof/>
        </w:rPr>
      </w:pPr>
      <w:hyperlink w:anchor="_Toc67162694" w:history="1">
        <w:r w:rsidR="00D10B90" w:rsidRPr="008F1D30">
          <w:rPr>
            <w:rStyle w:val="Hypertextovodkaz"/>
            <w:b/>
            <w:bCs/>
            <w:noProof/>
          </w:rPr>
          <w:t xml:space="preserve">Obrázek 7: </w:t>
        </w:r>
        <w:r w:rsidR="00D10B90" w:rsidRPr="008F1D30">
          <w:rPr>
            <w:rStyle w:val="Hypertextovodkaz"/>
            <w:noProof/>
          </w:rPr>
          <w:t xml:space="preserve">Funkce IDH a jejich mutovaných variant v kontextu buněčných pochodů. Je znázorněna různá lokalizace jednotlivých IDH a komplexní efekt u mutované varianty </w:t>
        </w:r>
        <w:r w:rsidR="00D10B90" w:rsidRPr="008F1D30">
          <w:rPr>
            <w:rStyle w:val="Hypertextovodkaz"/>
            <w:i/>
            <w:iCs/>
            <w:noProof/>
          </w:rPr>
          <w:t>IDH1</w:t>
        </w:r>
        <w:r w:rsidR="00D10B90" w:rsidRPr="008F1D30">
          <w:rPr>
            <w:rStyle w:val="Hypertextovodkaz"/>
            <w:noProof/>
          </w:rPr>
          <w:t xml:space="preserve"> vs. wild type, kde skrz metabolické změny dochází k rozvoji tumorigeneze. Převzato z</w:t>
        </w:r>
        <w:r w:rsidR="00D10B90" w:rsidRPr="008F1D30">
          <w:rPr>
            <w:rStyle w:val="Hypertextovodkaz"/>
            <w:noProof/>
            <w:vertAlign w:val="superscript"/>
          </w:rPr>
          <w:t>76</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_Toc67162694 \h </w:instrText>
        </w:r>
        <w:r w:rsidR="00D10B90">
          <w:rPr>
            <w:noProof/>
            <w:webHidden/>
          </w:rPr>
        </w:r>
        <w:r w:rsidR="00D10B90">
          <w:rPr>
            <w:noProof/>
            <w:webHidden/>
          </w:rPr>
          <w:fldChar w:fldCharType="separate"/>
        </w:r>
        <w:r>
          <w:rPr>
            <w:noProof/>
            <w:webHidden/>
          </w:rPr>
          <w:t>22</w:t>
        </w:r>
        <w:r w:rsidR="00D10B90">
          <w:rPr>
            <w:noProof/>
            <w:webHidden/>
          </w:rPr>
          <w:fldChar w:fldCharType="end"/>
        </w:r>
      </w:hyperlink>
    </w:p>
    <w:p w14:paraId="04CB7BFC" w14:textId="669035B6" w:rsidR="00D10B90" w:rsidRDefault="00C43719" w:rsidP="00FD6D74">
      <w:pPr>
        <w:pStyle w:val="Seznamobrzk"/>
        <w:tabs>
          <w:tab w:val="right" w:leader="dot" w:pos="9062"/>
        </w:tabs>
        <w:jc w:val="both"/>
        <w:rPr>
          <w:noProof/>
        </w:rPr>
      </w:pPr>
      <w:hyperlink w:anchor="_Toc67162695" w:history="1">
        <w:r w:rsidR="00D10B90" w:rsidRPr="008F1D30">
          <w:rPr>
            <w:rStyle w:val="Hypertextovodkaz"/>
            <w:b/>
            <w:bCs/>
            <w:noProof/>
          </w:rPr>
          <w:t xml:space="preserve">Obrázek 8: </w:t>
        </w:r>
        <w:r w:rsidR="00D10B90" w:rsidRPr="008F1D30">
          <w:rPr>
            <w:rStyle w:val="Hypertextovodkaz"/>
            <w:noProof/>
          </w:rPr>
          <w:t xml:space="preserve">Jednotlivé varianty mutací IDH1 a IDH2 spolu s jejich A) frekvencemi a B) mutace kodonu 132 u </w:t>
        </w:r>
        <w:r w:rsidR="00D10B90" w:rsidRPr="008F1D30">
          <w:rPr>
            <w:rStyle w:val="Hypertextovodkaz"/>
            <w:i/>
            <w:iCs/>
            <w:noProof/>
          </w:rPr>
          <w:t>IDH1</w:t>
        </w:r>
        <w:r w:rsidR="00D10B90" w:rsidRPr="008F1D30">
          <w:rPr>
            <w:rStyle w:val="Hypertextovodkaz"/>
            <w:noProof/>
          </w:rPr>
          <w:t xml:space="preserve"> a kodonu 172 u </w:t>
        </w:r>
        <w:r w:rsidR="00D10B90" w:rsidRPr="008F1D30">
          <w:rPr>
            <w:rStyle w:val="Hypertextovodkaz"/>
            <w:i/>
            <w:iCs/>
            <w:noProof/>
          </w:rPr>
          <w:t>IDH2</w:t>
        </w:r>
        <w:r w:rsidR="00D10B90" w:rsidRPr="008F1D30">
          <w:rPr>
            <w:rStyle w:val="Hypertextovodkaz"/>
            <w:noProof/>
          </w:rPr>
          <w:t>. Převzato z</w:t>
        </w:r>
        <w:r w:rsidR="00D10B90" w:rsidRPr="008F1D30">
          <w:rPr>
            <w:rStyle w:val="Hypertextovodkaz"/>
            <w:noProof/>
            <w:vertAlign w:val="superscript"/>
          </w:rPr>
          <w:t>78</w:t>
        </w:r>
        <w:r w:rsidR="00D10B90" w:rsidRPr="008F1D30">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_Toc67162695 \h </w:instrText>
        </w:r>
        <w:r w:rsidR="00D10B90">
          <w:rPr>
            <w:noProof/>
            <w:webHidden/>
          </w:rPr>
        </w:r>
        <w:r w:rsidR="00D10B90">
          <w:rPr>
            <w:noProof/>
            <w:webHidden/>
          </w:rPr>
          <w:fldChar w:fldCharType="separate"/>
        </w:r>
        <w:r>
          <w:rPr>
            <w:noProof/>
            <w:webHidden/>
          </w:rPr>
          <w:t>23</w:t>
        </w:r>
        <w:r w:rsidR="00D10B90">
          <w:rPr>
            <w:noProof/>
            <w:webHidden/>
          </w:rPr>
          <w:fldChar w:fldCharType="end"/>
        </w:r>
      </w:hyperlink>
    </w:p>
    <w:p w14:paraId="0D602653" w14:textId="7BFD8C05" w:rsidR="00D10B90" w:rsidRDefault="00C43719" w:rsidP="00FD6D74">
      <w:pPr>
        <w:pStyle w:val="Seznamobrzk"/>
        <w:tabs>
          <w:tab w:val="right" w:leader="dot" w:pos="9062"/>
        </w:tabs>
        <w:jc w:val="both"/>
        <w:rPr>
          <w:noProof/>
        </w:rPr>
      </w:pPr>
      <w:hyperlink w:anchor="_Toc67162696" w:history="1">
        <w:r w:rsidR="00D10B90" w:rsidRPr="008F1D30">
          <w:rPr>
            <w:rStyle w:val="Hypertextovodkaz"/>
            <w:b/>
            <w:bCs/>
            <w:noProof/>
          </w:rPr>
          <w:t xml:space="preserve">Obrázek 9: </w:t>
        </w:r>
        <w:r w:rsidR="00D10B90" w:rsidRPr="008F1D30">
          <w:rPr>
            <w:rStyle w:val="Hypertextovodkaz"/>
            <w:noProof/>
          </w:rPr>
          <w:t>Stratifikace kohorty pacientů založená na léčebné modalitě spolu s detaily u aplikované léčby.</w:t>
        </w:r>
        <w:r w:rsidR="00D10B90">
          <w:rPr>
            <w:noProof/>
            <w:webHidden/>
          </w:rPr>
          <w:tab/>
        </w:r>
        <w:r w:rsidR="00D10B90">
          <w:rPr>
            <w:noProof/>
            <w:webHidden/>
          </w:rPr>
          <w:fldChar w:fldCharType="begin"/>
        </w:r>
        <w:r w:rsidR="00D10B90">
          <w:rPr>
            <w:noProof/>
            <w:webHidden/>
          </w:rPr>
          <w:instrText xml:space="preserve"> PAGEREF _Toc67162696 \h </w:instrText>
        </w:r>
        <w:r w:rsidR="00D10B90">
          <w:rPr>
            <w:noProof/>
            <w:webHidden/>
          </w:rPr>
        </w:r>
        <w:r w:rsidR="00D10B90">
          <w:rPr>
            <w:noProof/>
            <w:webHidden/>
          </w:rPr>
          <w:fldChar w:fldCharType="separate"/>
        </w:r>
        <w:r>
          <w:rPr>
            <w:noProof/>
            <w:webHidden/>
          </w:rPr>
          <w:t>43</w:t>
        </w:r>
        <w:r w:rsidR="00D10B90">
          <w:rPr>
            <w:noProof/>
            <w:webHidden/>
          </w:rPr>
          <w:fldChar w:fldCharType="end"/>
        </w:r>
      </w:hyperlink>
    </w:p>
    <w:p w14:paraId="3CAB0556" w14:textId="75B977A1" w:rsidR="00D10B90" w:rsidRDefault="00C43719" w:rsidP="00FD6D74">
      <w:pPr>
        <w:pStyle w:val="Seznamobrzk"/>
        <w:tabs>
          <w:tab w:val="right" w:leader="dot" w:pos="9062"/>
        </w:tabs>
        <w:jc w:val="both"/>
        <w:rPr>
          <w:noProof/>
        </w:rPr>
      </w:pPr>
      <w:hyperlink r:id="rId23" w:anchor="_Toc67162697" w:history="1">
        <w:r w:rsidR="00D10B90" w:rsidRPr="008F1D30">
          <w:rPr>
            <w:rStyle w:val="Hypertextovodkaz"/>
            <w:b/>
            <w:bCs/>
            <w:noProof/>
          </w:rPr>
          <w:t xml:space="preserve">Obrázek 10: </w:t>
        </w:r>
        <w:r w:rsidR="00D10B90" w:rsidRPr="008F1D30">
          <w:rPr>
            <w:rStyle w:val="Hypertextovodkaz"/>
            <w:noProof/>
          </w:rPr>
          <w:t>Výsledky multivariátního Coxova modelu proporčních rizik pro OS u studovaných proměnných (vybrané klinické faktory a molekulární markery) ve skupinách dle terapie, vyjádřeno poměrem rizik (bod – bodový odhad, úsečka koresponduje s 95 % intervalem spolehlivost; v případě většího intervalu je použita šipka) pro každou hladinu uvedených faktorů. Referenční kategorie je označena jako “(ref.)”. Každý faktor byl analyzován v separátním modelu s adjustací na kategorie věku a Karnofského skóre. Signifikantní výsledky (p&lt;0.05) jsou vyznačeny červeně; tečkovaná linie označuje poměr rizik roven 1.</w:t>
        </w:r>
        <w:r w:rsidR="00D10B90">
          <w:rPr>
            <w:noProof/>
            <w:webHidden/>
          </w:rPr>
          <w:tab/>
        </w:r>
        <w:r w:rsidR="00D10B90">
          <w:rPr>
            <w:noProof/>
            <w:webHidden/>
          </w:rPr>
          <w:fldChar w:fldCharType="begin"/>
        </w:r>
        <w:r w:rsidR="00D10B90">
          <w:rPr>
            <w:noProof/>
            <w:webHidden/>
          </w:rPr>
          <w:instrText xml:space="preserve"> PAGEREF _Toc67162697 \h </w:instrText>
        </w:r>
        <w:r w:rsidR="00D10B90">
          <w:rPr>
            <w:noProof/>
            <w:webHidden/>
          </w:rPr>
        </w:r>
        <w:r w:rsidR="00D10B90">
          <w:rPr>
            <w:noProof/>
            <w:webHidden/>
          </w:rPr>
          <w:fldChar w:fldCharType="separate"/>
        </w:r>
        <w:r>
          <w:rPr>
            <w:noProof/>
            <w:webHidden/>
          </w:rPr>
          <w:t>50</w:t>
        </w:r>
        <w:r w:rsidR="00D10B90">
          <w:rPr>
            <w:noProof/>
            <w:webHidden/>
          </w:rPr>
          <w:fldChar w:fldCharType="end"/>
        </w:r>
      </w:hyperlink>
    </w:p>
    <w:p w14:paraId="07F87D27" w14:textId="1E8A0AE0" w:rsidR="00D10B90" w:rsidRDefault="00C43719" w:rsidP="00FD6D74">
      <w:pPr>
        <w:pStyle w:val="Seznamobrzk"/>
        <w:tabs>
          <w:tab w:val="right" w:leader="dot" w:pos="9062"/>
        </w:tabs>
        <w:jc w:val="both"/>
        <w:rPr>
          <w:noProof/>
        </w:rPr>
      </w:pPr>
      <w:hyperlink r:id="rId24" w:anchor="_Toc67162698" w:history="1">
        <w:r w:rsidR="00D10B90" w:rsidRPr="008F1D30">
          <w:rPr>
            <w:rStyle w:val="Hypertextovodkaz"/>
            <w:b/>
            <w:bCs/>
            <w:noProof/>
          </w:rPr>
          <w:t xml:space="preserve">Obrázek 11:  </w:t>
        </w:r>
        <w:r w:rsidR="00D10B90" w:rsidRPr="008F1D30">
          <w:rPr>
            <w:rStyle w:val="Hypertextovodkaz"/>
            <w:noProof/>
          </w:rPr>
          <w:t>Výsledky multivariátního Coxova modelu proporčních rizik pro PFS u studovaných proměnných (vybrané klinické faktory a molekulární markery) ve skupinách dle terapie, vyjádřeno poměrem rizik (bod – bodový odhad, úsečka koresponduje s 95 % intervalem spolehlivost; v případě většího intervalu je použita šipka) pro každou hladinu uvedených faktorů. Referenční kategorie je označena jako “(ref.)”. Každý faktor byl analyzován v separátním modelu s adjustací na kategorie věku a Karnofského skóre. Signifikantní výsledky (p&lt;0.05) jsou vyznačeny červeně; tečkovaná linie označuje poměr rizik roven 1.</w:t>
        </w:r>
        <w:r w:rsidR="00D10B90">
          <w:rPr>
            <w:noProof/>
            <w:webHidden/>
          </w:rPr>
          <w:tab/>
        </w:r>
        <w:r w:rsidR="00D10B90">
          <w:rPr>
            <w:noProof/>
            <w:webHidden/>
          </w:rPr>
          <w:fldChar w:fldCharType="begin"/>
        </w:r>
        <w:r w:rsidR="00D10B90">
          <w:rPr>
            <w:noProof/>
            <w:webHidden/>
          </w:rPr>
          <w:instrText xml:space="preserve"> PAGEREF _Toc67162698 \h </w:instrText>
        </w:r>
        <w:r w:rsidR="00D10B90">
          <w:rPr>
            <w:noProof/>
            <w:webHidden/>
          </w:rPr>
        </w:r>
        <w:r w:rsidR="00D10B90">
          <w:rPr>
            <w:noProof/>
            <w:webHidden/>
          </w:rPr>
          <w:fldChar w:fldCharType="separate"/>
        </w:r>
        <w:r>
          <w:rPr>
            <w:noProof/>
            <w:webHidden/>
          </w:rPr>
          <w:t>51</w:t>
        </w:r>
        <w:r w:rsidR="00D10B90">
          <w:rPr>
            <w:noProof/>
            <w:webHidden/>
          </w:rPr>
          <w:fldChar w:fldCharType="end"/>
        </w:r>
      </w:hyperlink>
    </w:p>
    <w:p w14:paraId="4F6313D4" w14:textId="62E5EA87" w:rsidR="001A0AFD" w:rsidRDefault="00306B65" w:rsidP="00FD6D74">
      <w:pPr>
        <w:jc w:val="both"/>
      </w:pPr>
      <w:r>
        <w:fldChar w:fldCharType="end"/>
      </w:r>
    </w:p>
    <w:p w14:paraId="33063020" w14:textId="35870BF6" w:rsidR="00D10B90" w:rsidRDefault="009D5866" w:rsidP="00FD6D74">
      <w:pPr>
        <w:pStyle w:val="Seznamobrzk"/>
        <w:tabs>
          <w:tab w:val="right" w:leader="dot" w:pos="9062"/>
        </w:tabs>
        <w:jc w:val="both"/>
        <w:rPr>
          <w:noProof/>
        </w:rPr>
      </w:pPr>
      <w:r>
        <w:fldChar w:fldCharType="begin"/>
      </w:r>
      <w:r>
        <w:instrText xml:space="preserve"> TOC \h \z \c "Tabulka" </w:instrText>
      </w:r>
      <w:r>
        <w:fldChar w:fldCharType="separate"/>
      </w:r>
      <w:hyperlink w:anchor="_Toc67162699" w:history="1">
        <w:r w:rsidR="00D10B90" w:rsidRPr="00703314">
          <w:rPr>
            <w:rStyle w:val="Hypertextovodkaz"/>
            <w:b/>
            <w:bCs/>
            <w:noProof/>
          </w:rPr>
          <w:t xml:space="preserve">Tabulka 1: </w:t>
        </w:r>
        <w:r w:rsidR="00D10B90" w:rsidRPr="00703314">
          <w:rPr>
            <w:rStyle w:val="Hypertextovodkaz"/>
            <w:noProof/>
          </w:rPr>
          <w:t>Projekty experimentální léčby GBM, shrnuto podle</w:t>
        </w:r>
        <w:r w:rsidR="00D10B90" w:rsidRPr="00703314">
          <w:rPr>
            <w:rStyle w:val="Hypertextovodkaz"/>
            <w:noProof/>
            <w:vertAlign w:val="superscript"/>
          </w:rPr>
          <w:t>36</w:t>
        </w:r>
        <w:r w:rsidR="00D10B90" w:rsidRPr="00703314">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_Toc67162699 \h </w:instrText>
        </w:r>
        <w:r w:rsidR="00D10B90">
          <w:rPr>
            <w:noProof/>
            <w:webHidden/>
          </w:rPr>
        </w:r>
        <w:r w:rsidR="00D10B90">
          <w:rPr>
            <w:noProof/>
            <w:webHidden/>
          </w:rPr>
          <w:fldChar w:fldCharType="separate"/>
        </w:r>
        <w:r w:rsidR="00C43719">
          <w:rPr>
            <w:noProof/>
            <w:webHidden/>
          </w:rPr>
          <w:t>12</w:t>
        </w:r>
        <w:r w:rsidR="00D10B90">
          <w:rPr>
            <w:noProof/>
            <w:webHidden/>
          </w:rPr>
          <w:fldChar w:fldCharType="end"/>
        </w:r>
      </w:hyperlink>
    </w:p>
    <w:p w14:paraId="0F71025C" w14:textId="4883EE52" w:rsidR="00D10B90" w:rsidRDefault="00C43719" w:rsidP="00FD6D74">
      <w:pPr>
        <w:pStyle w:val="Seznamobrzk"/>
        <w:tabs>
          <w:tab w:val="right" w:leader="dot" w:pos="9062"/>
        </w:tabs>
        <w:jc w:val="both"/>
        <w:rPr>
          <w:noProof/>
        </w:rPr>
      </w:pPr>
      <w:hyperlink w:anchor="_Toc67162700" w:history="1">
        <w:r w:rsidR="00D10B90" w:rsidRPr="00703314">
          <w:rPr>
            <w:rStyle w:val="Hypertextovodkaz"/>
            <w:b/>
            <w:bCs/>
            <w:noProof/>
          </w:rPr>
          <w:t xml:space="preserve">Tabulka 2: </w:t>
        </w:r>
        <w:r w:rsidR="00D10B90" w:rsidRPr="00703314">
          <w:rPr>
            <w:rStyle w:val="Hypertextovodkaz"/>
            <w:noProof/>
          </w:rPr>
          <w:t>Klasifikace, grade a kód morfologie dle WHO 2016.</w:t>
        </w:r>
        <w:r w:rsidR="00D10B90">
          <w:rPr>
            <w:noProof/>
            <w:webHidden/>
          </w:rPr>
          <w:tab/>
        </w:r>
        <w:r w:rsidR="00D10B90">
          <w:rPr>
            <w:noProof/>
            <w:webHidden/>
          </w:rPr>
          <w:fldChar w:fldCharType="begin"/>
        </w:r>
        <w:r w:rsidR="00D10B90">
          <w:rPr>
            <w:noProof/>
            <w:webHidden/>
          </w:rPr>
          <w:instrText xml:space="preserve"> PAGEREF _Toc67162700 \h </w:instrText>
        </w:r>
        <w:r w:rsidR="00D10B90">
          <w:rPr>
            <w:noProof/>
            <w:webHidden/>
          </w:rPr>
        </w:r>
        <w:r w:rsidR="00D10B90">
          <w:rPr>
            <w:noProof/>
            <w:webHidden/>
          </w:rPr>
          <w:fldChar w:fldCharType="separate"/>
        </w:r>
        <w:r>
          <w:rPr>
            <w:noProof/>
            <w:webHidden/>
          </w:rPr>
          <w:t>16</w:t>
        </w:r>
        <w:r w:rsidR="00D10B90">
          <w:rPr>
            <w:noProof/>
            <w:webHidden/>
          </w:rPr>
          <w:fldChar w:fldCharType="end"/>
        </w:r>
      </w:hyperlink>
    </w:p>
    <w:p w14:paraId="7D7448E1" w14:textId="15013B78" w:rsidR="00D10B90" w:rsidRDefault="00C43719" w:rsidP="00FD6D74">
      <w:pPr>
        <w:pStyle w:val="Seznamobrzk"/>
        <w:tabs>
          <w:tab w:val="right" w:leader="dot" w:pos="9062"/>
        </w:tabs>
        <w:jc w:val="both"/>
        <w:rPr>
          <w:noProof/>
        </w:rPr>
      </w:pPr>
      <w:hyperlink w:anchor="_Toc67162701" w:history="1">
        <w:r w:rsidR="00D10B90" w:rsidRPr="00703314">
          <w:rPr>
            <w:rStyle w:val="Hypertextovodkaz"/>
            <w:b/>
            <w:bCs/>
            <w:noProof/>
          </w:rPr>
          <w:t xml:space="preserve">Tabulka 3: </w:t>
        </w:r>
        <w:r w:rsidR="00D10B90" w:rsidRPr="00703314">
          <w:rPr>
            <w:rStyle w:val="Hypertextovodkaz"/>
            <w:noProof/>
          </w:rPr>
          <w:t xml:space="preserve">Nejčastější nalezené změny u jednotlivých subtypů difuzních astrocytárních a oligodendrogliálních   nádorů dle WHO 2016 klasifikace. Upraveno dle </w:t>
        </w:r>
        <w:r w:rsidR="00D10B90" w:rsidRPr="00703314">
          <w:rPr>
            <w:rStyle w:val="Hypertextovodkaz"/>
            <w:noProof/>
            <w:vertAlign w:val="superscript"/>
          </w:rPr>
          <w:t>210</w:t>
        </w:r>
        <w:r w:rsidR="00D10B90" w:rsidRPr="00703314">
          <w:rPr>
            <w:rStyle w:val="Hypertextovodkaz"/>
            <w:noProof/>
          </w:rPr>
          <w:t>.</w:t>
        </w:r>
        <w:r w:rsidR="00D10B90">
          <w:rPr>
            <w:noProof/>
            <w:webHidden/>
          </w:rPr>
          <w:tab/>
        </w:r>
        <w:r w:rsidR="00D10B90">
          <w:rPr>
            <w:noProof/>
            <w:webHidden/>
          </w:rPr>
          <w:fldChar w:fldCharType="begin"/>
        </w:r>
        <w:r w:rsidR="00D10B90">
          <w:rPr>
            <w:noProof/>
            <w:webHidden/>
          </w:rPr>
          <w:instrText xml:space="preserve"> PAGEREF _Toc67162701 \h </w:instrText>
        </w:r>
        <w:r w:rsidR="00D10B90">
          <w:rPr>
            <w:noProof/>
            <w:webHidden/>
          </w:rPr>
        </w:r>
        <w:r w:rsidR="00D10B90">
          <w:rPr>
            <w:noProof/>
            <w:webHidden/>
          </w:rPr>
          <w:fldChar w:fldCharType="separate"/>
        </w:r>
        <w:r>
          <w:rPr>
            <w:noProof/>
            <w:webHidden/>
          </w:rPr>
          <w:t>31</w:t>
        </w:r>
        <w:r w:rsidR="00D10B90">
          <w:rPr>
            <w:noProof/>
            <w:webHidden/>
          </w:rPr>
          <w:fldChar w:fldCharType="end"/>
        </w:r>
      </w:hyperlink>
    </w:p>
    <w:p w14:paraId="711CC830" w14:textId="6DDDD3E8" w:rsidR="00D10B90" w:rsidRDefault="00C43719" w:rsidP="00FD6D74">
      <w:pPr>
        <w:pStyle w:val="Seznamobrzk"/>
        <w:tabs>
          <w:tab w:val="right" w:leader="dot" w:pos="9062"/>
        </w:tabs>
        <w:jc w:val="both"/>
        <w:rPr>
          <w:noProof/>
        </w:rPr>
      </w:pPr>
      <w:hyperlink w:anchor="_Toc67162702" w:history="1">
        <w:r w:rsidR="00D10B90" w:rsidRPr="00703314">
          <w:rPr>
            <w:rStyle w:val="Hypertextovodkaz"/>
            <w:b/>
            <w:bCs/>
            <w:noProof/>
          </w:rPr>
          <w:t xml:space="preserve">Tabulka 4: </w:t>
        </w:r>
        <w:r w:rsidR="00D10B90" w:rsidRPr="00703314">
          <w:rPr>
            <w:rStyle w:val="Hypertextovodkaz"/>
            <w:rFonts w:cstheme="minorHAnsi"/>
            <w:noProof/>
            <w:lang w:val="en-GB"/>
          </w:rPr>
          <w:t xml:space="preserve">Primery použité pro amplifikaci </w:t>
        </w:r>
        <w:r w:rsidR="00D10B90" w:rsidRPr="00703314">
          <w:rPr>
            <w:rStyle w:val="Hypertextovodkaz"/>
            <w:rFonts w:cstheme="minorHAnsi"/>
            <w:i/>
            <w:noProof/>
            <w:lang w:val="en-GB"/>
          </w:rPr>
          <w:t xml:space="preserve">IDH1 </w:t>
        </w:r>
        <w:r w:rsidR="00D10B90" w:rsidRPr="00703314">
          <w:rPr>
            <w:rStyle w:val="Hypertextovodkaz"/>
            <w:rFonts w:cstheme="minorHAnsi"/>
            <w:iCs/>
            <w:noProof/>
            <w:lang w:val="en-GB"/>
          </w:rPr>
          <w:t>R132 a</w:t>
        </w:r>
        <w:r w:rsidR="00D10B90" w:rsidRPr="00703314">
          <w:rPr>
            <w:rStyle w:val="Hypertextovodkaz"/>
            <w:rFonts w:cstheme="minorHAnsi"/>
            <w:i/>
            <w:noProof/>
            <w:lang w:val="en-GB"/>
          </w:rPr>
          <w:t xml:space="preserve"> IDH2</w:t>
        </w:r>
        <w:r w:rsidR="00D10B90" w:rsidRPr="00703314">
          <w:rPr>
            <w:rStyle w:val="Hypertextovodkaz"/>
            <w:rFonts w:cstheme="minorHAnsi"/>
            <w:iCs/>
            <w:noProof/>
            <w:lang w:val="en-GB"/>
          </w:rPr>
          <w:t xml:space="preserve"> R172</w:t>
        </w:r>
        <w:r w:rsidR="00D10B90" w:rsidRPr="00703314">
          <w:rPr>
            <w:rStyle w:val="Hypertextovodkaz"/>
            <w:rFonts w:cstheme="minorHAnsi"/>
            <w:noProof/>
            <w:lang w:val="en-GB"/>
          </w:rPr>
          <w:t xml:space="preserve"> při použití metody Nextera XT.</w:t>
        </w:r>
        <w:r w:rsidR="00D10B90">
          <w:rPr>
            <w:noProof/>
            <w:webHidden/>
          </w:rPr>
          <w:tab/>
        </w:r>
        <w:r w:rsidR="00D10B90">
          <w:rPr>
            <w:noProof/>
            <w:webHidden/>
          </w:rPr>
          <w:fldChar w:fldCharType="begin"/>
        </w:r>
        <w:r w:rsidR="00D10B90">
          <w:rPr>
            <w:noProof/>
            <w:webHidden/>
          </w:rPr>
          <w:instrText xml:space="preserve"> PAGEREF _Toc67162702 \h </w:instrText>
        </w:r>
        <w:r w:rsidR="00D10B90">
          <w:rPr>
            <w:noProof/>
            <w:webHidden/>
          </w:rPr>
        </w:r>
        <w:r w:rsidR="00D10B90">
          <w:rPr>
            <w:noProof/>
            <w:webHidden/>
          </w:rPr>
          <w:fldChar w:fldCharType="separate"/>
        </w:r>
        <w:r>
          <w:rPr>
            <w:noProof/>
            <w:webHidden/>
          </w:rPr>
          <w:t>36</w:t>
        </w:r>
        <w:r w:rsidR="00D10B90">
          <w:rPr>
            <w:noProof/>
            <w:webHidden/>
          </w:rPr>
          <w:fldChar w:fldCharType="end"/>
        </w:r>
      </w:hyperlink>
    </w:p>
    <w:p w14:paraId="7838BB5E" w14:textId="07C842B2" w:rsidR="00D10B90" w:rsidRDefault="00C43719" w:rsidP="00FD6D74">
      <w:pPr>
        <w:pStyle w:val="Seznamobrzk"/>
        <w:tabs>
          <w:tab w:val="right" w:leader="dot" w:pos="9062"/>
        </w:tabs>
        <w:jc w:val="both"/>
        <w:rPr>
          <w:noProof/>
        </w:rPr>
      </w:pPr>
      <w:hyperlink w:anchor="_Toc67162703" w:history="1">
        <w:r w:rsidR="00D10B90" w:rsidRPr="00703314">
          <w:rPr>
            <w:rStyle w:val="Hypertextovodkaz"/>
            <w:b/>
            <w:bCs/>
            <w:noProof/>
          </w:rPr>
          <w:t xml:space="preserve">Tabulka 5: </w:t>
        </w:r>
        <w:r w:rsidR="00D10B90" w:rsidRPr="00703314">
          <w:rPr>
            <w:rStyle w:val="Hypertextovodkaz"/>
            <w:rFonts w:cstheme="minorHAnsi"/>
            <w:noProof/>
            <w:lang w:val="en-GB"/>
          </w:rPr>
          <w:t>Histologické subtypy difuzních gliomů zahrnutých do studie jednoho centra provedenou mezi roky 2011 – 2017 a charakteristika jednotlivých podskupin.</w:t>
        </w:r>
        <w:r w:rsidR="00D10B90">
          <w:rPr>
            <w:noProof/>
            <w:webHidden/>
          </w:rPr>
          <w:tab/>
        </w:r>
        <w:r w:rsidR="00D10B90">
          <w:rPr>
            <w:noProof/>
            <w:webHidden/>
          </w:rPr>
          <w:fldChar w:fldCharType="begin"/>
        </w:r>
        <w:r w:rsidR="00D10B90">
          <w:rPr>
            <w:noProof/>
            <w:webHidden/>
          </w:rPr>
          <w:instrText xml:space="preserve"> PAGEREF _Toc67162703 \h </w:instrText>
        </w:r>
        <w:r w:rsidR="00D10B90">
          <w:rPr>
            <w:noProof/>
            <w:webHidden/>
          </w:rPr>
        </w:r>
        <w:r w:rsidR="00D10B90">
          <w:rPr>
            <w:noProof/>
            <w:webHidden/>
          </w:rPr>
          <w:fldChar w:fldCharType="separate"/>
        </w:r>
        <w:r>
          <w:rPr>
            <w:noProof/>
            <w:webHidden/>
          </w:rPr>
          <w:t>36</w:t>
        </w:r>
        <w:r w:rsidR="00D10B90">
          <w:rPr>
            <w:noProof/>
            <w:webHidden/>
          </w:rPr>
          <w:fldChar w:fldCharType="end"/>
        </w:r>
      </w:hyperlink>
    </w:p>
    <w:p w14:paraId="3378EE93" w14:textId="014003A7" w:rsidR="00D10B90" w:rsidRDefault="00C43719" w:rsidP="00FD6D74">
      <w:pPr>
        <w:pStyle w:val="Seznamobrzk"/>
        <w:tabs>
          <w:tab w:val="right" w:leader="dot" w:pos="9062"/>
        </w:tabs>
        <w:jc w:val="both"/>
        <w:rPr>
          <w:noProof/>
        </w:rPr>
      </w:pPr>
      <w:hyperlink w:anchor="_Toc67162704" w:history="1">
        <w:r w:rsidR="00D10B90" w:rsidRPr="00703314">
          <w:rPr>
            <w:rStyle w:val="Hypertextovodkaz"/>
            <w:b/>
            <w:bCs/>
            <w:noProof/>
          </w:rPr>
          <w:t xml:space="preserve">Tabulka 6: </w:t>
        </w:r>
        <w:r w:rsidR="00D10B90" w:rsidRPr="00703314">
          <w:rPr>
            <w:rStyle w:val="Hypertextovodkaz"/>
            <w:noProof/>
          </w:rPr>
          <w:t>Charakteristika pacientů a výsledky genotypizace získané metodami FastIDH method a Nextera XT Library Prep Kit.</w:t>
        </w:r>
        <w:r w:rsidR="00D10B90">
          <w:rPr>
            <w:noProof/>
            <w:webHidden/>
          </w:rPr>
          <w:tab/>
        </w:r>
        <w:r w:rsidR="00D10B90">
          <w:rPr>
            <w:noProof/>
            <w:webHidden/>
          </w:rPr>
          <w:fldChar w:fldCharType="begin"/>
        </w:r>
        <w:r w:rsidR="00D10B90">
          <w:rPr>
            <w:noProof/>
            <w:webHidden/>
          </w:rPr>
          <w:instrText xml:space="preserve"> PAGEREF _Toc67162704 \h </w:instrText>
        </w:r>
        <w:r w:rsidR="00D10B90">
          <w:rPr>
            <w:noProof/>
            <w:webHidden/>
          </w:rPr>
        </w:r>
        <w:r w:rsidR="00D10B90">
          <w:rPr>
            <w:noProof/>
            <w:webHidden/>
          </w:rPr>
          <w:fldChar w:fldCharType="separate"/>
        </w:r>
        <w:r>
          <w:rPr>
            <w:noProof/>
            <w:webHidden/>
          </w:rPr>
          <w:t>37</w:t>
        </w:r>
        <w:r w:rsidR="00D10B90">
          <w:rPr>
            <w:noProof/>
            <w:webHidden/>
          </w:rPr>
          <w:fldChar w:fldCharType="end"/>
        </w:r>
      </w:hyperlink>
    </w:p>
    <w:p w14:paraId="416546C2" w14:textId="0DC4F422" w:rsidR="00D10B90" w:rsidRDefault="00C43719" w:rsidP="00FD6D74">
      <w:pPr>
        <w:pStyle w:val="Seznamobrzk"/>
        <w:tabs>
          <w:tab w:val="right" w:leader="dot" w:pos="9062"/>
        </w:tabs>
        <w:jc w:val="both"/>
        <w:rPr>
          <w:noProof/>
        </w:rPr>
      </w:pPr>
      <w:hyperlink w:anchor="_Toc67162705" w:history="1">
        <w:r w:rsidR="00D10B90" w:rsidRPr="00703314">
          <w:rPr>
            <w:rStyle w:val="Hypertextovodkaz"/>
            <w:b/>
            <w:bCs/>
            <w:noProof/>
          </w:rPr>
          <w:t xml:space="preserve">Tabulka 7: </w:t>
        </w:r>
        <w:r w:rsidR="00FD6D74" w:rsidRPr="00FD6D74">
          <w:rPr>
            <w:rStyle w:val="Hypertextovodkaz"/>
            <w:rFonts w:cstheme="minorHAnsi"/>
            <w:noProof/>
          </w:rPr>
          <w:t>Kontrola kvality fast IDH assaye, byla použita data ze tří nezávislých běhů. Jako negativní kontrola byla použita ultrazvukově fragmentovaná DNA vyizolovaná z krve s mediánem velikosti fragmentace &lt;100 bp. Do sekvenační knihovny byla přidána kontrola bez templátu (no template) z důvodu sledování kontaminace podle záměny indexu (index hopping) a/nebo kontaminace z předchozího běhu. DNA izolovaná z tkáně gliálního nádoru se známým statusem mutace IDH1/2 byla použita jako pozitivní kontrola a wild type kontrola.</w:t>
        </w:r>
        <w:r w:rsidR="00D10B90" w:rsidRPr="00FD6D74">
          <w:rPr>
            <w:rStyle w:val="Hypertextovodkaz"/>
            <w:rFonts w:cstheme="minorHAnsi"/>
            <w:webHidden/>
          </w:rPr>
          <w:tab/>
        </w:r>
        <w:r w:rsidR="00D10B90" w:rsidRPr="00FD6D74">
          <w:rPr>
            <w:rStyle w:val="Hypertextovodkaz"/>
            <w:rFonts w:cstheme="minorHAnsi"/>
            <w:webHidden/>
          </w:rPr>
          <w:fldChar w:fldCharType="begin"/>
        </w:r>
        <w:r w:rsidR="00D10B90" w:rsidRPr="00FD6D74">
          <w:rPr>
            <w:rStyle w:val="Hypertextovodkaz"/>
            <w:rFonts w:cstheme="minorHAnsi"/>
            <w:webHidden/>
          </w:rPr>
          <w:instrText xml:space="preserve"> PAGEREF _Toc67162705 \h </w:instrText>
        </w:r>
        <w:r w:rsidR="00D10B90" w:rsidRPr="00FD6D74">
          <w:rPr>
            <w:rStyle w:val="Hypertextovodkaz"/>
            <w:rFonts w:cstheme="minorHAnsi"/>
            <w:webHidden/>
          </w:rPr>
        </w:r>
        <w:r w:rsidR="00D10B90" w:rsidRPr="00FD6D74">
          <w:rPr>
            <w:rStyle w:val="Hypertextovodkaz"/>
            <w:rFonts w:cstheme="minorHAnsi"/>
            <w:webHidden/>
          </w:rPr>
          <w:fldChar w:fldCharType="separate"/>
        </w:r>
        <w:r>
          <w:rPr>
            <w:rStyle w:val="Hypertextovodkaz"/>
            <w:rFonts w:cstheme="minorHAnsi"/>
            <w:noProof/>
            <w:webHidden/>
          </w:rPr>
          <w:t>38</w:t>
        </w:r>
        <w:r w:rsidR="00D10B90" w:rsidRPr="00FD6D74">
          <w:rPr>
            <w:rStyle w:val="Hypertextovodkaz"/>
            <w:rFonts w:cstheme="minorHAnsi"/>
            <w:webHidden/>
          </w:rPr>
          <w:fldChar w:fldCharType="end"/>
        </w:r>
      </w:hyperlink>
    </w:p>
    <w:p w14:paraId="655853A5" w14:textId="58B3B7F1" w:rsidR="00D10B90" w:rsidRDefault="00C43719" w:rsidP="00FD6D74">
      <w:pPr>
        <w:pStyle w:val="Seznamobrzk"/>
        <w:tabs>
          <w:tab w:val="right" w:leader="dot" w:pos="9062"/>
        </w:tabs>
        <w:jc w:val="both"/>
        <w:rPr>
          <w:noProof/>
        </w:rPr>
      </w:pPr>
      <w:hyperlink w:anchor="_Toc67162706" w:history="1">
        <w:r w:rsidR="00D10B90" w:rsidRPr="00703314">
          <w:rPr>
            <w:rStyle w:val="Hypertextovodkaz"/>
            <w:b/>
            <w:bCs/>
            <w:noProof/>
          </w:rPr>
          <w:t>Tabulka 8:</w:t>
        </w:r>
        <w:r w:rsidR="00D10B90" w:rsidRPr="00703314">
          <w:rPr>
            <w:rStyle w:val="Hypertextovodkaz"/>
            <w:b/>
            <w:bCs/>
            <w:noProof/>
            <w:lang w:bidi="en-US"/>
          </w:rPr>
          <w:t xml:space="preserve"> </w:t>
        </w:r>
        <w:r w:rsidR="00D10B90" w:rsidRPr="00703314">
          <w:rPr>
            <w:rStyle w:val="Hypertextovodkaz"/>
            <w:rFonts w:cstheme="minorHAnsi"/>
            <w:noProof/>
          </w:rPr>
          <w:t xml:space="preserve">Primery a próby použité k detekci promotorové metylace </w:t>
        </w:r>
        <w:r w:rsidR="00D10B90" w:rsidRPr="00703314">
          <w:rPr>
            <w:rStyle w:val="Hypertextovodkaz"/>
            <w:rFonts w:cstheme="minorHAnsi"/>
            <w:i/>
            <w:iCs/>
            <w:noProof/>
          </w:rPr>
          <w:t>MGMT</w:t>
        </w:r>
        <w:r w:rsidR="00D10B90" w:rsidRPr="00703314">
          <w:rPr>
            <w:rStyle w:val="Hypertextovodkaz"/>
            <w:rFonts w:cstheme="minorHAnsi"/>
            <w:noProof/>
          </w:rPr>
          <w:t xml:space="preserve">, </w:t>
        </w:r>
        <w:r w:rsidR="00D10B90" w:rsidRPr="00703314">
          <w:rPr>
            <w:rStyle w:val="Hypertextovodkaz"/>
            <w:rFonts w:cstheme="minorHAnsi"/>
            <w:i/>
            <w:iCs/>
            <w:noProof/>
          </w:rPr>
          <w:t>E-cadherin</w:t>
        </w:r>
        <w:r w:rsidR="00D10B90" w:rsidRPr="00703314">
          <w:rPr>
            <w:rStyle w:val="Hypertextovodkaz"/>
            <w:rFonts w:cstheme="minorHAnsi"/>
            <w:noProof/>
          </w:rPr>
          <w:t xml:space="preserve"> a </w:t>
        </w:r>
        <w:r w:rsidR="00D10B90" w:rsidRPr="00703314">
          <w:rPr>
            <w:rStyle w:val="Hypertextovodkaz"/>
            <w:rFonts w:cstheme="minorHAnsi"/>
            <w:i/>
            <w:iCs/>
            <w:noProof/>
          </w:rPr>
          <w:t>Alu-M5</w:t>
        </w:r>
        <w:r w:rsidR="00D10B90" w:rsidRPr="00703314">
          <w:rPr>
            <w:rStyle w:val="Hypertextovodkaz"/>
            <w:rFonts w:cstheme="minorHAnsi"/>
            <w:noProof/>
          </w:rPr>
          <w:t>.</w:t>
        </w:r>
        <w:r w:rsidR="00D10B90">
          <w:rPr>
            <w:noProof/>
            <w:webHidden/>
          </w:rPr>
          <w:tab/>
        </w:r>
        <w:r w:rsidR="00D10B90">
          <w:rPr>
            <w:noProof/>
            <w:webHidden/>
          </w:rPr>
          <w:fldChar w:fldCharType="begin"/>
        </w:r>
        <w:r w:rsidR="00D10B90">
          <w:rPr>
            <w:noProof/>
            <w:webHidden/>
          </w:rPr>
          <w:instrText xml:space="preserve"> PAGEREF _Toc67162706 \h </w:instrText>
        </w:r>
        <w:r w:rsidR="00D10B90">
          <w:rPr>
            <w:noProof/>
            <w:webHidden/>
          </w:rPr>
        </w:r>
        <w:r w:rsidR="00D10B90">
          <w:rPr>
            <w:noProof/>
            <w:webHidden/>
          </w:rPr>
          <w:fldChar w:fldCharType="separate"/>
        </w:r>
        <w:r>
          <w:rPr>
            <w:noProof/>
            <w:webHidden/>
          </w:rPr>
          <w:t>45</w:t>
        </w:r>
        <w:r w:rsidR="00D10B90">
          <w:rPr>
            <w:noProof/>
            <w:webHidden/>
          </w:rPr>
          <w:fldChar w:fldCharType="end"/>
        </w:r>
      </w:hyperlink>
    </w:p>
    <w:p w14:paraId="088DD29D" w14:textId="1CFBD58C" w:rsidR="00D10B90" w:rsidRDefault="00C43719" w:rsidP="00FD6D74">
      <w:pPr>
        <w:pStyle w:val="Seznamobrzk"/>
        <w:tabs>
          <w:tab w:val="right" w:leader="dot" w:pos="9062"/>
        </w:tabs>
        <w:jc w:val="both"/>
        <w:rPr>
          <w:noProof/>
        </w:rPr>
      </w:pPr>
      <w:hyperlink w:anchor="_Toc67162707" w:history="1">
        <w:r w:rsidR="00D10B90" w:rsidRPr="00703314">
          <w:rPr>
            <w:rStyle w:val="Hypertextovodkaz"/>
            <w:b/>
            <w:bCs/>
            <w:noProof/>
          </w:rPr>
          <w:t>Tabulka 9:</w:t>
        </w:r>
        <w:r w:rsidR="00D10B90" w:rsidRPr="00703314">
          <w:rPr>
            <w:rStyle w:val="Hypertextovodkaz"/>
            <w:b/>
            <w:bCs/>
            <w:noProof/>
            <w:lang w:bidi="en-US"/>
          </w:rPr>
          <w:t xml:space="preserve"> </w:t>
        </w:r>
        <w:r w:rsidR="00D10B90" w:rsidRPr="00703314">
          <w:rPr>
            <w:rStyle w:val="Hypertextovodkaz"/>
            <w:rFonts w:cstheme="minorHAnsi"/>
            <w:noProof/>
            <w:lang w:bidi="en-US"/>
          </w:rPr>
          <w:t>Demografická data pro kohortu pacientů a informace o prevalenci nižšího nebo vyššího počtu kopií studovaných markerů.</w:t>
        </w:r>
        <w:r w:rsidR="00D10B90">
          <w:rPr>
            <w:noProof/>
            <w:webHidden/>
          </w:rPr>
          <w:tab/>
        </w:r>
        <w:r w:rsidR="00D10B90">
          <w:rPr>
            <w:noProof/>
            <w:webHidden/>
          </w:rPr>
          <w:fldChar w:fldCharType="begin"/>
        </w:r>
        <w:r w:rsidR="00D10B90">
          <w:rPr>
            <w:noProof/>
            <w:webHidden/>
          </w:rPr>
          <w:instrText xml:space="preserve"> PAGEREF _Toc67162707 \h </w:instrText>
        </w:r>
        <w:r w:rsidR="00D10B90">
          <w:rPr>
            <w:noProof/>
            <w:webHidden/>
          </w:rPr>
        </w:r>
        <w:r w:rsidR="00D10B90">
          <w:rPr>
            <w:noProof/>
            <w:webHidden/>
          </w:rPr>
          <w:fldChar w:fldCharType="separate"/>
        </w:r>
        <w:r>
          <w:rPr>
            <w:noProof/>
            <w:webHidden/>
          </w:rPr>
          <w:t>46</w:t>
        </w:r>
        <w:r w:rsidR="00D10B90">
          <w:rPr>
            <w:noProof/>
            <w:webHidden/>
          </w:rPr>
          <w:fldChar w:fldCharType="end"/>
        </w:r>
      </w:hyperlink>
    </w:p>
    <w:p w14:paraId="43D57334" w14:textId="0ED796E9" w:rsidR="00D10B90" w:rsidRDefault="00C43719" w:rsidP="00FD6D74">
      <w:pPr>
        <w:pStyle w:val="Seznamobrzk"/>
        <w:tabs>
          <w:tab w:val="right" w:leader="dot" w:pos="9062"/>
        </w:tabs>
        <w:jc w:val="both"/>
        <w:rPr>
          <w:noProof/>
        </w:rPr>
      </w:pPr>
      <w:hyperlink w:anchor="_Toc67162708" w:history="1">
        <w:r w:rsidR="00D10B90" w:rsidRPr="00703314">
          <w:rPr>
            <w:rStyle w:val="Hypertextovodkaz"/>
            <w:b/>
            <w:bCs/>
            <w:noProof/>
          </w:rPr>
          <w:t xml:space="preserve">Tabulka 10: </w:t>
        </w:r>
        <w:r w:rsidR="00D10B90" w:rsidRPr="00703314">
          <w:rPr>
            <w:rStyle w:val="Hypertextovodkaz"/>
            <w:noProof/>
          </w:rPr>
          <w:t>Výsledky stratifikovaného Coxova proporčního modelu rizik pro OS resp. PFS pro vybrané klinické faktory a molekulární markery adjustované pro kategorie Karnofského skóre a věku. Pro každý model a kategorii je uveden odhad relativních rizik (bodový odhad i 95% interval spolehlivosti) a p hodnota. Sloupec N představuje počet pacientů v každé hladině faktoru u podskupin. Výsledky pro adjustované faktory nejsou uvedeny.</w:t>
        </w:r>
        <w:r w:rsidR="00D10B90">
          <w:rPr>
            <w:noProof/>
            <w:webHidden/>
          </w:rPr>
          <w:tab/>
        </w:r>
        <w:r w:rsidR="00D10B90">
          <w:rPr>
            <w:noProof/>
            <w:webHidden/>
          </w:rPr>
          <w:fldChar w:fldCharType="begin"/>
        </w:r>
        <w:r w:rsidR="00D10B90">
          <w:rPr>
            <w:noProof/>
            <w:webHidden/>
          </w:rPr>
          <w:instrText xml:space="preserve"> PAGEREF _Toc67162708 \h </w:instrText>
        </w:r>
        <w:r w:rsidR="00D10B90">
          <w:rPr>
            <w:noProof/>
            <w:webHidden/>
          </w:rPr>
        </w:r>
        <w:r w:rsidR="00D10B90">
          <w:rPr>
            <w:noProof/>
            <w:webHidden/>
          </w:rPr>
          <w:fldChar w:fldCharType="separate"/>
        </w:r>
        <w:r>
          <w:rPr>
            <w:noProof/>
            <w:webHidden/>
          </w:rPr>
          <w:t>48</w:t>
        </w:r>
        <w:r w:rsidR="00D10B90">
          <w:rPr>
            <w:noProof/>
            <w:webHidden/>
          </w:rPr>
          <w:fldChar w:fldCharType="end"/>
        </w:r>
      </w:hyperlink>
    </w:p>
    <w:p w14:paraId="56F45F08" w14:textId="6EB16522" w:rsidR="001A0AFD" w:rsidRDefault="009D5866" w:rsidP="00FD6D74">
      <w:pPr>
        <w:jc w:val="both"/>
      </w:pPr>
      <w:r>
        <w:fldChar w:fldCharType="end"/>
      </w:r>
    </w:p>
    <w:p w14:paraId="2D180BE1" w14:textId="27E828DC" w:rsidR="001A0AFD" w:rsidRDefault="001A0AFD" w:rsidP="001A0AFD"/>
    <w:p w14:paraId="09F4664E" w14:textId="77777777" w:rsidR="001A0AFD" w:rsidRPr="001A0AFD" w:rsidRDefault="001A0AFD" w:rsidP="001A0AFD"/>
    <w:p w14:paraId="00612C20" w14:textId="77777777" w:rsidR="00CE58AB" w:rsidRDefault="00CE58AB" w:rsidP="007C510A">
      <w:pPr>
        <w:pStyle w:val="Nadpis1"/>
        <w:ind w:left="0" w:hanging="76"/>
        <w:sectPr w:rsidR="00CE58AB" w:rsidSect="000B0BA1">
          <w:pgSz w:w="11906" w:h="16838"/>
          <w:pgMar w:top="1417" w:right="1417" w:bottom="1417" w:left="1417" w:header="708" w:footer="708" w:gutter="0"/>
          <w:cols w:space="708"/>
          <w:docGrid w:linePitch="360"/>
        </w:sectPr>
      </w:pPr>
    </w:p>
    <w:p w14:paraId="48591DB3" w14:textId="2D6114A1" w:rsidR="00741EFD" w:rsidRDefault="00741EFD" w:rsidP="007C510A">
      <w:pPr>
        <w:pStyle w:val="Nadpis1"/>
        <w:ind w:left="0" w:hanging="76"/>
      </w:pPr>
      <w:bookmarkStart w:id="127" w:name="_Toc88741520"/>
      <w:r w:rsidRPr="001351CF">
        <w:t>Seznam zkratek</w:t>
      </w:r>
      <w:bookmarkEnd w:id="127"/>
    </w:p>
    <w:tbl>
      <w:tblPr>
        <w:tblW w:w="8736" w:type="dxa"/>
        <w:tblInd w:w="142" w:type="dxa"/>
        <w:tblCellMar>
          <w:left w:w="70" w:type="dxa"/>
          <w:right w:w="70" w:type="dxa"/>
        </w:tblCellMar>
        <w:tblLook w:val="04A0" w:firstRow="1" w:lastRow="0" w:firstColumn="1" w:lastColumn="0" w:noHBand="0" w:noVBand="1"/>
      </w:tblPr>
      <w:tblGrid>
        <w:gridCol w:w="2116"/>
        <w:gridCol w:w="6620"/>
      </w:tblGrid>
      <w:tr w:rsidR="002D13FB" w:rsidRPr="00D82551" w14:paraId="3CF4E5DC" w14:textId="77777777" w:rsidTr="00813A6A">
        <w:trPr>
          <w:trHeight w:val="300"/>
        </w:trPr>
        <w:tc>
          <w:tcPr>
            <w:tcW w:w="2116" w:type="dxa"/>
            <w:tcBorders>
              <w:top w:val="nil"/>
              <w:left w:val="nil"/>
              <w:bottom w:val="nil"/>
              <w:right w:val="nil"/>
            </w:tcBorders>
            <w:shd w:val="clear" w:color="auto" w:fill="auto"/>
            <w:noWrap/>
            <w:vAlign w:val="bottom"/>
          </w:tcPr>
          <w:p w14:paraId="3B474D33" w14:textId="77777777" w:rsidR="001A0AFD" w:rsidRDefault="001A0AFD" w:rsidP="002D13FB">
            <w:pPr>
              <w:tabs>
                <w:tab w:val="left" w:pos="0"/>
              </w:tabs>
              <w:spacing w:after="0" w:line="240" w:lineRule="auto"/>
              <w:rPr>
                <w:rFonts w:ascii="Calibri" w:eastAsia="Times New Roman" w:hAnsi="Calibri" w:cs="Calibri"/>
                <w:color w:val="000000"/>
              </w:rPr>
            </w:pPr>
          </w:p>
          <w:p w14:paraId="27CE37D9" w14:textId="46335B6D"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2OG</w:t>
            </w:r>
          </w:p>
        </w:tc>
        <w:tc>
          <w:tcPr>
            <w:tcW w:w="6620" w:type="dxa"/>
            <w:tcBorders>
              <w:top w:val="nil"/>
              <w:left w:val="nil"/>
              <w:bottom w:val="nil"/>
              <w:right w:val="nil"/>
            </w:tcBorders>
            <w:shd w:val="clear" w:color="auto" w:fill="auto"/>
            <w:noWrap/>
            <w:vAlign w:val="bottom"/>
            <w:hideMark/>
          </w:tcPr>
          <w:p w14:paraId="2D414B5C" w14:textId="36DB5632" w:rsidR="002D13FB" w:rsidRPr="00D82551" w:rsidRDefault="002D13FB" w:rsidP="002D13FB">
            <w:pPr>
              <w:tabs>
                <w:tab w:val="left" w:pos="0"/>
              </w:tabs>
              <w:spacing w:after="0" w:line="240" w:lineRule="auto"/>
              <w:rPr>
                <w:rFonts w:ascii="Calibri" w:eastAsia="Times New Roman" w:hAnsi="Calibri" w:cs="Calibri"/>
                <w:color w:val="000000"/>
              </w:rPr>
            </w:pPr>
            <w:r w:rsidRPr="002D13FB">
              <w:rPr>
                <w:rFonts w:ascii="Calibri" w:eastAsia="Times New Roman" w:hAnsi="Calibri" w:cs="Calibri"/>
                <w:color w:val="000000"/>
              </w:rPr>
              <w:t>2-oxoglutarát/α-ketoglutarát</w:t>
            </w:r>
          </w:p>
        </w:tc>
      </w:tr>
      <w:tr w:rsidR="002D13FB" w:rsidRPr="00D82551" w14:paraId="360AE7CC" w14:textId="77777777" w:rsidTr="00813A6A">
        <w:trPr>
          <w:trHeight w:val="300"/>
        </w:trPr>
        <w:tc>
          <w:tcPr>
            <w:tcW w:w="2116" w:type="dxa"/>
            <w:tcBorders>
              <w:top w:val="nil"/>
              <w:left w:val="nil"/>
              <w:bottom w:val="nil"/>
              <w:right w:val="nil"/>
            </w:tcBorders>
            <w:shd w:val="clear" w:color="auto" w:fill="auto"/>
            <w:noWrap/>
            <w:vAlign w:val="bottom"/>
          </w:tcPr>
          <w:p w14:paraId="3F41B228" w14:textId="36A0AE90" w:rsidR="002D13FB"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Ag</w:t>
            </w:r>
          </w:p>
        </w:tc>
        <w:tc>
          <w:tcPr>
            <w:tcW w:w="6620" w:type="dxa"/>
            <w:tcBorders>
              <w:top w:val="nil"/>
              <w:left w:val="nil"/>
              <w:bottom w:val="nil"/>
              <w:right w:val="nil"/>
            </w:tcBorders>
            <w:shd w:val="clear" w:color="auto" w:fill="auto"/>
            <w:noWrap/>
            <w:vAlign w:val="bottom"/>
          </w:tcPr>
          <w:p w14:paraId="565C8298" w14:textId="10A45D94" w:rsidR="002D13FB" w:rsidRDefault="008730A8"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a</w:t>
            </w:r>
            <w:r w:rsidR="002D13FB">
              <w:rPr>
                <w:rFonts w:ascii="Calibri" w:eastAsia="Times New Roman" w:hAnsi="Calibri" w:cs="Calibri"/>
                <w:color w:val="000000"/>
              </w:rPr>
              <w:t>ntigen, protilátka</w:t>
            </w:r>
          </w:p>
        </w:tc>
      </w:tr>
      <w:tr w:rsidR="008730A8" w:rsidRPr="00D82551" w14:paraId="0E36FDF5" w14:textId="77777777" w:rsidTr="00813A6A">
        <w:trPr>
          <w:trHeight w:val="300"/>
        </w:trPr>
        <w:tc>
          <w:tcPr>
            <w:tcW w:w="2116" w:type="dxa"/>
            <w:tcBorders>
              <w:top w:val="nil"/>
              <w:left w:val="nil"/>
              <w:bottom w:val="nil"/>
              <w:right w:val="nil"/>
            </w:tcBorders>
            <w:shd w:val="clear" w:color="auto" w:fill="auto"/>
            <w:noWrap/>
            <w:vAlign w:val="bottom"/>
          </w:tcPr>
          <w:p w14:paraId="21146DAB" w14:textId="49A4CBA9" w:rsidR="008730A8" w:rsidRDefault="008730A8"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Akt</w:t>
            </w:r>
          </w:p>
        </w:tc>
        <w:tc>
          <w:tcPr>
            <w:tcW w:w="6620" w:type="dxa"/>
            <w:tcBorders>
              <w:top w:val="nil"/>
              <w:left w:val="nil"/>
              <w:bottom w:val="nil"/>
              <w:right w:val="nil"/>
            </w:tcBorders>
            <w:shd w:val="clear" w:color="auto" w:fill="auto"/>
            <w:noWrap/>
            <w:vAlign w:val="bottom"/>
          </w:tcPr>
          <w:p w14:paraId="27C0101D" w14:textId="41A981E4" w:rsidR="008730A8" w:rsidRDefault="000513BC" w:rsidP="000513BC">
            <w:pPr>
              <w:tabs>
                <w:tab w:val="left" w:pos="0"/>
              </w:tabs>
              <w:spacing w:after="0" w:line="240" w:lineRule="auto"/>
              <w:ind w:left="708" w:hanging="708"/>
              <w:rPr>
                <w:rFonts w:ascii="Calibri" w:eastAsia="Times New Roman" w:hAnsi="Calibri" w:cs="Calibri"/>
                <w:color w:val="000000"/>
              </w:rPr>
            </w:pPr>
            <w:r>
              <w:rPr>
                <w:rFonts w:ascii="Calibri" w:eastAsia="Times New Roman" w:hAnsi="Calibri" w:cs="Calibri"/>
                <w:color w:val="000000"/>
              </w:rPr>
              <w:t>S</w:t>
            </w:r>
            <w:r w:rsidR="008730A8" w:rsidRPr="008730A8">
              <w:rPr>
                <w:rFonts w:ascii="Calibri" w:eastAsia="Times New Roman" w:hAnsi="Calibri" w:cs="Calibri"/>
                <w:color w:val="000000"/>
              </w:rPr>
              <w:t>erine/</w:t>
            </w:r>
            <w:r>
              <w:rPr>
                <w:rFonts w:ascii="Calibri" w:eastAsia="Times New Roman" w:hAnsi="Calibri" w:cs="Calibri"/>
                <w:color w:val="000000"/>
              </w:rPr>
              <w:t>T</w:t>
            </w:r>
            <w:r w:rsidR="008730A8" w:rsidRPr="008730A8">
              <w:rPr>
                <w:rFonts w:ascii="Calibri" w:eastAsia="Times New Roman" w:hAnsi="Calibri" w:cs="Calibri"/>
                <w:color w:val="000000"/>
              </w:rPr>
              <w:t>hreon</w:t>
            </w:r>
            <w:r>
              <w:rPr>
                <w:rFonts w:ascii="Calibri" w:eastAsia="Times New Roman" w:hAnsi="Calibri" w:cs="Calibri"/>
                <w:color w:val="000000"/>
              </w:rPr>
              <w:t>ine-Specific Protein K</w:t>
            </w:r>
            <w:r w:rsidR="008730A8" w:rsidRPr="008730A8">
              <w:rPr>
                <w:rFonts w:ascii="Calibri" w:eastAsia="Times New Roman" w:hAnsi="Calibri" w:cs="Calibri"/>
                <w:color w:val="000000"/>
              </w:rPr>
              <w:t>inase</w:t>
            </w:r>
          </w:p>
        </w:tc>
      </w:tr>
      <w:tr w:rsidR="002D13FB" w:rsidRPr="00D82551" w14:paraId="297DEE5A" w14:textId="77777777" w:rsidTr="00EC4DAF">
        <w:trPr>
          <w:trHeight w:val="300"/>
        </w:trPr>
        <w:tc>
          <w:tcPr>
            <w:tcW w:w="2116" w:type="dxa"/>
            <w:tcBorders>
              <w:top w:val="nil"/>
              <w:left w:val="nil"/>
              <w:bottom w:val="nil"/>
              <w:right w:val="nil"/>
            </w:tcBorders>
            <w:shd w:val="clear" w:color="auto" w:fill="auto"/>
            <w:noWrap/>
            <w:vAlign w:val="bottom"/>
          </w:tcPr>
          <w:p w14:paraId="29B34EDF" w14:textId="63BE1585"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ARMS-PCR</w:t>
            </w:r>
          </w:p>
        </w:tc>
        <w:tc>
          <w:tcPr>
            <w:tcW w:w="6620" w:type="dxa"/>
            <w:tcBorders>
              <w:top w:val="nil"/>
              <w:left w:val="nil"/>
              <w:bottom w:val="nil"/>
              <w:right w:val="nil"/>
            </w:tcBorders>
            <w:shd w:val="clear" w:color="auto" w:fill="auto"/>
            <w:noWrap/>
            <w:vAlign w:val="bottom"/>
          </w:tcPr>
          <w:p w14:paraId="5EE59B26" w14:textId="32384C88" w:rsidR="002D13FB" w:rsidRPr="00D82551" w:rsidRDefault="000513BC" w:rsidP="000513BC">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A</w:t>
            </w:r>
            <w:r w:rsidR="002D13FB" w:rsidRPr="00D82551">
              <w:rPr>
                <w:rFonts w:ascii="Calibri" w:eastAsia="Times New Roman" w:hAnsi="Calibri" w:cs="Calibri"/>
                <w:color w:val="000000"/>
              </w:rPr>
              <w:t>mplification-</w:t>
            </w:r>
            <w:r>
              <w:rPr>
                <w:rFonts w:ascii="Calibri" w:eastAsia="Times New Roman" w:hAnsi="Calibri" w:cs="Calibri"/>
                <w:color w:val="000000"/>
              </w:rPr>
              <w:t>R</w:t>
            </w:r>
            <w:r w:rsidR="002D13FB" w:rsidRPr="00D82551">
              <w:rPr>
                <w:rFonts w:ascii="Calibri" w:eastAsia="Times New Roman" w:hAnsi="Calibri" w:cs="Calibri"/>
                <w:color w:val="000000"/>
              </w:rPr>
              <w:t xml:space="preserve">efractory </w:t>
            </w:r>
            <w:r>
              <w:rPr>
                <w:rFonts w:ascii="Calibri" w:eastAsia="Times New Roman" w:hAnsi="Calibri" w:cs="Calibri"/>
                <w:color w:val="000000"/>
              </w:rPr>
              <w:t>M</w:t>
            </w:r>
            <w:r w:rsidR="002D13FB" w:rsidRPr="00D82551">
              <w:rPr>
                <w:rFonts w:ascii="Calibri" w:eastAsia="Times New Roman" w:hAnsi="Calibri" w:cs="Calibri"/>
                <w:color w:val="000000"/>
              </w:rPr>
              <w:t xml:space="preserve">utation </w:t>
            </w:r>
            <w:r>
              <w:rPr>
                <w:rFonts w:ascii="Calibri" w:eastAsia="Times New Roman" w:hAnsi="Calibri" w:cs="Calibri"/>
                <w:color w:val="000000"/>
              </w:rPr>
              <w:t>S</w:t>
            </w:r>
            <w:r w:rsidR="002D13FB" w:rsidRPr="00D82551">
              <w:rPr>
                <w:rFonts w:ascii="Calibri" w:eastAsia="Times New Roman" w:hAnsi="Calibri" w:cs="Calibri"/>
                <w:color w:val="000000"/>
              </w:rPr>
              <w:t xml:space="preserve">ystem </w:t>
            </w:r>
            <w:r>
              <w:rPr>
                <w:rFonts w:ascii="Calibri" w:eastAsia="Times New Roman" w:hAnsi="Calibri" w:cs="Calibri"/>
                <w:color w:val="000000"/>
              </w:rPr>
              <w:t>P</w:t>
            </w:r>
            <w:r w:rsidR="002D13FB" w:rsidRPr="00D82551">
              <w:rPr>
                <w:rFonts w:ascii="Calibri" w:eastAsia="Times New Roman" w:hAnsi="Calibri" w:cs="Calibri"/>
                <w:color w:val="000000"/>
              </w:rPr>
              <w:t xml:space="preserve">olymerase </w:t>
            </w:r>
            <w:r>
              <w:rPr>
                <w:rFonts w:ascii="Calibri" w:eastAsia="Times New Roman" w:hAnsi="Calibri" w:cs="Calibri"/>
                <w:color w:val="000000"/>
              </w:rPr>
              <w:t>Chain R</w:t>
            </w:r>
            <w:r w:rsidR="002D13FB" w:rsidRPr="00D82551">
              <w:rPr>
                <w:rFonts w:ascii="Calibri" w:eastAsia="Times New Roman" w:hAnsi="Calibri" w:cs="Calibri"/>
                <w:color w:val="000000"/>
              </w:rPr>
              <w:t>eaction</w:t>
            </w:r>
          </w:p>
        </w:tc>
      </w:tr>
      <w:tr w:rsidR="002D13FB" w:rsidRPr="00D82551" w14:paraId="174208A5" w14:textId="77777777" w:rsidTr="00EC4DAF">
        <w:trPr>
          <w:trHeight w:val="300"/>
        </w:trPr>
        <w:tc>
          <w:tcPr>
            <w:tcW w:w="2116" w:type="dxa"/>
            <w:tcBorders>
              <w:top w:val="nil"/>
              <w:left w:val="nil"/>
              <w:bottom w:val="nil"/>
              <w:right w:val="nil"/>
            </w:tcBorders>
            <w:shd w:val="clear" w:color="auto" w:fill="auto"/>
            <w:noWrap/>
            <w:vAlign w:val="bottom"/>
            <w:hideMark/>
          </w:tcPr>
          <w:p w14:paraId="1A22EFC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ATM</w:t>
            </w:r>
          </w:p>
        </w:tc>
        <w:tc>
          <w:tcPr>
            <w:tcW w:w="6620" w:type="dxa"/>
            <w:tcBorders>
              <w:top w:val="nil"/>
              <w:left w:val="nil"/>
              <w:bottom w:val="nil"/>
              <w:right w:val="nil"/>
            </w:tcBorders>
            <w:shd w:val="clear" w:color="auto" w:fill="auto"/>
            <w:noWrap/>
            <w:vAlign w:val="bottom"/>
            <w:hideMark/>
          </w:tcPr>
          <w:p w14:paraId="4956853B" w14:textId="63C99457"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Ataxia Telangiectasia M</w:t>
            </w:r>
            <w:r w:rsidR="002D13FB" w:rsidRPr="00D82551">
              <w:rPr>
                <w:rFonts w:ascii="Calibri" w:eastAsia="Times New Roman" w:hAnsi="Calibri" w:cs="Calibri"/>
                <w:color w:val="000000"/>
              </w:rPr>
              <w:t>utated</w:t>
            </w:r>
          </w:p>
        </w:tc>
      </w:tr>
      <w:tr w:rsidR="002D13FB" w:rsidRPr="00D82551" w14:paraId="1C469834" w14:textId="77777777" w:rsidTr="00EC4DAF">
        <w:trPr>
          <w:trHeight w:val="300"/>
        </w:trPr>
        <w:tc>
          <w:tcPr>
            <w:tcW w:w="2116" w:type="dxa"/>
            <w:tcBorders>
              <w:top w:val="nil"/>
              <w:left w:val="nil"/>
              <w:bottom w:val="nil"/>
              <w:right w:val="nil"/>
            </w:tcBorders>
            <w:shd w:val="clear" w:color="auto" w:fill="auto"/>
            <w:noWrap/>
            <w:vAlign w:val="bottom"/>
            <w:hideMark/>
          </w:tcPr>
          <w:p w14:paraId="5B525E1C"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ATR</w:t>
            </w:r>
          </w:p>
        </w:tc>
        <w:tc>
          <w:tcPr>
            <w:tcW w:w="6620" w:type="dxa"/>
            <w:tcBorders>
              <w:top w:val="nil"/>
              <w:left w:val="nil"/>
              <w:bottom w:val="nil"/>
              <w:right w:val="nil"/>
            </w:tcBorders>
            <w:shd w:val="clear" w:color="auto" w:fill="auto"/>
            <w:noWrap/>
            <w:vAlign w:val="bottom"/>
            <w:hideMark/>
          </w:tcPr>
          <w:p w14:paraId="01F12C8C" w14:textId="335B3C1B"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Ataxia Telangiectasia M</w:t>
            </w:r>
            <w:r w:rsidR="002D13FB" w:rsidRPr="00D82551">
              <w:rPr>
                <w:rFonts w:ascii="Calibri" w:eastAsia="Times New Roman" w:hAnsi="Calibri" w:cs="Calibri"/>
                <w:color w:val="000000"/>
              </w:rPr>
              <w:t>utated</w:t>
            </w:r>
          </w:p>
        </w:tc>
      </w:tr>
      <w:tr w:rsidR="002D13FB" w:rsidRPr="00D82551" w14:paraId="6AD26681" w14:textId="77777777" w:rsidTr="00EC4DAF">
        <w:trPr>
          <w:trHeight w:val="285"/>
        </w:trPr>
        <w:tc>
          <w:tcPr>
            <w:tcW w:w="2116" w:type="dxa"/>
            <w:tcBorders>
              <w:top w:val="nil"/>
              <w:left w:val="nil"/>
              <w:bottom w:val="nil"/>
              <w:right w:val="nil"/>
            </w:tcBorders>
            <w:shd w:val="clear" w:color="auto" w:fill="auto"/>
            <w:noWrap/>
            <w:vAlign w:val="bottom"/>
            <w:hideMark/>
          </w:tcPr>
          <w:p w14:paraId="5B49D636"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ATRX</w:t>
            </w:r>
          </w:p>
        </w:tc>
        <w:tc>
          <w:tcPr>
            <w:tcW w:w="6620" w:type="dxa"/>
            <w:tcBorders>
              <w:top w:val="nil"/>
              <w:left w:val="nil"/>
              <w:bottom w:val="nil"/>
              <w:right w:val="nil"/>
            </w:tcBorders>
            <w:shd w:val="clear" w:color="auto" w:fill="auto"/>
            <w:noWrap/>
            <w:vAlign w:val="center"/>
            <w:hideMark/>
          </w:tcPr>
          <w:p w14:paraId="3AABC5DC" w14:textId="19002FB2"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Alpha-Thalassemia/Mental Retardation S</w:t>
            </w:r>
            <w:r w:rsidR="002D13FB" w:rsidRPr="00D82551">
              <w:rPr>
                <w:rFonts w:ascii="Calibri" w:eastAsia="Times New Roman" w:hAnsi="Calibri" w:cs="Calibri"/>
                <w:color w:val="000000"/>
              </w:rPr>
              <w:t>yndrome X-linked</w:t>
            </w:r>
          </w:p>
        </w:tc>
      </w:tr>
      <w:tr w:rsidR="002D13FB" w:rsidRPr="00D82551" w14:paraId="3D9ED300" w14:textId="77777777" w:rsidTr="00EC4DAF">
        <w:trPr>
          <w:trHeight w:val="285"/>
        </w:trPr>
        <w:tc>
          <w:tcPr>
            <w:tcW w:w="2116" w:type="dxa"/>
            <w:tcBorders>
              <w:top w:val="nil"/>
              <w:left w:val="nil"/>
              <w:bottom w:val="nil"/>
              <w:right w:val="nil"/>
            </w:tcBorders>
            <w:shd w:val="clear" w:color="auto" w:fill="auto"/>
            <w:noWrap/>
            <w:vAlign w:val="bottom"/>
          </w:tcPr>
          <w:p w14:paraId="499D10D2" w14:textId="0F801661"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BCR</w:t>
            </w:r>
          </w:p>
        </w:tc>
        <w:tc>
          <w:tcPr>
            <w:tcW w:w="6620" w:type="dxa"/>
            <w:tcBorders>
              <w:top w:val="nil"/>
              <w:left w:val="nil"/>
              <w:bottom w:val="nil"/>
              <w:right w:val="nil"/>
            </w:tcBorders>
            <w:shd w:val="clear" w:color="auto" w:fill="auto"/>
            <w:noWrap/>
            <w:vAlign w:val="center"/>
          </w:tcPr>
          <w:p w14:paraId="299B15C4" w14:textId="651C66C5"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B</w:t>
            </w:r>
            <w:r w:rsidR="002D13FB" w:rsidRPr="00F9663E">
              <w:rPr>
                <w:rFonts w:ascii="Calibri" w:eastAsia="Times New Roman" w:hAnsi="Calibri" w:cs="Calibri"/>
                <w:color w:val="000000"/>
              </w:rPr>
              <w:t xml:space="preserve">reakpoint </w:t>
            </w:r>
            <w:r>
              <w:rPr>
                <w:rFonts w:ascii="Calibri" w:eastAsia="Times New Roman" w:hAnsi="Calibri" w:cs="Calibri"/>
                <w:color w:val="000000"/>
              </w:rPr>
              <w:t>C</w:t>
            </w:r>
            <w:r w:rsidR="002D13FB" w:rsidRPr="00F9663E">
              <w:rPr>
                <w:rFonts w:ascii="Calibri" w:eastAsia="Times New Roman" w:hAnsi="Calibri" w:cs="Calibri"/>
                <w:color w:val="000000"/>
              </w:rPr>
              <w:t xml:space="preserve">luster </w:t>
            </w:r>
            <w:r>
              <w:rPr>
                <w:rFonts w:ascii="Calibri" w:eastAsia="Times New Roman" w:hAnsi="Calibri" w:cs="Calibri"/>
                <w:color w:val="000000"/>
              </w:rPr>
              <w:t>R</w:t>
            </w:r>
            <w:r w:rsidR="002D13FB" w:rsidRPr="00F9663E">
              <w:rPr>
                <w:rFonts w:ascii="Calibri" w:eastAsia="Times New Roman" w:hAnsi="Calibri" w:cs="Calibri"/>
                <w:color w:val="000000"/>
              </w:rPr>
              <w:t xml:space="preserve">egion </w:t>
            </w:r>
            <w:r>
              <w:rPr>
                <w:rFonts w:ascii="Calibri" w:eastAsia="Times New Roman" w:hAnsi="Calibri" w:cs="Calibri"/>
                <w:color w:val="000000"/>
              </w:rPr>
              <w:t>P</w:t>
            </w:r>
            <w:r w:rsidR="002D13FB" w:rsidRPr="00F9663E">
              <w:rPr>
                <w:rFonts w:ascii="Calibri" w:eastAsia="Times New Roman" w:hAnsi="Calibri" w:cs="Calibri"/>
                <w:color w:val="000000"/>
              </w:rPr>
              <w:t>rotein</w:t>
            </w:r>
          </w:p>
        </w:tc>
      </w:tr>
      <w:tr w:rsidR="002D13FB" w:rsidRPr="00D82551" w14:paraId="79122B8B" w14:textId="77777777" w:rsidTr="00EC4DAF">
        <w:trPr>
          <w:trHeight w:val="300"/>
        </w:trPr>
        <w:tc>
          <w:tcPr>
            <w:tcW w:w="2116" w:type="dxa"/>
            <w:tcBorders>
              <w:top w:val="nil"/>
              <w:left w:val="nil"/>
              <w:bottom w:val="nil"/>
              <w:right w:val="nil"/>
            </w:tcBorders>
            <w:shd w:val="clear" w:color="auto" w:fill="auto"/>
            <w:noWrap/>
            <w:vAlign w:val="bottom"/>
            <w:hideMark/>
          </w:tcPr>
          <w:p w14:paraId="24B35E0C"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BRAF</w:t>
            </w:r>
          </w:p>
        </w:tc>
        <w:tc>
          <w:tcPr>
            <w:tcW w:w="6620" w:type="dxa"/>
            <w:tcBorders>
              <w:top w:val="nil"/>
              <w:left w:val="nil"/>
              <w:bottom w:val="nil"/>
              <w:right w:val="nil"/>
            </w:tcBorders>
            <w:shd w:val="clear" w:color="auto" w:fill="auto"/>
            <w:noWrap/>
            <w:vAlign w:val="center"/>
            <w:hideMark/>
          </w:tcPr>
          <w:p w14:paraId="102BBD84" w14:textId="6C585984"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Serine/Threonine-Protein K</w:t>
            </w:r>
            <w:r w:rsidR="002D13FB" w:rsidRPr="00D82551">
              <w:rPr>
                <w:rFonts w:ascii="Calibri" w:eastAsia="Times New Roman" w:hAnsi="Calibri" w:cs="Calibri"/>
                <w:color w:val="000000"/>
              </w:rPr>
              <w:t>inase B-Raf</w:t>
            </w:r>
          </w:p>
        </w:tc>
      </w:tr>
      <w:tr w:rsidR="002D13FB" w:rsidRPr="00D82551" w14:paraId="58DF7EE3" w14:textId="77777777" w:rsidTr="00EC4DAF">
        <w:trPr>
          <w:trHeight w:val="300"/>
        </w:trPr>
        <w:tc>
          <w:tcPr>
            <w:tcW w:w="2116" w:type="dxa"/>
            <w:tcBorders>
              <w:top w:val="nil"/>
              <w:left w:val="nil"/>
              <w:bottom w:val="nil"/>
              <w:right w:val="nil"/>
            </w:tcBorders>
            <w:shd w:val="clear" w:color="auto" w:fill="auto"/>
            <w:noWrap/>
            <w:vAlign w:val="bottom"/>
          </w:tcPr>
          <w:p w14:paraId="4D69F62A" w14:textId="5AB57792"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BRCA1/2</w:t>
            </w:r>
          </w:p>
        </w:tc>
        <w:tc>
          <w:tcPr>
            <w:tcW w:w="6620" w:type="dxa"/>
            <w:tcBorders>
              <w:top w:val="nil"/>
              <w:left w:val="nil"/>
              <w:bottom w:val="nil"/>
              <w:right w:val="nil"/>
            </w:tcBorders>
            <w:shd w:val="clear" w:color="auto" w:fill="auto"/>
            <w:noWrap/>
            <w:vAlign w:val="center"/>
          </w:tcPr>
          <w:p w14:paraId="75159AC5" w14:textId="77D9AF2F" w:rsidR="002D13FB" w:rsidRPr="00D82551" w:rsidRDefault="002D13FB" w:rsidP="002D13FB">
            <w:pPr>
              <w:tabs>
                <w:tab w:val="left" w:pos="0"/>
              </w:tabs>
              <w:spacing w:after="0" w:line="240" w:lineRule="auto"/>
              <w:rPr>
                <w:rFonts w:ascii="Calibri" w:eastAsia="Times New Roman" w:hAnsi="Calibri" w:cs="Calibri"/>
                <w:color w:val="000000"/>
              </w:rPr>
            </w:pPr>
            <w:r w:rsidRPr="002D13FB">
              <w:rPr>
                <w:rFonts w:ascii="Calibri" w:eastAsia="Times New Roman" w:hAnsi="Calibri" w:cs="Calibri"/>
                <w:color w:val="000000"/>
              </w:rPr>
              <w:t>BRCA1</w:t>
            </w:r>
            <w:r>
              <w:rPr>
                <w:rFonts w:ascii="Calibri" w:eastAsia="Times New Roman" w:hAnsi="Calibri" w:cs="Calibri"/>
                <w:color w:val="000000"/>
              </w:rPr>
              <w:t>/2</w:t>
            </w:r>
            <w:r w:rsidRPr="002D13FB">
              <w:rPr>
                <w:rFonts w:ascii="Calibri" w:eastAsia="Times New Roman" w:hAnsi="Calibri" w:cs="Calibri"/>
                <w:color w:val="000000"/>
              </w:rPr>
              <w:t xml:space="preserve"> DNA </w:t>
            </w:r>
            <w:r w:rsidR="000513BC">
              <w:rPr>
                <w:rFonts w:ascii="Calibri" w:eastAsia="Times New Roman" w:hAnsi="Calibri" w:cs="Calibri"/>
                <w:color w:val="000000"/>
              </w:rPr>
              <w:t>R</w:t>
            </w:r>
            <w:r w:rsidRPr="002D13FB">
              <w:rPr>
                <w:rFonts w:ascii="Calibri" w:eastAsia="Times New Roman" w:hAnsi="Calibri" w:cs="Calibri"/>
                <w:color w:val="000000"/>
              </w:rPr>
              <w:t xml:space="preserve">epair </w:t>
            </w:r>
            <w:r w:rsidR="000513BC">
              <w:rPr>
                <w:rFonts w:ascii="Calibri" w:eastAsia="Times New Roman" w:hAnsi="Calibri" w:cs="Calibri"/>
                <w:color w:val="000000"/>
              </w:rPr>
              <w:t>A</w:t>
            </w:r>
            <w:r w:rsidRPr="002D13FB">
              <w:rPr>
                <w:rFonts w:ascii="Calibri" w:eastAsia="Times New Roman" w:hAnsi="Calibri" w:cs="Calibri"/>
                <w:color w:val="000000"/>
              </w:rPr>
              <w:t>ssociated</w:t>
            </w:r>
          </w:p>
        </w:tc>
      </w:tr>
      <w:tr w:rsidR="002D13FB" w:rsidRPr="00D82551" w14:paraId="47FC84E2" w14:textId="77777777" w:rsidTr="00EC4DAF">
        <w:trPr>
          <w:trHeight w:val="300"/>
        </w:trPr>
        <w:tc>
          <w:tcPr>
            <w:tcW w:w="2116" w:type="dxa"/>
            <w:tcBorders>
              <w:top w:val="nil"/>
              <w:left w:val="nil"/>
              <w:bottom w:val="nil"/>
              <w:right w:val="nil"/>
            </w:tcBorders>
            <w:shd w:val="clear" w:color="auto" w:fill="auto"/>
            <w:noWrap/>
            <w:vAlign w:val="bottom"/>
            <w:hideMark/>
          </w:tcPr>
          <w:p w14:paraId="491D7559"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CCND1</w:t>
            </w:r>
          </w:p>
        </w:tc>
        <w:tc>
          <w:tcPr>
            <w:tcW w:w="6620" w:type="dxa"/>
            <w:tcBorders>
              <w:top w:val="nil"/>
              <w:left w:val="nil"/>
              <w:bottom w:val="nil"/>
              <w:right w:val="nil"/>
            </w:tcBorders>
            <w:shd w:val="clear" w:color="auto" w:fill="auto"/>
            <w:noWrap/>
            <w:vAlign w:val="bottom"/>
            <w:hideMark/>
          </w:tcPr>
          <w:p w14:paraId="0A2BA8EF" w14:textId="55F00E97"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C</w:t>
            </w:r>
            <w:r w:rsidR="002D13FB" w:rsidRPr="00D82551">
              <w:rPr>
                <w:rFonts w:ascii="Calibri" w:eastAsia="Times New Roman" w:hAnsi="Calibri" w:cs="Calibri"/>
                <w:color w:val="000000"/>
              </w:rPr>
              <w:t>yclin D1</w:t>
            </w:r>
          </w:p>
        </w:tc>
      </w:tr>
      <w:tr w:rsidR="002D13FB" w:rsidRPr="00D82551" w14:paraId="04AC1D09" w14:textId="77777777" w:rsidTr="00EC4DAF">
        <w:trPr>
          <w:trHeight w:val="300"/>
        </w:trPr>
        <w:tc>
          <w:tcPr>
            <w:tcW w:w="2116" w:type="dxa"/>
            <w:tcBorders>
              <w:top w:val="nil"/>
              <w:left w:val="nil"/>
              <w:bottom w:val="nil"/>
              <w:right w:val="nil"/>
            </w:tcBorders>
            <w:shd w:val="clear" w:color="auto" w:fill="auto"/>
            <w:noWrap/>
            <w:vAlign w:val="bottom"/>
            <w:hideMark/>
          </w:tcPr>
          <w:p w14:paraId="3D82A473" w14:textId="5FDCAB1A"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CDKN2A</w:t>
            </w:r>
            <w:r>
              <w:rPr>
                <w:rFonts w:ascii="Calibri" w:eastAsia="Times New Roman" w:hAnsi="Calibri" w:cs="Calibri"/>
                <w:color w:val="000000"/>
              </w:rPr>
              <w:t>/2B</w:t>
            </w:r>
          </w:p>
        </w:tc>
        <w:tc>
          <w:tcPr>
            <w:tcW w:w="6620" w:type="dxa"/>
            <w:tcBorders>
              <w:top w:val="nil"/>
              <w:left w:val="nil"/>
              <w:bottom w:val="nil"/>
              <w:right w:val="nil"/>
            </w:tcBorders>
            <w:shd w:val="clear" w:color="auto" w:fill="auto"/>
            <w:noWrap/>
            <w:vAlign w:val="bottom"/>
            <w:hideMark/>
          </w:tcPr>
          <w:p w14:paraId="57EB9B27" w14:textId="0E1649AD"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Cyclin Dependent Kinase I</w:t>
            </w:r>
            <w:r w:rsidR="002D13FB" w:rsidRPr="00D82551">
              <w:rPr>
                <w:rFonts w:ascii="Calibri" w:eastAsia="Times New Roman" w:hAnsi="Calibri" w:cs="Calibri"/>
                <w:color w:val="000000"/>
              </w:rPr>
              <w:t>nhibitor 2A</w:t>
            </w:r>
            <w:r w:rsidR="002D13FB">
              <w:rPr>
                <w:rFonts w:ascii="Calibri" w:eastAsia="Times New Roman" w:hAnsi="Calibri" w:cs="Calibri"/>
                <w:color w:val="000000"/>
              </w:rPr>
              <w:t>/2B</w:t>
            </w:r>
          </w:p>
        </w:tc>
      </w:tr>
      <w:tr w:rsidR="002D13FB" w:rsidRPr="00D82551" w14:paraId="0C75FC7A" w14:textId="77777777" w:rsidTr="00EC4DAF">
        <w:trPr>
          <w:trHeight w:val="300"/>
        </w:trPr>
        <w:tc>
          <w:tcPr>
            <w:tcW w:w="2116" w:type="dxa"/>
            <w:tcBorders>
              <w:top w:val="nil"/>
              <w:left w:val="nil"/>
              <w:bottom w:val="nil"/>
              <w:right w:val="nil"/>
            </w:tcBorders>
            <w:shd w:val="clear" w:color="auto" w:fill="auto"/>
            <w:noWrap/>
            <w:vAlign w:val="bottom"/>
            <w:hideMark/>
          </w:tcPr>
          <w:p w14:paraId="59E28B07"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CIC</w:t>
            </w:r>
          </w:p>
        </w:tc>
        <w:tc>
          <w:tcPr>
            <w:tcW w:w="6620" w:type="dxa"/>
            <w:tcBorders>
              <w:top w:val="nil"/>
              <w:left w:val="nil"/>
              <w:bottom w:val="nil"/>
              <w:right w:val="nil"/>
            </w:tcBorders>
            <w:shd w:val="clear" w:color="auto" w:fill="auto"/>
            <w:noWrap/>
            <w:vAlign w:val="bottom"/>
            <w:hideMark/>
          </w:tcPr>
          <w:p w14:paraId="62FC848D" w14:textId="7D38BF1F"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Homologue of Drosophila C</w:t>
            </w:r>
            <w:r w:rsidR="002D13FB" w:rsidRPr="00D82551">
              <w:rPr>
                <w:rFonts w:ascii="Calibri" w:eastAsia="Times New Roman" w:hAnsi="Calibri" w:cs="Calibri"/>
                <w:color w:val="000000"/>
              </w:rPr>
              <w:t>apicua</w:t>
            </w:r>
          </w:p>
        </w:tc>
      </w:tr>
      <w:tr w:rsidR="002D13FB" w:rsidRPr="00D82551" w14:paraId="4FCB7B35" w14:textId="77777777" w:rsidTr="00EC4DAF">
        <w:trPr>
          <w:trHeight w:val="300"/>
        </w:trPr>
        <w:tc>
          <w:tcPr>
            <w:tcW w:w="2116" w:type="dxa"/>
            <w:tcBorders>
              <w:top w:val="nil"/>
              <w:left w:val="nil"/>
              <w:bottom w:val="nil"/>
              <w:right w:val="nil"/>
            </w:tcBorders>
            <w:shd w:val="clear" w:color="auto" w:fill="auto"/>
            <w:noWrap/>
            <w:vAlign w:val="bottom"/>
            <w:hideMark/>
          </w:tcPr>
          <w:p w14:paraId="25639356"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CNS</w:t>
            </w:r>
          </w:p>
        </w:tc>
        <w:tc>
          <w:tcPr>
            <w:tcW w:w="6620" w:type="dxa"/>
            <w:tcBorders>
              <w:top w:val="nil"/>
              <w:left w:val="nil"/>
              <w:bottom w:val="nil"/>
              <w:right w:val="nil"/>
            </w:tcBorders>
            <w:shd w:val="clear" w:color="auto" w:fill="auto"/>
            <w:noWrap/>
            <w:vAlign w:val="bottom"/>
            <w:hideMark/>
          </w:tcPr>
          <w:p w14:paraId="78181AD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centrální nervová soustava</w:t>
            </w:r>
          </w:p>
        </w:tc>
      </w:tr>
      <w:tr w:rsidR="002D13FB" w:rsidRPr="00D82551" w14:paraId="26AD2659" w14:textId="77777777" w:rsidTr="00EC4DAF">
        <w:trPr>
          <w:trHeight w:val="300"/>
        </w:trPr>
        <w:tc>
          <w:tcPr>
            <w:tcW w:w="2116" w:type="dxa"/>
            <w:tcBorders>
              <w:top w:val="nil"/>
              <w:left w:val="nil"/>
              <w:bottom w:val="nil"/>
              <w:right w:val="nil"/>
            </w:tcBorders>
            <w:shd w:val="clear" w:color="auto" w:fill="auto"/>
            <w:noWrap/>
            <w:vAlign w:val="bottom"/>
            <w:hideMark/>
          </w:tcPr>
          <w:p w14:paraId="4C4281E3"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CT</w:t>
            </w:r>
          </w:p>
        </w:tc>
        <w:tc>
          <w:tcPr>
            <w:tcW w:w="6620" w:type="dxa"/>
            <w:tcBorders>
              <w:top w:val="nil"/>
              <w:left w:val="nil"/>
              <w:bottom w:val="nil"/>
              <w:right w:val="nil"/>
            </w:tcBorders>
            <w:shd w:val="clear" w:color="auto" w:fill="auto"/>
            <w:noWrap/>
            <w:vAlign w:val="bottom"/>
            <w:hideMark/>
          </w:tcPr>
          <w:p w14:paraId="2E7DAEF1"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počítačová tomografie</w:t>
            </w:r>
          </w:p>
        </w:tc>
      </w:tr>
      <w:tr w:rsidR="002D13FB" w:rsidRPr="00D82551" w14:paraId="06422F09" w14:textId="77777777" w:rsidTr="00EC4DAF">
        <w:trPr>
          <w:trHeight w:val="300"/>
        </w:trPr>
        <w:tc>
          <w:tcPr>
            <w:tcW w:w="2116" w:type="dxa"/>
            <w:tcBorders>
              <w:top w:val="nil"/>
              <w:left w:val="nil"/>
              <w:bottom w:val="nil"/>
              <w:right w:val="nil"/>
            </w:tcBorders>
            <w:shd w:val="clear" w:color="auto" w:fill="auto"/>
            <w:noWrap/>
            <w:vAlign w:val="bottom"/>
          </w:tcPr>
          <w:p w14:paraId="3B8971B9" w14:textId="36DE382C" w:rsidR="002D13FB" w:rsidRPr="00D82551" w:rsidRDefault="002D13FB" w:rsidP="002D13FB">
            <w:pPr>
              <w:tabs>
                <w:tab w:val="left" w:pos="0"/>
              </w:tabs>
              <w:spacing w:after="0" w:line="240" w:lineRule="auto"/>
              <w:rPr>
                <w:rFonts w:ascii="Calibri" w:eastAsia="Times New Roman" w:hAnsi="Calibri" w:cs="Calibri"/>
                <w:color w:val="000000"/>
              </w:rPr>
            </w:pPr>
            <w:r w:rsidRPr="002D13FB">
              <w:rPr>
                <w:rFonts w:ascii="Calibri" w:eastAsia="Times New Roman" w:hAnsi="Calibri" w:cs="Calibri"/>
                <w:color w:val="000000"/>
              </w:rPr>
              <w:t>d-2HG</w:t>
            </w:r>
          </w:p>
        </w:tc>
        <w:tc>
          <w:tcPr>
            <w:tcW w:w="6620" w:type="dxa"/>
            <w:tcBorders>
              <w:top w:val="nil"/>
              <w:left w:val="nil"/>
              <w:bottom w:val="nil"/>
              <w:right w:val="nil"/>
            </w:tcBorders>
            <w:shd w:val="clear" w:color="auto" w:fill="auto"/>
            <w:noWrap/>
            <w:vAlign w:val="bottom"/>
          </w:tcPr>
          <w:p w14:paraId="22DCA8BD" w14:textId="41497EB8" w:rsidR="002D13FB" w:rsidRPr="00D82551" w:rsidRDefault="002D13FB" w:rsidP="002D13FB">
            <w:pPr>
              <w:tabs>
                <w:tab w:val="left" w:pos="0"/>
              </w:tabs>
              <w:spacing w:after="0" w:line="240" w:lineRule="auto"/>
              <w:rPr>
                <w:rFonts w:ascii="Calibri" w:eastAsia="Times New Roman" w:hAnsi="Calibri" w:cs="Calibri"/>
                <w:color w:val="000000"/>
              </w:rPr>
            </w:pPr>
            <w:r w:rsidRPr="002D13FB">
              <w:rPr>
                <w:rFonts w:ascii="Calibri" w:eastAsia="Times New Roman" w:hAnsi="Calibri" w:cs="Calibri"/>
                <w:color w:val="000000"/>
              </w:rPr>
              <w:t>d-2-hydroxyglutarát</w:t>
            </w:r>
          </w:p>
        </w:tc>
      </w:tr>
      <w:tr w:rsidR="002D13FB" w:rsidRPr="00D82551" w14:paraId="466BCB7E" w14:textId="77777777" w:rsidTr="00EC4DAF">
        <w:trPr>
          <w:trHeight w:val="300"/>
        </w:trPr>
        <w:tc>
          <w:tcPr>
            <w:tcW w:w="2116" w:type="dxa"/>
            <w:tcBorders>
              <w:top w:val="nil"/>
              <w:left w:val="nil"/>
              <w:bottom w:val="nil"/>
              <w:right w:val="nil"/>
            </w:tcBorders>
            <w:shd w:val="clear" w:color="auto" w:fill="auto"/>
            <w:noWrap/>
            <w:vAlign w:val="bottom"/>
            <w:hideMark/>
          </w:tcPr>
          <w:p w14:paraId="5BA4F328"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DAXX</w:t>
            </w:r>
          </w:p>
        </w:tc>
        <w:tc>
          <w:tcPr>
            <w:tcW w:w="6620" w:type="dxa"/>
            <w:tcBorders>
              <w:top w:val="nil"/>
              <w:left w:val="nil"/>
              <w:bottom w:val="nil"/>
              <w:right w:val="nil"/>
            </w:tcBorders>
            <w:shd w:val="clear" w:color="auto" w:fill="auto"/>
            <w:noWrap/>
            <w:vAlign w:val="bottom"/>
            <w:hideMark/>
          </w:tcPr>
          <w:p w14:paraId="621122AA" w14:textId="791F1B63"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Death-Associated P</w:t>
            </w:r>
            <w:r w:rsidR="002D13FB" w:rsidRPr="00D82551">
              <w:rPr>
                <w:rFonts w:ascii="Calibri" w:eastAsia="Times New Roman" w:hAnsi="Calibri" w:cs="Calibri"/>
                <w:color w:val="000000"/>
              </w:rPr>
              <w:t>rotein 6</w:t>
            </w:r>
          </w:p>
        </w:tc>
      </w:tr>
      <w:tr w:rsidR="002D13FB" w:rsidRPr="00D82551" w14:paraId="3AF3287E" w14:textId="77777777" w:rsidTr="00EC4DAF">
        <w:trPr>
          <w:trHeight w:val="300"/>
        </w:trPr>
        <w:tc>
          <w:tcPr>
            <w:tcW w:w="2116" w:type="dxa"/>
            <w:tcBorders>
              <w:top w:val="nil"/>
              <w:left w:val="nil"/>
              <w:bottom w:val="nil"/>
              <w:right w:val="nil"/>
            </w:tcBorders>
            <w:shd w:val="clear" w:color="auto" w:fill="auto"/>
            <w:noWrap/>
            <w:vAlign w:val="bottom"/>
            <w:hideMark/>
          </w:tcPr>
          <w:p w14:paraId="306A84A7"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DNA</w:t>
            </w:r>
          </w:p>
        </w:tc>
        <w:tc>
          <w:tcPr>
            <w:tcW w:w="6620" w:type="dxa"/>
            <w:tcBorders>
              <w:top w:val="nil"/>
              <w:left w:val="nil"/>
              <w:bottom w:val="nil"/>
              <w:right w:val="nil"/>
            </w:tcBorders>
            <w:shd w:val="clear" w:color="auto" w:fill="auto"/>
            <w:noWrap/>
            <w:vAlign w:val="bottom"/>
            <w:hideMark/>
          </w:tcPr>
          <w:p w14:paraId="016FD962" w14:textId="103C6BF0"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d</w:t>
            </w:r>
            <w:r w:rsidR="002D13FB" w:rsidRPr="00D82551">
              <w:rPr>
                <w:rFonts w:ascii="Calibri" w:eastAsia="Times New Roman" w:hAnsi="Calibri" w:cs="Calibri"/>
                <w:color w:val="000000"/>
              </w:rPr>
              <w:t>eoxyribonukleová kyselina</w:t>
            </w:r>
          </w:p>
        </w:tc>
      </w:tr>
      <w:tr w:rsidR="002D13FB" w:rsidRPr="00D82551" w14:paraId="598619B2" w14:textId="77777777" w:rsidTr="00EC4DAF">
        <w:trPr>
          <w:trHeight w:val="300"/>
        </w:trPr>
        <w:tc>
          <w:tcPr>
            <w:tcW w:w="2116" w:type="dxa"/>
            <w:tcBorders>
              <w:top w:val="nil"/>
              <w:left w:val="nil"/>
              <w:bottom w:val="nil"/>
              <w:right w:val="nil"/>
            </w:tcBorders>
            <w:shd w:val="clear" w:color="auto" w:fill="auto"/>
            <w:noWrap/>
            <w:vAlign w:val="bottom"/>
          </w:tcPr>
          <w:p w14:paraId="54BB5B4E" w14:textId="41D64C0D"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EGF</w:t>
            </w:r>
          </w:p>
        </w:tc>
        <w:tc>
          <w:tcPr>
            <w:tcW w:w="6620" w:type="dxa"/>
            <w:tcBorders>
              <w:top w:val="nil"/>
              <w:left w:val="nil"/>
              <w:bottom w:val="nil"/>
              <w:right w:val="nil"/>
            </w:tcBorders>
            <w:shd w:val="clear" w:color="auto" w:fill="auto"/>
            <w:noWrap/>
            <w:vAlign w:val="bottom"/>
          </w:tcPr>
          <w:p w14:paraId="32AAB247" w14:textId="425352BD"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epidermální růstový faktor</w:t>
            </w:r>
          </w:p>
        </w:tc>
      </w:tr>
      <w:tr w:rsidR="002D13FB" w:rsidRPr="00D82551" w14:paraId="7CEF9606" w14:textId="77777777" w:rsidTr="00EC4DAF">
        <w:trPr>
          <w:trHeight w:val="300"/>
        </w:trPr>
        <w:tc>
          <w:tcPr>
            <w:tcW w:w="2116" w:type="dxa"/>
            <w:tcBorders>
              <w:top w:val="nil"/>
              <w:left w:val="nil"/>
              <w:bottom w:val="nil"/>
              <w:right w:val="nil"/>
            </w:tcBorders>
            <w:shd w:val="clear" w:color="auto" w:fill="auto"/>
            <w:noWrap/>
            <w:vAlign w:val="bottom"/>
            <w:hideMark/>
          </w:tcPr>
          <w:p w14:paraId="1D6543D7"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EGFR</w:t>
            </w:r>
          </w:p>
        </w:tc>
        <w:tc>
          <w:tcPr>
            <w:tcW w:w="6620" w:type="dxa"/>
            <w:tcBorders>
              <w:top w:val="nil"/>
              <w:left w:val="nil"/>
              <w:bottom w:val="nil"/>
              <w:right w:val="nil"/>
            </w:tcBorders>
            <w:shd w:val="clear" w:color="auto" w:fill="auto"/>
            <w:noWrap/>
            <w:vAlign w:val="bottom"/>
            <w:hideMark/>
          </w:tcPr>
          <w:p w14:paraId="50E85AC8"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receptor epidermálního růstového faktoru</w:t>
            </w:r>
          </w:p>
        </w:tc>
      </w:tr>
      <w:tr w:rsidR="002D13FB" w:rsidRPr="00D82551" w14:paraId="12CC5988" w14:textId="77777777" w:rsidTr="00EC4DAF">
        <w:trPr>
          <w:trHeight w:val="300"/>
        </w:trPr>
        <w:tc>
          <w:tcPr>
            <w:tcW w:w="2116" w:type="dxa"/>
            <w:tcBorders>
              <w:top w:val="nil"/>
              <w:left w:val="nil"/>
              <w:bottom w:val="nil"/>
              <w:right w:val="nil"/>
            </w:tcBorders>
            <w:shd w:val="clear" w:color="auto" w:fill="auto"/>
            <w:noWrap/>
            <w:vAlign w:val="bottom"/>
            <w:hideMark/>
          </w:tcPr>
          <w:p w14:paraId="0E5B6F8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EGFRvIII</w:t>
            </w:r>
          </w:p>
        </w:tc>
        <w:tc>
          <w:tcPr>
            <w:tcW w:w="6620" w:type="dxa"/>
            <w:tcBorders>
              <w:top w:val="nil"/>
              <w:left w:val="nil"/>
              <w:bottom w:val="nil"/>
              <w:right w:val="nil"/>
            </w:tcBorders>
            <w:shd w:val="clear" w:color="auto" w:fill="auto"/>
            <w:noWrap/>
            <w:vAlign w:val="bottom"/>
            <w:hideMark/>
          </w:tcPr>
          <w:p w14:paraId="64D32200"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delece exonů 2–7 u EGFR</w:t>
            </w:r>
          </w:p>
        </w:tc>
      </w:tr>
      <w:tr w:rsidR="002D13FB" w:rsidRPr="00D82551" w14:paraId="02874F9B" w14:textId="77777777" w:rsidTr="00EC4DAF">
        <w:trPr>
          <w:trHeight w:val="300"/>
        </w:trPr>
        <w:tc>
          <w:tcPr>
            <w:tcW w:w="2116" w:type="dxa"/>
            <w:tcBorders>
              <w:top w:val="nil"/>
              <w:left w:val="nil"/>
              <w:bottom w:val="nil"/>
              <w:right w:val="nil"/>
            </w:tcBorders>
            <w:shd w:val="clear" w:color="auto" w:fill="auto"/>
            <w:noWrap/>
            <w:vAlign w:val="bottom"/>
          </w:tcPr>
          <w:p w14:paraId="452BBB02" w14:textId="6886D6F2"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FDA</w:t>
            </w:r>
          </w:p>
        </w:tc>
        <w:tc>
          <w:tcPr>
            <w:tcW w:w="6620" w:type="dxa"/>
            <w:tcBorders>
              <w:top w:val="nil"/>
              <w:left w:val="nil"/>
              <w:bottom w:val="nil"/>
              <w:right w:val="nil"/>
            </w:tcBorders>
            <w:shd w:val="clear" w:color="auto" w:fill="auto"/>
            <w:noWrap/>
            <w:vAlign w:val="bottom"/>
          </w:tcPr>
          <w:p w14:paraId="39B226CD" w14:textId="77394C61" w:rsidR="002D13FB" w:rsidRPr="00D82551" w:rsidRDefault="000513BC" w:rsidP="002D13FB">
            <w:pPr>
              <w:tabs>
                <w:tab w:val="left" w:pos="0"/>
              </w:tabs>
              <w:spacing w:after="0" w:line="240" w:lineRule="auto"/>
              <w:rPr>
                <w:rFonts w:ascii="Calibri" w:eastAsia="Times New Roman" w:hAnsi="Calibri" w:cs="Calibri"/>
                <w:color w:val="000000"/>
              </w:rPr>
            </w:pPr>
            <w:r>
              <w:t>Federal Drug A</w:t>
            </w:r>
            <w:r w:rsidR="002D13FB">
              <w:t>dministration</w:t>
            </w:r>
          </w:p>
        </w:tc>
      </w:tr>
      <w:tr w:rsidR="002D13FB" w:rsidRPr="00D82551" w14:paraId="05D0CCCB" w14:textId="77777777" w:rsidTr="00EC4DAF">
        <w:trPr>
          <w:trHeight w:val="300"/>
        </w:trPr>
        <w:tc>
          <w:tcPr>
            <w:tcW w:w="2116" w:type="dxa"/>
            <w:tcBorders>
              <w:top w:val="nil"/>
              <w:left w:val="nil"/>
              <w:bottom w:val="nil"/>
              <w:right w:val="nil"/>
            </w:tcBorders>
            <w:shd w:val="clear" w:color="auto" w:fill="auto"/>
            <w:noWrap/>
            <w:vAlign w:val="bottom"/>
            <w:hideMark/>
          </w:tcPr>
          <w:p w14:paraId="44936FBA"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FFPE</w:t>
            </w:r>
          </w:p>
        </w:tc>
        <w:tc>
          <w:tcPr>
            <w:tcW w:w="6620" w:type="dxa"/>
            <w:tcBorders>
              <w:top w:val="nil"/>
              <w:left w:val="nil"/>
              <w:bottom w:val="nil"/>
              <w:right w:val="nil"/>
            </w:tcBorders>
            <w:shd w:val="clear" w:color="auto" w:fill="auto"/>
            <w:noWrap/>
            <w:vAlign w:val="bottom"/>
            <w:hideMark/>
          </w:tcPr>
          <w:p w14:paraId="67320AAF" w14:textId="0147ECD3"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Formalin Fixed Paraffin E</w:t>
            </w:r>
            <w:r w:rsidR="002D13FB" w:rsidRPr="00D82551">
              <w:rPr>
                <w:rFonts w:ascii="Calibri" w:eastAsia="Times New Roman" w:hAnsi="Calibri" w:cs="Calibri"/>
                <w:color w:val="000000"/>
              </w:rPr>
              <w:t>mbedded</w:t>
            </w:r>
          </w:p>
        </w:tc>
      </w:tr>
      <w:tr w:rsidR="002D13FB" w:rsidRPr="00D82551" w14:paraId="0D391A34" w14:textId="77777777" w:rsidTr="00EC4DAF">
        <w:trPr>
          <w:trHeight w:val="300"/>
        </w:trPr>
        <w:tc>
          <w:tcPr>
            <w:tcW w:w="2116" w:type="dxa"/>
            <w:tcBorders>
              <w:top w:val="nil"/>
              <w:left w:val="nil"/>
              <w:bottom w:val="nil"/>
              <w:right w:val="nil"/>
            </w:tcBorders>
            <w:shd w:val="clear" w:color="auto" w:fill="auto"/>
            <w:noWrap/>
            <w:vAlign w:val="bottom"/>
          </w:tcPr>
          <w:p w14:paraId="3A8448F0" w14:textId="52C46175"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FLAIR</w:t>
            </w:r>
          </w:p>
        </w:tc>
        <w:tc>
          <w:tcPr>
            <w:tcW w:w="6620" w:type="dxa"/>
            <w:tcBorders>
              <w:top w:val="nil"/>
              <w:left w:val="nil"/>
              <w:bottom w:val="nil"/>
              <w:right w:val="nil"/>
            </w:tcBorders>
            <w:shd w:val="clear" w:color="auto" w:fill="auto"/>
            <w:noWrap/>
            <w:vAlign w:val="bottom"/>
          </w:tcPr>
          <w:p w14:paraId="7FEEF4FA" w14:textId="4F515CFA" w:rsidR="002D13FB" w:rsidRPr="00097AD8" w:rsidRDefault="000513BC" w:rsidP="002D13FB">
            <w:pPr>
              <w:tabs>
                <w:tab w:val="left" w:pos="0"/>
              </w:tabs>
              <w:spacing w:after="0" w:line="240" w:lineRule="auto"/>
              <w:rPr>
                <w:rFonts w:ascii="Calibri" w:eastAsia="Times New Roman" w:hAnsi="Calibri" w:cs="Calibri"/>
                <w:color w:val="000000"/>
              </w:rPr>
            </w:pPr>
            <w:r>
              <w:rPr>
                <w:color w:val="000000"/>
                <w:shd w:val="clear" w:color="auto" w:fill="FFFFFF"/>
              </w:rPr>
              <w:t>Fluid Attenuated Inversion R</w:t>
            </w:r>
            <w:r w:rsidR="002D13FB" w:rsidRPr="00097AD8">
              <w:rPr>
                <w:color w:val="000000"/>
                <w:shd w:val="clear" w:color="auto" w:fill="FFFFFF"/>
              </w:rPr>
              <w:t>ecovery</w:t>
            </w:r>
          </w:p>
        </w:tc>
      </w:tr>
      <w:tr w:rsidR="002D13FB" w:rsidRPr="00D82551" w14:paraId="045B55F0" w14:textId="77777777" w:rsidTr="00EC4DAF">
        <w:trPr>
          <w:trHeight w:val="300"/>
        </w:trPr>
        <w:tc>
          <w:tcPr>
            <w:tcW w:w="2116" w:type="dxa"/>
            <w:tcBorders>
              <w:top w:val="nil"/>
              <w:left w:val="nil"/>
              <w:bottom w:val="nil"/>
              <w:right w:val="nil"/>
            </w:tcBorders>
            <w:shd w:val="clear" w:color="auto" w:fill="auto"/>
            <w:noWrap/>
            <w:vAlign w:val="bottom"/>
            <w:hideMark/>
          </w:tcPr>
          <w:p w14:paraId="364D4CD5"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fMRI</w:t>
            </w:r>
          </w:p>
        </w:tc>
        <w:tc>
          <w:tcPr>
            <w:tcW w:w="6620" w:type="dxa"/>
            <w:tcBorders>
              <w:top w:val="nil"/>
              <w:left w:val="nil"/>
              <w:bottom w:val="nil"/>
              <w:right w:val="nil"/>
            </w:tcBorders>
            <w:shd w:val="clear" w:color="auto" w:fill="auto"/>
            <w:noWrap/>
            <w:vAlign w:val="bottom"/>
            <w:hideMark/>
          </w:tcPr>
          <w:p w14:paraId="4E894CF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funkční magnetická rezonance</w:t>
            </w:r>
          </w:p>
        </w:tc>
      </w:tr>
      <w:tr w:rsidR="002D13FB" w:rsidRPr="00D82551" w14:paraId="09F70FCB" w14:textId="77777777" w:rsidTr="00EC4DAF">
        <w:trPr>
          <w:trHeight w:val="300"/>
        </w:trPr>
        <w:tc>
          <w:tcPr>
            <w:tcW w:w="2116" w:type="dxa"/>
            <w:tcBorders>
              <w:top w:val="nil"/>
              <w:left w:val="nil"/>
              <w:bottom w:val="nil"/>
              <w:right w:val="nil"/>
            </w:tcBorders>
            <w:shd w:val="clear" w:color="auto" w:fill="auto"/>
            <w:noWrap/>
            <w:vAlign w:val="bottom"/>
            <w:hideMark/>
          </w:tcPr>
          <w:p w14:paraId="3EFC8B5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FUBP1</w:t>
            </w:r>
          </w:p>
        </w:tc>
        <w:tc>
          <w:tcPr>
            <w:tcW w:w="6620" w:type="dxa"/>
            <w:tcBorders>
              <w:top w:val="nil"/>
              <w:left w:val="nil"/>
              <w:bottom w:val="nil"/>
              <w:right w:val="nil"/>
            </w:tcBorders>
            <w:shd w:val="clear" w:color="auto" w:fill="auto"/>
            <w:noWrap/>
            <w:vAlign w:val="bottom"/>
            <w:hideMark/>
          </w:tcPr>
          <w:p w14:paraId="797B4AF2" w14:textId="4DAFC607"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Far-Upstream Binding P</w:t>
            </w:r>
            <w:r w:rsidR="002D13FB" w:rsidRPr="00D82551">
              <w:rPr>
                <w:rFonts w:ascii="Calibri" w:eastAsia="Times New Roman" w:hAnsi="Calibri" w:cs="Calibri"/>
                <w:color w:val="000000"/>
              </w:rPr>
              <w:t>rotein 1</w:t>
            </w:r>
          </w:p>
        </w:tc>
      </w:tr>
      <w:tr w:rsidR="002D13FB" w:rsidRPr="00D82551" w14:paraId="07F377A8" w14:textId="77777777" w:rsidTr="00EC4DAF">
        <w:trPr>
          <w:trHeight w:val="300"/>
        </w:trPr>
        <w:tc>
          <w:tcPr>
            <w:tcW w:w="2116" w:type="dxa"/>
            <w:tcBorders>
              <w:top w:val="nil"/>
              <w:left w:val="nil"/>
              <w:bottom w:val="nil"/>
              <w:right w:val="nil"/>
            </w:tcBorders>
            <w:shd w:val="clear" w:color="auto" w:fill="auto"/>
            <w:noWrap/>
            <w:vAlign w:val="bottom"/>
            <w:hideMark/>
          </w:tcPr>
          <w:p w14:paraId="6625852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GBM</w:t>
            </w:r>
          </w:p>
        </w:tc>
        <w:tc>
          <w:tcPr>
            <w:tcW w:w="6620" w:type="dxa"/>
            <w:tcBorders>
              <w:top w:val="nil"/>
              <w:left w:val="nil"/>
              <w:bottom w:val="nil"/>
              <w:right w:val="nil"/>
            </w:tcBorders>
            <w:shd w:val="clear" w:color="auto" w:fill="auto"/>
            <w:noWrap/>
            <w:vAlign w:val="bottom"/>
            <w:hideMark/>
          </w:tcPr>
          <w:p w14:paraId="48733CE2"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glioblastom</w:t>
            </w:r>
          </w:p>
        </w:tc>
      </w:tr>
      <w:tr w:rsidR="002D13FB" w:rsidRPr="00D82551" w14:paraId="2BC2B60E" w14:textId="77777777" w:rsidTr="00EC4DAF">
        <w:trPr>
          <w:trHeight w:val="300"/>
        </w:trPr>
        <w:tc>
          <w:tcPr>
            <w:tcW w:w="2116" w:type="dxa"/>
            <w:tcBorders>
              <w:top w:val="nil"/>
              <w:left w:val="nil"/>
              <w:bottom w:val="nil"/>
              <w:right w:val="nil"/>
            </w:tcBorders>
            <w:shd w:val="clear" w:color="auto" w:fill="auto"/>
            <w:noWrap/>
            <w:vAlign w:val="bottom"/>
            <w:hideMark/>
          </w:tcPr>
          <w:p w14:paraId="22421B6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H3K27M</w:t>
            </w:r>
          </w:p>
        </w:tc>
        <w:tc>
          <w:tcPr>
            <w:tcW w:w="6620" w:type="dxa"/>
            <w:tcBorders>
              <w:top w:val="nil"/>
              <w:left w:val="nil"/>
              <w:bottom w:val="nil"/>
              <w:right w:val="nil"/>
            </w:tcBorders>
            <w:shd w:val="clear" w:color="auto" w:fill="auto"/>
            <w:noWrap/>
            <w:vAlign w:val="bottom"/>
            <w:hideMark/>
          </w:tcPr>
          <w:p w14:paraId="5D233C07"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mutace histonu H3, záměna lyzinu 27 za mehionin</w:t>
            </w:r>
          </w:p>
        </w:tc>
      </w:tr>
      <w:tr w:rsidR="002D13FB" w:rsidRPr="00D82551" w14:paraId="0CB8A174" w14:textId="77777777" w:rsidTr="00EC4DAF">
        <w:trPr>
          <w:trHeight w:val="300"/>
        </w:trPr>
        <w:tc>
          <w:tcPr>
            <w:tcW w:w="2116" w:type="dxa"/>
            <w:tcBorders>
              <w:top w:val="nil"/>
              <w:left w:val="nil"/>
              <w:bottom w:val="nil"/>
              <w:right w:val="nil"/>
            </w:tcBorders>
            <w:shd w:val="clear" w:color="auto" w:fill="auto"/>
            <w:noWrap/>
            <w:vAlign w:val="bottom"/>
            <w:hideMark/>
          </w:tcPr>
          <w:p w14:paraId="67CF04E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HIF1α</w:t>
            </w:r>
          </w:p>
        </w:tc>
        <w:tc>
          <w:tcPr>
            <w:tcW w:w="6620" w:type="dxa"/>
            <w:tcBorders>
              <w:top w:val="nil"/>
              <w:left w:val="nil"/>
              <w:bottom w:val="nil"/>
              <w:right w:val="nil"/>
            </w:tcBorders>
            <w:shd w:val="clear" w:color="auto" w:fill="auto"/>
            <w:noWrap/>
            <w:vAlign w:val="bottom"/>
            <w:hideMark/>
          </w:tcPr>
          <w:p w14:paraId="0BFD3A77"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hypoxií indukovaný faktor</w:t>
            </w:r>
          </w:p>
        </w:tc>
      </w:tr>
      <w:tr w:rsidR="002D13FB" w:rsidRPr="00D82551" w14:paraId="7229D19C" w14:textId="77777777" w:rsidTr="00EC4DAF">
        <w:trPr>
          <w:trHeight w:val="300"/>
        </w:trPr>
        <w:tc>
          <w:tcPr>
            <w:tcW w:w="2116" w:type="dxa"/>
            <w:tcBorders>
              <w:top w:val="nil"/>
              <w:left w:val="nil"/>
              <w:bottom w:val="nil"/>
              <w:right w:val="nil"/>
            </w:tcBorders>
            <w:shd w:val="clear" w:color="auto" w:fill="auto"/>
            <w:noWrap/>
            <w:vAlign w:val="bottom"/>
          </w:tcPr>
          <w:p w14:paraId="476BEF2E" w14:textId="1536C879" w:rsidR="002D13FB" w:rsidRPr="00D82551" w:rsidRDefault="002D13FB" w:rsidP="002D13FB">
            <w:pPr>
              <w:tabs>
                <w:tab w:val="left" w:pos="0"/>
              </w:tabs>
              <w:spacing w:after="0" w:line="240" w:lineRule="auto"/>
              <w:rPr>
                <w:rFonts w:ascii="Calibri" w:eastAsia="Times New Roman" w:hAnsi="Calibri" w:cs="Calibri"/>
                <w:color w:val="000000"/>
              </w:rPr>
            </w:pPr>
            <w:r w:rsidRPr="00F9663E">
              <w:rPr>
                <w:rFonts w:ascii="Calibri" w:eastAsia="Times New Roman" w:hAnsi="Calibri" w:cs="Calibri"/>
                <w:color w:val="000000"/>
              </w:rPr>
              <w:t>HIF–OH</w:t>
            </w:r>
          </w:p>
        </w:tc>
        <w:tc>
          <w:tcPr>
            <w:tcW w:w="6620" w:type="dxa"/>
            <w:tcBorders>
              <w:top w:val="nil"/>
              <w:left w:val="nil"/>
              <w:bottom w:val="nil"/>
              <w:right w:val="nil"/>
            </w:tcBorders>
            <w:shd w:val="clear" w:color="auto" w:fill="auto"/>
            <w:noWrap/>
            <w:vAlign w:val="bottom"/>
          </w:tcPr>
          <w:p w14:paraId="12C3874A" w14:textId="4BC0181B"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hydroxylovaný HIF</w:t>
            </w:r>
          </w:p>
        </w:tc>
      </w:tr>
      <w:tr w:rsidR="002D13FB" w:rsidRPr="00D82551" w14:paraId="4F110BD4" w14:textId="77777777" w:rsidTr="00EC4DAF">
        <w:trPr>
          <w:trHeight w:val="300"/>
        </w:trPr>
        <w:tc>
          <w:tcPr>
            <w:tcW w:w="2116" w:type="dxa"/>
            <w:tcBorders>
              <w:top w:val="nil"/>
              <w:left w:val="nil"/>
              <w:bottom w:val="nil"/>
              <w:right w:val="nil"/>
            </w:tcBorders>
            <w:shd w:val="clear" w:color="auto" w:fill="auto"/>
            <w:noWrap/>
            <w:vAlign w:val="bottom"/>
          </w:tcPr>
          <w:p w14:paraId="3184AB19" w14:textId="5065294F"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HSV</w:t>
            </w:r>
          </w:p>
        </w:tc>
        <w:tc>
          <w:tcPr>
            <w:tcW w:w="6620" w:type="dxa"/>
            <w:tcBorders>
              <w:top w:val="nil"/>
              <w:left w:val="nil"/>
              <w:bottom w:val="nil"/>
              <w:right w:val="nil"/>
            </w:tcBorders>
            <w:shd w:val="clear" w:color="auto" w:fill="auto"/>
            <w:noWrap/>
            <w:vAlign w:val="bottom"/>
          </w:tcPr>
          <w:p w14:paraId="49A4B719" w14:textId="489FAA93" w:rsidR="002D13FB" w:rsidRPr="00813A6A" w:rsidRDefault="002D13FB" w:rsidP="002D13FB">
            <w:pPr>
              <w:tabs>
                <w:tab w:val="left" w:pos="0"/>
              </w:tabs>
              <w:spacing w:after="0" w:line="240" w:lineRule="auto"/>
              <w:rPr>
                <w:rFonts w:ascii="Calibri" w:eastAsia="Times New Roman" w:hAnsi="Calibri" w:cs="Calibri"/>
                <w:i/>
                <w:iCs/>
                <w:color w:val="000000"/>
              </w:rPr>
            </w:pPr>
            <w:r w:rsidRPr="00813A6A">
              <w:rPr>
                <w:rFonts w:ascii="Calibri" w:eastAsia="Times New Roman" w:hAnsi="Calibri" w:cs="Calibri"/>
                <w:i/>
                <w:iCs/>
                <w:color w:val="000000"/>
              </w:rPr>
              <w:t>herpes simplex virus</w:t>
            </w:r>
          </w:p>
        </w:tc>
      </w:tr>
      <w:tr w:rsidR="002D13FB" w:rsidRPr="00D82551" w14:paraId="3132D09E" w14:textId="77777777" w:rsidTr="00EC4DAF">
        <w:trPr>
          <w:trHeight w:val="300"/>
        </w:trPr>
        <w:tc>
          <w:tcPr>
            <w:tcW w:w="2116" w:type="dxa"/>
            <w:tcBorders>
              <w:top w:val="nil"/>
              <w:left w:val="nil"/>
              <w:bottom w:val="nil"/>
              <w:right w:val="nil"/>
            </w:tcBorders>
            <w:shd w:val="clear" w:color="auto" w:fill="auto"/>
            <w:noWrap/>
            <w:vAlign w:val="bottom"/>
          </w:tcPr>
          <w:p w14:paraId="5505AB3B" w14:textId="534EBB2C" w:rsidR="002D13FB"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CHT</w:t>
            </w:r>
          </w:p>
        </w:tc>
        <w:tc>
          <w:tcPr>
            <w:tcW w:w="6620" w:type="dxa"/>
            <w:tcBorders>
              <w:top w:val="nil"/>
              <w:left w:val="nil"/>
              <w:bottom w:val="nil"/>
              <w:right w:val="nil"/>
            </w:tcBorders>
            <w:shd w:val="clear" w:color="auto" w:fill="auto"/>
            <w:noWrap/>
            <w:vAlign w:val="bottom"/>
          </w:tcPr>
          <w:p w14:paraId="5586D8AA" w14:textId="030C99F9" w:rsidR="002D13FB" w:rsidRPr="002D13FB" w:rsidRDefault="002D13FB" w:rsidP="002D13FB">
            <w:pPr>
              <w:tabs>
                <w:tab w:val="left" w:pos="0"/>
              </w:tabs>
              <w:spacing w:after="0" w:line="240" w:lineRule="auto"/>
              <w:rPr>
                <w:rFonts w:ascii="Calibri" w:eastAsia="Times New Roman" w:hAnsi="Calibri" w:cs="Calibri"/>
                <w:color w:val="000000"/>
              </w:rPr>
            </w:pPr>
            <w:r w:rsidRPr="002D13FB">
              <w:rPr>
                <w:rFonts w:ascii="Calibri" w:eastAsia="Times New Roman" w:hAnsi="Calibri" w:cs="Calibri"/>
                <w:color w:val="000000"/>
              </w:rPr>
              <w:t>chemoterapie</w:t>
            </w:r>
          </w:p>
        </w:tc>
      </w:tr>
      <w:tr w:rsidR="001A0AFD" w:rsidRPr="00D82551" w14:paraId="3B9AC731" w14:textId="77777777" w:rsidTr="00EC4DAF">
        <w:trPr>
          <w:trHeight w:val="300"/>
        </w:trPr>
        <w:tc>
          <w:tcPr>
            <w:tcW w:w="2116" w:type="dxa"/>
            <w:tcBorders>
              <w:top w:val="nil"/>
              <w:left w:val="nil"/>
              <w:bottom w:val="nil"/>
              <w:right w:val="nil"/>
            </w:tcBorders>
            <w:shd w:val="clear" w:color="auto" w:fill="auto"/>
            <w:noWrap/>
            <w:vAlign w:val="bottom"/>
          </w:tcPr>
          <w:p w14:paraId="22F5796D" w14:textId="3B5F40B9" w:rsidR="001A0AFD" w:rsidRDefault="001A0AFD" w:rsidP="002D13FB">
            <w:pPr>
              <w:tabs>
                <w:tab w:val="left" w:pos="0"/>
              </w:tabs>
              <w:spacing w:after="0" w:line="240" w:lineRule="auto"/>
              <w:rPr>
                <w:rFonts w:ascii="Calibri" w:eastAsia="Times New Roman" w:hAnsi="Calibri" w:cs="Calibri"/>
                <w:color w:val="000000"/>
              </w:rPr>
            </w:pPr>
            <w:r w:rsidRPr="001A0AFD">
              <w:rPr>
                <w:rFonts w:ascii="Calibri" w:eastAsia="Times New Roman" w:hAnsi="Calibri" w:cs="Calibri"/>
                <w:color w:val="000000"/>
              </w:rPr>
              <w:t>CHT+RT</w:t>
            </w:r>
          </w:p>
        </w:tc>
        <w:tc>
          <w:tcPr>
            <w:tcW w:w="6620" w:type="dxa"/>
            <w:tcBorders>
              <w:top w:val="nil"/>
              <w:left w:val="nil"/>
              <w:bottom w:val="nil"/>
              <w:right w:val="nil"/>
            </w:tcBorders>
            <w:shd w:val="clear" w:color="auto" w:fill="auto"/>
            <w:noWrap/>
            <w:vAlign w:val="bottom"/>
          </w:tcPr>
          <w:p w14:paraId="3E40160D" w14:textId="43621D07" w:rsidR="001A0AFD" w:rsidRPr="002D13FB" w:rsidRDefault="001A0AFD"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chemoradioterapie</w:t>
            </w:r>
          </w:p>
        </w:tc>
      </w:tr>
      <w:tr w:rsidR="002D13FB" w:rsidRPr="00D82551" w14:paraId="76A8DB62" w14:textId="77777777" w:rsidTr="00EC4DAF">
        <w:trPr>
          <w:trHeight w:val="300"/>
        </w:trPr>
        <w:tc>
          <w:tcPr>
            <w:tcW w:w="2116" w:type="dxa"/>
            <w:tcBorders>
              <w:top w:val="nil"/>
              <w:left w:val="nil"/>
              <w:bottom w:val="nil"/>
              <w:right w:val="nil"/>
            </w:tcBorders>
            <w:shd w:val="clear" w:color="auto" w:fill="auto"/>
            <w:noWrap/>
            <w:vAlign w:val="bottom"/>
            <w:hideMark/>
          </w:tcPr>
          <w:p w14:paraId="221697CA"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IDH 1/2</w:t>
            </w:r>
          </w:p>
        </w:tc>
        <w:tc>
          <w:tcPr>
            <w:tcW w:w="6620" w:type="dxa"/>
            <w:tcBorders>
              <w:top w:val="nil"/>
              <w:left w:val="nil"/>
              <w:bottom w:val="nil"/>
              <w:right w:val="nil"/>
            </w:tcBorders>
            <w:shd w:val="clear" w:color="auto" w:fill="auto"/>
            <w:noWrap/>
            <w:vAlign w:val="center"/>
            <w:hideMark/>
          </w:tcPr>
          <w:p w14:paraId="57C9E025"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isocitrát dehydrogenáza 1/2</w:t>
            </w:r>
          </w:p>
        </w:tc>
      </w:tr>
      <w:tr w:rsidR="002D13FB" w:rsidRPr="00D82551" w14:paraId="263817C4" w14:textId="77777777" w:rsidTr="00EC4DAF">
        <w:trPr>
          <w:trHeight w:val="300"/>
        </w:trPr>
        <w:tc>
          <w:tcPr>
            <w:tcW w:w="2116" w:type="dxa"/>
            <w:tcBorders>
              <w:top w:val="nil"/>
              <w:left w:val="nil"/>
              <w:bottom w:val="nil"/>
              <w:right w:val="nil"/>
            </w:tcBorders>
            <w:shd w:val="clear" w:color="auto" w:fill="auto"/>
            <w:noWrap/>
            <w:vAlign w:val="bottom"/>
          </w:tcPr>
          <w:p w14:paraId="212217F4" w14:textId="52487CA9"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IL-2</w:t>
            </w:r>
          </w:p>
        </w:tc>
        <w:tc>
          <w:tcPr>
            <w:tcW w:w="6620" w:type="dxa"/>
            <w:tcBorders>
              <w:top w:val="nil"/>
              <w:left w:val="nil"/>
              <w:bottom w:val="nil"/>
              <w:right w:val="nil"/>
            </w:tcBorders>
            <w:shd w:val="clear" w:color="auto" w:fill="auto"/>
            <w:noWrap/>
            <w:vAlign w:val="center"/>
          </w:tcPr>
          <w:p w14:paraId="33FDAF3A" w14:textId="497AB008"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interleukin-2</w:t>
            </w:r>
          </w:p>
        </w:tc>
      </w:tr>
      <w:tr w:rsidR="002D13FB" w:rsidRPr="00D82551" w14:paraId="48E4A1B1" w14:textId="77777777" w:rsidTr="00EC4DAF">
        <w:trPr>
          <w:trHeight w:val="300"/>
        </w:trPr>
        <w:tc>
          <w:tcPr>
            <w:tcW w:w="2116" w:type="dxa"/>
            <w:tcBorders>
              <w:top w:val="nil"/>
              <w:left w:val="nil"/>
              <w:bottom w:val="nil"/>
              <w:right w:val="nil"/>
            </w:tcBorders>
            <w:shd w:val="clear" w:color="auto" w:fill="auto"/>
            <w:noWrap/>
            <w:vAlign w:val="bottom"/>
            <w:hideMark/>
          </w:tcPr>
          <w:p w14:paraId="46F526A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LOH</w:t>
            </w:r>
          </w:p>
        </w:tc>
        <w:tc>
          <w:tcPr>
            <w:tcW w:w="6620" w:type="dxa"/>
            <w:tcBorders>
              <w:top w:val="nil"/>
              <w:left w:val="nil"/>
              <w:bottom w:val="nil"/>
              <w:right w:val="nil"/>
            </w:tcBorders>
            <w:shd w:val="clear" w:color="auto" w:fill="auto"/>
            <w:noWrap/>
            <w:vAlign w:val="center"/>
            <w:hideMark/>
          </w:tcPr>
          <w:p w14:paraId="45D9A03A"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ztráta heterozygotnosti</w:t>
            </w:r>
          </w:p>
        </w:tc>
      </w:tr>
      <w:tr w:rsidR="002D13FB" w:rsidRPr="00D82551" w14:paraId="1C8B1137" w14:textId="77777777" w:rsidTr="00EC4DAF">
        <w:trPr>
          <w:trHeight w:val="300"/>
        </w:trPr>
        <w:tc>
          <w:tcPr>
            <w:tcW w:w="2116" w:type="dxa"/>
            <w:tcBorders>
              <w:top w:val="nil"/>
              <w:left w:val="nil"/>
              <w:bottom w:val="nil"/>
              <w:right w:val="nil"/>
            </w:tcBorders>
            <w:shd w:val="clear" w:color="auto" w:fill="auto"/>
            <w:noWrap/>
            <w:vAlign w:val="bottom"/>
            <w:hideMark/>
          </w:tcPr>
          <w:p w14:paraId="061BEE3A"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JAK/STAT</w:t>
            </w:r>
          </w:p>
        </w:tc>
        <w:tc>
          <w:tcPr>
            <w:tcW w:w="6620" w:type="dxa"/>
            <w:tcBorders>
              <w:top w:val="nil"/>
              <w:left w:val="nil"/>
              <w:bottom w:val="nil"/>
              <w:right w:val="nil"/>
            </w:tcBorders>
            <w:shd w:val="clear" w:color="auto" w:fill="auto"/>
            <w:noWrap/>
            <w:vAlign w:val="center"/>
            <w:hideMark/>
          </w:tcPr>
          <w:p w14:paraId="788EE243" w14:textId="1B1682E4"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Janus Kinase/Signal Transducers and Activators of T</w:t>
            </w:r>
            <w:r w:rsidR="002D13FB" w:rsidRPr="00D82551">
              <w:rPr>
                <w:rFonts w:ascii="Calibri" w:eastAsia="Times New Roman" w:hAnsi="Calibri" w:cs="Calibri"/>
                <w:color w:val="000000"/>
              </w:rPr>
              <w:t>ranscription</w:t>
            </w:r>
          </w:p>
        </w:tc>
      </w:tr>
      <w:tr w:rsidR="001A0AFD" w:rsidRPr="00D82551" w14:paraId="49967FD9" w14:textId="77777777" w:rsidTr="00EC4DAF">
        <w:trPr>
          <w:trHeight w:val="300"/>
        </w:trPr>
        <w:tc>
          <w:tcPr>
            <w:tcW w:w="2116" w:type="dxa"/>
            <w:tcBorders>
              <w:top w:val="nil"/>
              <w:left w:val="nil"/>
              <w:bottom w:val="nil"/>
              <w:right w:val="nil"/>
            </w:tcBorders>
            <w:shd w:val="clear" w:color="auto" w:fill="auto"/>
            <w:noWrap/>
            <w:vAlign w:val="bottom"/>
          </w:tcPr>
          <w:p w14:paraId="4C3A17F7" w14:textId="756EBAAB" w:rsidR="001A0AFD" w:rsidRPr="00D82551" w:rsidRDefault="001A0AFD"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KDM</w:t>
            </w:r>
          </w:p>
        </w:tc>
        <w:tc>
          <w:tcPr>
            <w:tcW w:w="6620" w:type="dxa"/>
            <w:tcBorders>
              <w:top w:val="nil"/>
              <w:left w:val="nil"/>
              <w:bottom w:val="nil"/>
              <w:right w:val="nil"/>
            </w:tcBorders>
            <w:shd w:val="clear" w:color="auto" w:fill="auto"/>
            <w:noWrap/>
            <w:vAlign w:val="center"/>
          </w:tcPr>
          <w:p w14:paraId="6BB63EDC" w14:textId="7E442E48" w:rsidR="001A0AFD" w:rsidRPr="00D82551" w:rsidRDefault="001A0AFD" w:rsidP="002D13FB">
            <w:pPr>
              <w:tabs>
                <w:tab w:val="left" w:pos="0"/>
              </w:tabs>
              <w:spacing w:after="0" w:line="240" w:lineRule="auto"/>
              <w:rPr>
                <w:rFonts w:ascii="Calibri" w:eastAsia="Times New Roman" w:hAnsi="Calibri" w:cs="Calibri"/>
                <w:color w:val="000000"/>
              </w:rPr>
            </w:pPr>
            <w:r w:rsidRPr="001A0AFD">
              <w:rPr>
                <w:rFonts w:ascii="Calibri" w:eastAsia="Times New Roman" w:hAnsi="Calibri" w:cs="Calibri"/>
                <w:color w:val="000000"/>
              </w:rPr>
              <w:t>histon lysin demethyláza</w:t>
            </w:r>
          </w:p>
        </w:tc>
      </w:tr>
      <w:tr w:rsidR="002D13FB" w:rsidRPr="00D82551" w14:paraId="05289960" w14:textId="77777777" w:rsidTr="00EC4DAF">
        <w:trPr>
          <w:trHeight w:val="300"/>
        </w:trPr>
        <w:tc>
          <w:tcPr>
            <w:tcW w:w="2116" w:type="dxa"/>
            <w:tcBorders>
              <w:top w:val="nil"/>
              <w:left w:val="nil"/>
              <w:bottom w:val="nil"/>
              <w:right w:val="nil"/>
            </w:tcBorders>
            <w:shd w:val="clear" w:color="auto" w:fill="auto"/>
            <w:noWrap/>
            <w:vAlign w:val="bottom"/>
          </w:tcPr>
          <w:p w14:paraId="3A3301F9" w14:textId="34D15E04"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KRAS</w:t>
            </w:r>
          </w:p>
        </w:tc>
        <w:tc>
          <w:tcPr>
            <w:tcW w:w="6620" w:type="dxa"/>
            <w:tcBorders>
              <w:top w:val="nil"/>
              <w:left w:val="nil"/>
              <w:bottom w:val="nil"/>
              <w:right w:val="nil"/>
            </w:tcBorders>
            <w:shd w:val="clear" w:color="auto" w:fill="auto"/>
            <w:noWrap/>
            <w:vAlign w:val="center"/>
          </w:tcPr>
          <w:p w14:paraId="51DF78C2" w14:textId="6C8E404D" w:rsidR="002D13FB" w:rsidRPr="00D82551" w:rsidRDefault="002D13FB" w:rsidP="002D13FB">
            <w:pPr>
              <w:tabs>
                <w:tab w:val="left" w:pos="0"/>
              </w:tabs>
              <w:spacing w:after="0" w:line="240" w:lineRule="auto"/>
              <w:rPr>
                <w:rFonts w:ascii="Calibri" w:eastAsia="Times New Roman" w:hAnsi="Calibri" w:cs="Calibri"/>
                <w:color w:val="000000"/>
              </w:rPr>
            </w:pPr>
            <w:r w:rsidRPr="002D13FB">
              <w:rPr>
                <w:rFonts w:ascii="Calibri" w:eastAsia="Times New Roman" w:hAnsi="Calibri" w:cs="Calibri"/>
                <w:color w:val="000000"/>
              </w:rPr>
              <w:t xml:space="preserve">KRAS </w:t>
            </w:r>
            <w:r>
              <w:rPr>
                <w:rFonts w:ascii="Calibri" w:eastAsia="Times New Roman" w:hAnsi="Calibri" w:cs="Calibri"/>
                <w:color w:val="000000"/>
              </w:rPr>
              <w:t>p</w:t>
            </w:r>
            <w:r w:rsidRPr="002D13FB">
              <w:rPr>
                <w:rFonts w:ascii="Calibri" w:eastAsia="Times New Roman" w:hAnsi="Calibri" w:cs="Calibri"/>
                <w:color w:val="000000"/>
              </w:rPr>
              <w:t>roto-</w:t>
            </w:r>
            <w:r>
              <w:rPr>
                <w:rFonts w:ascii="Calibri" w:eastAsia="Times New Roman" w:hAnsi="Calibri" w:cs="Calibri"/>
                <w:color w:val="000000"/>
              </w:rPr>
              <w:t>o</w:t>
            </w:r>
            <w:r w:rsidRPr="002D13FB">
              <w:rPr>
                <w:rFonts w:ascii="Calibri" w:eastAsia="Times New Roman" w:hAnsi="Calibri" w:cs="Calibri"/>
                <w:color w:val="000000"/>
              </w:rPr>
              <w:t>ncogene, GTPase</w:t>
            </w:r>
          </w:p>
        </w:tc>
      </w:tr>
      <w:tr w:rsidR="002D13FB" w:rsidRPr="00D82551" w14:paraId="7E456705" w14:textId="77777777" w:rsidTr="00EC4DAF">
        <w:trPr>
          <w:trHeight w:val="300"/>
        </w:trPr>
        <w:tc>
          <w:tcPr>
            <w:tcW w:w="2116" w:type="dxa"/>
            <w:tcBorders>
              <w:top w:val="nil"/>
              <w:left w:val="nil"/>
              <w:bottom w:val="nil"/>
              <w:right w:val="nil"/>
            </w:tcBorders>
            <w:shd w:val="clear" w:color="auto" w:fill="auto"/>
            <w:noWrap/>
            <w:vAlign w:val="bottom"/>
          </w:tcPr>
          <w:p w14:paraId="5D3225C1" w14:textId="26F22A93" w:rsidR="002D13FB"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MAF</w:t>
            </w:r>
          </w:p>
        </w:tc>
        <w:tc>
          <w:tcPr>
            <w:tcW w:w="6620" w:type="dxa"/>
            <w:tcBorders>
              <w:top w:val="nil"/>
              <w:left w:val="nil"/>
              <w:bottom w:val="nil"/>
              <w:right w:val="nil"/>
            </w:tcBorders>
            <w:shd w:val="clear" w:color="auto" w:fill="auto"/>
            <w:noWrap/>
            <w:vAlign w:val="center"/>
          </w:tcPr>
          <w:p w14:paraId="67DF5825" w14:textId="127EA2E3" w:rsidR="002D13FB" w:rsidRPr="002D13FB"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Mutation A</w:t>
            </w:r>
            <w:r w:rsidR="00BC1DE6">
              <w:rPr>
                <w:rFonts w:ascii="Calibri" w:eastAsia="Times New Roman" w:hAnsi="Calibri" w:cs="Calibri"/>
                <w:color w:val="000000"/>
              </w:rPr>
              <w:t xml:space="preserve">llele </w:t>
            </w:r>
          </w:p>
        </w:tc>
      </w:tr>
      <w:tr w:rsidR="002D13FB" w:rsidRPr="00D82551" w14:paraId="57601FE4" w14:textId="77777777" w:rsidTr="00EC4DAF">
        <w:trPr>
          <w:trHeight w:val="300"/>
        </w:trPr>
        <w:tc>
          <w:tcPr>
            <w:tcW w:w="2116" w:type="dxa"/>
            <w:tcBorders>
              <w:top w:val="nil"/>
              <w:left w:val="nil"/>
              <w:bottom w:val="nil"/>
              <w:right w:val="nil"/>
            </w:tcBorders>
            <w:shd w:val="clear" w:color="auto" w:fill="auto"/>
            <w:noWrap/>
            <w:vAlign w:val="bottom"/>
            <w:hideMark/>
          </w:tcPr>
          <w:p w14:paraId="1E201B9C"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MAPK</w:t>
            </w:r>
          </w:p>
        </w:tc>
        <w:tc>
          <w:tcPr>
            <w:tcW w:w="6620" w:type="dxa"/>
            <w:tcBorders>
              <w:top w:val="nil"/>
              <w:left w:val="nil"/>
              <w:bottom w:val="nil"/>
              <w:right w:val="nil"/>
            </w:tcBorders>
            <w:shd w:val="clear" w:color="auto" w:fill="auto"/>
            <w:noWrap/>
            <w:vAlign w:val="center"/>
            <w:hideMark/>
          </w:tcPr>
          <w:p w14:paraId="50D00517"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mitogenem aktivované proteinkinázy</w:t>
            </w:r>
          </w:p>
        </w:tc>
      </w:tr>
      <w:tr w:rsidR="002D13FB" w:rsidRPr="00D82551" w14:paraId="00CE24E1" w14:textId="77777777" w:rsidTr="00EC4DAF">
        <w:trPr>
          <w:trHeight w:val="300"/>
        </w:trPr>
        <w:tc>
          <w:tcPr>
            <w:tcW w:w="2116" w:type="dxa"/>
            <w:tcBorders>
              <w:top w:val="nil"/>
              <w:left w:val="nil"/>
              <w:bottom w:val="nil"/>
              <w:right w:val="nil"/>
            </w:tcBorders>
            <w:shd w:val="clear" w:color="auto" w:fill="auto"/>
            <w:noWrap/>
            <w:vAlign w:val="bottom"/>
            <w:hideMark/>
          </w:tcPr>
          <w:p w14:paraId="1DB4542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MDM2</w:t>
            </w:r>
          </w:p>
        </w:tc>
        <w:tc>
          <w:tcPr>
            <w:tcW w:w="6620" w:type="dxa"/>
            <w:tcBorders>
              <w:top w:val="nil"/>
              <w:left w:val="nil"/>
              <w:bottom w:val="nil"/>
              <w:right w:val="nil"/>
            </w:tcBorders>
            <w:shd w:val="clear" w:color="auto" w:fill="auto"/>
            <w:noWrap/>
            <w:vAlign w:val="bottom"/>
            <w:hideMark/>
          </w:tcPr>
          <w:p w14:paraId="2A0E4732" w14:textId="67CAA08B"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Mouse Double Minute 2 H</w:t>
            </w:r>
            <w:r w:rsidR="002D13FB" w:rsidRPr="00D82551">
              <w:rPr>
                <w:rFonts w:ascii="Calibri" w:eastAsia="Times New Roman" w:hAnsi="Calibri" w:cs="Calibri"/>
                <w:color w:val="000000"/>
              </w:rPr>
              <w:t>omolog</w:t>
            </w:r>
          </w:p>
        </w:tc>
      </w:tr>
      <w:tr w:rsidR="002D13FB" w:rsidRPr="00D82551" w14:paraId="1DD3933B" w14:textId="77777777" w:rsidTr="00EC4DAF">
        <w:trPr>
          <w:trHeight w:val="300"/>
        </w:trPr>
        <w:tc>
          <w:tcPr>
            <w:tcW w:w="2116" w:type="dxa"/>
            <w:tcBorders>
              <w:top w:val="nil"/>
              <w:left w:val="nil"/>
              <w:bottom w:val="nil"/>
              <w:right w:val="nil"/>
            </w:tcBorders>
            <w:shd w:val="clear" w:color="auto" w:fill="auto"/>
            <w:noWrap/>
            <w:vAlign w:val="bottom"/>
            <w:hideMark/>
          </w:tcPr>
          <w:p w14:paraId="7F698BCC"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MGMT</w:t>
            </w:r>
          </w:p>
        </w:tc>
        <w:tc>
          <w:tcPr>
            <w:tcW w:w="6620" w:type="dxa"/>
            <w:tcBorders>
              <w:top w:val="nil"/>
              <w:left w:val="nil"/>
              <w:bottom w:val="nil"/>
              <w:right w:val="nil"/>
            </w:tcBorders>
            <w:shd w:val="clear" w:color="auto" w:fill="auto"/>
            <w:noWrap/>
            <w:vAlign w:val="bottom"/>
            <w:hideMark/>
          </w:tcPr>
          <w:p w14:paraId="0F251CEE"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O6-methylguanin-DNA-methyltransferáza</w:t>
            </w:r>
          </w:p>
        </w:tc>
      </w:tr>
      <w:tr w:rsidR="002D13FB" w:rsidRPr="00D82551" w14:paraId="38D9466E" w14:textId="77777777" w:rsidTr="00EC4DAF">
        <w:trPr>
          <w:trHeight w:val="300"/>
        </w:trPr>
        <w:tc>
          <w:tcPr>
            <w:tcW w:w="2116" w:type="dxa"/>
            <w:tcBorders>
              <w:top w:val="nil"/>
              <w:left w:val="nil"/>
              <w:bottom w:val="nil"/>
              <w:right w:val="nil"/>
            </w:tcBorders>
            <w:shd w:val="clear" w:color="auto" w:fill="auto"/>
            <w:noWrap/>
            <w:vAlign w:val="bottom"/>
            <w:hideMark/>
          </w:tcPr>
          <w:p w14:paraId="58C3FDD2"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MHL1</w:t>
            </w:r>
          </w:p>
        </w:tc>
        <w:tc>
          <w:tcPr>
            <w:tcW w:w="6620" w:type="dxa"/>
            <w:tcBorders>
              <w:top w:val="nil"/>
              <w:left w:val="nil"/>
              <w:bottom w:val="nil"/>
              <w:right w:val="nil"/>
            </w:tcBorders>
            <w:shd w:val="clear" w:color="auto" w:fill="auto"/>
            <w:noWrap/>
            <w:vAlign w:val="bottom"/>
            <w:hideMark/>
          </w:tcPr>
          <w:p w14:paraId="71ED54C0"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MutL homolog 1</w:t>
            </w:r>
          </w:p>
        </w:tc>
      </w:tr>
      <w:tr w:rsidR="002D13FB" w:rsidRPr="00D82551" w14:paraId="1ED07411" w14:textId="77777777" w:rsidTr="00EC4DAF">
        <w:trPr>
          <w:trHeight w:val="300"/>
        </w:trPr>
        <w:tc>
          <w:tcPr>
            <w:tcW w:w="2116" w:type="dxa"/>
            <w:tcBorders>
              <w:top w:val="nil"/>
              <w:left w:val="nil"/>
              <w:bottom w:val="nil"/>
              <w:right w:val="nil"/>
            </w:tcBorders>
            <w:shd w:val="clear" w:color="auto" w:fill="auto"/>
            <w:noWrap/>
            <w:vAlign w:val="bottom"/>
          </w:tcPr>
          <w:p w14:paraId="75116BB9" w14:textId="029DE89C"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MPS</w:t>
            </w:r>
          </w:p>
        </w:tc>
        <w:tc>
          <w:tcPr>
            <w:tcW w:w="6620" w:type="dxa"/>
            <w:tcBorders>
              <w:top w:val="nil"/>
              <w:left w:val="nil"/>
              <w:bottom w:val="nil"/>
              <w:right w:val="nil"/>
            </w:tcBorders>
            <w:shd w:val="clear" w:color="auto" w:fill="auto"/>
            <w:noWrap/>
            <w:vAlign w:val="bottom"/>
          </w:tcPr>
          <w:p w14:paraId="385E903E" w14:textId="06A5B99B"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masivně paralelní sekvenování</w:t>
            </w:r>
          </w:p>
        </w:tc>
      </w:tr>
      <w:tr w:rsidR="002D13FB" w:rsidRPr="00D82551" w14:paraId="7D4B93D6" w14:textId="77777777" w:rsidTr="00EC4DAF">
        <w:trPr>
          <w:trHeight w:val="300"/>
        </w:trPr>
        <w:tc>
          <w:tcPr>
            <w:tcW w:w="2116" w:type="dxa"/>
            <w:tcBorders>
              <w:top w:val="nil"/>
              <w:left w:val="nil"/>
              <w:bottom w:val="nil"/>
              <w:right w:val="nil"/>
            </w:tcBorders>
            <w:shd w:val="clear" w:color="auto" w:fill="auto"/>
            <w:noWrap/>
            <w:vAlign w:val="bottom"/>
            <w:hideMark/>
          </w:tcPr>
          <w:p w14:paraId="026FCD65"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MSH2</w:t>
            </w:r>
          </w:p>
        </w:tc>
        <w:tc>
          <w:tcPr>
            <w:tcW w:w="6620" w:type="dxa"/>
            <w:tcBorders>
              <w:top w:val="nil"/>
              <w:left w:val="nil"/>
              <w:bottom w:val="nil"/>
              <w:right w:val="nil"/>
            </w:tcBorders>
            <w:shd w:val="clear" w:color="auto" w:fill="auto"/>
            <w:noWrap/>
            <w:vAlign w:val="bottom"/>
            <w:hideMark/>
          </w:tcPr>
          <w:p w14:paraId="16275098"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MutS homolog 2</w:t>
            </w:r>
          </w:p>
        </w:tc>
      </w:tr>
      <w:tr w:rsidR="002D13FB" w:rsidRPr="00D82551" w14:paraId="468A161E" w14:textId="77777777" w:rsidTr="00EC4DAF">
        <w:trPr>
          <w:trHeight w:val="300"/>
        </w:trPr>
        <w:tc>
          <w:tcPr>
            <w:tcW w:w="2116" w:type="dxa"/>
            <w:tcBorders>
              <w:top w:val="nil"/>
              <w:left w:val="nil"/>
              <w:bottom w:val="nil"/>
              <w:right w:val="nil"/>
            </w:tcBorders>
            <w:shd w:val="clear" w:color="auto" w:fill="auto"/>
            <w:noWrap/>
            <w:vAlign w:val="bottom"/>
            <w:hideMark/>
          </w:tcPr>
          <w:p w14:paraId="5773678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MSH6</w:t>
            </w:r>
          </w:p>
        </w:tc>
        <w:tc>
          <w:tcPr>
            <w:tcW w:w="6620" w:type="dxa"/>
            <w:tcBorders>
              <w:top w:val="nil"/>
              <w:left w:val="nil"/>
              <w:bottom w:val="nil"/>
              <w:right w:val="nil"/>
            </w:tcBorders>
            <w:shd w:val="clear" w:color="auto" w:fill="auto"/>
            <w:noWrap/>
            <w:vAlign w:val="bottom"/>
            <w:hideMark/>
          </w:tcPr>
          <w:p w14:paraId="0158CBAB"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MutS homolog 6</w:t>
            </w:r>
          </w:p>
        </w:tc>
      </w:tr>
      <w:tr w:rsidR="008730A8" w:rsidRPr="00D82551" w14:paraId="64D63D89" w14:textId="77777777" w:rsidTr="00EC4DAF">
        <w:trPr>
          <w:trHeight w:val="300"/>
        </w:trPr>
        <w:tc>
          <w:tcPr>
            <w:tcW w:w="2116" w:type="dxa"/>
            <w:tcBorders>
              <w:top w:val="nil"/>
              <w:left w:val="nil"/>
              <w:bottom w:val="nil"/>
              <w:right w:val="nil"/>
            </w:tcBorders>
            <w:shd w:val="clear" w:color="auto" w:fill="auto"/>
            <w:noWrap/>
            <w:vAlign w:val="bottom"/>
          </w:tcPr>
          <w:p w14:paraId="634244B0" w14:textId="65F62781" w:rsidR="008730A8" w:rsidRPr="00D82551" w:rsidRDefault="008730A8"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mTOR</w:t>
            </w:r>
          </w:p>
        </w:tc>
        <w:tc>
          <w:tcPr>
            <w:tcW w:w="6620" w:type="dxa"/>
            <w:tcBorders>
              <w:top w:val="nil"/>
              <w:left w:val="nil"/>
              <w:bottom w:val="nil"/>
              <w:right w:val="nil"/>
            </w:tcBorders>
            <w:shd w:val="clear" w:color="auto" w:fill="auto"/>
            <w:noWrap/>
            <w:vAlign w:val="bottom"/>
          </w:tcPr>
          <w:p w14:paraId="0051FFFD" w14:textId="1422C782" w:rsidR="008730A8"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Mechanistic T</w:t>
            </w:r>
            <w:r w:rsidR="008730A8" w:rsidRPr="008730A8">
              <w:rPr>
                <w:rFonts w:ascii="Calibri" w:eastAsia="Times New Roman" w:hAnsi="Calibri" w:cs="Calibri"/>
                <w:color w:val="000000"/>
              </w:rPr>
              <w:t>arget of Rapamycin Kinase</w:t>
            </w:r>
          </w:p>
        </w:tc>
      </w:tr>
      <w:tr w:rsidR="002D13FB" w:rsidRPr="00D82551" w14:paraId="323CA655" w14:textId="77777777" w:rsidTr="00EC4DAF">
        <w:trPr>
          <w:trHeight w:val="300"/>
        </w:trPr>
        <w:tc>
          <w:tcPr>
            <w:tcW w:w="2116" w:type="dxa"/>
            <w:tcBorders>
              <w:top w:val="nil"/>
              <w:left w:val="nil"/>
              <w:bottom w:val="nil"/>
              <w:right w:val="nil"/>
            </w:tcBorders>
            <w:shd w:val="clear" w:color="auto" w:fill="auto"/>
            <w:noWrap/>
            <w:vAlign w:val="bottom"/>
            <w:hideMark/>
          </w:tcPr>
          <w:p w14:paraId="3A7F632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NADP</w:t>
            </w:r>
            <w:r w:rsidRPr="00D82551">
              <w:rPr>
                <w:rFonts w:ascii="Times New Roman" w:eastAsia="Times New Roman" w:hAnsi="Times New Roman" w:cs="Times New Roman"/>
                <w:color w:val="000000"/>
              </w:rPr>
              <w:t>+</w:t>
            </w:r>
          </w:p>
        </w:tc>
        <w:tc>
          <w:tcPr>
            <w:tcW w:w="6620" w:type="dxa"/>
            <w:tcBorders>
              <w:top w:val="nil"/>
              <w:left w:val="nil"/>
              <w:bottom w:val="nil"/>
              <w:right w:val="nil"/>
            </w:tcBorders>
            <w:shd w:val="clear" w:color="auto" w:fill="auto"/>
            <w:noWrap/>
            <w:vAlign w:val="bottom"/>
            <w:hideMark/>
          </w:tcPr>
          <w:p w14:paraId="440C9854"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nikotinamidadenindinukleotidfosfát</w:t>
            </w:r>
          </w:p>
        </w:tc>
      </w:tr>
      <w:tr w:rsidR="002D13FB" w:rsidRPr="00D82551" w14:paraId="688F932C" w14:textId="77777777" w:rsidTr="00EC4DAF">
        <w:trPr>
          <w:trHeight w:val="300"/>
        </w:trPr>
        <w:tc>
          <w:tcPr>
            <w:tcW w:w="2116" w:type="dxa"/>
            <w:tcBorders>
              <w:top w:val="nil"/>
              <w:left w:val="nil"/>
              <w:bottom w:val="nil"/>
              <w:right w:val="nil"/>
            </w:tcBorders>
            <w:shd w:val="clear" w:color="auto" w:fill="auto"/>
            <w:noWrap/>
            <w:vAlign w:val="bottom"/>
          </w:tcPr>
          <w:p w14:paraId="6731C7D6" w14:textId="1A42559D"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NADPH</w:t>
            </w:r>
          </w:p>
        </w:tc>
        <w:tc>
          <w:tcPr>
            <w:tcW w:w="6620" w:type="dxa"/>
            <w:tcBorders>
              <w:top w:val="nil"/>
              <w:left w:val="nil"/>
              <w:bottom w:val="nil"/>
              <w:right w:val="nil"/>
            </w:tcBorders>
            <w:shd w:val="clear" w:color="auto" w:fill="auto"/>
            <w:noWrap/>
            <w:vAlign w:val="bottom"/>
          </w:tcPr>
          <w:p w14:paraId="7BCC52C0" w14:textId="354E3F21" w:rsidR="002D13FB" w:rsidRPr="00D82551" w:rsidRDefault="002D13FB" w:rsidP="002D13FB">
            <w:pPr>
              <w:tabs>
                <w:tab w:val="left" w:pos="0"/>
              </w:tabs>
              <w:spacing w:after="0" w:line="240" w:lineRule="auto"/>
              <w:rPr>
                <w:rFonts w:ascii="Calibri" w:eastAsia="Times New Roman" w:hAnsi="Calibri" w:cs="Calibri"/>
                <w:color w:val="000000"/>
              </w:rPr>
            </w:pPr>
            <w:r>
              <w:t xml:space="preserve">redukovaný </w:t>
            </w:r>
            <w:r w:rsidRPr="00091D5F">
              <w:t>nikotinamidadenindinukleotidfosfát</w:t>
            </w:r>
          </w:p>
        </w:tc>
      </w:tr>
      <w:tr w:rsidR="002D13FB" w:rsidRPr="00D82551" w14:paraId="20E1A822" w14:textId="77777777" w:rsidTr="00EC4DAF">
        <w:trPr>
          <w:trHeight w:val="300"/>
        </w:trPr>
        <w:tc>
          <w:tcPr>
            <w:tcW w:w="2116" w:type="dxa"/>
            <w:tcBorders>
              <w:top w:val="nil"/>
              <w:left w:val="nil"/>
              <w:bottom w:val="nil"/>
              <w:right w:val="nil"/>
            </w:tcBorders>
            <w:shd w:val="clear" w:color="auto" w:fill="auto"/>
            <w:noWrap/>
            <w:vAlign w:val="bottom"/>
          </w:tcPr>
          <w:p w14:paraId="39BF7D0E" w14:textId="5B7820F5" w:rsidR="002D13FB"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NB</w:t>
            </w:r>
          </w:p>
        </w:tc>
        <w:tc>
          <w:tcPr>
            <w:tcW w:w="6620" w:type="dxa"/>
            <w:tcBorders>
              <w:top w:val="nil"/>
              <w:left w:val="nil"/>
              <w:bottom w:val="nil"/>
              <w:right w:val="nil"/>
            </w:tcBorders>
            <w:shd w:val="clear" w:color="auto" w:fill="auto"/>
            <w:noWrap/>
            <w:vAlign w:val="bottom"/>
          </w:tcPr>
          <w:p w14:paraId="022D59FB" w14:textId="689B5CAE" w:rsidR="002D13FB" w:rsidRDefault="002D13FB" w:rsidP="002D13FB">
            <w:pPr>
              <w:tabs>
                <w:tab w:val="left" w:pos="0"/>
              </w:tabs>
              <w:spacing w:after="0" w:line="240" w:lineRule="auto"/>
            </w:pPr>
            <w:r>
              <w:t>nádorové buňky</w:t>
            </w:r>
          </w:p>
        </w:tc>
      </w:tr>
      <w:tr w:rsidR="002D13FB" w:rsidRPr="00D82551" w14:paraId="62D827E7" w14:textId="77777777" w:rsidTr="00EC4DAF">
        <w:trPr>
          <w:trHeight w:val="300"/>
        </w:trPr>
        <w:tc>
          <w:tcPr>
            <w:tcW w:w="2116" w:type="dxa"/>
            <w:tcBorders>
              <w:top w:val="nil"/>
              <w:left w:val="nil"/>
              <w:bottom w:val="nil"/>
              <w:right w:val="nil"/>
            </w:tcBorders>
            <w:shd w:val="clear" w:color="auto" w:fill="auto"/>
            <w:noWrap/>
            <w:vAlign w:val="bottom"/>
            <w:hideMark/>
          </w:tcPr>
          <w:p w14:paraId="5BC5E039"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NF1/2</w:t>
            </w:r>
          </w:p>
        </w:tc>
        <w:tc>
          <w:tcPr>
            <w:tcW w:w="6620" w:type="dxa"/>
            <w:tcBorders>
              <w:top w:val="nil"/>
              <w:left w:val="nil"/>
              <w:bottom w:val="nil"/>
              <w:right w:val="nil"/>
            </w:tcBorders>
            <w:shd w:val="clear" w:color="auto" w:fill="auto"/>
            <w:noWrap/>
            <w:vAlign w:val="bottom"/>
            <w:hideMark/>
          </w:tcPr>
          <w:p w14:paraId="5137C046"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nerofibromatóza typu 1/2</w:t>
            </w:r>
          </w:p>
        </w:tc>
      </w:tr>
      <w:tr w:rsidR="002D13FB" w:rsidRPr="00D82551" w14:paraId="5CA024F6" w14:textId="77777777" w:rsidTr="00EC4DAF">
        <w:trPr>
          <w:trHeight w:val="300"/>
        </w:trPr>
        <w:tc>
          <w:tcPr>
            <w:tcW w:w="2116" w:type="dxa"/>
            <w:tcBorders>
              <w:top w:val="nil"/>
              <w:left w:val="nil"/>
              <w:bottom w:val="nil"/>
              <w:right w:val="nil"/>
            </w:tcBorders>
            <w:shd w:val="clear" w:color="auto" w:fill="auto"/>
            <w:noWrap/>
            <w:vAlign w:val="bottom"/>
            <w:hideMark/>
          </w:tcPr>
          <w:p w14:paraId="197FA708"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NOTCH1</w:t>
            </w:r>
          </w:p>
        </w:tc>
        <w:tc>
          <w:tcPr>
            <w:tcW w:w="6620" w:type="dxa"/>
            <w:tcBorders>
              <w:top w:val="nil"/>
              <w:left w:val="nil"/>
              <w:bottom w:val="nil"/>
              <w:right w:val="nil"/>
            </w:tcBorders>
            <w:shd w:val="clear" w:color="auto" w:fill="auto"/>
            <w:noWrap/>
            <w:vAlign w:val="bottom"/>
            <w:hideMark/>
          </w:tcPr>
          <w:p w14:paraId="513796C7" w14:textId="351C1A55"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Neurogenic Locus Notch Homolog P</w:t>
            </w:r>
            <w:r w:rsidR="002D13FB" w:rsidRPr="00D82551">
              <w:rPr>
                <w:rFonts w:ascii="Calibri" w:eastAsia="Times New Roman" w:hAnsi="Calibri" w:cs="Calibri"/>
                <w:color w:val="000000"/>
              </w:rPr>
              <w:t>rotein 1</w:t>
            </w:r>
          </w:p>
        </w:tc>
      </w:tr>
      <w:tr w:rsidR="002D13FB" w:rsidRPr="00D82551" w14:paraId="06D0FCD8" w14:textId="77777777" w:rsidTr="00EC4DAF">
        <w:trPr>
          <w:trHeight w:val="300"/>
        </w:trPr>
        <w:tc>
          <w:tcPr>
            <w:tcW w:w="2116" w:type="dxa"/>
            <w:tcBorders>
              <w:top w:val="nil"/>
              <w:left w:val="nil"/>
              <w:bottom w:val="nil"/>
              <w:right w:val="nil"/>
            </w:tcBorders>
            <w:shd w:val="clear" w:color="auto" w:fill="auto"/>
            <w:noWrap/>
            <w:vAlign w:val="bottom"/>
          </w:tcPr>
          <w:p w14:paraId="0E2CBA39" w14:textId="61435A02"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NRAS</w:t>
            </w:r>
          </w:p>
        </w:tc>
        <w:tc>
          <w:tcPr>
            <w:tcW w:w="6620" w:type="dxa"/>
            <w:tcBorders>
              <w:top w:val="nil"/>
              <w:left w:val="nil"/>
              <w:bottom w:val="nil"/>
              <w:right w:val="nil"/>
            </w:tcBorders>
            <w:shd w:val="clear" w:color="auto" w:fill="auto"/>
            <w:noWrap/>
            <w:vAlign w:val="bottom"/>
          </w:tcPr>
          <w:p w14:paraId="64F0D966" w14:textId="67D0C2E9" w:rsidR="002D13FB" w:rsidRPr="00D82551" w:rsidRDefault="00BC1DE6" w:rsidP="002D13FB">
            <w:pPr>
              <w:tabs>
                <w:tab w:val="left" w:pos="0"/>
              </w:tabs>
              <w:spacing w:after="0" w:line="240" w:lineRule="auto"/>
              <w:rPr>
                <w:rFonts w:ascii="Calibri" w:eastAsia="Times New Roman" w:hAnsi="Calibri" w:cs="Calibri"/>
                <w:color w:val="000000"/>
              </w:rPr>
            </w:pPr>
            <w:r w:rsidRPr="00BC1DE6">
              <w:rPr>
                <w:rFonts w:ascii="Calibri" w:eastAsia="Times New Roman" w:hAnsi="Calibri" w:cs="Calibri"/>
                <w:color w:val="000000"/>
              </w:rPr>
              <w:t xml:space="preserve">NRAS </w:t>
            </w:r>
            <w:r w:rsidR="000513BC">
              <w:rPr>
                <w:rFonts w:ascii="Calibri" w:eastAsia="Times New Roman" w:hAnsi="Calibri" w:cs="Calibri"/>
                <w:color w:val="000000"/>
              </w:rPr>
              <w:t>P</w:t>
            </w:r>
            <w:r w:rsidRPr="00BC1DE6">
              <w:rPr>
                <w:rFonts w:ascii="Calibri" w:eastAsia="Times New Roman" w:hAnsi="Calibri" w:cs="Calibri"/>
                <w:color w:val="000000"/>
              </w:rPr>
              <w:t>roto-</w:t>
            </w:r>
            <w:r w:rsidR="000513BC">
              <w:rPr>
                <w:rFonts w:ascii="Calibri" w:eastAsia="Times New Roman" w:hAnsi="Calibri" w:cs="Calibri"/>
                <w:color w:val="000000"/>
              </w:rPr>
              <w:t>O</w:t>
            </w:r>
            <w:r w:rsidRPr="00BC1DE6">
              <w:rPr>
                <w:rFonts w:ascii="Calibri" w:eastAsia="Times New Roman" w:hAnsi="Calibri" w:cs="Calibri"/>
                <w:color w:val="000000"/>
              </w:rPr>
              <w:t>ncogene, GTPase</w:t>
            </w:r>
          </w:p>
        </w:tc>
      </w:tr>
      <w:tr w:rsidR="002D13FB" w:rsidRPr="00D82551" w14:paraId="4703FD9B" w14:textId="77777777" w:rsidTr="00EC4DAF">
        <w:trPr>
          <w:trHeight w:val="300"/>
        </w:trPr>
        <w:tc>
          <w:tcPr>
            <w:tcW w:w="2116" w:type="dxa"/>
            <w:tcBorders>
              <w:top w:val="nil"/>
              <w:left w:val="nil"/>
              <w:bottom w:val="nil"/>
              <w:right w:val="nil"/>
            </w:tcBorders>
            <w:shd w:val="clear" w:color="auto" w:fill="auto"/>
            <w:noWrap/>
            <w:vAlign w:val="bottom"/>
          </w:tcPr>
          <w:p w14:paraId="2B1D4C22" w14:textId="769816CC"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PCV</w:t>
            </w:r>
          </w:p>
        </w:tc>
        <w:tc>
          <w:tcPr>
            <w:tcW w:w="6620" w:type="dxa"/>
            <w:tcBorders>
              <w:top w:val="nil"/>
              <w:left w:val="nil"/>
              <w:bottom w:val="nil"/>
              <w:right w:val="nil"/>
            </w:tcBorders>
            <w:shd w:val="clear" w:color="auto" w:fill="auto"/>
            <w:noWrap/>
            <w:vAlign w:val="bottom"/>
          </w:tcPr>
          <w:p w14:paraId="1DFE7CBC" w14:textId="5E53CBBF" w:rsidR="002D13FB" w:rsidRPr="00D82551" w:rsidRDefault="002D13FB" w:rsidP="002D13FB">
            <w:pPr>
              <w:tabs>
                <w:tab w:val="left" w:pos="0"/>
              </w:tabs>
              <w:spacing w:after="0" w:line="240" w:lineRule="auto"/>
              <w:rPr>
                <w:rFonts w:ascii="Calibri" w:eastAsia="Times New Roman" w:hAnsi="Calibri" w:cs="Calibri"/>
                <w:color w:val="000000"/>
              </w:rPr>
            </w:pPr>
            <w:r>
              <w:t>kombinace prokarbazinu, lomustinu a vinkristinu</w:t>
            </w:r>
          </w:p>
        </w:tc>
      </w:tr>
      <w:tr w:rsidR="002D13FB" w:rsidRPr="00D82551" w14:paraId="34AD0046" w14:textId="77777777" w:rsidTr="00EC4DAF">
        <w:trPr>
          <w:trHeight w:val="300"/>
        </w:trPr>
        <w:tc>
          <w:tcPr>
            <w:tcW w:w="2116" w:type="dxa"/>
            <w:tcBorders>
              <w:top w:val="nil"/>
              <w:left w:val="nil"/>
              <w:bottom w:val="nil"/>
              <w:right w:val="nil"/>
            </w:tcBorders>
            <w:shd w:val="clear" w:color="auto" w:fill="auto"/>
            <w:noWrap/>
            <w:vAlign w:val="bottom"/>
            <w:hideMark/>
          </w:tcPr>
          <w:p w14:paraId="06B6D4F3"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PET</w:t>
            </w:r>
          </w:p>
        </w:tc>
        <w:tc>
          <w:tcPr>
            <w:tcW w:w="6620" w:type="dxa"/>
            <w:tcBorders>
              <w:top w:val="nil"/>
              <w:left w:val="nil"/>
              <w:bottom w:val="nil"/>
              <w:right w:val="nil"/>
            </w:tcBorders>
            <w:shd w:val="clear" w:color="auto" w:fill="auto"/>
            <w:noWrap/>
            <w:vAlign w:val="bottom"/>
            <w:hideMark/>
          </w:tcPr>
          <w:p w14:paraId="2F14311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pozitronová emisní tomografie</w:t>
            </w:r>
          </w:p>
        </w:tc>
      </w:tr>
      <w:tr w:rsidR="002D13FB" w:rsidRPr="00D82551" w14:paraId="28C4FAFC" w14:textId="77777777" w:rsidTr="00EC4DAF">
        <w:trPr>
          <w:trHeight w:val="300"/>
        </w:trPr>
        <w:tc>
          <w:tcPr>
            <w:tcW w:w="2116" w:type="dxa"/>
            <w:tcBorders>
              <w:top w:val="nil"/>
              <w:left w:val="nil"/>
              <w:bottom w:val="nil"/>
              <w:right w:val="nil"/>
            </w:tcBorders>
            <w:shd w:val="clear" w:color="auto" w:fill="auto"/>
            <w:noWrap/>
            <w:vAlign w:val="bottom"/>
            <w:hideMark/>
          </w:tcPr>
          <w:p w14:paraId="6BF055FE"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PET-CT</w:t>
            </w:r>
          </w:p>
        </w:tc>
        <w:tc>
          <w:tcPr>
            <w:tcW w:w="6620" w:type="dxa"/>
            <w:tcBorders>
              <w:top w:val="nil"/>
              <w:left w:val="nil"/>
              <w:bottom w:val="nil"/>
              <w:right w:val="nil"/>
            </w:tcBorders>
            <w:shd w:val="clear" w:color="auto" w:fill="auto"/>
            <w:noWrap/>
            <w:vAlign w:val="bottom"/>
            <w:hideMark/>
          </w:tcPr>
          <w:p w14:paraId="7E1FE5E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pozitronová emisní tomografie s rentgenovou výpočetní tomografií</w:t>
            </w:r>
          </w:p>
        </w:tc>
      </w:tr>
      <w:tr w:rsidR="002D13FB" w:rsidRPr="00D82551" w14:paraId="43A1B491" w14:textId="77777777" w:rsidTr="00EC4DAF">
        <w:trPr>
          <w:trHeight w:val="300"/>
        </w:trPr>
        <w:tc>
          <w:tcPr>
            <w:tcW w:w="2116" w:type="dxa"/>
            <w:tcBorders>
              <w:top w:val="nil"/>
              <w:left w:val="nil"/>
              <w:bottom w:val="nil"/>
              <w:right w:val="nil"/>
            </w:tcBorders>
            <w:shd w:val="clear" w:color="auto" w:fill="auto"/>
            <w:noWrap/>
            <w:vAlign w:val="bottom"/>
            <w:hideMark/>
          </w:tcPr>
          <w:p w14:paraId="27DD6473"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PCR</w:t>
            </w:r>
          </w:p>
        </w:tc>
        <w:tc>
          <w:tcPr>
            <w:tcW w:w="6620" w:type="dxa"/>
            <w:tcBorders>
              <w:top w:val="nil"/>
              <w:left w:val="nil"/>
              <w:bottom w:val="nil"/>
              <w:right w:val="nil"/>
            </w:tcBorders>
            <w:shd w:val="clear" w:color="auto" w:fill="auto"/>
            <w:noWrap/>
            <w:vAlign w:val="bottom"/>
            <w:hideMark/>
          </w:tcPr>
          <w:p w14:paraId="73634D84"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polymerázová řetězová reakce</w:t>
            </w:r>
          </w:p>
        </w:tc>
      </w:tr>
      <w:tr w:rsidR="002D13FB" w:rsidRPr="00D82551" w14:paraId="5F670935" w14:textId="77777777" w:rsidTr="00EC4DAF">
        <w:trPr>
          <w:trHeight w:val="300"/>
        </w:trPr>
        <w:tc>
          <w:tcPr>
            <w:tcW w:w="2116" w:type="dxa"/>
            <w:tcBorders>
              <w:top w:val="nil"/>
              <w:left w:val="nil"/>
              <w:bottom w:val="nil"/>
              <w:right w:val="nil"/>
            </w:tcBorders>
            <w:shd w:val="clear" w:color="auto" w:fill="auto"/>
            <w:noWrap/>
            <w:vAlign w:val="bottom"/>
            <w:hideMark/>
          </w:tcPr>
          <w:p w14:paraId="2D990302"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PDGFRA</w:t>
            </w:r>
          </w:p>
        </w:tc>
        <w:tc>
          <w:tcPr>
            <w:tcW w:w="6620" w:type="dxa"/>
            <w:tcBorders>
              <w:top w:val="nil"/>
              <w:left w:val="nil"/>
              <w:bottom w:val="nil"/>
              <w:right w:val="nil"/>
            </w:tcBorders>
            <w:shd w:val="clear" w:color="auto" w:fill="auto"/>
            <w:noWrap/>
            <w:vAlign w:val="bottom"/>
            <w:hideMark/>
          </w:tcPr>
          <w:p w14:paraId="62151F85" w14:textId="25A51598" w:rsidR="002D13FB" w:rsidRPr="00D82551" w:rsidRDefault="000513BC" w:rsidP="000513BC">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Platelet D</w:t>
            </w:r>
            <w:r w:rsidR="002D13FB" w:rsidRPr="00D82551">
              <w:rPr>
                <w:rFonts w:ascii="Calibri" w:eastAsia="Times New Roman" w:hAnsi="Calibri" w:cs="Calibri"/>
                <w:color w:val="000000"/>
              </w:rPr>
              <w:t xml:space="preserve">erived </w:t>
            </w:r>
            <w:r>
              <w:rPr>
                <w:rFonts w:ascii="Calibri" w:eastAsia="Times New Roman" w:hAnsi="Calibri" w:cs="Calibri"/>
                <w:color w:val="000000"/>
              </w:rPr>
              <w:t>Growth Factor R</w:t>
            </w:r>
            <w:r w:rsidR="002D13FB" w:rsidRPr="00D82551">
              <w:rPr>
                <w:rFonts w:ascii="Calibri" w:eastAsia="Times New Roman" w:hAnsi="Calibri" w:cs="Calibri"/>
                <w:color w:val="000000"/>
              </w:rPr>
              <w:t>eceptor</w:t>
            </w:r>
          </w:p>
        </w:tc>
      </w:tr>
      <w:tr w:rsidR="002D13FB" w:rsidRPr="00D82551" w14:paraId="6E9E3160" w14:textId="77777777" w:rsidTr="00EC4DAF">
        <w:trPr>
          <w:trHeight w:val="300"/>
        </w:trPr>
        <w:tc>
          <w:tcPr>
            <w:tcW w:w="2116" w:type="dxa"/>
            <w:tcBorders>
              <w:top w:val="nil"/>
              <w:left w:val="nil"/>
              <w:bottom w:val="nil"/>
              <w:right w:val="nil"/>
            </w:tcBorders>
            <w:shd w:val="clear" w:color="auto" w:fill="auto"/>
            <w:noWrap/>
            <w:vAlign w:val="bottom"/>
          </w:tcPr>
          <w:p w14:paraId="7E02F507" w14:textId="281953EA"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PHD</w:t>
            </w:r>
          </w:p>
        </w:tc>
        <w:tc>
          <w:tcPr>
            <w:tcW w:w="6620" w:type="dxa"/>
            <w:tcBorders>
              <w:top w:val="nil"/>
              <w:left w:val="nil"/>
              <w:bottom w:val="nil"/>
              <w:right w:val="nil"/>
            </w:tcBorders>
            <w:shd w:val="clear" w:color="auto" w:fill="auto"/>
            <w:noWrap/>
            <w:vAlign w:val="bottom"/>
          </w:tcPr>
          <w:p w14:paraId="527F098C" w14:textId="6EB4FB37" w:rsidR="002D13FB" w:rsidRPr="00D82551" w:rsidRDefault="002D13FB" w:rsidP="002D13FB">
            <w:pPr>
              <w:tabs>
                <w:tab w:val="left" w:pos="0"/>
              </w:tabs>
              <w:spacing w:after="0" w:line="240" w:lineRule="auto"/>
              <w:rPr>
                <w:rFonts w:ascii="Calibri" w:eastAsia="Times New Roman" w:hAnsi="Calibri" w:cs="Calibri"/>
                <w:color w:val="000000"/>
              </w:rPr>
            </w:pPr>
            <w:r w:rsidRPr="000474FA">
              <w:rPr>
                <w:rFonts w:ascii="Calibri" w:eastAsia="Times New Roman" w:hAnsi="Calibri" w:cs="Calibri"/>
                <w:color w:val="000000"/>
              </w:rPr>
              <w:t>prolyl hydroxylázová doména enzymu HIF</w:t>
            </w:r>
          </w:p>
        </w:tc>
      </w:tr>
      <w:tr w:rsidR="002D13FB" w:rsidRPr="00D82551" w14:paraId="701F8E1B" w14:textId="77777777" w:rsidTr="00EC4DAF">
        <w:trPr>
          <w:trHeight w:val="300"/>
        </w:trPr>
        <w:tc>
          <w:tcPr>
            <w:tcW w:w="2116" w:type="dxa"/>
            <w:tcBorders>
              <w:top w:val="nil"/>
              <w:left w:val="nil"/>
              <w:bottom w:val="nil"/>
              <w:right w:val="nil"/>
            </w:tcBorders>
            <w:shd w:val="clear" w:color="auto" w:fill="auto"/>
            <w:noWrap/>
            <w:vAlign w:val="bottom"/>
            <w:hideMark/>
          </w:tcPr>
          <w:p w14:paraId="0ED91292"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PTEN</w:t>
            </w:r>
          </w:p>
        </w:tc>
        <w:tc>
          <w:tcPr>
            <w:tcW w:w="6620" w:type="dxa"/>
            <w:tcBorders>
              <w:top w:val="nil"/>
              <w:left w:val="nil"/>
              <w:bottom w:val="nil"/>
              <w:right w:val="nil"/>
            </w:tcBorders>
            <w:shd w:val="clear" w:color="auto" w:fill="auto"/>
            <w:noWrap/>
            <w:vAlign w:val="bottom"/>
            <w:hideMark/>
          </w:tcPr>
          <w:p w14:paraId="38AA1620" w14:textId="24B773D3" w:rsidR="002D13FB" w:rsidRPr="00D82551" w:rsidRDefault="000513BC" w:rsidP="000513BC">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Phosphatase and Tensin H</w:t>
            </w:r>
            <w:r w:rsidR="002D13FB" w:rsidRPr="00D82551">
              <w:rPr>
                <w:rFonts w:ascii="Calibri" w:eastAsia="Times New Roman" w:hAnsi="Calibri" w:cs="Calibri"/>
                <w:color w:val="000000"/>
              </w:rPr>
              <w:t>omologue</w:t>
            </w:r>
          </w:p>
        </w:tc>
      </w:tr>
      <w:tr w:rsidR="002D13FB" w:rsidRPr="00D82551" w14:paraId="61A2FB01" w14:textId="77777777" w:rsidTr="00EC4DAF">
        <w:trPr>
          <w:trHeight w:val="300"/>
        </w:trPr>
        <w:tc>
          <w:tcPr>
            <w:tcW w:w="2116" w:type="dxa"/>
            <w:tcBorders>
              <w:top w:val="nil"/>
              <w:left w:val="nil"/>
              <w:bottom w:val="nil"/>
              <w:right w:val="nil"/>
            </w:tcBorders>
            <w:shd w:val="clear" w:color="auto" w:fill="auto"/>
            <w:noWrap/>
            <w:vAlign w:val="bottom"/>
            <w:hideMark/>
          </w:tcPr>
          <w:p w14:paraId="059BA2C4"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p14</w:t>
            </w:r>
          </w:p>
        </w:tc>
        <w:tc>
          <w:tcPr>
            <w:tcW w:w="6620" w:type="dxa"/>
            <w:tcBorders>
              <w:top w:val="nil"/>
              <w:left w:val="nil"/>
              <w:bottom w:val="nil"/>
              <w:right w:val="nil"/>
            </w:tcBorders>
            <w:shd w:val="clear" w:color="auto" w:fill="auto"/>
            <w:noWrap/>
            <w:vAlign w:val="bottom"/>
            <w:hideMark/>
          </w:tcPr>
          <w:p w14:paraId="3EBFDD8B" w14:textId="66694006"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Cyclin Dependent K</w:t>
            </w:r>
            <w:r w:rsidR="002D13FB" w:rsidRPr="00D82551">
              <w:rPr>
                <w:rFonts w:ascii="Calibri" w:eastAsia="Times New Roman" w:hAnsi="Calibri" w:cs="Calibri"/>
                <w:color w:val="000000"/>
              </w:rPr>
              <w:t>inase Inhibitor 2A</w:t>
            </w:r>
          </w:p>
        </w:tc>
      </w:tr>
      <w:tr w:rsidR="002D13FB" w:rsidRPr="00D82551" w14:paraId="15149A38" w14:textId="77777777" w:rsidTr="00EC4DAF">
        <w:trPr>
          <w:trHeight w:val="300"/>
        </w:trPr>
        <w:tc>
          <w:tcPr>
            <w:tcW w:w="2116" w:type="dxa"/>
            <w:tcBorders>
              <w:top w:val="nil"/>
              <w:left w:val="nil"/>
              <w:bottom w:val="nil"/>
              <w:right w:val="nil"/>
            </w:tcBorders>
            <w:shd w:val="clear" w:color="auto" w:fill="auto"/>
            <w:noWrap/>
            <w:vAlign w:val="bottom"/>
            <w:hideMark/>
          </w:tcPr>
          <w:p w14:paraId="44844994"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p16</w:t>
            </w:r>
          </w:p>
        </w:tc>
        <w:tc>
          <w:tcPr>
            <w:tcW w:w="6620" w:type="dxa"/>
            <w:tcBorders>
              <w:top w:val="nil"/>
              <w:left w:val="nil"/>
              <w:bottom w:val="nil"/>
              <w:right w:val="nil"/>
            </w:tcBorders>
            <w:shd w:val="clear" w:color="auto" w:fill="auto"/>
            <w:noWrap/>
            <w:vAlign w:val="bottom"/>
            <w:hideMark/>
          </w:tcPr>
          <w:p w14:paraId="2207820B" w14:textId="66C36DAA" w:rsidR="002D13FB" w:rsidRPr="00D82551" w:rsidRDefault="000513BC" w:rsidP="000513BC">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Cyclin Dependent K</w:t>
            </w:r>
            <w:r w:rsidR="002D13FB" w:rsidRPr="00D82551">
              <w:rPr>
                <w:rFonts w:ascii="Calibri" w:eastAsia="Times New Roman" w:hAnsi="Calibri" w:cs="Calibri"/>
                <w:color w:val="000000"/>
              </w:rPr>
              <w:t>inase Inhibitor 2A</w:t>
            </w:r>
          </w:p>
        </w:tc>
      </w:tr>
      <w:tr w:rsidR="002D13FB" w:rsidRPr="00D82551" w14:paraId="3459D737" w14:textId="77777777" w:rsidTr="00EC4DAF">
        <w:trPr>
          <w:trHeight w:val="300"/>
        </w:trPr>
        <w:tc>
          <w:tcPr>
            <w:tcW w:w="2116" w:type="dxa"/>
            <w:tcBorders>
              <w:top w:val="nil"/>
              <w:left w:val="nil"/>
              <w:bottom w:val="nil"/>
              <w:right w:val="nil"/>
            </w:tcBorders>
            <w:shd w:val="clear" w:color="auto" w:fill="auto"/>
            <w:noWrap/>
            <w:vAlign w:val="bottom"/>
            <w:hideMark/>
          </w:tcPr>
          <w:p w14:paraId="526D0EF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p53</w:t>
            </w:r>
          </w:p>
        </w:tc>
        <w:tc>
          <w:tcPr>
            <w:tcW w:w="6620" w:type="dxa"/>
            <w:tcBorders>
              <w:top w:val="nil"/>
              <w:left w:val="nil"/>
              <w:bottom w:val="nil"/>
              <w:right w:val="nil"/>
            </w:tcBorders>
            <w:shd w:val="clear" w:color="auto" w:fill="auto"/>
            <w:noWrap/>
            <w:vAlign w:val="bottom"/>
            <w:hideMark/>
          </w:tcPr>
          <w:p w14:paraId="3CE4E60A" w14:textId="5BB53C5D" w:rsidR="002D13FB" w:rsidRPr="00D82551" w:rsidRDefault="000513BC"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w:t>
            </w:r>
            <w:r w:rsidR="00BC1DE6" w:rsidRPr="00BC1DE6">
              <w:rPr>
                <w:rFonts w:ascii="Calibri" w:eastAsia="Times New Roman" w:hAnsi="Calibri" w:cs="Calibri"/>
                <w:color w:val="000000"/>
              </w:rPr>
              <w:t xml:space="preserve">umor </w:t>
            </w:r>
            <w:r>
              <w:rPr>
                <w:rFonts w:ascii="Calibri" w:eastAsia="Times New Roman" w:hAnsi="Calibri" w:cs="Calibri"/>
                <w:color w:val="000000"/>
              </w:rPr>
              <w:t>P</w:t>
            </w:r>
            <w:r w:rsidR="00BC1DE6" w:rsidRPr="00BC1DE6">
              <w:rPr>
                <w:rFonts w:ascii="Calibri" w:eastAsia="Times New Roman" w:hAnsi="Calibri" w:cs="Calibri"/>
                <w:color w:val="000000"/>
              </w:rPr>
              <w:t>rotein P53</w:t>
            </w:r>
          </w:p>
        </w:tc>
      </w:tr>
      <w:tr w:rsidR="008730A8" w:rsidRPr="00D82551" w14:paraId="5751C53F" w14:textId="77777777" w:rsidTr="00EC4DAF">
        <w:trPr>
          <w:trHeight w:val="300"/>
        </w:trPr>
        <w:tc>
          <w:tcPr>
            <w:tcW w:w="2116" w:type="dxa"/>
            <w:tcBorders>
              <w:top w:val="nil"/>
              <w:left w:val="nil"/>
              <w:bottom w:val="nil"/>
              <w:right w:val="nil"/>
            </w:tcBorders>
            <w:shd w:val="clear" w:color="auto" w:fill="auto"/>
            <w:noWrap/>
            <w:vAlign w:val="bottom"/>
          </w:tcPr>
          <w:p w14:paraId="6ABDCF1B" w14:textId="12A5E81E" w:rsidR="008730A8" w:rsidRPr="008730A8" w:rsidRDefault="008730A8" w:rsidP="002D13FB">
            <w:pPr>
              <w:tabs>
                <w:tab w:val="left" w:pos="0"/>
              </w:tabs>
              <w:spacing w:after="0" w:line="240" w:lineRule="auto"/>
              <w:rPr>
                <w:rFonts w:ascii="Calibri" w:eastAsia="Times New Roman" w:hAnsi="Calibri" w:cs="Calibri"/>
                <w:color w:val="000000"/>
              </w:rPr>
            </w:pPr>
            <w:r w:rsidRPr="008730A8">
              <w:rPr>
                <w:rFonts w:ascii="Calibri" w:eastAsia="Times New Roman" w:hAnsi="Calibri" w:cs="Calibri"/>
                <w:color w:val="000000"/>
              </w:rPr>
              <w:t>PI3K</w:t>
            </w:r>
          </w:p>
        </w:tc>
        <w:tc>
          <w:tcPr>
            <w:tcW w:w="6620" w:type="dxa"/>
            <w:tcBorders>
              <w:top w:val="nil"/>
              <w:left w:val="nil"/>
              <w:bottom w:val="nil"/>
              <w:right w:val="nil"/>
            </w:tcBorders>
            <w:shd w:val="clear" w:color="auto" w:fill="auto"/>
            <w:noWrap/>
            <w:vAlign w:val="bottom"/>
          </w:tcPr>
          <w:p w14:paraId="0EBF2DEE" w14:textId="1144D948" w:rsidR="008730A8" w:rsidRPr="008730A8" w:rsidRDefault="008730A8" w:rsidP="002D13FB">
            <w:pPr>
              <w:tabs>
                <w:tab w:val="left" w:pos="0"/>
              </w:tabs>
              <w:spacing w:after="0" w:line="240" w:lineRule="auto"/>
              <w:rPr>
                <w:rFonts w:ascii="Calibri" w:eastAsia="Times New Roman" w:hAnsi="Calibri" w:cs="Calibri"/>
                <w:color w:val="000000"/>
              </w:rPr>
            </w:pPr>
            <w:r w:rsidRPr="008730A8">
              <w:rPr>
                <w:rFonts w:ascii="Calibri" w:eastAsia="Times New Roman" w:hAnsi="Calibri" w:cs="Calibri"/>
                <w:color w:val="000000"/>
              </w:rPr>
              <w:t>phosphatidylinositol 3-kinase</w:t>
            </w:r>
          </w:p>
        </w:tc>
      </w:tr>
      <w:tr w:rsidR="002D13FB" w:rsidRPr="00D82551" w14:paraId="2DF3119F" w14:textId="77777777" w:rsidTr="00EC4DAF">
        <w:trPr>
          <w:trHeight w:val="300"/>
        </w:trPr>
        <w:tc>
          <w:tcPr>
            <w:tcW w:w="2116" w:type="dxa"/>
            <w:tcBorders>
              <w:top w:val="nil"/>
              <w:left w:val="nil"/>
              <w:bottom w:val="nil"/>
              <w:right w:val="nil"/>
            </w:tcBorders>
            <w:shd w:val="clear" w:color="auto" w:fill="auto"/>
            <w:noWrap/>
            <w:vAlign w:val="bottom"/>
            <w:hideMark/>
          </w:tcPr>
          <w:p w14:paraId="6F256869"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PMS2</w:t>
            </w:r>
          </w:p>
        </w:tc>
        <w:tc>
          <w:tcPr>
            <w:tcW w:w="6620" w:type="dxa"/>
            <w:tcBorders>
              <w:top w:val="nil"/>
              <w:left w:val="nil"/>
              <w:bottom w:val="nil"/>
              <w:right w:val="nil"/>
            </w:tcBorders>
            <w:shd w:val="clear" w:color="auto" w:fill="auto"/>
            <w:noWrap/>
            <w:vAlign w:val="bottom"/>
            <w:hideMark/>
          </w:tcPr>
          <w:p w14:paraId="09236555" w14:textId="07E3CD30" w:rsidR="002D13FB" w:rsidRPr="00D82551" w:rsidRDefault="00BC1DE6" w:rsidP="000513BC">
            <w:pPr>
              <w:tabs>
                <w:tab w:val="left" w:pos="0"/>
              </w:tabs>
              <w:spacing w:after="0" w:line="240" w:lineRule="auto"/>
              <w:rPr>
                <w:rFonts w:ascii="Calibri" w:eastAsia="Times New Roman" w:hAnsi="Calibri" w:cs="Calibri"/>
                <w:color w:val="000000"/>
              </w:rPr>
            </w:pPr>
            <w:r w:rsidRPr="00BC1DE6">
              <w:rPr>
                <w:rFonts w:ascii="Calibri" w:eastAsia="Times New Roman" w:hAnsi="Calibri" w:cs="Calibri"/>
                <w:color w:val="000000"/>
              </w:rPr>
              <w:t xml:space="preserve">PMS1 </w:t>
            </w:r>
            <w:r w:rsidR="000513BC">
              <w:rPr>
                <w:rFonts w:ascii="Calibri" w:eastAsia="Times New Roman" w:hAnsi="Calibri" w:cs="Calibri"/>
                <w:color w:val="000000"/>
              </w:rPr>
              <w:t>H</w:t>
            </w:r>
            <w:r w:rsidRPr="00BC1DE6">
              <w:rPr>
                <w:rFonts w:ascii="Calibri" w:eastAsia="Times New Roman" w:hAnsi="Calibri" w:cs="Calibri"/>
                <w:color w:val="000000"/>
              </w:rPr>
              <w:t xml:space="preserve">omolog 2, </w:t>
            </w:r>
            <w:r w:rsidR="000513BC">
              <w:rPr>
                <w:rFonts w:ascii="Calibri" w:eastAsia="Times New Roman" w:hAnsi="Calibri" w:cs="Calibri"/>
                <w:color w:val="000000"/>
              </w:rPr>
              <w:t>M</w:t>
            </w:r>
            <w:r w:rsidRPr="00BC1DE6">
              <w:rPr>
                <w:rFonts w:ascii="Calibri" w:eastAsia="Times New Roman" w:hAnsi="Calibri" w:cs="Calibri"/>
                <w:color w:val="000000"/>
              </w:rPr>
              <w:t xml:space="preserve">ismatch </w:t>
            </w:r>
            <w:r w:rsidR="000513BC">
              <w:rPr>
                <w:rFonts w:ascii="Calibri" w:eastAsia="Times New Roman" w:hAnsi="Calibri" w:cs="Calibri"/>
                <w:color w:val="000000"/>
              </w:rPr>
              <w:t>R</w:t>
            </w:r>
            <w:r w:rsidRPr="00BC1DE6">
              <w:rPr>
                <w:rFonts w:ascii="Calibri" w:eastAsia="Times New Roman" w:hAnsi="Calibri" w:cs="Calibri"/>
                <w:color w:val="000000"/>
              </w:rPr>
              <w:t xml:space="preserve">epair </w:t>
            </w:r>
            <w:r w:rsidR="000513BC">
              <w:rPr>
                <w:rFonts w:ascii="Calibri" w:eastAsia="Times New Roman" w:hAnsi="Calibri" w:cs="Calibri"/>
                <w:color w:val="000000"/>
              </w:rPr>
              <w:t>P</w:t>
            </w:r>
            <w:r w:rsidRPr="00BC1DE6">
              <w:rPr>
                <w:rFonts w:ascii="Calibri" w:eastAsia="Times New Roman" w:hAnsi="Calibri" w:cs="Calibri"/>
                <w:color w:val="000000"/>
              </w:rPr>
              <w:t>rotein</w:t>
            </w:r>
          </w:p>
        </w:tc>
      </w:tr>
      <w:tr w:rsidR="002D13FB" w:rsidRPr="00D82551" w14:paraId="67A9EE7A" w14:textId="77777777" w:rsidTr="00EC4DAF">
        <w:trPr>
          <w:trHeight w:val="300"/>
        </w:trPr>
        <w:tc>
          <w:tcPr>
            <w:tcW w:w="2116" w:type="dxa"/>
            <w:tcBorders>
              <w:top w:val="nil"/>
              <w:left w:val="nil"/>
              <w:bottom w:val="nil"/>
              <w:right w:val="nil"/>
            </w:tcBorders>
            <w:shd w:val="clear" w:color="auto" w:fill="auto"/>
            <w:noWrap/>
            <w:vAlign w:val="bottom"/>
          </w:tcPr>
          <w:p w14:paraId="4B5BFC2B" w14:textId="005C4563"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PT</w:t>
            </w:r>
          </w:p>
        </w:tc>
        <w:tc>
          <w:tcPr>
            <w:tcW w:w="6620" w:type="dxa"/>
            <w:tcBorders>
              <w:top w:val="nil"/>
              <w:left w:val="nil"/>
              <w:bottom w:val="nil"/>
              <w:right w:val="nil"/>
            </w:tcBorders>
            <w:shd w:val="clear" w:color="auto" w:fill="auto"/>
            <w:noWrap/>
            <w:vAlign w:val="bottom"/>
          </w:tcPr>
          <w:p w14:paraId="22E5DF08" w14:textId="6EEE5AAB" w:rsidR="002D13FB" w:rsidRPr="00813A6A" w:rsidRDefault="002D13FB" w:rsidP="002D13FB">
            <w:pPr>
              <w:tabs>
                <w:tab w:val="left" w:pos="0"/>
              </w:tabs>
              <w:spacing w:after="0" w:line="240" w:lineRule="auto"/>
              <w:rPr>
                <w:rFonts w:ascii="Calibri" w:eastAsia="Times New Roman" w:hAnsi="Calibri" w:cs="Calibri"/>
                <w:color w:val="000000"/>
              </w:rPr>
            </w:pPr>
            <w:r w:rsidRPr="00813A6A">
              <w:t xml:space="preserve">protinádorová </w:t>
            </w:r>
            <w:r w:rsidRPr="00813A6A">
              <w:rPr>
                <w:rFonts w:ascii="Calibri" w:eastAsia="Times New Roman" w:hAnsi="Calibri" w:cs="Calibri"/>
                <w:color w:val="000000"/>
              </w:rPr>
              <w:t>terapeutika</w:t>
            </w:r>
          </w:p>
        </w:tc>
      </w:tr>
      <w:tr w:rsidR="002D13FB" w:rsidRPr="00D82551" w14:paraId="47B65388" w14:textId="77777777" w:rsidTr="00EC4DAF">
        <w:trPr>
          <w:trHeight w:val="300"/>
        </w:trPr>
        <w:tc>
          <w:tcPr>
            <w:tcW w:w="2116" w:type="dxa"/>
            <w:tcBorders>
              <w:top w:val="nil"/>
              <w:left w:val="nil"/>
              <w:bottom w:val="nil"/>
              <w:right w:val="nil"/>
            </w:tcBorders>
            <w:shd w:val="clear" w:color="auto" w:fill="auto"/>
            <w:noWrap/>
            <w:vAlign w:val="bottom"/>
          </w:tcPr>
          <w:p w14:paraId="024027E9" w14:textId="44191084" w:rsidR="002D13FB"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RB1</w:t>
            </w:r>
          </w:p>
        </w:tc>
        <w:tc>
          <w:tcPr>
            <w:tcW w:w="6620" w:type="dxa"/>
            <w:tcBorders>
              <w:top w:val="nil"/>
              <w:left w:val="nil"/>
              <w:bottom w:val="nil"/>
              <w:right w:val="nil"/>
            </w:tcBorders>
            <w:shd w:val="clear" w:color="auto" w:fill="auto"/>
            <w:noWrap/>
            <w:vAlign w:val="bottom"/>
          </w:tcPr>
          <w:p w14:paraId="7247CDFD" w14:textId="36E51BD7" w:rsidR="002D13FB" w:rsidRPr="00813A6A" w:rsidRDefault="000513BC" w:rsidP="002D13FB">
            <w:pPr>
              <w:tabs>
                <w:tab w:val="left" w:pos="0"/>
              </w:tabs>
              <w:spacing w:after="0" w:line="240" w:lineRule="auto"/>
            </w:pPr>
            <w:r>
              <w:t>R</w:t>
            </w:r>
            <w:r w:rsidR="002D13FB">
              <w:t>etinoblastoma 1</w:t>
            </w:r>
          </w:p>
        </w:tc>
      </w:tr>
      <w:tr w:rsidR="002D13FB" w:rsidRPr="00D82551" w14:paraId="3B632FCC" w14:textId="77777777" w:rsidTr="00EC4DAF">
        <w:trPr>
          <w:trHeight w:val="300"/>
        </w:trPr>
        <w:tc>
          <w:tcPr>
            <w:tcW w:w="2116" w:type="dxa"/>
            <w:tcBorders>
              <w:top w:val="nil"/>
              <w:left w:val="nil"/>
              <w:bottom w:val="nil"/>
              <w:right w:val="nil"/>
            </w:tcBorders>
            <w:shd w:val="clear" w:color="auto" w:fill="auto"/>
            <w:noWrap/>
            <w:vAlign w:val="bottom"/>
            <w:hideMark/>
          </w:tcPr>
          <w:p w14:paraId="60F7CCE3"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 xml:space="preserve">RELA </w:t>
            </w:r>
          </w:p>
        </w:tc>
        <w:tc>
          <w:tcPr>
            <w:tcW w:w="6620" w:type="dxa"/>
            <w:tcBorders>
              <w:top w:val="nil"/>
              <w:left w:val="nil"/>
              <w:bottom w:val="nil"/>
              <w:right w:val="nil"/>
            </w:tcBorders>
            <w:shd w:val="clear" w:color="auto" w:fill="auto"/>
            <w:noWrap/>
            <w:vAlign w:val="bottom"/>
            <w:hideMark/>
          </w:tcPr>
          <w:p w14:paraId="1D7C0F49"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 xml:space="preserve">RELA protoonkogen, podjednotka NF-KB </w:t>
            </w:r>
          </w:p>
        </w:tc>
      </w:tr>
      <w:tr w:rsidR="002D13FB" w:rsidRPr="00D82551" w14:paraId="14EC99B3" w14:textId="77777777" w:rsidTr="00EC4DAF">
        <w:trPr>
          <w:trHeight w:val="300"/>
        </w:trPr>
        <w:tc>
          <w:tcPr>
            <w:tcW w:w="2116" w:type="dxa"/>
            <w:tcBorders>
              <w:top w:val="nil"/>
              <w:left w:val="nil"/>
              <w:bottom w:val="nil"/>
              <w:right w:val="nil"/>
            </w:tcBorders>
            <w:shd w:val="clear" w:color="auto" w:fill="auto"/>
            <w:noWrap/>
            <w:vAlign w:val="bottom"/>
            <w:hideMark/>
          </w:tcPr>
          <w:p w14:paraId="672D7B80"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0503E8">
              <w:rPr>
                <w:rFonts w:ascii="Calibri" w:eastAsia="Times New Roman" w:hAnsi="Calibri" w:cs="Calibri"/>
                <w:color w:val="000000"/>
              </w:rPr>
              <w:t>RIS</w:t>
            </w:r>
          </w:p>
        </w:tc>
        <w:tc>
          <w:tcPr>
            <w:tcW w:w="6620" w:type="dxa"/>
            <w:tcBorders>
              <w:top w:val="nil"/>
              <w:left w:val="nil"/>
              <w:bottom w:val="nil"/>
              <w:right w:val="nil"/>
            </w:tcBorders>
            <w:shd w:val="clear" w:color="auto" w:fill="auto"/>
            <w:noWrap/>
            <w:vAlign w:val="bottom"/>
            <w:hideMark/>
          </w:tcPr>
          <w:p w14:paraId="56E7C7E6" w14:textId="6D519A2A" w:rsidR="002D13FB" w:rsidRPr="00D82551" w:rsidRDefault="00A360AF" w:rsidP="00A360AF">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R</w:t>
            </w:r>
            <w:r w:rsidR="000503E8" w:rsidRPr="000503E8">
              <w:rPr>
                <w:rFonts w:ascii="Calibri" w:eastAsia="Times New Roman" w:hAnsi="Calibri" w:cs="Calibri"/>
                <w:color w:val="000000"/>
              </w:rPr>
              <w:t xml:space="preserve">etinoic </w:t>
            </w:r>
            <w:r>
              <w:rPr>
                <w:rFonts w:ascii="Calibri" w:eastAsia="Times New Roman" w:hAnsi="Calibri" w:cs="Calibri"/>
                <w:color w:val="000000"/>
              </w:rPr>
              <w:t>Acid Inducible Skin-Specific Gene T</w:t>
            </w:r>
            <w:r w:rsidR="000503E8" w:rsidRPr="000503E8">
              <w:rPr>
                <w:rFonts w:ascii="Calibri" w:eastAsia="Times New Roman" w:hAnsi="Calibri" w:cs="Calibri"/>
                <w:color w:val="000000"/>
              </w:rPr>
              <w:t>ranscript</w:t>
            </w:r>
          </w:p>
        </w:tc>
      </w:tr>
      <w:tr w:rsidR="002D13FB" w:rsidRPr="00D82551" w14:paraId="65117722" w14:textId="77777777" w:rsidTr="00EC4DAF">
        <w:trPr>
          <w:trHeight w:val="300"/>
        </w:trPr>
        <w:tc>
          <w:tcPr>
            <w:tcW w:w="2116" w:type="dxa"/>
            <w:tcBorders>
              <w:top w:val="nil"/>
              <w:left w:val="nil"/>
              <w:bottom w:val="nil"/>
              <w:right w:val="nil"/>
            </w:tcBorders>
            <w:shd w:val="clear" w:color="auto" w:fill="auto"/>
            <w:noWrap/>
            <w:vAlign w:val="bottom"/>
          </w:tcPr>
          <w:p w14:paraId="2E47C965" w14:textId="258EE606"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RT</w:t>
            </w:r>
          </w:p>
        </w:tc>
        <w:tc>
          <w:tcPr>
            <w:tcW w:w="6620" w:type="dxa"/>
            <w:tcBorders>
              <w:top w:val="nil"/>
              <w:left w:val="nil"/>
              <w:bottom w:val="nil"/>
              <w:right w:val="nil"/>
            </w:tcBorders>
            <w:shd w:val="clear" w:color="auto" w:fill="auto"/>
            <w:noWrap/>
            <w:vAlign w:val="bottom"/>
          </w:tcPr>
          <w:p w14:paraId="1305EAE8" w14:textId="6B33D65F"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radioterapie</w:t>
            </w:r>
          </w:p>
        </w:tc>
      </w:tr>
      <w:tr w:rsidR="002D13FB" w:rsidRPr="00D82551" w14:paraId="457EEA46" w14:textId="77777777" w:rsidTr="00EC4DAF">
        <w:trPr>
          <w:trHeight w:val="300"/>
        </w:trPr>
        <w:tc>
          <w:tcPr>
            <w:tcW w:w="2116" w:type="dxa"/>
            <w:tcBorders>
              <w:top w:val="nil"/>
              <w:left w:val="nil"/>
              <w:bottom w:val="nil"/>
              <w:right w:val="nil"/>
            </w:tcBorders>
            <w:shd w:val="clear" w:color="auto" w:fill="auto"/>
            <w:noWrap/>
            <w:vAlign w:val="bottom"/>
            <w:hideMark/>
          </w:tcPr>
          <w:p w14:paraId="53D12505"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RTK</w:t>
            </w:r>
          </w:p>
        </w:tc>
        <w:tc>
          <w:tcPr>
            <w:tcW w:w="6620" w:type="dxa"/>
            <w:tcBorders>
              <w:top w:val="nil"/>
              <w:left w:val="nil"/>
              <w:bottom w:val="nil"/>
              <w:right w:val="nil"/>
            </w:tcBorders>
            <w:shd w:val="clear" w:color="auto" w:fill="auto"/>
            <w:noWrap/>
            <w:vAlign w:val="bottom"/>
            <w:hideMark/>
          </w:tcPr>
          <w:p w14:paraId="1986051D"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tyrosin kinázový receptor</w:t>
            </w:r>
          </w:p>
        </w:tc>
      </w:tr>
      <w:tr w:rsidR="002D13FB" w:rsidRPr="00D82551" w14:paraId="638E588C" w14:textId="77777777" w:rsidTr="00EC4DAF">
        <w:trPr>
          <w:trHeight w:val="300"/>
        </w:trPr>
        <w:tc>
          <w:tcPr>
            <w:tcW w:w="2116" w:type="dxa"/>
            <w:tcBorders>
              <w:top w:val="nil"/>
              <w:left w:val="nil"/>
              <w:bottom w:val="nil"/>
              <w:right w:val="nil"/>
            </w:tcBorders>
            <w:shd w:val="clear" w:color="auto" w:fill="auto"/>
            <w:noWrap/>
            <w:vAlign w:val="bottom"/>
            <w:hideMark/>
          </w:tcPr>
          <w:p w14:paraId="30EE56D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SNP</w:t>
            </w:r>
          </w:p>
        </w:tc>
        <w:tc>
          <w:tcPr>
            <w:tcW w:w="6620" w:type="dxa"/>
            <w:tcBorders>
              <w:top w:val="nil"/>
              <w:left w:val="nil"/>
              <w:bottom w:val="nil"/>
              <w:right w:val="nil"/>
            </w:tcBorders>
            <w:shd w:val="clear" w:color="auto" w:fill="auto"/>
            <w:noWrap/>
            <w:vAlign w:val="bottom"/>
            <w:hideMark/>
          </w:tcPr>
          <w:p w14:paraId="428781E0" w14:textId="3A430E9B" w:rsidR="002D13FB" w:rsidRPr="00D82551" w:rsidRDefault="00A360AF" w:rsidP="00A360AF">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S</w:t>
            </w:r>
            <w:r w:rsidR="002D13FB" w:rsidRPr="00D82551">
              <w:rPr>
                <w:rFonts w:ascii="Calibri" w:eastAsia="Times New Roman" w:hAnsi="Calibri" w:cs="Calibri"/>
                <w:color w:val="000000"/>
              </w:rPr>
              <w:t xml:space="preserve">ingle </w:t>
            </w:r>
            <w:r>
              <w:rPr>
                <w:rFonts w:ascii="Calibri" w:eastAsia="Times New Roman" w:hAnsi="Calibri" w:cs="Calibri"/>
                <w:color w:val="000000"/>
              </w:rPr>
              <w:t>Nucleotide P</w:t>
            </w:r>
            <w:r w:rsidR="002D13FB" w:rsidRPr="00D82551">
              <w:rPr>
                <w:rFonts w:ascii="Calibri" w:eastAsia="Times New Roman" w:hAnsi="Calibri" w:cs="Calibri"/>
                <w:color w:val="000000"/>
              </w:rPr>
              <w:t>olymorhism</w:t>
            </w:r>
          </w:p>
        </w:tc>
      </w:tr>
      <w:tr w:rsidR="002D13FB" w:rsidRPr="00D82551" w14:paraId="6B531999" w14:textId="77777777" w:rsidTr="00EC4DAF">
        <w:trPr>
          <w:trHeight w:val="300"/>
        </w:trPr>
        <w:tc>
          <w:tcPr>
            <w:tcW w:w="2116" w:type="dxa"/>
            <w:tcBorders>
              <w:top w:val="nil"/>
              <w:left w:val="nil"/>
              <w:bottom w:val="nil"/>
              <w:right w:val="nil"/>
            </w:tcBorders>
            <w:shd w:val="clear" w:color="auto" w:fill="auto"/>
            <w:noWrap/>
            <w:vAlign w:val="bottom"/>
          </w:tcPr>
          <w:p w14:paraId="0D45EA15" w14:textId="46CDC08F"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TCA</w:t>
            </w:r>
          </w:p>
        </w:tc>
        <w:tc>
          <w:tcPr>
            <w:tcW w:w="6620" w:type="dxa"/>
            <w:tcBorders>
              <w:top w:val="nil"/>
              <w:left w:val="nil"/>
              <w:bottom w:val="nil"/>
              <w:right w:val="nil"/>
            </w:tcBorders>
            <w:shd w:val="clear" w:color="auto" w:fill="auto"/>
            <w:noWrap/>
            <w:vAlign w:val="bottom"/>
          </w:tcPr>
          <w:p w14:paraId="4E31E60B" w14:textId="01327DED" w:rsidR="002D13FB" w:rsidRPr="00D82551" w:rsidRDefault="002D13FB" w:rsidP="002D13FB">
            <w:pPr>
              <w:tabs>
                <w:tab w:val="left" w:pos="0"/>
              </w:tabs>
              <w:spacing w:after="0" w:line="240" w:lineRule="auto"/>
              <w:rPr>
                <w:rFonts w:ascii="Calibri" w:eastAsia="Times New Roman" w:hAnsi="Calibri" w:cs="Calibri"/>
                <w:color w:val="000000"/>
              </w:rPr>
            </w:pPr>
            <w:r w:rsidRPr="002D13FB">
              <w:rPr>
                <w:rFonts w:ascii="Calibri" w:eastAsia="Times New Roman" w:hAnsi="Calibri" w:cs="Calibri"/>
                <w:color w:val="000000"/>
              </w:rPr>
              <w:t>trikarboxylové kyseliny</w:t>
            </w:r>
          </w:p>
        </w:tc>
      </w:tr>
      <w:tr w:rsidR="002D13FB" w:rsidRPr="00D82551" w14:paraId="58B0E8E0" w14:textId="77777777" w:rsidTr="00EC4DAF">
        <w:trPr>
          <w:trHeight w:val="300"/>
        </w:trPr>
        <w:tc>
          <w:tcPr>
            <w:tcW w:w="2116" w:type="dxa"/>
            <w:tcBorders>
              <w:top w:val="nil"/>
              <w:left w:val="nil"/>
              <w:bottom w:val="nil"/>
              <w:right w:val="nil"/>
            </w:tcBorders>
            <w:shd w:val="clear" w:color="auto" w:fill="auto"/>
            <w:noWrap/>
            <w:vAlign w:val="bottom"/>
            <w:hideMark/>
          </w:tcPr>
          <w:p w14:paraId="66E7DB75"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TERT</w:t>
            </w:r>
          </w:p>
        </w:tc>
        <w:tc>
          <w:tcPr>
            <w:tcW w:w="6620" w:type="dxa"/>
            <w:tcBorders>
              <w:top w:val="nil"/>
              <w:left w:val="nil"/>
              <w:bottom w:val="nil"/>
              <w:right w:val="nil"/>
            </w:tcBorders>
            <w:shd w:val="clear" w:color="auto" w:fill="auto"/>
            <w:noWrap/>
            <w:vAlign w:val="bottom"/>
            <w:hideMark/>
          </w:tcPr>
          <w:p w14:paraId="67DB0738" w14:textId="1D299570" w:rsidR="002D13FB" w:rsidRPr="00D82551" w:rsidRDefault="00A360AF" w:rsidP="00A360AF">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w:t>
            </w:r>
            <w:r w:rsidR="002D13FB" w:rsidRPr="00D82551">
              <w:rPr>
                <w:rFonts w:ascii="Calibri" w:eastAsia="Times New Roman" w:hAnsi="Calibri" w:cs="Calibri"/>
                <w:color w:val="000000"/>
              </w:rPr>
              <w:t xml:space="preserve">elomerase </w:t>
            </w:r>
            <w:r>
              <w:rPr>
                <w:rFonts w:ascii="Calibri" w:eastAsia="Times New Roman" w:hAnsi="Calibri" w:cs="Calibri"/>
                <w:color w:val="000000"/>
              </w:rPr>
              <w:t>R</w:t>
            </w:r>
            <w:r w:rsidR="002D13FB" w:rsidRPr="00D82551">
              <w:rPr>
                <w:rFonts w:ascii="Calibri" w:eastAsia="Times New Roman" w:hAnsi="Calibri" w:cs="Calibri"/>
                <w:color w:val="000000"/>
              </w:rPr>
              <w:t xml:space="preserve">everse </w:t>
            </w:r>
            <w:r>
              <w:rPr>
                <w:rFonts w:ascii="Calibri" w:eastAsia="Times New Roman" w:hAnsi="Calibri" w:cs="Calibri"/>
                <w:color w:val="000000"/>
              </w:rPr>
              <w:t>T</w:t>
            </w:r>
            <w:r w:rsidR="002D13FB" w:rsidRPr="00D82551">
              <w:rPr>
                <w:rFonts w:ascii="Calibri" w:eastAsia="Times New Roman" w:hAnsi="Calibri" w:cs="Calibri"/>
                <w:color w:val="000000"/>
              </w:rPr>
              <w:t>ranscriptase</w:t>
            </w:r>
          </w:p>
        </w:tc>
      </w:tr>
      <w:tr w:rsidR="002D13FB" w:rsidRPr="00D82551" w14:paraId="6ECCF954" w14:textId="77777777" w:rsidTr="00EC4DAF">
        <w:trPr>
          <w:trHeight w:val="300"/>
        </w:trPr>
        <w:tc>
          <w:tcPr>
            <w:tcW w:w="2116" w:type="dxa"/>
            <w:tcBorders>
              <w:top w:val="nil"/>
              <w:left w:val="nil"/>
              <w:bottom w:val="nil"/>
              <w:right w:val="nil"/>
            </w:tcBorders>
            <w:shd w:val="clear" w:color="auto" w:fill="auto"/>
            <w:noWrap/>
            <w:vAlign w:val="bottom"/>
          </w:tcPr>
          <w:p w14:paraId="600241F7" w14:textId="313EFE4D"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TET</w:t>
            </w:r>
          </w:p>
        </w:tc>
        <w:tc>
          <w:tcPr>
            <w:tcW w:w="6620" w:type="dxa"/>
            <w:tcBorders>
              <w:top w:val="nil"/>
              <w:left w:val="nil"/>
              <w:bottom w:val="nil"/>
              <w:right w:val="nil"/>
            </w:tcBorders>
            <w:shd w:val="clear" w:color="auto" w:fill="auto"/>
            <w:noWrap/>
            <w:vAlign w:val="bottom"/>
          </w:tcPr>
          <w:p w14:paraId="51A9812A" w14:textId="282E5D1C" w:rsidR="002D13FB" w:rsidRPr="00D82551" w:rsidRDefault="00A360AF" w:rsidP="00A360AF">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w:t>
            </w:r>
            <w:r w:rsidR="002D13FB" w:rsidRPr="002D13FB">
              <w:rPr>
                <w:rFonts w:ascii="Calibri" w:eastAsia="Times New Roman" w:hAnsi="Calibri" w:cs="Calibri"/>
                <w:color w:val="000000"/>
              </w:rPr>
              <w:t>en-</w:t>
            </w:r>
            <w:r>
              <w:rPr>
                <w:rFonts w:ascii="Calibri" w:eastAsia="Times New Roman" w:hAnsi="Calibri" w:cs="Calibri"/>
                <w:color w:val="000000"/>
              </w:rPr>
              <w:t>Eleven Translocation Methylcytosine D</w:t>
            </w:r>
            <w:r w:rsidR="002D13FB" w:rsidRPr="002D13FB">
              <w:rPr>
                <w:rFonts w:ascii="Calibri" w:eastAsia="Times New Roman" w:hAnsi="Calibri" w:cs="Calibri"/>
                <w:color w:val="000000"/>
              </w:rPr>
              <w:t>ioxygenáza</w:t>
            </w:r>
          </w:p>
        </w:tc>
      </w:tr>
      <w:tr w:rsidR="002D13FB" w:rsidRPr="00D82551" w14:paraId="27A3674A" w14:textId="77777777" w:rsidTr="00EC4DAF">
        <w:trPr>
          <w:trHeight w:val="300"/>
        </w:trPr>
        <w:tc>
          <w:tcPr>
            <w:tcW w:w="2116" w:type="dxa"/>
            <w:tcBorders>
              <w:top w:val="nil"/>
              <w:left w:val="nil"/>
              <w:bottom w:val="nil"/>
              <w:right w:val="nil"/>
            </w:tcBorders>
            <w:shd w:val="clear" w:color="auto" w:fill="auto"/>
            <w:noWrap/>
            <w:vAlign w:val="bottom"/>
            <w:hideMark/>
          </w:tcPr>
          <w:p w14:paraId="15E2CB0B"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TGFα</w:t>
            </w:r>
          </w:p>
        </w:tc>
        <w:tc>
          <w:tcPr>
            <w:tcW w:w="6620" w:type="dxa"/>
            <w:tcBorders>
              <w:top w:val="nil"/>
              <w:left w:val="nil"/>
              <w:bottom w:val="nil"/>
              <w:right w:val="nil"/>
            </w:tcBorders>
            <w:shd w:val="clear" w:color="auto" w:fill="auto"/>
            <w:noWrap/>
            <w:vAlign w:val="bottom"/>
            <w:hideMark/>
          </w:tcPr>
          <w:p w14:paraId="38942D87" w14:textId="38F546CF" w:rsidR="002D13FB" w:rsidRPr="00D82551" w:rsidRDefault="00A360AF" w:rsidP="00A360AF">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w:t>
            </w:r>
            <w:r w:rsidR="002D13FB" w:rsidRPr="00D82551">
              <w:rPr>
                <w:rFonts w:ascii="Calibri" w:eastAsia="Times New Roman" w:hAnsi="Calibri" w:cs="Calibri"/>
                <w:color w:val="000000"/>
              </w:rPr>
              <w:t xml:space="preserve">ransforming </w:t>
            </w:r>
            <w:r>
              <w:rPr>
                <w:rFonts w:ascii="Calibri" w:eastAsia="Times New Roman" w:hAnsi="Calibri" w:cs="Calibri"/>
                <w:color w:val="000000"/>
              </w:rPr>
              <w:t>G</w:t>
            </w:r>
            <w:r w:rsidR="002D13FB" w:rsidRPr="00D82551">
              <w:rPr>
                <w:rFonts w:ascii="Calibri" w:eastAsia="Times New Roman" w:hAnsi="Calibri" w:cs="Calibri"/>
                <w:color w:val="000000"/>
              </w:rPr>
              <w:t xml:space="preserve">rowth </w:t>
            </w:r>
            <w:r>
              <w:rPr>
                <w:rFonts w:ascii="Calibri" w:eastAsia="Times New Roman" w:hAnsi="Calibri" w:cs="Calibri"/>
                <w:color w:val="000000"/>
              </w:rPr>
              <w:t>F</w:t>
            </w:r>
            <w:r w:rsidR="002D13FB" w:rsidRPr="00D82551">
              <w:rPr>
                <w:rFonts w:ascii="Calibri" w:eastAsia="Times New Roman" w:hAnsi="Calibri" w:cs="Calibri"/>
                <w:color w:val="000000"/>
              </w:rPr>
              <w:t>actor</w:t>
            </w:r>
          </w:p>
        </w:tc>
      </w:tr>
      <w:tr w:rsidR="002D13FB" w:rsidRPr="00D82551" w14:paraId="51415F2C" w14:textId="77777777" w:rsidTr="00EC4DAF">
        <w:trPr>
          <w:trHeight w:val="300"/>
        </w:trPr>
        <w:tc>
          <w:tcPr>
            <w:tcW w:w="2116" w:type="dxa"/>
            <w:tcBorders>
              <w:top w:val="nil"/>
              <w:left w:val="nil"/>
              <w:bottom w:val="nil"/>
              <w:right w:val="nil"/>
            </w:tcBorders>
            <w:shd w:val="clear" w:color="auto" w:fill="auto"/>
            <w:noWrap/>
            <w:vAlign w:val="bottom"/>
            <w:hideMark/>
          </w:tcPr>
          <w:p w14:paraId="42BE5427"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TP53</w:t>
            </w:r>
          </w:p>
        </w:tc>
        <w:tc>
          <w:tcPr>
            <w:tcW w:w="6620" w:type="dxa"/>
            <w:tcBorders>
              <w:top w:val="nil"/>
              <w:left w:val="nil"/>
              <w:bottom w:val="nil"/>
              <w:right w:val="nil"/>
            </w:tcBorders>
            <w:shd w:val="clear" w:color="auto" w:fill="auto"/>
            <w:noWrap/>
            <w:vAlign w:val="bottom"/>
            <w:hideMark/>
          </w:tcPr>
          <w:p w14:paraId="1AAF46F2" w14:textId="70EC361A" w:rsidR="002D13FB" w:rsidRPr="00D82551" w:rsidRDefault="00A360AF"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w:t>
            </w:r>
            <w:r w:rsidR="002D13FB" w:rsidRPr="002D13FB">
              <w:rPr>
                <w:rFonts w:ascii="Calibri" w:eastAsia="Times New Roman" w:hAnsi="Calibri" w:cs="Calibri"/>
                <w:color w:val="000000"/>
              </w:rPr>
              <w:t xml:space="preserve">umor </w:t>
            </w:r>
            <w:r>
              <w:rPr>
                <w:rFonts w:ascii="Calibri" w:eastAsia="Times New Roman" w:hAnsi="Calibri" w:cs="Calibri"/>
                <w:color w:val="000000"/>
              </w:rPr>
              <w:t>P</w:t>
            </w:r>
            <w:r w:rsidR="002D13FB" w:rsidRPr="002D13FB">
              <w:rPr>
                <w:rFonts w:ascii="Calibri" w:eastAsia="Times New Roman" w:hAnsi="Calibri" w:cs="Calibri"/>
                <w:color w:val="000000"/>
              </w:rPr>
              <w:t>rotein P53</w:t>
            </w:r>
          </w:p>
        </w:tc>
      </w:tr>
      <w:tr w:rsidR="002D13FB" w:rsidRPr="00D82551" w14:paraId="335855BA" w14:textId="77777777" w:rsidTr="00EC4DAF">
        <w:trPr>
          <w:trHeight w:val="300"/>
        </w:trPr>
        <w:tc>
          <w:tcPr>
            <w:tcW w:w="2116" w:type="dxa"/>
            <w:tcBorders>
              <w:top w:val="nil"/>
              <w:left w:val="nil"/>
              <w:bottom w:val="nil"/>
              <w:right w:val="nil"/>
            </w:tcBorders>
            <w:shd w:val="clear" w:color="auto" w:fill="auto"/>
            <w:noWrap/>
            <w:vAlign w:val="bottom"/>
            <w:hideMark/>
          </w:tcPr>
          <w:p w14:paraId="53ECE9BC"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TSC1/2</w:t>
            </w:r>
          </w:p>
        </w:tc>
        <w:tc>
          <w:tcPr>
            <w:tcW w:w="6620" w:type="dxa"/>
            <w:tcBorders>
              <w:top w:val="nil"/>
              <w:left w:val="nil"/>
              <w:bottom w:val="nil"/>
              <w:right w:val="nil"/>
            </w:tcBorders>
            <w:shd w:val="clear" w:color="auto" w:fill="auto"/>
            <w:noWrap/>
            <w:vAlign w:val="bottom"/>
            <w:hideMark/>
          </w:tcPr>
          <w:p w14:paraId="42CFA777" w14:textId="5701ADF4" w:rsidR="002D13FB" w:rsidRPr="00D82551" w:rsidRDefault="00A360AF"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Tuberous Sclerosis P</w:t>
            </w:r>
            <w:r w:rsidR="002D13FB" w:rsidRPr="00D82551">
              <w:rPr>
                <w:rFonts w:ascii="Calibri" w:eastAsia="Times New Roman" w:hAnsi="Calibri" w:cs="Calibri"/>
                <w:color w:val="000000"/>
              </w:rPr>
              <w:t>rotein 1/2</w:t>
            </w:r>
          </w:p>
        </w:tc>
      </w:tr>
      <w:tr w:rsidR="002D13FB" w:rsidRPr="00D82551" w14:paraId="367CA1A5" w14:textId="77777777" w:rsidTr="00EC4DAF">
        <w:trPr>
          <w:trHeight w:val="300"/>
        </w:trPr>
        <w:tc>
          <w:tcPr>
            <w:tcW w:w="2116" w:type="dxa"/>
            <w:tcBorders>
              <w:top w:val="nil"/>
              <w:left w:val="nil"/>
              <w:bottom w:val="nil"/>
              <w:right w:val="nil"/>
            </w:tcBorders>
            <w:shd w:val="clear" w:color="auto" w:fill="auto"/>
            <w:noWrap/>
            <w:vAlign w:val="bottom"/>
          </w:tcPr>
          <w:p w14:paraId="0BA7E08D" w14:textId="2AC6D9C7" w:rsidR="002D13FB" w:rsidRPr="00D82551" w:rsidRDefault="002D13FB" w:rsidP="002D13FB">
            <w:pPr>
              <w:tabs>
                <w:tab w:val="left" w:pos="0"/>
              </w:tabs>
              <w:spacing w:after="0" w:line="240" w:lineRule="auto"/>
              <w:rPr>
                <w:rFonts w:ascii="Calibri" w:eastAsia="Times New Roman" w:hAnsi="Calibri" w:cs="Calibri"/>
                <w:color w:val="000000"/>
              </w:rPr>
            </w:pPr>
            <w:r w:rsidRPr="000503E8">
              <w:rPr>
                <w:rFonts w:ascii="Calibri" w:eastAsia="Times New Roman" w:hAnsi="Calibri" w:cs="Calibri"/>
                <w:color w:val="000000"/>
              </w:rPr>
              <w:t>VA</w:t>
            </w:r>
            <w:r w:rsidR="000503E8" w:rsidRPr="000503E8">
              <w:rPr>
                <w:rFonts w:ascii="Calibri" w:eastAsia="Times New Roman" w:hAnsi="Calibri" w:cs="Calibri"/>
                <w:color w:val="000000"/>
              </w:rPr>
              <w:t>F</w:t>
            </w:r>
          </w:p>
        </w:tc>
        <w:tc>
          <w:tcPr>
            <w:tcW w:w="6620" w:type="dxa"/>
            <w:tcBorders>
              <w:top w:val="nil"/>
              <w:left w:val="nil"/>
              <w:bottom w:val="nil"/>
              <w:right w:val="nil"/>
            </w:tcBorders>
            <w:shd w:val="clear" w:color="auto" w:fill="auto"/>
            <w:noWrap/>
            <w:vAlign w:val="bottom"/>
          </w:tcPr>
          <w:p w14:paraId="425E4B54" w14:textId="70998C02" w:rsidR="002D13FB" w:rsidRPr="00D82551" w:rsidRDefault="0047704E" w:rsidP="002D13FB">
            <w:pPr>
              <w:tabs>
                <w:tab w:val="left" w:pos="0"/>
              </w:tabs>
              <w:spacing w:after="0" w:line="240" w:lineRule="auto"/>
              <w:rPr>
                <w:rFonts w:ascii="Calibri" w:eastAsia="Times New Roman" w:hAnsi="Calibri" w:cs="Calibri"/>
                <w:color w:val="000000"/>
              </w:rPr>
            </w:pPr>
            <w:r w:rsidRPr="0047704E">
              <w:rPr>
                <w:rFonts w:ascii="Calibri" w:eastAsia="Times New Roman" w:hAnsi="Calibri" w:cs="Calibri"/>
                <w:color w:val="000000"/>
              </w:rPr>
              <w:t>frakce alelové varianty/variant allele fraction</w:t>
            </w:r>
          </w:p>
        </w:tc>
      </w:tr>
      <w:tr w:rsidR="002D13FB" w:rsidRPr="00D82551" w14:paraId="32D0E231" w14:textId="77777777" w:rsidTr="00EC4DAF">
        <w:trPr>
          <w:trHeight w:val="300"/>
        </w:trPr>
        <w:tc>
          <w:tcPr>
            <w:tcW w:w="2116" w:type="dxa"/>
            <w:tcBorders>
              <w:top w:val="nil"/>
              <w:left w:val="nil"/>
              <w:bottom w:val="nil"/>
              <w:right w:val="nil"/>
            </w:tcBorders>
            <w:shd w:val="clear" w:color="auto" w:fill="auto"/>
            <w:noWrap/>
            <w:vAlign w:val="bottom"/>
            <w:hideMark/>
          </w:tcPr>
          <w:p w14:paraId="5EDD7DB6"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VEGFR</w:t>
            </w:r>
          </w:p>
        </w:tc>
        <w:tc>
          <w:tcPr>
            <w:tcW w:w="6620" w:type="dxa"/>
            <w:tcBorders>
              <w:top w:val="nil"/>
              <w:left w:val="nil"/>
              <w:bottom w:val="nil"/>
              <w:right w:val="nil"/>
            </w:tcBorders>
            <w:shd w:val="clear" w:color="auto" w:fill="auto"/>
            <w:noWrap/>
            <w:vAlign w:val="bottom"/>
            <w:hideMark/>
          </w:tcPr>
          <w:p w14:paraId="722C9158"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receptor vaskulárního endoteliálního růstového faktoru</w:t>
            </w:r>
          </w:p>
        </w:tc>
      </w:tr>
      <w:tr w:rsidR="002D13FB" w:rsidRPr="00D82551" w14:paraId="6B8EF761" w14:textId="77777777" w:rsidTr="00EC4DAF">
        <w:trPr>
          <w:trHeight w:val="300"/>
        </w:trPr>
        <w:tc>
          <w:tcPr>
            <w:tcW w:w="2116" w:type="dxa"/>
            <w:tcBorders>
              <w:top w:val="nil"/>
              <w:left w:val="nil"/>
              <w:bottom w:val="nil"/>
              <w:right w:val="nil"/>
            </w:tcBorders>
            <w:shd w:val="clear" w:color="auto" w:fill="auto"/>
            <w:noWrap/>
            <w:vAlign w:val="bottom"/>
          </w:tcPr>
          <w:p w14:paraId="41720071" w14:textId="34CB18D6"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VHL</w:t>
            </w:r>
          </w:p>
        </w:tc>
        <w:tc>
          <w:tcPr>
            <w:tcW w:w="6620" w:type="dxa"/>
            <w:tcBorders>
              <w:top w:val="nil"/>
              <w:left w:val="nil"/>
              <w:bottom w:val="nil"/>
              <w:right w:val="nil"/>
            </w:tcBorders>
            <w:shd w:val="clear" w:color="auto" w:fill="auto"/>
            <w:noWrap/>
            <w:vAlign w:val="bottom"/>
          </w:tcPr>
          <w:p w14:paraId="4D87BDF3" w14:textId="6BB7188C"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Von Hippel Lindau</w:t>
            </w:r>
          </w:p>
        </w:tc>
      </w:tr>
      <w:tr w:rsidR="002D13FB" w:rsidRPr="00D82551" w14:paraId="15D5BED4" w14:textId="77777777" w:rsidTr="00EC4DAF">
        <w:trPr>
          <w:trHeight w:val="300"/>
        </w:trPr>
        <w:tc>
          <w:tcPr>
            <w:tcW w:w="2116" w:type="dxa"/>
            <w:tcBorders>
              <w:top w:val="nil"/>
              <w:left w:val="nil"/>
              <w:bottom w:val="nil"/>
              <w:right w:val="nil"/>
            </w:tcBorders>
            <w:shd w:val="clear" w:color="auto" w:fill="auto"/>
            <w:noWrap/>
            <w:vAlign w:val="bottom"/>
            <w:hideMark/>
          </w:tcPr>
          <w:p w14:paraId="12824A25"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WHO</w:t>
            </w:r>
          </w:p>
        </w:tc>
        <w:tc>
          <w:tcPr>
            <w:tcW w:w="6620" w:type="dxa"/>
            <w:tcBorders>
              <w:top w:val="nil"/>
              <w:left w:val="nil"/>
              <w:bottom w:val="nil"/>
              <w:right w:val="nil"/>
            </w:tcBorders>
            <w:shd w:val="clear" w:color="auto" w:fill="auto"/>
            <w:noWrap/>
            <w:vAlign w:val="bottom"/>
            <w:hideMark/>
          </w:tcPr>
          <w:p w14:paraId="2B6326D7" w14:textId="4027F3D6" w:rsidR="002D13FB" w:rsidRPr="00D82551" w:rsidRDefault="00A360AF" w:rsidP="00A360AF">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World Health O</w:t>
            </w:r>
            <w:r w:rsidR="002D13FB" w:rsidRPr="00D82551">
              <w:rPr>
                <w:rFonts w:ascii="Calibri" w:eastAsia="Times New Roman" w:hAnsi="Calibri" w:cs="Calibri"/>
                <w:color w:val="000000"/>
              </w:rPr>
              <w:t>rgani</w:t>
            </w:r>
            <w:r>
              <w:rPr>
                <w:rFonts w:ascii="Calibri" w:eastAsia="Times New Roman" w:hAnsi="Calibri" w:cs="Calibri"/>
                <w:color w:val="000000"/>
              </w:rPr>
              <w:t>z</w:t>
            </w:r>
            <w:r w:rsidR="002D13FB" w:rsidRPr="00D82551">
              <w:rPr>
                <w:rFonts w:ascii="Calibri" w:eastAsia="Times New Roman" w:hAnsi="Calibri" w:cs="Calibri"/>
                <w:color w:val="000000"/>
              </w:rPr>
              <w:t>ation</w:t>
            </w:r>
          </w:p>
        </w:tc>
      </w:tr>
      <w:tr w:rsidR="002D13FB" w:rsidRPr="00D82551" w14:paraId="2184D09F" w14:textId="77777777" w:rsidTr="00EC4DAF">
        <w:trPr>
          <w:trHeight w:val="300"/>
        </w:trPr>
        <w:tc>
          <w:tcPr>
            <w:tcW w:w="2116" w:type="dxa"/>
            <w:tcBorders>
              <w:top w:val="nil"/>
              <w:left w:val="nil"/>
              <w:bottom w:val="nil"/>
              <w:right w:val="nil"/>
            </w:tcBorders>
            <w:shd w:val="clear" w:color="auto" w:fill="auto"/>
            <w:noWrap/>
            <w:vAlign w:val="bottom"/>
          </w:tcPr>
          <w:p w14:paraId="38381189" w14:textId="7732D7AB"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WT</w:t>
            </w:r>
          </w:p>
        </w:tc>
        <w:tc>
          <w:tcPr>
            <w:tcW w:w="6620" w:type="dxa"/>
            <w:tcBorders>
              <w:top w:val="nil"/>
              <w:left w:val="nil"/>
              <w:bottom w:val="nil"/>
              <w:right w:val="nil"/>
            </w:tcBorders>
            <w:shd w:val="clear" w:color="auto" w:fill="auto"/>
            <w:noWrap/>
            <w:vAlign w:val="bottom"/>
          </w:tcPr>
          <w:p w14:paraId="5A0589D0" w14:textId="16B9E40E" w:rsidR="002D13FB" w:rsidRPr="00D82551" w:rsidRDefault="002D13FB" w:rsidP="002D13FB">
            <w:pPr>
              <w:tabs>
                <w:tab w:val="left" w:pos="0"/>
              </w:tabs>
              <w:spacing w:after="0" w:line="240" w:lineRule="auto"/>
              <w:rPr>
                <w:rFonts w:ascii="Calibri" w:eastAsia="Times New Roman" w:hAnsi="Calibri" w:cs="Calibri"/>
                <w:color w:val="000000"/>
              </w:rPr>
            </w:pPr>
            <w:r>
              <w:rPr>
                <w:rFonts w:ascii="Calibri" w:eastAsia="Times New Roman" w:hAnsi="Calibri" w:cs="Calibri"/>
                <w:color w:val="000000"/>
              </w:rPr>
              <w:t>wild type</w:t>
            </w:r>
          </w:p>
        </w:tc>
      </w:tr>
      <w:tr w:rsidR="002D13FB" w:rsidRPr="00D82551" w14:paraId="150331B5" w14:textId="77777777" w:rsidTr="00EC4DAF">
        <w:trPr>
          <w:trHeight w:val="300"/>
        </w:trPr>
        <w:tc>
          <w:tcPr>
            <w:tcW w:w="2116" w:type="dxa"/>
            <w:tcBorders>
              <w:top w:val="nil"/>
              <w:left w:val="nil"/>
              <w:bottom w:val="nil"/>
              <w:right w:val="nil"/>
            </w:tcBorders>
            <w:shd w:val="clear" w:color="auto" w:fill="auto"/>
            <w:noWrap/>
            <w:vAlign w:val="bottom"/>
            <w:hideMark/>
          </w:tcPr>
          <w:p w14:paraId="440691BF"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αKG</w:t>
            </w:r>
          </w:p>
        </w:tc>
        <w:tc>
          <w:tcPr>
            <w:tcW w:w="6620" w:type="dxa"/>
            <w:tcBorders>
              <w:top w:val="nil"/>
              <w:left w:val="nil"/>
              <w:bottom w:val="nil"/>
              <w:right w:val="nil"/>
            </w:tcBorders>
            <w:shd w:val="clear" w:color="auto" w:fill="auto"/>
            <w:noWrap/>
            <w:vAlign w:val="bottom"/>
            <w:hideMark/>
          </w:tcPr>
          <w:p w14:paraId="4B123835" w14:textId="77777777" w:rsidR="002D13FB" w:rsidRPr="00D82551" w:rsidRDefault="002D13FB" w:rsidP="002D13FB">
            <w:pPr>
              <w:tabs>
                <w:tab w:val="left" w:pos="0"/>
              </w:tabs>
              <w:spacing w:after="0" w:line="240" w:lineRule="auto"/>
              <w:rPr>
                <w:rFonts w:ascii="Calibri" w:eastAsia="Times New Roman" w:hAnsi="Calibri" w:cs="Calibri"/>
                <w:color w:val="000000"/>
              </w:rPr>
            </w:pPr>
            <w:r w:rsidRPr="00D82551">
              <w:rPr>
                <w:rFonts w:ascii="Calibri" w:eastAsia="Times New Roman" w:hAnsi="Calibri" w:cs="Calibri"/>
                <w:color w:val="000000"/>
              </w:rPr>
              <w:t>α-ketoglutarát</w:t>
            </w:r>
          </w:p>
        </w:tc>
      </w:tr>
    </w:tbl>
    <w:p w14:paraId="10DEA2DE" w14:textId="7A3C2B6B" w:rsidR="00917484" w:rsidRDefault="00917484" w:rsidP="00EC4DAF">
      <w:pPr>
        <w:tabs>
          <w:tab w:val="left" w:pos="0"/>
        </w:tabs>
      </w:pPr>
    </w:p>
    <w:p w14:paraId="687A75B1" w14:textId="77777777" w:rsidR="00CE58AB" w:rsidRDefault="00CE58AB" w:rsidP="007C510A">
      <w:pPr>
        <w:pStyle w:val="Nadpis1"/>
        <w:ind w:left="0" w:firstLine="0"/>
        <w:sectPr w:rsidR="00CE58AB" w:rsidSect="000B0BA1">
          <w:pgSz w:w="11906" w:h="16838"/>
          <w:pgMar w:top="1417" w:right="1417" w:bottom="1417" w:left="1417" w:header="708" w:footer="708" w:gutter="0"/>
          <w:cols w:space="708"/>
          <w:docGrid w:linePitch="360"/>
        </w:sectPr>
      </w:pPr>
    </w:p>
    <w:p w14:paraId="44E18434" w14:textId="2AE6849E" w:rsidR="00741EFD" w:rsidRDefault="00741EFD" w:rsidP="007C510A">
      <w:pPr>
        <w:pStyle w:val="Nadpis1"/>
        <w:ind w:left="0" w:firstLine="0"/>
      </w:pPr>
      <w:bookmarkStart w:id="128" w:name="_Toc88741521"/>
      <w:r w:rsidRPr="001351CF">
        <w:t>Seznam literatury</w:t>
      </w:r>
      <w:bookmarkEnd w:id="128"/>
    </w:p>
    <w:p w14:paraId="5FBF937B" w14:textId="77777777" w:rsidR="001A0AFD" w:rsidRPr="001A0AFD" w:rsidRDefault="001A0AFD" w:rsidP="001A0AFD"/>
    <w:p w14:paraId="10C1D72A" w14:textId="7606D40D" w:rsidR="00AD61B7" w:rsidRPr="00AD61B7" w:rsidRDefault="003A1091" w:rsidP="00AD61B7">
      <w:pPr>
        <w:widowControl w:val="0"/>
        <w:autoSpaceDE w:val="0"/>
        <w:autoSpaceDN w:val="0"/>
        <w:adjustRightInd w:val="0"/>
        <w:spacing w:line="240" w:lineRule="auto"/>
        <w:ind w:left="640" w:hanging="640"/>
        <w:rPr>
          <w:rFonts w:ascii="Calibri" w:hAnsi="Calibri" w:cs="Calibri"/>
          <w:noProof/>
          <w:szCs w:val="24"/>
        </w:rPr>
      </w:pPr>
      <w:r>
        <w:rPr>
          <w:b/>
          <w:bCs/>
          <w:highlight w:val="yellow"/>
        </w:rPr>
        <w:fldChar w:fldCharType="begin" w:fldLock="1"/>
      </w:r>
      <w:r>
        <w:rPr>
          <w:b/>
          <w:bCs/>
          <w:highlight w:val="yellow"/>
        </w:rPr>
        <w:instrText xml:space="preserve">ADDIN Mendeley Bibliography CSL_BIBLIOGRAPHY </w:instrText>
      </w:r>
      <w:r>
        <w:rPr>
          <w:b/>
          <w:bCs/>
          <w:highlight w:val="yellow"/>
        </w:rPr>
        <w:fldChar w:fldCharType="separate"/>
      </w:r>
      <w:r w:rsidR="00AD61B7" w:rsidRPr="00AD61B7">
        <w:rPr>
          <w:rFonts w:ascii="Calibri" w:hAnsi="Calibri" w:cs="Calibri"/>
          <w:noProof/>
          <w:szCs w:val="24"/>
        </w:rPr>
        <w:t xml:space="preserve">1. </w:t>
      </w:r>
      <w:r w:rsidR="00AD61B7" w:rsidRPr="00AD61B7">
        <w:rPr>
          <w:rFonts w:ascii="Calibri" w:hAnsi="Calibri" w:cs="Calibri"/>
          <w:noProof/>
          <w:szCs w:val="24"/>
        </w:rPr>
        <w:tab/>
        <w:t xml:space="preserve">DeAngelis LM. Brain tumors. </w:t>
      </w:r>
      <w:r w:rsidR="00AD61B7" w:rsidRPr="00AD61B7">
        <w:rPr>
          <w:rFonts w:ascii="Calibri" w:hAnsi="Calibri" w:cs="Calibri"/>
          <w:i/>
          <w:iCs/>
          <w:noProof/>
          <w:szCs w:val="24"/>
        </w:rPr>
        <w:t>N Engl J Med</w:t>
      </w:r>
      <w:r w:rsidR="00AD61B7" w:rsidRPr="00AD61B7">
        <w:rPr>
          <w:rFonts w:ascii="Calibri" w:hAnsi="Calibri" w:cs="Calibri"/>
          <w:noProof/>
          <w:szCs w:val="24"/>
        </w:rPr>
        <w:t xml:space="preserve"> 2001; 344: 114–123.</w:t>
      </w:r>
    </w:p>
    <w:p w14:paraId="77682A3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 </w:t>
      </w:r>
      <w:r w:rsidRPr="00AD61B7">
        <w:rPr>
          <w:rFonts w:ascii="Calibri" w:hAnsi="Calibri" w:cs="Calibri"/>
          <w:noProof/>
          <w:szCs w:val="24"/>
        </w:rPr>
        <w:tab/>
        <w:t xml:space="preserve">Ostrom QT, Gittleman H, Stetson L, et al. Epidemiology of Gliomas. </w:t>
      </w:r>
      <w:r w:rsidRPr="00AD61B7">
        <w:rPr>
          <w:rFonts w:ascii="Calibri" w:hAnsi="Calibri" w:cs="Calibri"/>
          <w:i/>
          <w:iCs/>
          <w:noProof/>
          <w:szCs w:val="24"/>
        </w:rPr>
        <w:t>Cancer Treat Res</w:t>
      </w:r>
      <w:r w:rsidRPr="00AD61B7">
        <w:rPr>
          <w:rFonts w:ascii="Calibri" w:hAnsi="Calibri" w:cs="Calibri"/>
          <w:noProof/>
          <w:szCs w:val="24"/>
        </w:rPr>
        <w:t xml:space="preserve"> 2015; 163: 1–14.</w:t>
      </w:r>
    </w:p>
    <w:p w14:paraId="7228768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 </w:t>
      </w:r>
      <w:r w:rsidRPr="00AD61B7">
        <w:rPr>
          <w:rFonts w:ascii="Calibri" w:hAnsi="Calibri" w:cs="Calibri"/>
          <w:noProof/>
          <w:szCs w:val="24"/>
        </w:rPr>
        <w:tab/>
        <w:t xml:space="preserve">Patel AP, Fisher JL, Nichols E, et al. Global, regional, and national burden of brain and other CNS cancer, 1990–2016: a systematic analysis for the Global Burden of Disease Study 2016. </w:t>
      </w:r>
      <w:r w:rsidRPr="00AD61B7">
        <w:rPr>
          <w:rFonts w:ascii="Calibri" w:hAnsi="Calibri" w:cs="Calibri"/>
          <w:i/>
          <w:iCs/>
          <w:noProof/>
          <w:szCs w:val="24"/>
        </w:rPr>
        <w:t>Lancet Neurol</w:t>
      </w:r>
      <w:r w:rsidRPr="00AD61B7">
        <w:rPr>
          <w:rFonts w:ascii="Calibri" w:hAnsi="Calibri" w:cs="Calibri"/>
          <w:noProof/>
          <w:szCs w:val="24"/>
        </w:rPr>
        <w:t xml:space="preserve"> 2019; 18: 376–393.</w:t>
      </w:r>
    </w:p>
    <w:p w14:paraId="15578D9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 </w:t>
      </w:r>
      <w:r w:rsidRPr="00AD61B7">
        <w:rPr>
          <w:rFonts w:ascii="Calibri" w:hAnsi="Calibri" w:cs="Calibri"/>
          <w:noProof/>
          <w:szCs w:val="24"/>
        </w:rPr>
        <w:tab/>
        <w:t xml:space="preserve">Kapoor M, Gupta V. Astrocytoma. In: </w:t>
      </w:r>
      <w:r w:rsidRPr="00AD61B7">
        <w:rPr>
          <w:rFonts w:ascii="Calibri" w:hAnsi="Calibri" w:cs="Calibri"/>
          <w:i/>
          <w:iCs/>
          <w:noProof/>
          <w:szCs w:val="24"/>
        </w:rPr>
        <w:t>Tumors and Cancers: Central and Peripheral Nervous Systems</w:t>
      </w:r>
      <w:r w:rsidRPr="00AD61B7">
        <w:rPr>
          <w:rFonts w:ascii="Calibri" w:hAnsi="Calibri" w:cs="Calibri"/>
          <w:noProof/>
          <w:szCs w:val="24"/>
        </w:rPr>
        <w:t>. CRC Press, pp. 1–16.</w:t>
      </w:r>
    </w:p>
    <w:p w14:paraId="5ADF48B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 </w:t>
      </w:r>
      <w:r w:rsidRPr="00AD61B7">
        <w:rPr>
          <w:rFonts w:ascii="Calibri" w:hAnsi="Calibri" w:cs="Calibri"/>
          <w:noProof/>
          <w:szCs w:val="24"/>
        </w:rPr>
        <w:tab/>
        <w:t>www.svod.cz.</w:t>
      </w:r>
    </w:p>
    <w:p w14:paraId="42F4BE0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 </w:t>
      </w:r>
      <w:r w:rsidRPr="00AD61B7">
        <w:rPr>
          <w:rFonts w:ascii="Calibri" w:hAnsi="Calibri" w:cs="Calibri"/>
          <w:noProof/>
          <w:szCs w:val="24"/>
        </w:rPr>
        <w:tab/>
        <w:t xml:space="preserve">Schwartzbaum JA, Fisher JL, Aldape KD, et al. Epidemiology and molecular pathology of glioma. </w:t>
      </w:r>
      <w:r w:rsidRPr="00AD61B7">
        <w:rPr>
          <w:rFonts w:ascii="Calibri" w:hAnsi="Calibri" w:cs="Calibri"/>
          <w:i/>
          <w:iCs/>
          <w:noProof/>
          <w:szCs w:val="24"/>
        </w:rPr>
        <w:t>Nature Clinical Practice Neurology</w:t>
      </w:r>
      <w:r w:rsidRPr="00AD61B7">
        <w:rPr>
          <w:rFonts w:ascii="Calibri" w:hAnsi="Calibri" w:cs="Calibri"/>
          <w:noProof/>
          <w:szCs w:val="24"/>
        </w:rPr>
        <w:t xml:space="preserve"> 2006; 2: 494–503.</w:t>
      </w:r>
    </w:p>
    <w:p w14:paraId="422A61C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 </w:t>
      </w:r>
      <w:r w:rsidRPr="00AD61B7">
        <w:rPr>
          <w:rFonts w:ascii="Calibri" w:hAnsi="Calibri" w:cs="Calibri"/>
          <w:noProof/>
          <w:szCs w:val="24"/>
        </w:rPr>
        <w:tab/>
        <w:t xml:space="preserve">Parsons DW, Jones S, Zhang X, et al. An Integrated Genomic Analysis of Human Glioblastoma Multiforme. </w:t>
      </w:r>
      <w:r w:rsidRPr="00AD61B7">
        <w:rPr>
          <w:rFonts w:ascii="Calibri" w:hAnsi="Calibri" w:cs="Calibri"/>
          <w:i/>
          <w:iCs/>
          <w:noProof/>
          <w:szCs w:val="24"/>
        </w:rPr>
        <w:t>Science (80- )</w:t>
      </w:r>
      <w:r w:rsidRPr="00AD61B7">
        <w:rPr>
          <w:rFonts w:ascii="Calibri" w:hAnsi="Calibri" w:cs="Calibri"/>
          <w:noProof/>
          <w:szCs w:val="24"/>
        </w:rPr>
        <w:t xml:space="preserve"> 2008; 321: 1807–1812.</w:t>
      </w:r>
    </w:p>
    <w:p w14:paraId="6EF56C8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 </w:t>
      </w:r>
      <w:r w:rsidRPr="00AD61B7">
        <w:rPr>
          <w:rFonts w:ascii="Calibri" w:hAnsi="Calibri" w:cs="Calibri"/>
          <w:noProof/>
          <w:szCs w:val="24"/>
        </w:rPr>
        <w:tab/>
        <w:t xml:space="preserve">Jaeckle KA, Eyre HJ, Townsend JJ, et al. Correlation of tumor O6 methylguanine-DNA methyltransferase levels with survival of malignant astrocytoma patients treated with bis- chloroethylnitrosourea: A Southwest Oncology Group study. </w:t>
      </w:r>
      <w:r w:rsidRPr="00AD61B7">
        <w:rPr>
          <w:rFonts w:ascii="Calibri" w:hAnsi="Calibri" w:cs="Calibri"/>
          <w:i/>
          <w:iCs/>
          <w:noProof/>
          <w:szCs w:val="24"/>
        </w:rPr>
        <w:t>J Clin Oncol</w:t>
      </w:r>
      <w:r w:rsidRPr="00AD61B7">
        <w:rPr>
          <w:rFonts w:ascii="Calibri" w:hAnsi="Calibri" w:cs="Calibri"/>
          <w:noProof/>
          <w:szCs w:val="24"/>
        </w:rPr>
        <w:t xml:space="preserve"> 1998; 16: 3310–3315.</w:t>
      </w:r>
    </w:p>
    <w:p w14:paraId="5851461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 </w:t>
      </w:r>
      <w:r w:rsidRPr="00AD61B7">
        <w:rPr>
          <w:rFonts w:ascii="Calibri" w:hAnsi="Calibri" w:cs="Calibri"/>
          <w:noProof/>
          <w:szCs w:val="24"/>
        </w:rPr>
        <w:tab/>
        <w:t xml:space="preserve">Louis DN, Ohgaki H, Wiestler OD, et al. The 2007 WHO classification of tumours of the central nervous system. </w:t>
      </w:r>
      <w:r w:rsidRPr="00AD61B7">
        <w:rPr>
          <w:rFonts w:ascii="Calibri" w:hAnsi="Calibri" w:cs="Calibri"/>
          <w:i/>
          <w:iCs/>
          <w:noProof/>
          <w:szCs w:val="24"/>
        </w:rPr>
        <w:t>Acta Neuropathologica</w:t>
      </w:r>
      <w:r w:rsidRPr="00AD61B7">
        <w:rPr>
          <w:rFonts w:ascii="Calibri" w:hAnsi="Calibri" w:cs="Calibri"/>
          <w:noProof/>
          <w:szCs w:val="24"/>
        </w:rPr>
        <w:t xml:space="preserve"> 2007; 114: 97–109.</w:t>
      </w:r>
    </w:p>
    <w:p w14:paraId="40FAD27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 </w:t>
      </w:r>
      <w:r w:rsidRPr="00AD61B7">
        <w:rPr>
          <w:rFonts w:ascii="Calibri" w:hAnsi="Calibri" w:cs="Calibri"/>
          <w:noProof/>
          <w:szCs w:val="24"/>
        </w:rPr>
        <w:tab/>
        <w:t xml:space="preserve">Brat DJ, Verhaak RGW, Aldape KD, et al. Comprehensive, Integrative Genomic Analysis of Diffuse Lower-Grade Gliomas. </w:t>
      </w:r>
      <w:r w:rsidRPr="00AD61B7">
        <w:rPr>
          <w:rFonts w:ascii="Calibri" w:hAnsi="Calibri" w:cs="Calibri"/>
          <w:i/>
          <w:iCs/>
          <w:noProof/>
          <w:szCs w:val="24"/>
        </w:rPr>
        <w:t>N Engl J Med</w:t>
      </w:r>
      <w:r w:rsidRPr="00AD61B7">
        <w:rPr>
          <w:rFonts w:ascii="Calibri" w:hAnsi="Calibri" w:cs="Calibri"/>
          <w:noProof/>
          <w:szCs w:val="24"/>
        </w:rPr>
        <w:t xml:space="preserve"> 2015; 372: 2481–2498.</w:t>
      </w:r>
    </w:p>
    <w:p w14:paraId="716937E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 </w:t>
      </w:r>
      <w:r w:rsidRPr="00AD61B7">
        <w:rPr>
          <w:rFonts w:ascii="Calibri" w:hAnsi="Calibri" w:cs="Calibri"/>
          <w:noProof/>
          <w:szCs w:val="24"/>
        </w:rPr>
        <w:tab/>
        <w:t xml:space="preserve">Furnari FB, Cloughesy TF, Cavenee WK, et al. Heterogeneity of epidermal growth factor receptor signalling networks in glioblastoma. </w:t>
      </w:r>
      <w:r w:rsidRPr="00AD61B7">
        <w:rPr>
          <w:rFonts w:ascii="Calibri" w:hAnsi="Calibri" w:cs="Calibri"/>
          <w:i/>
          <w:iCs/>
          <w:noProof/>
          <w:szCs w:val="24"/>
        </w:rPr>
        <w:t>Nature Reviews Cancer</w:t>
      </w:r>
      <w:r w:rsidRPr="00AD61B7">
        <w:rPr>
          <w:rFonts w:ascii="Calibri" w:hAnsi="Calibri" w:cs="Calibri"/>
          <w:noProof/>
          <w:szCs w:val="24"/>
        </w:rPr>
        <w:t xml:space="preserve"> 2015; 15: 302–310.</w:t>
      </w:r>
    </w:p>
    <w:p w14:paraId="6C93ACB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 </w:t>
      </w:r>
      <w:r w:rsidRPr="00AD61B7">
        <w:rPr>
          <w:rFonts w:ascii="Calibri" w:hAnsi="Calibri" w:cs="Calibri"/>
          <w:noProof/>
          <w:szCs w:val="24"/>
        </w:rPr>
        <w:tab/>
        <w:t xml:space="preserve">Louis DN, Perry A, Reifenberger G, et al. The 2016 World Health Organization Classification of Tumors of the Central Nervous System: a summary. </w:t>
      </w:r>
      <w:r w:rsidRPr="00AD61B7">
        <w:rPr>
          <w:rFonts w:ascii="Calibri" w:hAnsi="Calibri" w:cs="Calibri"/>
          <w:i/>
          <w:iCs/>
          <w:noProof/>
          <w:szCs w:val="24"/>
        </w:rPr>
        <w:t>Acta Neuropathol</w:t>
      </w:r>
      <w:r w:rsidRPr="00AD61B7">
        <w:rPr>
          <w:rFonts w:ascii="Calibri" w:hAnsi="Calibri" w:cs="Calibri"/>
          <w:noProof/>
          <w:szCs w:val="24"/>
        </w:rPr>
        <w:t xml:space="preserve"> 2016; 131: 803–820.</w:t>
      </w:r>
    </w:p>
    <w:p w14:paraId="7855705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 </w:t>
      </w:r>
      <w:r w:rsidRPr="00AD61B7">
        <w:rPr>
          <w:rFonts w:ascii="Calibri" w:hAnsi="Calibri" w:cs="Calibri"/>
          <w:noProof/>
          <w:szCs w:val="24"/>
        </w:rPr>
        <w:tab/>
        <w:t xml:space="preserve">Jiang H, Cui Y, Wang J, et al. Impact of epidemiological characteristics of supratentorial gliomas in adults brought about by the 2016 world health organization classification of tumors of the central nervous system. </w:t>
      </w:r>
      <w:r w:rsidRPr="00AD61B7">
        <w:rPr>
          <w:rFonts w:ascii="Calibri" w:hAnsi="Calibri" w:cs="Calibri"/>
          <w:i/>
          <w:iCs/>
          <w:noProof/>
          <w:szCs w:val="24"/>
        </w:rPr>
        <w:t>Oncotarget</w:t>
      </w:r>
      <w:r w:rsidRPr="00AD61B7">
        <w:rPr>
          <w:rFonts w:ascii="Calibri" w:hAnsi="Calibri" w:cs="Calibri"/>
          <w:noProof/>
          <w:szCs w:val="24"/>
        </w:rPr>
        <w:t xml:space="preserve"> 2017; 8: 20354–20361.</w:t>
      </w:r>
    </w:p>
    <w:p w14:paraId="00C3E30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 </w:t>
      </w:r>
      <w:r w:rsidRPr="00AD61B7">
        <w:rPr>
          <w:rFonts w:ascii="Calibri" w:hAnsi="Calibri" w:cs="Calibri"/>
          <w:noProof/>
          <w:szCs w:val="24"/>
        </w:rPr>
        <w:tab/>
        <w:t xml:space="preserve">Posti JP, Bori M, Kauko T, et al. Presenting symptoms of glioma in adults. </w:t>
      </w:r>
      <w:r w:rsidRPr="00AD61B7">
        <w:rPr>
          <w:rFonts w:ascii="Calibri" w:hAnsi="Calibri" w:cs="Calibri"/>
          <w:i/>
          <w:iCs/>
          <w:noProof/>
          <w:szCs w:val="24"/>
        </w:rPr>
        <w:t>Acta Neurol Scand</w:t>
      </w:r>
      <w:r w:rsidRPr="00AD61B7">
        <w:rPr>
          <w:rFonts w:ascii="Calibri" w:hAnsi="Calibri" w:cs="Calibri"/>
          <w:noProof/>
          <w:szCs w:val="24"/>
        </w:rPr>
        <w:t xml:space="preserve"> 2015; 131: 88–93.</w:t>
      </w:r>
    </w:p>
    <w:p w14:paraId="75E904D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 </w:t>
      </w:r>
      <w:r w:rsidRPr="00AD61B7">
        <w:rPr>
          <w:rFonts w:ascii="Calibri" w:hAnsi="Calibri" w:cs="Calibri"/>
          <w:noProof/>
          <w:szCs w:val="24"/>
        </w:rPr>
        <w:tab/>
        <w:t xml:space="preserve">Nayak L, Deangelis LM, Brandes AA, et al. The Neurologic Assessment in Neuro-Oncology (NANO) scale: A tool to assess neurologic function for integration into the Response Assessment in Neuro-Oncology (RANO) criteria. </w:t>
      </w:r>
      <w:r w:rsidRPr="00AD61B7">
        <w:rPr>
          <w:rFonts w:ascii="Calibri" w:hAnsi="Calibri" w:cs="Calibri"/>
          <w:i/>
          <w:iCs/>
          <w:noProof/>
          <w:szCs w:val="24"/>
        </w:rPr>
        <w:t>Neuro Oncol</w:t>
      </w:r>
      <w:r w:rsidRPr="00AD61B7">
        <w:rPr>
          <w:rFonts w:ascii="Calibri" w:hAnsi="Calibri" w:cs="Calibri"/>
          <w:noProof/>
          <w:szCs w:val="24"/>
        </w:rPr>
        <w:t xml:space="preserve"> 2017; 19: 625–635.</w:t>
      </w:r>
    </w:p>
    <w:p w14:paraId="076AA32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 </w:t>
      </w:r>
      <w:r w:rsidRPr="00AD61B7">
        <w:rPr>
          <w:rFonts w:ascii="Calibri" w:hAnsi="Calibri" w:cs="Calibri"/>
          <w:noProof/>
          <w:szCs w:val="24"/>
        </w:rPr>
        <w:tab/>
        <w:t xml:space="preserve">Pope WB, Brandal G. Conventional and advanced magnetic resonance imaging in patients with high-grade glioma. </w:t>
      </w:r>
      <w:r w:rsidRPr="00AD61B7">
        <w:rPr>
          <w:rFonts w:ascii="Calibri" w:hAnsi="Calibri" w:cs="Calibri"/>
          <w:i/>
          <w:iCs/>
          <w:noProof/>
          <w:szCs w:val="24"/>
        </w:rPr>
        <w:t>Quarterly Journal of Nuclear Medicine and Molecular Imaging</w:t>
      </w:r>
      <w:r w:rsidRPr="00AD61B7">
        <w:rPr>
          <w:rFonts w:ascii="Calibri" w:hAnsi="Calibri" w:cs="Calibri"/>
          <w:noProof/>
          <w:szCs w:val="24"/>
        </w:rPr>
        <w:t xml:space="preserve"> 2018; 62: 239–253.</w:t>
      </w:r>
    </w:p>
    <w:p w14:paraId="2101599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 </w:t>
      </w:r>
      <w:r w:rsidRPr="00AD61B7">
        <w:rPr>
          <w:rFonts w:ascii="Calibri" w:hAnsi="Calibri" w:cs="Calibri"/>
          <w:noProof/>
          <w:szCs w:val="24"/>
        </w:rPr>
        <w:tab/>
        <w:t xml:space="preserve">VERGER A, LANGEN K-J. PET Imaging in Glioblastoma: Use in Clinical Practice. In: </w:t>
      </w:r>
      <w:r w:rsidRPr="00AD61B7">
        <w:rPr>
          <w:rFonts w:ascii="Calibri" w:hAnsi="Calibri" w:cs="Calibri"/>
          <w:i/>
          <w:iCs/>
          <w:noProof/>
          <w:szCs w:val="24"/>
        </w:rPr>
        <w:t>Glioblastoma</w:t>
      </w:r>
      <w:r w:rsidRPr="00AD61B7">
        <w:rPr>
          <w:rFonts w:ascii="Calibri" w:hAnsi="Calibri" w:cs="Calibri"/>
          <w:noProof/>
          <w:szCs w:val="24"/>
        </w:rPr>
        <w:t>. Codon Publications, pp. 155–174.</w:t>
      </w:r>
    </w:p>
    <w:p w14:paraId="4BD6FAE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 </w:t>
      </w:r>
      <w:r w:rsidRPr="00AD61B7">
        <w:rPr>
          <w:rFonts w:ascii="Calibri" w:hAnsi="Calibri" w:cs="Calibri"/>
          <w:noProof/>
          <w:szCs w:val="24"/>
        </w:rPr>
        <w:tab/>
        <w:t xml:space="preserve">Hamisch CA, Minartz J, Blau T, et al. Frame-based stereotactic biopsy of deep-seated and midline structures in 511 procedures: feasibility, risk profile, and diagnostic yield. </w:t>
      </w:r>
      <w:r w:rsidRPr="00AD61B7">
        <w:rPr>
          <w:rFonts w:ascii="Calibri" w:hAnsi="Calibri" w:cs="Calibri"/>
          <w:i/>
          <w:iCs/>
          <w:noProof/>
          <w:szCs w:val="24"/>
        </w:rPr>
        <w:t>Acta Neurochir (Wien)</w:t>
      </w:r>
      <w:r w:rsidRPr="00AD61B7">
        <w:rPr>
          <w:rFonts w:ascii="Calibri" w:hAnsi="Calibri" w:cs="Calibri"/>
          <w:noProof/>
          <w:szCs w:val="24"/>
        </w:rPr>
        <w:t xml:space="preserve"> 2019; 161: 2065–2071.</w:t>
      </w:r>
    </w:p>
    <w:p w14:paraId="116546B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 </w:t>
      </w:r>
      <w:r w:rsidRPr="00AD61B7">
        <w:rPr>
          <w:rFonts w:ascii="Calibri" w:hAnsi="Calibri" w:cs="Calibri"/>
          <w:noProof/>
          <w:szCs w:val="24"/>
        </w:rPr>
        <w:tab/>
        <w:t xml:space="preserve">Kageji T, Nagahiro S, Uyama S, et al. Histopathological findings in autopsied glioblastoma patients treated by mixed neutron beam BNCT. </w:t>
      </w:r>
      <w:r w:rsidRPr="00AD61B7">
        <w:rPr>
          <w:rFonts w:ascii="Calibri" w:hAnsi="Calibri" w:cs="Calibri"/>
          <w:i/>
          <w:iCs/>
          <w:noProof/>
          <w:szCs w:val="24"/>
        </w:rPr>
        <w:t>J Neurooncol</w:t>
      </w:r>
      <w:r w:rsidRPr="00AD61B7">
        <w:rPr>
          <w:rFonts w:ascii="Calibri" w:hAnsi="Calibri" w:cs="Calibri"/>
          <w:noProof/>
          <w:szCs w:val="24"/>
        </w:rPr>
        <w:t xml:space="preserve"> 2004; 68: 25–32.</w:t>
      </w:r>
    </w:p>
    <w:p w14:paraId="7556B48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 </w:t>
      </w:r>
      <w:r w:rsidRPr="00AD61B7">
        <w:rPr>
          <w:rFonts w:ascii="Calibri" w:hAnsi="Calibri" w:cs="Calibri"/>
          <w:noProof/>
          <w:szCs w:val="24"/>
        </w:rPr>
        <w:tab/>
        <w:t xml:space="preserve">Grabowski MM, Recinos PF, Nowacki AS, et al. Residual tumor volume versus extent of resection: Predictors of survival after surgery for glioblastoma. </w:t>
      </w:r>
      <w:r w:rsidRPr="00AD61B7">
        <w:rPr>
          <w:rFonts w:ascii="Calibri" w:hAnsi="Calibri" w:cs="Calibri"/>
          <w:i/>
          <w:iCs/>
          <w:noProof/>
          <w:szCs w:val="24"/>
        </w:rPr>
        <w:t>J Neurosurg</w:t>
      </w:r>
      <w:r w:rsidRPr="00AD61B7">
        <w:rPr>
          <w:rFonts w:ascii="Calibri" w:hAnsi="Calibri" w:cs="Calibri"/>
          <w:noProof/>
          <w:szCs w:val="24"/>
        </w:rPr>
        <w:t xml:space="preserve"> 2014; 121: 1115–1123.</w:t>
      </w:r>
    </w:p>
    <w:p w14:paraId="1A591F1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 </w:t>
      </w:r>
      <w:r w:rsidRPr="00AD61B7">
        <w:rPr>
          <w:rFonts w:ascii="Calibri" w:hAnsi="Calibri" w:cs="Calibri"/>
          <w:noProof/>
          <w:szCs w:val="24"/>
        </w:rPr>
        <w:tab/>
        <w:t xml:space="preserve">Lacroix M, Abi-Said D, Fourney DR, et al. A multivariate analysis of 416 patients with glioblastoma multiforme: Prognosis, extent of resection, and survival. </w:t>
      </w:r>
      <w:r w:rsidRPr="00AD61B7">
        <w:rPr>
          <w:rFonts w:ascii="Calibri" w:hAnsi="Calibri" w:cs="Calibri"/>
          <w:i/>
          <w:iCs/>
          <w:noProof/>
          <w:szCs w:val="24"/>
        </w:rPr>
        <w:t>J Neurosurg</w:t>
      </w:r>
      <w:r w:rsidRPr="00AD61B7">
        <w:rPr>
          <w:rFonts w:ascii="Calibri" w:hAnsi="Calibri" w:cs="Calibri"/>
          <w:noProof/>
          <w:szCs w:val="24"/>
        </w:rPr>
        <w:t xml:space="preserve"> 2001; 95: 190–198.</w:t>
      </w:r>
    </w:p>
    <w:p w14:paraId="6809E90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 </w:t>
      </w:r>
      <w:r w:rsidRPr="00AD61B7">
        <w:rPr>
          <w:rFonts w:ascii="Calibri" w:hAnsi="Calibri" w:cs="Calibri"/>
          <w:noProof/>
          <w:szCs w:val="24"/>
        </w:rPr>
        <w:tab/>
        <w:t xml:space="preserve">Berger MS, Deliganis A V., Dobbins J, et al. The effect of extent of resection on recurrence in patients with low grade cerebral hemisphere gliomas. </w:t>
      </w:r>
      <w:r w:rsidRPr="00AD61B7">
        <w:rPr>
          <w:rFonts w:ascii="Calibri" w:hAnsi="Calibri" w:cs="Calibri"/>
          <w:i/>
          <w:iCs/>
          <w:noProof/>
          <w:szCs w:val="24"/>
        </w:rPr>
        <w:t>Cancer</w:t>
      </w:r>
      <w:r w:rsidRPr="00AD61B7">
        <w:rPr>
          <w:rFonts w:ascii="Calibri" w:hAnsi="Calibri" w:cs="Calibri"/>
          <w:noProof/>
          <w:szCs w:val="24"/>
        </w:rPr>
        <w:t xml:space="preserve"> 1994; 74: 1784–1791.</w:t>
      </w:r>
    </w:p>
    <w:p w14:paraId="5F3CA1A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 </w:t>
      </w:r>
      <w:r w:rsidRPr="00AD61B7">
        <w:rPr>
          <w:rFonts w:ascii="Calibri" w:hAnsi="Calibri" w:cs="Calibri"/>
          <w:noProof/>
          <w:szCs w:val="24"/>
        </w:rPr>
        <w:tab/>
        <w:t xml:space="preserve">Jenkinson MD, Barone DG, Bryant A, et al. Intraoperative imaging technology to maximise extent of resection for glioma. </w:t>
      </w:r>
      <w:r w:rsidRPr="00AD61B7">
        <w:rPr>
          <w:rFonts w:ascii="Calibri" w:hAnsi="Calibri" w:cs="Calibri"/>
          <w:i/>
          <w:iCs/>
          <w:noProof/>
          <w:szCs w:val="24"/>
        </w:rPr>
        <w:t>Cochrane Database of Systematic Reviews</w:t>
      </w:r>
      <w:r w:rsidRPr="00AD61B7">
        <w:rPr>
          <w:rFonts w:ascii="Calibri" w:hAnsi="Calibri" w:cs="Calibri"/>
          <w:noProof/>
          <w:szCs w:val="24"/>
        </w:rPr>
        <w:t>; 2018. Epub ahead of print 22 January 2018. DOI: 10.1002/14651858.CD012788.pub2.</w:t>
      </w:r>
    </w:p>
    <w:p w14:paraId="341373A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 </w:t>
      </w:r>
      <w:r w:rsidRPr="00AD61B7">
        <w:rPr>
          <w:rFonts w:ascii="Calibri" w:hAnsi="Calibri" w:cs="Calibri"/>
          <w:noProof/>
          <w:szCs w:val="24"/>
        </w:rPr>
        <w:tab/>
        <w:t xml:space="preserve">Duffau H. Awake surgery for incidental WHO grade II gliomas involving eloquent areas. </w:t>
      </w:r>
      <w:r w:rsidRPr="00AD61B7">
        <w:rPr>
          <w:rFonts w:ascii="Calibri" w:hAnsi="Calibri" w:cs="Calibri"/>
          <w:i/>
          <w:iCs/>
          <w:noProof/>
          <w:szCs w:val="24"/>
        </w:rPr>
        <w:t>Acta Neurochir (Wien)</w:t>
      </w:r>
      <w:r w:rsidRPr="00AD61B7">
        <w:rPr>
          <w:rFonts w:ascii="Calibri" w:hAnsi="Calibri" w:cs="Calibri"/>
          <w:noProof/>
          <w:szCs w:val="24"/>
        </w:rPr>
        <w:t xml:space="preserve"> 2012; 154: 575–584.</w:t>
      </w:r>
    </w:p>
    <w:p w14:paraId="694835D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 </w:t>
      </w:r>
      <w:r w:rsidRPr="00AD61B7">
        <w:rPr>
          <w:rFonts w:ascii="Calibri" w:hAnsi="Calibri" w:cs="Calibri"/>
          <w:noProof/>
          <w:szCs w:val="24"/>
        </w:rPr>
        <w:tab/>
        <w:t xml:space="preserve">Duffau H. Long-term outcomes after supratotal resection of diffuse low-grade gliomas: a consecutive series with 11-year follow-up. </w:t>
      </w:r>
      <w:r w:rsidRPr="00AD61B7">
        <w:rPr>
          <w:rFonts w:ascii="Calibri" w:hAnsi="Calibri" w:cs="Calibri"/>
          <w:i/>
          <w:iCs/>
          <w:noProof/>
          <w:szCs w:val="24"/>
        </w:rPr>
        <w:t>Acta Neurochir (Wien)</w:t>
      </w:r>
      <w:r w:rsidRPr="00AD61B7">
        <w:rPr>
          <w:rFonts w:ascii="Calibri" w:hAnsi="Calibri" w:cs="Calibri"/>
          <w:noProof/>
          <w:szCs w:val="24"/>
        </w:rPr>
        <w:t xml:space="preserve"> 2016; 158: 51–58.</w:t>
      </w:r>
    </w:p>
    <w:p w14:paraId="12465C1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 </w:t>
      </w:r>
      <w:r w:rsidRPr="00AD61B7">
        <w:rPr>
          <w:rFonts w:ascii="Calibri" w:hAnsi="Calibri" w:cs="Calibri"/>
          <w:noProof/>
          <w:szCs w:val="24"/>
        </w:rPr>
        <w:tab/>
        <w:t xml:space="preserve">Yordanova YN, Moritz-Gasser S, Duffau H. Awake surgery for WHO grade II gliomas within ‘noneloquent’ areas in the left dominant hemisphere: Toward a ‘supratotal’ resection - Clinical article. </w:t>
      </w:r>
      <w:r w:rsidRPr="00AD61B7">
        <w:rPr>
          <w:rFonts w:ascii="Calibri" w:hAnsi="Calibri" w:cs="Calibri"/>
          <w:i/>
          <w:iCs/>
          <w:noProof/>
          <w:szCs w:val="24"/>
        </w:rPr>
        <w:t>J Neurosurg</w:t>
      </w:r>
      <w:r w:rsidRPr="00AD61B7">
        <w:rPr>
          <w:rFonts w:ascii="Calibri" w:hAnsi="Calibri" w:cs="Calibri"/>
          <w:noProof/>
          <w:szCs w:val="24"/>
        </w:rPr>
        <w:t xml:space="preserve"> 2011; 115: 232–239.</w:t>
      </w:r>
    </w:p>
    <w:p w14:paraId="30478FC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27. </w:t>
      </w:r>
      <w:r w:rsidRPr="00AD61B7">
        <w:rPr>
          <w:rFonts w:ascii="Calibri" w:hAnsi="Calibri" w:cs="Calibri"/>
          <w:noProof/>
          <w:szCs w:val="24"/>
        </w:rPr>
        <w:tab/>
        <w:t xml:space="preserve">Sanai N, Berger MS. Surgical oncology for gliomas: The state of the art. </w:t>
      </w:r>
      <w:r w:rsidRPr="00AD61B7">
        <w:rPr>
          <w:rFonts w:ascii="Calibri" w:hAnsi="Calibri" w:cs="Calibri"/>
          <w:i/>
          <w:iCs/>
          <w:noProof/>
          <w:szCs w:val="24"/>
        </w:rPr>
        <w:t>Nature Reviews Clinical Oncology</w:t>
      </w:r>
      <w:r w:rsidRPr="00AD61B7">
        <w:rPr>
          <w:rFonts w:ascii="Calibri" w:hAnsi="Calibri" w:cs="Calibri"/>
          <w:noProof/>
          <w:szCs w:val="24"/>
        </w:rPr>
        <w:t xml:space="preserve"> 2018; 15: 112–125.</w:t>
      </w:r>
    </w:p>
    <w:p w14:paraId="4464CD8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28. </w:t>
      </w:r>
      <w:r w:rsidRPr="00AD61B7">
        <w:rPr>
          <w:rFonts w:ascii="Calibri" w:hAnsi="Calibri" w:cs="Calibri"/>
          <w:noProof/>
          <w:szCs w:val="24"/>
        </w:rPr>
        <w:tab/>
        <w:t xml:space="preserve">Corso CD, Bindra RS, Mehta MP. The role of radiation in treating glioblastoma: here to stay. </w:t>
      </w:r>
      <w:r w:rsidRPr="00AD61B7">
        <w:rPr>
          <w:rFonts w:ascii="Calibri" w:hAnsi="Calibri" w:cs="Calibri"/>
          <w:i/>
          <w:iCs/>
          <w:noProof/>
          <w:szCs w:val="24"/>
        </w:rPr>
        <w:t>Journal of Neuro-Oncology</w:t>
      </w:r>
      <w:r w:rsidRPr="00AD61B7">
        <w:rPr>
          <w:rFonts w:ascii="Calibri" w:hAnsi="Calibri" w:cs="Calibri"/>
          <w:noProof/>
          <w:szCs w:val="24"/>
        </w:rPr>
        <w:t xml:space="preserve"> 2017; 134: 479–485.</w:t>
      </w:r>
    </w:p>
    <w:p w14:paraId="6A2E231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29. </w:t>
      </w:r>
      <w:r w:rsidRPr="00AD61B7">
        <w:rPr>
          <w:rFonts w:ascii="Calibri" w:hAnsi="Calibri" w:cs="Calibri"/>
          <w:noProof/>
          <w:szCs w:val="24"/>
        </w:rPr>
        <w:tab/>
        <w:t xml:space="preserve">Hochberg FH, Pruitt A. Assumptions in the radiotherapy of glioblastoma. </w:t>
      </w:r>
      <w:r w:rsidRPr="00AD61B7">
        <w:rPr>
          <w:rFonts w:ascii="Calibri" w:hAnsi="Calibri" w:cs="Calibri"/>
          <w:i/>
          <w:iCs/>
          <w:noProof/>
          <w:szCs w:val="24"/>
        </w:rPr>
        <w:t>Neurology</w:t>
      </w:r>
      <w:r w:rsidRPr="00AD61B7">
        <w:rPr>
          <w:rFonts w:ascii="Calibri" w:hAnsi="Calibri" w:cs="Calibri"/>
          <w:noProof/>
          <w:szCs w:val="24"/>
        </w:rPr>
        <w:t xml:space="preserve"> 1980; 30: 907–911.</w:t>
      </w:r>
    </w:p>
    <w:p w14:paraId="0704074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30. </w:t>
      </w:r>
      <w:r w:rsidRPr="00AD61B7">
        <w:rPr>
          <w:rFonts w:ascii="Calibri" w:hAnsi="Calibri" w:cs="Calibri"/>
          <w:noProof/>
          <w:szCs w:val="24"/>
        </w:rPr>
        <w:tab/>
        <w:t xml:space="preserve">Cabrera AR, Kirkpatrick JP, Fiveash JB, et al. Radiation therapy for glioblastoma: Executive summary of an American Society for Radiation Oncology Evidence-Based Clinical Practice Guideline. </w:t>
      </w:r>
      <w:r w:rsidRPr="00AD61B7">
        <w:rPr>
          <w:rFonts w:ascii="Calibri" w:hAnsi="Calibri" w:cs="Calibri"/>
          <w:i/>
          <w:iCs/>
          <w:noProof/>
          <w:szCs w:val="24"/>
        </w:rPr>
        <w:t>Pract Radiat Oncol</w:t>
      </w:r>
      <w:r w:rsidRPr="00AD61B7">
        <w:rPr>
          <w:rFonts w:ascii="Calibri" w:hAnsi="Calibri" w:cs="Calibri"/>
          <w:noProof/>
          <w:szCs w:val="24"/>
        </w:rPr>
        <w:t xml:space="preserve"> 2016; 6: 217–225.</w:t>
      </w:r>
    </w:p>
    <w:p w14:paraId="409859A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31. </w:t>
      </w:r>
      <w:r w:rsidRPr="00AD61B7">
        <w:rPr>
          <w:rFonts w:ascii="Calibri" w:hAnsi="Calibri" w:cs="Calibri"/>
          <w:noProof/>
          <w:szCs w:val="24"/>
        </w:rPr>
        <w:tab/>
        <w:t xml:space="preserve">Karim ABMF, Afra D, Cornu P, et al. Randomized trial on the efficacy of radiotherapy for cerebral low-grade glioma in the adult: European Organization for Research and Treatment of Cancer Study 22845 with the Medical Research Council study BRO4: An interim analysis. </w:t>
      </w:r>
      <w:r w:rsidRPr="00AD61B7">
        <w:rPr>
          <w:rFonts w:ascii="Calibri" w:hAnsi="Calibri" w:cs="Calibri"/>
          <w:i/>
          <w:iCs/>
          <w:noProof/>
          <w:szCs w:val="24"/>
        </w:rPr>
        <w:t>Int J Radiat Oncol Biol Phys</w:t>
      </w:r>
      <w:r w:rsidRPr="00AD61B7">
        <w:rPr>
          <w:rFonts w:ascii="Calibri" w:hAnsi="Calibri" w:cs="Calibri"/>
          <w:noProof/>
          <w:szCs w:val="24"/>
        </w:rPr>
        <w:t xml:space="preserve"> 2002; 52: 316–324.</w:t>
      </w:r>
    </w:p>
    <w:p w14:paraId="2FB354B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32. </w:t>
      </w:r>
      <w:r w:rsidRPr="00AD61B7">
        <w:rPr>
          <w:rFonts w:ascii="Calibri" w:hAnsi="Calibri" w:cs="Calibri"/>
          <w:noProof/>
          <w:szCs w:val="24"/>
        </w:rPr>
        <w:tab/>
        <w:t xml:space="preserve">Fine HA, Dear KBG, Loeffler JS, et al. Meta‐analysis of radiation therapy with and without adjuvant chemotherapy for malignant gliomas in adults. </w:t>
      </w:r>
      <w:r w:rsidRPr="00AD61B7">
        <w:rPr>
          <w:rFonts w:ascii="Calibri" w:hAnsi="Calibri" w:cs="Calibri"/>
          <w:i/>
          <w:iCs/>
          <w:noProof/>
          <w:szCs w:val="24"/>
        </w:rPr>
        <w:t>Cancer</w:t>
      </w:r>
      <w:r w:rsidRPr="00AD61B7">
        <w:rPr>
          <w:rFonts w:ascii="Calibri" w:hAnsi="Calibri" w:cs="Calibri"/>
          <w:noProof/>
          <w:szCs w:val="24"/>
        </w:rPr>
        <w:t xml:space="preserve"> 1993; 71: 2585–2597.</w:t>
      </w:r>
    </w:p>
    <w:p w14:paraId="0DC611E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33. </w:t>
      </w:r>
      <w:r w:rsidRPr="00AD61B7">
        <w:rPr>
          <w:rFonts w:ascii="Calibri" w:hAnsi="Calibri" w:cs="Calibri"/>
          <w:noProof/>
          <w:szCs w:val="24"/>
        </w:rPr>
        <w:tab/>
        <w:t xml:space="preserve">Stupp R, Mason WP, van den Bent MJ, et al. Radiotherapy plus Concomitant and Adjuvant Temozolomide for Glioblastoma. </w:t>
      </w:r>
      <w:r w:rsidRPr="00AD61B7">
        <w:rPr>
          <w:rFonts w:ascii="Calibri" w:hAnsi="Calibri" w:cs="Calibri"/>
          <w:i/>
          <w:iCs/>
          <w:noProof/>
          <w:szCs w:val="24"/>
        </w:rPr>
        <w:t>N Engl J Med</w:t>
      </w:r>
      <w:r w:rsidRPr="00AD61B7">
        <w:rPr>
          <w:rFonts w:ascii="Calibri" w:hAnsi="Calibri" w:cs="Calibri"/>
          <w:noProof/>
          <w:szCs w:val="24"/>
        </w:rPr>
        <w:t xml:space="preserve"> 2005; 352: 987–996.</w:t>
      </w:r>
    </w:p>
    <w:p w14:paraId="02A8A1F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34. </w:t>
      </w:r>
      <w:r w:rsidRPr="00AD61B7">
        <w:rPr>
          <w:rFonts w:ascii="Calibri" w:hAnsi="Calibri" w:cs="Calibri"/>
          <w:noProof/>
          <w:szCs w:val="24"/>
        </w:rPr>
        <w:tab/>
        <w:t xml:space="preserve">Darlix A, Mandonnet E, Freyschlag CF, et al. Chemotherapy and diffuse low-grade gliomas: a survey within the European Low-Grade Glioma Network. </w:t>
      </w:r>
      <w:r w:rsidRPr="00AD61B7">
        <w:rPr>
          <w:rFonts w:ascii="Calibri" w:hAnsi="Calibri" w:cs="Calibri"/>
          <w:i/>
          <w:iCs/>
          <w:noProof/>
          <w:szCs w:val="24"/>
        </w:rPr>
        <w:t>Neuro-Oncology Pract</w:t>
      </w:r>
      <w:r w:rsidRPr="00AD61B7">
        <w:rPr>
          <w:rFonts w:ascii="Calibri" w:hAnsi="Calibri" w:cs="Calibri"/>
          <w:noProof/>
          <w:szCs w:val="24"/>
        </w:rPr>
        <w:t xml:space="preserve"> 2019; 6: 264–273.</w:t>
      </w:r>
    </w:p>
    <w:p w14:paraId="1A59F6D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35. </w:t>
      </w:r>
      <w:r w:rsidRPr="00AD61B7">
        <w:rPr>
          <w:rFonts w:ascii="Calibri" w:hAnsi="Calibri" w:cs="Calibri"/>
          <w:noProof/>
          <w:szCs w:val="24"/>
        </w:rPr>
        <w:tab/>
        <w:t xml:space="preserve">Peyre M, Cartalat-Carel S, Meyronet D, et al. Prolonged response without prolonged chemotherapy: A lesson from PCV chemotherapy in low-grade gliomas. </w:t>
      </w:r>
      <w:r w:rsidRPr="00AD61B7">
        <w:rPr>
          <w:rFonts w:ascii="Calibri" w:hAnsi="Calibri" w:cs="Calibri"/>
          <w:i/>
          <w:iCs/>
          <w:noProof/>
          <w:szCs w:val="24"/>
        </w:rPr>
        <w:t>Neuro Oncol</w:t>
      </w:r>
      <w:r w:rsidRPr="00AD61B7">
        <w:rPr>
          <w:rFonts w:ascii="Calibri" w:hAnsi="Calibri" w:cs="Calibri"/>
          <w:noProof/>
          <w:szCs w:val="24"/>
        </w:rPr>
        <w:t xml:space="preserve"> 2010; 12: 1078–1082.</w:t>
      </w:r>
    </w:p>
    <w:p w14:paraId="085F70D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36. </w:t>
      </w:r>
      <w:r w:rsidRPr="00AD61B7">
        <w:rPr>
          <w:rFonts w:ascii="Calibri" w:hAnsi="Calibri" w:cs="Calibri"/>
          <w:noProof/>
          <w:szCs w:val="24"/>
        </w:rPr>
        <w:tab/>
        <w:t xml:space="preserve">Jain KK. A critical overview of targeted therapies for glioblastoma. </w:t>
      </w:r>
      <w:r w:rsidRPr="00AD61B7">
        <w:rPr>
          <w:rFonts w:ascii="Calibri" w:hAnsi="Calibri" w:cs="Calibri"/>
          <w:i/>
          <w:iCs/>
          <w:noProof/>
          <w:szCs w:val="24"/>
        </w:rPr>
        <w:t>Frontiers in Oncology</w:t>
      </w:r>
      <w:r w:rsidRPr="00AD61B7">
        <w:rPr>
          <w:rFonts w:ascii="Calibri" w:hAnsi="Calibri" w:cs="Calibri"/>
          <w:noProof/>
          <w:szCs w:val="24"/>
        </w:rPr>
        <w:t xml:space="preserve"> 2018; 8: 419.</w:t>
      </w:r>
    </w:p>
    <w:p w14:paraId="5078FE0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37. </w:t>
      </w:r>
      <w:r w:rsidRPr="00AD61B7">
        <w:rPr>
          <w:rFonts w:ascii="Calibri" w:hAnsi="Calibri" w:cs="Calibri"/>
          <w:noProof/>
          <w:szCs w:val="24"/>
        </w:rPr>
        <w:tab/>
        <w:t xml:space="preserve">Weller M, van den Bent M, Preusser M, et al. EANO guidelines on the diagnosis and treatment of diffuse gliomas of adulthood. </w:t>
      </w:r>
      <w:r w:rsidRPr="00AD61B7">
        <w:rPr>
          <w:rFonts w:ascii="Calibri" w:hAnsi="Calibri" w:cs="Calibri"/>
          <w:i/>
          <w:iCs/>
          <w:noProof/>
          <w:szCs w:val="24"/>
        </w:rPr>
        <w:t>Nat Rev Clin Oncol</w:t>
      </w:r>
      <w:r w:rsidRPr="00AD61B7">
        <w:rPr>
          <w:rFonts w:ascii="Calibri" w:hAnsi="Calibri" w:cs="Calibri"/>
          <w:noProof/>
          <w:szCs w:val="24"/>
        </w:rPr>
        <w:t xml:space="preserve"> 2020; 17: 30.</w:t>
      </w:r>
    </w:p>
    <w:p w14:paraId="4CB68AD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38. </w:t>
      </w:r>
      <w:r w:rsidRPr="00AD61B7">
        <w:rPr>
          <w:rFonts w:ascii="Calibri" w:hAnsi="Calibri" w:cs="Calibri"/>
          <w:noProof/>
          <w:szCs w:val="24"/>
        </w:rPr>
        <w:tab/>
        <w:t xml:space="preserve">Zülch KJ. </w:t>
      </w:r>
      <w:r w:rsidRPr="00AD61B7">
        <w:rPr>
          <w:rFonts w:ascii="Calibri" w:hAnsi="Calibri" w:cs="Calibri"/>
          <w:i/>
          <w:iCs/>
          <w:noProof/>
          <w:szCs w:val="24"/>
        </w:rPr>
        <w:t xml:space="preserve">Histological typing of tumours of the central nervous system </w:t>
      </w:r>
      <w:r w:rsidRPr="00AD61B7">
        <w:rPr>
          <w:rFonts w:ascii="Calibri" w:hAnsi="Calibri" w:cs="Calibri"/>
          <w:noProof/>
          <w:szCs w:val="24"/>
        </w:rPr>
        <w:t>. Geneva, https://www.ncbi.nlm.nih.gov/nlmcatalog/8100204 (1979, accessed 12 December 2020).</w:t>
      </w:r>
    </w:p>
    <w:p w14:paraId="11FA3A3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39. </w:t>
      </w:r>
      <w:r w:rsidRPr="00AD61B7">
        <w:rPr>
          <w:rFonts w:ascii="Calibri" w:hAnsi="Calibri" w:cs="Calibri"/>
          <w:noProof/>
          <w:szCs w:val="24"/>
        </w:rPr>
        <w:tab/>
        <w:t xml:space="preserve">Ohgaki H, Kleihues P. Genetic pathways to primary and secondary glioblastoma. </w:t>
      </w:r>
      <w:r w:rsidRPr="00AD61B7">
        <w:rPr>
          <w:rFonts w:ascii="Calibri" w:hAnsi="Calibri" w:cs="Calibri"/>
          <w:i/>
          <w:iCs/>
          <w:noProof/>
          <w:szCs w:val="24"/>
        </w:rPr>
        <w:t>American Journal of Pathology</w:t>
      </w:r>
      <w:r w:rsidRPr="00AD61B7">
        <w:rPr>
          <w:rFonts w:ascii="Calibri" w:hAnsi="Calibri" w:cs="Calibri"/>
          <w:noProof/>
          <w:szCs w:val="24"/>
        </w:rPr>
        <w:t xml:space="preserve"> 2007; 170: 1445–1453.</w:t>
      </w:r>
    </w:p>
    <w:p w14:paraId="479757F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40. </w:t>
      </w:r>
      <w:r w:rsidRPr="00AD61B7">
        <w:rPr>
          <w:rFonts w:ascii="Calibri" w:hAnsi="Calibri" w:cs="Calibri"/>
          <w:noProof/>
          <w:szCs w:val="24"/>
        </w:rPr>
        <w:tab/>
        <w:t xml:space="preserve">Hasselblatt M, Jaber M, Reuss D, et al. Diffuse astrocytoma, IDH-wildtype: A dissolving diagnosis. </w:t>
      </w:r>
      <w:r w:rsidRPr="00AD61B7">
        <w:rPr>
          <w:rFonts w:ascii="Calibri" w:hAnsi="Calibri" w:cs="Calibri"/>
          <w:i/>
          <w:iCs/>
          <w:noProof/>
          <w:szCs w:val="24"/>
        </w:rPr>
        <w:t>J Neuropathol Exp Neurol</w:t>
      </w:r>
      <w:r w:rsidRPr="00AD61B7">
        <w:rPr>
          <w:rFonts w:ascii="Calibri" w:hAnsi="Calibri" w:cs="Calibri"/>
          <w:noProof/>
          <w:szCs w:val="24"/>
        </w:rPr>
        <w:t xml:space="preserve"> 2018; 77: 422–425.</w:t>
      </w:r>
    </w:p>
    <w:p w14:paraId="1415B93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41. </w:t>
      </w:r>
      <w:r w:rsidRPr="00AD61B7">
        <w:rPr>
          <w:rFonts w:ascii="Calibri" w:hAnsi="Calibri" w:cs="Calibri"/>
          <w:noProof/>
          <w:szCs w:val="24"/>
        </w:rPr>
        <w:tab/>
        <w:t xml:space="preserve">Louis DN, Perry A, Reifenberger G, et al. The 2016 World Health Organization Classification of Tumors of the Central Nervous System: a summary. </w:t>
      </w:r>
      <w:r w:rsidRPr="00AD61B7">
        <w:rPr>
          <w:rFonts w:ascii="Calibri" w:hAnsi="Calibri" w:cs="Calibri"/>
          <w:i/>
          <w:iCs/>
          <w:noProof/>
          <w:szCs w:val="24"/>
        </w:rPr>
        <w:t>Acta Neuropathologica</w:t>
      </w:r>
      <w:r w:rsidRPr="00AD61B7">
        <w:rPr>
          <w:rFonts w:ascii="Calibri" w:hAnsi="Calibri" w:cs="Calibri"/>
          <w:noProof/>
          <w:szCs w:val="24"/>
        </w:rPr>
        <w:t xml:space="preserve"> 2016; 131: 803–820.</w:t>
      </w:r>
    </w:p>
    <w:p w14:paraId="206ED50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42. </w:t>
      </w:r>
      <w:r w:rsidRPr="00AD61B7">
        <w:rPr>
          <w:rFonts w:ascii="Calibri" w:hAnsi="Calibri" w:cs="Calibri"/>
          <w:noProof/>
          <w:szCs w:val="24"/>
        </w:rPr>
        <w:tab/>
        <w:t xml:space="preserve">Hartmann C, Hentschel B, Wick W, et al. Patients with IDH1 wild type anaplastic astrocytomas exhibit worse prognosis than IDH1-mutated glioblastomas, and IDH1 mutation status accounts for the unfavorable prognostic effect of higher age: Implications for classification of gliomas. </w:t>
      </w:r>
      <w:r w:rsidRPr="00AD61B7">
        <w:rPr>
          <w:rFonts w:ascii="Calibri" w:hAnsi="Calibri" w:cs="Calibri"/>
          <w:i/>
          <w:iCs/>
          <w:noProof/>
          <w:szCs w:val="24"/>
        </w:rPr>
        <w:t>Acta Neuropathol</w:t>
      </w:r>
      <w:r w:rsidRPr="00AD61B7">
        <w:rPr>
          <w:rFonts w:ascii="Calibri" w:hAnsi="Calibri" w:cs="Calibri"/>
          <w:noProof/>
          <w:szCs w:val="24"/>
        </w:rPr>
        <w:t xml:space="preserve"> 2010; 120: 707–718.</w:t>
      </w:r>
    </w:p>
    <w:p w14:paraId="56EE94C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43. </w:t>
      </w:r>
      <w:r w:rsidRPr="00AD61B7">
        <w:rPr>
          <w:rFonts w:ascii="Calibri" w:hAnsi="Calibri" w:cs="Calibri"/>
          <w:noProof/>
          <w:szCs w:val="24"/>
        </w:rPr>
        <w:tab/>
        <w:t xml:space="preserve">Reuss DE, Mamatjan Y, Schrimpf D, et al. IDH mutant diffuse and anaplastic astrocytomas have similar age at presentation and little difference in survival: a grading problem for WHO. </w:t>
      </w:r>
      <w:r w:rsidRPr="00AD61B7">
        <w:rPr>
          <w:rFonts w:ascii="Calibri" w:hAnsi="Calibri" w:cs="Calibri"/>
          <w:i/>
          <w:iCs/>
          <w:noProof/>
          <w:szCs w:val="24"/>
        </w:rPr>
        <w:t>Acta Neuropathol</w:t>
      </w:r>
      <w:r w:rsidRPr="00AD61B7">
        <w:rPr>
          <w:rFonts w:ascii="Calibri" w:hAnsi="Calibri" w:cs="Calibri"/>
          <w:noProof/>
          <w:szCs w:val="24"/>
        </w:rPr>
        <w:t xml:space="preserve"> 2015; 129: 867–873.</w:t>
      </w:r>
    </w:p>
    <w:p w14:paraId="19CD809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44. </w:t>
      </w:r>
      <w:r w:rsidRPr="00AD61B7">
        <w:rPr>
          <w:rFonts w:ascii="Calibri" w:hAnsi="Calibri" w:cs="Calibri"/>
          <w:noProof/>
          <w:szCs w:val="24"/>
        </w:rPr>
        <w:tab/>
        <w:t xml:space="preserve">Yekula A, Gupta M, Coley N, et al. Adult H3K27M-mutant diffuse midline glioma with gliomatosis cerebri growth pattern: Case report and review of the literature. </w:t>
      </w:r>
      <w:r w:rsidRPr="00AD61B7">
        <w:rPr>
          <w:rFonts w:ascii="Calibri" w:hAnsi="Calibri" w:cs="Calibri"/>
          <w:i/>
          <w:iCs/>
          <w:noProof/>
          <w:szCs w:val="24"/>
        </w:rPr>
        <w:t>Int J Surg Case Rep</w:t>
      </w:r>
      <w:r w:rsidRPr="00AD61B7">
        <w:rPr>
          <w:rFonts w:ascii="Calibri" w:hAnsi="Calibri" w:cs="Calibri"/>
          <w:noProof/>
          <w:szCs w:val="24"/>
        </w:rPr>
        <w:t xml:space="preserve"> 2020; 68: 124–128.</w:t>
      </w:r>
    </w:p>
    <w:p w14:paraId="7BCAD77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45. </w:t>
      </w:r>
      <w:r w:rsidRPr="00AD61B7">
        <w:rPr>
          <w:rFonts w:ascii="Calibri" w:hAnsi="Calibri" w:cs="Calibri"/>
          <w:noProof/>
          <w:szCs w:val="24"/>
        </w:rPr>
        <w:tab/>
        <w:t xml:space="preserve">Wesseling P, van den Bent M, Perry A. Oligodendroglioma: pathology, molecular mechanisms and markers. </w:t>
      </w:r>
      <w:r w:rsidRPr="00AD61B7">
        <w:rPr>
          <w:rFonts w:ascii="Calibri" w:hAnsi="Calibri" w:cs="Calibri"/>
          <w:i/>
          <w:iCs/>
          <w:noProof/>
          <w:szCs w:val="24"/>
        </w:rPr>
        <w:t>Acta Neuropathologica</w:t>
      </w:r>
      <w:r w:rsidRPr="00AD61B7">
        <w:rPr>
          <w:rFonts w:ascii="Calibri" w:hAnsi="Calibri" w:cs="Calibri"/>
          <w:noProof/>
          <w:szCs w:val="24"/>
        </w:rPr>
        <w:t xml:space="preserve"> 2015; 129: 809–827.</w:t>
      </w:r>
    </w:p>
    <w:p w14:paraId="2FB94D1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46. </w:t>
      </w:r>
      <w:r w:rsidRPr="00AD61B7">
        <w:rPr>
          <w:rFonts w:ascii="Calibri" w:hAnsi="Calibri" w:cs="Calibri"/>
          <w:noProof/>
          <w:szCs w:val="24"/>
        </w:rPr>
        <w:tab/>
        <w:t xml:space="preserve">Tork CA, Atkinson C. </w:t>
      </w:r>
      <w:r w:rsidRPr="00AD61B7">
        <w:rPr>
          <w:rFonts w:ascii="Calibri" w:hAnsi="Calibri" w:cs="Calibri"/>
          <w:i/>
          <w:iCs/>
          <w:noProof/>
          <w:szCs w:val="24"/>
        </w:rPr>
        <w:t>Oligodendroglioma</w:t>
      </w:r>
      <w:r w:rsidRPr="00AD61B7">
        <w:rPr>
          <w:rFonts w:ascii="Calibri" w:hAnsi="Calibri" w:cs="Calibri"/>
          <w:noProof/>
          <w:szCs w:val="24"/>
        </w:rPr>
        <w:t>. StatPearls Publishing, http://www.ncbi.nlm.nih.gov/pubmed/32644610 (2020, accessed 29 October 2020).</w:t>
      </w:r>
    </w:p>
    <w:p w14:paraId="72D0640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47. </w:t>
      </w:r>
      <w:r w:rsidRPr="00AD61B7">
        <w:rPr>
          <w:rFonts w:ascii="Calibri" w:hAnsi="Calibri" w:cs="Calibri"/>
          <w:noProof/>
          <w:szCs w:val="24"/>
        </w:rPr>
        <w:tab/>
        <w:t xml:space="preserve">Burnet NG, Jefferies SJ, Benson RJ, et al. Years of life lost (YLL) from cancer is an important measure of population burden - And should be considered when allocating research funds. </w:t>
      </w:r>
      <w:r w:rsidRPr="00AD61B7">
        <w:rPr>
          <w:rFonts w:ascii="Calibri" w:hAnsi="Calibri" w:cs="Calibri"/>
          <w:i/>
          <w:iCs/>
          <w:noProof/>
          <w:szCs w:val="24"/>
        </w:rPr>
        <w:t>Br J Cancer</w:t>
      </w:r>
      <w:r w:rsidRPr="00AD61B7">
        <w:rPr>
          <w:rFonts w:ascii="Calibri" w:hAnsi="Calibri" w:cs="Calibri"/>
          <w:noProof/>
          <w:szCs w:val="24"/>
        </w:rPr>
        <w:t xml:space="preserve"> 2005; 92: 241–245.</w:t>
      </w:r>
    </w:p>
    <w:p w14:paraId="3F99F1C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48. </w:t>
      </w:r>
      <w:r w:rsidRPr="00AD61B7">
        <w:rPr>
          <w:rFonts w:ascii="Calibri" w:hAnsi="Calibri" w:cs="Calibri"/>
          <w:noProof/>
          <w:szCs w:val="24"/>
        </w:rPr>
        <w:tab/>
        <w:t xml:space="preserve">Miller CR, Dunham CP, Scheithauer BW, et al. Significance of necrosis in grading of oligodendroglial neoplasms: A clinicopathologic and genetic study of newly diagnosed high-grade gliomas. </w:t>
      </w:r>
      <w:r w:rsidRPr="00AD61B7">
        <w:rPr>
          <w:rFonts w:ascii="Calibri" w:hAnsi="Calibri" w:cs="Calibri"/>
          <w:i/>
          <w:iCs/>
          <w:noProof/>
          <w:szCs w:val="24"/>
        </w:rPr>
        <w:t>J Clin Oncol</w:t>
      </w:r>
      <w:r w:rsidRPr="00AD61B7">
        <w:rPr>
          <w:rFonts w:ascii="Calibri" w:hAnsi="Calibri" w:cs="Calibri"/>
          <w:noProof/>
          <w:szCs w:val="24"/>
        </w:rPr>
        <w:t xml:space="preserve"> 2006; 24: 5419–5426.</w:t>
      </w:r>
    </w:p>
    <w:p w14:paraId="0FDD30B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49. </w:t>
      </w:r>
      <w:r w:rsidRPr="00AD61B7">
        <w:rPr>
          <w:rFonts w:ascii="Calibri" w:hAnsi="Calibri" w:cs="Calibri"/>
          <w:noProof/>
          <w:szCs w:val="24"/>
        </w:rPr>
        <w:tab/>
        <w:t xml:space="preserve">Anderson MD, Gilbert MR. Treatment recommendations for anaplastic oligodendrogliomas that are codeleted. </w:t>
      </w:r>
      <w:r w:rsidRPr="00AD61B7">
        <w:rPr>
          <w:rFonts w:ascii="Calibri" w:hAnsi="Calibri" w:cs="Calibri"/>
          <w:i/>
          <w:iCs/>
          <w:noProof/>
          <w:szCs w:val="24"/>
        </w:rPr>
        <w:t>Oncol (United States)</w:t>
      </w:r>
      <w:r w:rsidRPr="00AD61B7">
        <w:rPr>
          <w:rFonts w:ascii="Calibri" w:hAnsi="Calibri" w:cs="Calibri"/>
          <w:noProof/>
          <w:szCs w:val="24"/>
        </w:rPr>
        <w:t>; 27.</w:t>
      </w:r>
    </w:p>
    <w:p w14:paraId="33A3AD8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50. </w:t>
      </w:r>
      <w:r w:rsidRPr="00AD61B7">
        <w:rPr>
          <w:rFonts w:ascii="Calibri" w:hAnsi="Calibri" w:cs="Calibri"/>
          <w:noProof/>
          <w:szCs w:val="24"/>
        </w:rPr>
        <w:tab/>
        <w:t>Knight J, Jesus O De. Pilocytic Astrocytoma, https://www.ncbi.nlm.nih.gov/books/NBK560614/ (2020, accessed 12 December 2020).</w:t>
      </w:r>
    </w:p>
    <w:p w14:paraId="29442ED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51. </w:t>
      </w:r>
      <w:r w:rsidRPr="00AD61B7">
        <w:rPr>
          <w:rFonts w:ascii="Calibri" w:hAnsi="Calibri" w:cs="Calibri"/>
          <w:noProof/>
          <w:szCs w:val="24"/>
        </w:rPr>
        <w:tab/>
        <w:t xml:space="preserve">Soffietti R, Rudà R, Reardon D. Rare glial tumors. In: </w:t>
      </w:r>
      <w:r w:rsidRPr="00AD61B7">
        <w:rPr>
          <w:rFonts w:ascii="Calibri" w:hAnsi="Calibri" w:cs="Calibri"/>
          <w:i/>
          <w:iCs/>
          <w:noProof/>
          <w:szCs w:val="24"/>
        </w:rPr>
        <w:t>Handbook of Clinical Neurology</w:t>
      </w:r>
      <w:r w:rsidRPr="00AD61B7">
        <w:rPr>
          <w:rFonts w:ascii="Calibri" w:hAnsi="Calibri" w:cs="Calibri"/>
          <w:noProof/>
          <w:szCs w:val="24"/>
        </w:rPr>
        <w:t>. Elsevier B.V., 2016, pp. 399–415.</w:t>
      </w:r>
    </w:p>
    <w:p w14:paraId="37C4D28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52. </w:t>
      </w:r>
      <w:r w:rsidRPr="00AD61B7">
        <w:rPr>
          <w:rFonts w:ascii="Calibri" w:hAnsi="Calibri" w:cs="Calibri"/>
          <w:noProof/>
          <w:szCs w:val="24"/>
        </w:rPr>
        <w:tab/>
        <w:t xml:space="preserve">Korshunov A, Witt H, Hielscher T, et al. Molecular staging of intracranial ependymoma in children and adults. </w:t>
      </w:r>
      <w:r w:rsidRPr="00AD61B7">
        <w:rPr>
          <w:rFonts w:ascii="Calibri" w:hAnsi="Calibri" w:cs="Calibri"/>
          <w:i/>
          <w:iCs/>
          <w:noProof/>
          <w:szCs w:val="24"/>
        </w:rPr>
        <w:t>J Clin Oncol</w:t>
      </w:r>
      <w:r w:rsidRPr="00AD61B7">
        <w:rPr>
          <w:rFonts w:ascii="Calibri" w:hAnsi="Calibri" w:cs="Calibri"/>
          <w:noProof/>
          <w:szCs w:val="24"/>
        </w:rPr>
        <w:t xml:space="preserve"> 2010; 28: 3182–3190.</w:t>
      </w:r>
    </w:p>
    <w:p w14:paraId="14CE682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53. </w:t>
      </w:r>
      <w:r w:rsidRPr="00AD61B7">
        <w:rPr>
          <w:rFonts w:ascii="Calibri" w:hAnsi="Calibri" w:cs="Calibri"/>
          <w:noProof/>
          <w:szCs w:val="24"/>
        </w:rPr>
        <w:tab/>
        <w:t xml:space="preserve">Lindor NM, McMaster ML, Lindor CJ, et al. Concise handbook of familial cancer susceptibility syndromes: Second edition. </w:t>
      </w:r>
      <w:r w:rsidRPr="00AD61B7">
        <w:rPr>
          <w:rFonts w:ascii="Calibri" w:hAnsi="Calibri" w:cs="Calibri"/>
          <w:i/>
          <w:iCs/>
          <w:noProof/>
          <w:szCs w:val="24"/>
        </w:rPr>
        <w:t>J Natl Cancer Inst - Monogr</w:t>
      </w:r>
      <w:r w:rsidRPr="00AD61B7">
        <w:rPr>
          <w:rFonts w:ascii="Calibri" w:hAnsi="Calibri" w:cs="Calibri"/>
          <w:noProof/>
          <w:szCs w:val="24"/>
        </w:rPr>
        <w:t xml:space="preserve"> 2008; 2008: 1–93.</w:t>
      </w:r>
    </w:p>
    <w:p w14:paraId="4D7D8BF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54. </w:t>
      </w:r>
      <w:r w:rsidRPr="00AD61B7">
        <w:rPr>
          <w:rFonts w:ascii="Calibri" w:hAnsi="Calibri" w:cs="Calibri"/>
          <w:noProof/>
          <w:szCs w:val="24"/>
        </w:rPr>
        <w:tab/>
        <w:t xml:space="preserve">Rice T, Lachance DH, Molinaro AM, et al. Neuro-oncology practice: Understanding inherited genetic risk of adult glioma - A review. </w:t>
      </w:r>
      <w:r w:rsidRPr="00AD61B7">
        <w:rPr>
          <w:rFonts w:ascii="Calibri" w:hAnsi="Calibri" w:cs="Calibri"/>
          <w:i/>
          <w:iCs/>
          <w:noProof/>
          <w:szCs w:val="24"/>
        </w:rPr>
        <w:t>Neuro-Oncology Pract</w:t>
      </w:r>
      <w:r w:rsidRPr="00AD61B7">
        <w:rPr>
          <w:rFonts w:ascii="Calibri" w:hAnsi="Calibri" w:cs="Calibri"/>
          <w:noProof/>
          <w:szCs w:val="24"/>
        </w:rPr>
        <w:t xml:space="preserve"> 2015; 3: 1–16.</w:t>
      </w:r>
    </w:p>
    <w:p w14:paraId="646F2B4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55. </w:t>
      </w:r>
      <w:r w:rsidRPr="00AD61B7">
        <w:rPr>
          <w:rFonts w:ascii="Calibri" w:hAnsi="Calibri" w:cs="Calibri"/>
          <w:noProof/>
          <w:szCs w:val="24"/>
        </w:rPr>
        <w:tab/>
        <w:t xml:space="preserve">Kyritsis AP, Bondy ML, Rao JS, et al. Inherited predisposition to glioma. </w:t>
      </w:r>
      <w:r w:rsidRPr="00AD61B7">
        <w:rPr>
          <w:rFonts w:ascii="Calibri" w:hAnsi="Calibri" w:cs="Calibri"/>
          <w:i/>
          <w:iCs/>
          <w:noProof/>
          <w:szCs w:val="24"/>
        </w:rPr>
        <w:t>Neuro-Oncology</w:t>
      </w:r>
      <w:r w:rsidRPr="00AD61B7">
        <w:rPr>
          <w:rFonts w:ascii="Calibri" w:hAnsi="Calibri" w:cs="Calibri"/>
          <w:noProof/>
          <w:szCs w:val="24"/>
        </w:rPr>
        <w:t xml:space="preserve"> 2010; 12: 104–113.</w:t>
      </w:r>
    </w:p>
    <w:p w14:paraId="17DBB3C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56. </w:t>
      </w:r>
      <w:r w:rsidRPr="00AD61B7">
        <w:rPr>
          <w:rFonts w:ascii="Calibri" w:hAnsi="Calibri" w:cs="Calibri"/>
          <w:noProof/>
          <w:szCs w:val="24"/>
        </w:rPr>
        <w:tab/>
        <w:t xml:space="preserve">D’Angelo F, Ceccarelli M, Tala, et al. The molecular landscape of glioma in patients with Neurofibromatosis 1. </w:t>
      </w:r>
      <w:r w:rsidRPr="00AD61B7">
        <w:rPr>
          <w:rFonts w:ascii="Calibri" w:hAnsi="Calibri" w:cs="Calibri"/>
          <w:i/>
          <w:iCs/>
          <w:noProof/>
          <w:szCs w:val="24"/>
        </w:rPr>
        <w:t>Nat Med</w:t>
      </w:r>
      <w:r w:rsidRPr="00AD61B7">
        <w:rPr>
          <w:rFonts w:ascii="Calibri" w:hAnsi="Calibri" w:cs="Calibri"/>
          <w:noProof/>
          <w:szCs w:val="24"/>
        </w:rPr>
        <w:t xml:space="preserve"> 2019; 25: 176–187.</w:t>
      </w:r>
    </w:p>
    <w:p w14:paraId="628DD97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57. </w:t>
      </w:r>
      <w:r w:rsidRPr="00AD61B7">
        <w:rPr>
          <w:rFonts w:ascii="Calibri" w:hAnsi="Calibri" w:cs="Calibri"/>
          <w:noProof/>
          <w:szCs w:val="24"/>
        </w:rPr>
        <w:tab/>
        <w:t xml:space="preserve">Robertson LB, Armstrong GN, Olver BD, et al. Survey of familial glioma and role of germline p16INK4A/p14 ARF and p53 mutation. </w:t>
      </w:r>
      <w:r w:rsidRPr="00AD61B7">
        <w:rPr>
          <w:rFonts w:ascii="Calibri" w:hAnsi="Calibri" w:cs="Calibri"/>
          <w:i/>
          <w:iCs/>
          <w:noProof/>
          <w:szCs w:val="24"/>
        </w:rPr>
        <w:t>Fam Cancer</w:t>
      </w:r>
      <w:r w:rsidRPr="00AD61B7">
        <w:rPr>
          <w:rFonts w:ascii="Calibri" w:hAnsi="Calibri" w:cs="Calibri"/>
          <w:noProof/>
          <w:szCs w:val="24"/>
        </w:rPr>
        <w:t xml:space="preserve"> 2010; 9: 413–421.</w:t>
      </w:r>
    </w:p>
    <w:p w14:paraId="76DBF50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58. </w:t>
      </w:r>
      <w:r w:rsidRPr="00AD61B7">
        <w:rPr>
          <w:rFonts w:ascii="Calibri" w:hAnsi="Calibri" w:cs="Calibri"/>
          <w:noProof/>
          <w:szCs w:val="24"/>
        </w:rPr>
        <w:tab/>
        <w:t xml:space="preserve">Wrensch M, Lee M, Miike R, et al. Familial and personal medical history of cancer and nervous system conditions among adults with glioma and controls. </w:t>
      </w:r>
      <w:r w:rsidRPr="00AD61B7">
        <w:rPr>
          <w:rFonts w:ascii="Calibri" w:hAnsi="Calibri" w:cs="Calibri"/>
          <w:i/>
          <w:iCs/>
          <w:noProof/>
          <w:szCs w:val="24"/>
        </w:rPr>
        <w:t>Am J Epidemiol</w:t>
      </w:r>
      <w:r w:rsidRPr="00AD61B7">
        <w:rPr>
          <w:rFonts w:ascii="Calibri" w:hAnsi="Calibri" w:cs="Calibri"/>
          <w:noProof/>
          <w:szCs w:val="24"/>
        </w:rPr>
        <w:t xml:space="preserve"> 1997; 145: 581–593.</w:t>
      </w:r>
    </w:p>
    <w:p w14:paraId="6F540F1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59. </w:t>
      </w:r>
      <w:r w:rsidRPr="00AD61B7">
        <w:rPr>
          <w:rFonts w:ascii="Calibri" w:hAnsi="Calibri" w:cs="Calibri"/>
          <w:noProof/>
          <w:szCs w:val="24"/>
        </w:rPr>
        <w:tab/>
        <w:t xml:space="preserve">Wang LE, Bondy ML, Shen H, et al. Polymorphisms of DNA repair genes and risk of glioma. </w:t>
      </w:r>
      <w:r w:rsidRPr="00AD61B7">
        <w:rPr>
          <w:rFonts w:ascii="Calibri" w:hAnsi="Calibri" w:cs="Calibri"/>
          <w:i/>
          <w:iCs/>
          <w:noProof/>
          <w:szCs w:val="24"/>
        </w:rPr>
        <w:t>Cancer Res</w:t>
      </w:r>
      <w:r w:rsidRPr="00AD61B7">
        <w:rPr>
          <w:rFonts w:ascii="Calibri" w:hAnsi="Calibri" w:cs="Calibri"/>
          <w:noProof/>
          <w:szCs w:val="24"/>
        </w:rPr>
        <w:t xml:space="preserve"> 2004; 64: 5560–5563.</w:t>
      </w:r>
    </w:p>
    <w:p w14:paraId="06D3E7C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60. </w:t>
      </w:r>
      <w:r w:rsidRPr="00AD61B7">
        <w:rPr>
          <w:rFonts w:ascii="Calibri" w:hAnsi="Calibri" w:cs="Calibri"/>
          <w:noProof/>
          <w:szCs w:val="24"/>
        </w:rPr>
        <w:tab/>
        <w:t xml:space="preserve">Pearce MS, Salotti JA, Little MP, et al. Radiation exposure from CT scans in childhood and subsequent risk of leukaemia and brain tumours: A retrospective cohort study. </w:t>
      </w:r>
      <w:r w:rsidRPr="00AD61B7">
        <w:rPr>
          <w:rFonts w:ascii="Calibri" w:hAnsi="Calibri" w:cs="Calibri"/>
          <w:i/>
          <w:iCs/>
          <w:noProof/>
          <w:szCs w:val="24"/>
        </w:rPr>
        <w:t>Lancet</w:t>
      </w:r>
      <w:r w:rsidRPr="00AD61B7">
        <w:rPr>
          <w:rFonts w:ascii="Calibri" w:hAnsi="Calibri" w:cs="Calibri"/>
          <w:noProof/>
          <w:szCs w:val="24"/>
        </w:rPr>
        <w:t xml:space="preserve"> 2012; 380: 499–505.</w:t>
      </w:r>
    </w:p>
    <w:p w14:paraId="0A70ACD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61. </w:t>
      </w:r>
      <w:r w:rsidRPr="00AD61B7">
        <w:rPr>
          <w:rFonts w:ascii="Calibri" w:hAnsi="Calibri" w:cs="Calibri"/>
          <w:noProof/>
          <w:szCs w:val="24"/>
        </w:rPr>
        <w:tab/>
        <w:t xml:space="preserve">Linos E, Raine T, Alonso A, et al. Atopy and risk of brain tumors: A meta-analysis. </w:t>
      </w:r>
      <w:r w:rsidRPr="00AD61B7">
        <w:rPr>
          <w:rFonts w:ascii="Calibri" w:hAnsi="Calibri" w:cs="Calibri"/>
          <w:i/>
          <w:iCs/>
          <w:noProof/>
          <w:szCs w:val="24"/>
        </w:rPr>
        <w:t>J Natl Cancer Inst</w:t>
      </w:r>
      <w:r w:rsidRPr="00AD61B7">
        <w:rPr>
          <w:rFonts w:ascii="Calibri" w:hAnsi="Calibri" w:cs="Calibri"/>
          <w:noProof/>
          <w:szCs w:val="24"/>
        </w:rPr>
        <w:t xml:space="preserve"> 2007; 99: 1544–1550.</w:t>
      </w:r>
    </w:p>
    <w:p w14:paraId="1FA2A5B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62. </w:t>
      </w:r>
      <w:r w:rsidRPr="00AD61B7">
        <w:rPr>
          <w:rFonts w:ascii="Calibri" w:hAnsi="Calibri" w:cs="Calibri"/>
          <w:noProof/>
          <w:szCs w:val="24"/>
        </w:rPr>
        <w:tab/>
        <w:t xml:space="preserve">Amirian ES, Zhou R, Wrensch MR, et al. Approaching a scientific consensus on the association between allergies and glioma risk: A report from the glioma international case-control study. </w:t>
      </w:r>
      <w:r w:rsidRPr="00AD61B7">
        <w:rPr>
          <w:rFonts w:ascii="Calibri" w:hAnsi="Calibri" w:cs="Calibri"/>
          <w:i/>
          <w:iCs/>
          <w:noProof/>
          <w:szCs w:val="24"/>
        </w:rPr>
        <w:t>Cancer Epidemiol Biomarkers Prev</w:t>
      </w:r>
      <w:r w:rsidRPr="00AD61B7">
        <w:rPr>
          <w:rFonts w:ascii="Calibri" w:hAnsi="Calibri" w:cs="Calibri"/>
          <w:noProof/>
          <w:szCs w:val="24"/>
        </w:rPr>
        <w:t xml:space="preserve"> 2016; 25: 282–290.</w:t>
      </w:r>
    </w:p>
    <w:p w14:paraId="3DBD3F5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63. </w:t>
      </w:r>
      <w:r w:rsidRPr="00AD61B7">
        <w:rPr>
          <w:rFonts w:ascii="Calibri" w:hAnsi="Calibri" w:cs="Calibri"/>
          <w:noProof/>
          <w:szCs w:val="24"/>
        </w:rPr>
        <w:tab/>
        <w:t xml:space="preserve">Ostrom QT, Bauchet L, Davis FG, et al. The epidemiology of glioma in adults: A state of the science review. </w:t>
      </w:r>
      <w:r w:rsidRPr="00AD61B7">
        <w:rPr>
          <w:rFonts w:ascii="Calibri" w:hAnsi="Calibri" w:cs="Calibri"/>
          <w:i/>
          <w:iCs/>
          <w:noProof/>
          <w:szCs w:val="24"/>
        </w:rPr>
        <w:t>Neuro-Oncology</w:t>
      </w:r>
      <w:r w:rsidRPr="00AD61B7">
        <w:rPr>
          <w:rFonts w:ascii="Calibri" w:hAnsi="Calibri" w:cs="Calibri"/>
          <w:noProof/>
          <w:szCs w:val="24"/>
        </w:rPr>
        <w:t xml:space="preserve"> 2014; 16: 896–913.</w:t>
      </w:r>
    </w:p>
    <w:p w14:paraId="2034CEB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64. </w:t>
      </w:r>
      <w:r w:rsidRPr="00AD61B7">
        <w:rPr>
          <w:rFonts w:ascii="Calibri" w:hAnsi="Calibri" w:cs="Calibri"/>
          <w:noProof/>
          <w:szCs w:val="24"/>
        </w:rPr>
        <w:tab/>
        <w:t xml:space="preserve">Hou L, Jiang J, Liu B, et al. Smoking and adult glioma: a population-based case-control study in China. </w:t>
      </w:r>
      <w:r w:rsidRPr="00AD61B7">
        <w:rPr>
          <w:rFonts w:ascii="Calibri" w:hAnsi="Calibri" w:cs="Calibri"/>
          <w:i/>
          <w:iCs/>
          <w:noProof/>
          <w:szCs w:val="24"/>
        </w:rPr>
        <w:t>Neuro Oncol</w:t>
      </w:r>
      <w:r w:rsidRPr="00AD61B7">
        <w:rPr>
          <w:rFonts w:ascii="Calibri" w:hAnsi="Calibri" w:cs="Calibri"/>
          <w:noProof/>
          <w:szCs w:val="24"/>
        </w:rPr>
        <w:t xml:space="preserve"> 2016; 18: 105–113.</w:t>
      </w:r>
    </w:p>
    <w:p w14:paraId="24EB2CF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65. </w:t>
      </w:r>
      <w:r w:rsidRPr="00AD61B7">
        <w:rPr>
          <w:rFonts w:ascii="Calibri" w:hAnsi="Calibri" w:cs="Calibri"/>
          <w:noProof/>
          <w:szCs w:val="24"/>
        </w:rPr>
        <w:tab/>
        <w:t xml:space="preserve">Braganza MZ, Rajaraman P, Park Y, et al. Cigarette smoking, alcohol intake, and risk of glioma in the NIH-AARP diet and health study. </w:t>
      </w:r>
      <w:r w:rsidRPr="00AD61B7">
        <w:rPr>
          <w:rFonts w:ascii="Calibri" w:hAnsi="Calibri" w:cs="Calibri"/>
          <w:i/>
          <w:iCs/>
          <w:noProof/>
          <w:szCs w:val="24"/>
        </w:rPr>
        <w:t>Br J Cancer</w:t>
      </w:r>
      <w:r w:rsidRPr="00AD61B7">
        <w:rPr>
          <w:rFonts w:ascii="Calibri" w:hAnsi="Calibri" w:cs="Calibri"/>
          <w:noProof/>
          <w:szCs w:val="24"/>
        </w:rPr>
        <w:t xml:space="preserve"> 2014; 110: 242–248.</w:t>
      </w:r>
    </w:p>
    <w:p w14:paraId="6D286AC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66. </w:t>
      </w:r>
      <w:r w:rsidRPr="00AD61B7">
        <w:rPr>
          <w:rFonts w:ascii="Calibri" w:hAnsi="Calibri" w:cs="Calibri"/>
          <w:noProof/>
          <w:szCs w:val="24"/>
        </w:rPr>
        <w:tab/>
        <w:t xml:space="preserve">Li H xing, Peng X xiao, Zong Q, et al. Cigarette smoking and risk of adult glioma: A meta-analysis of 24 observational studies involving more than 2.3 million individuals. </w:t>
      </w:r>
      <w:r w:rsidRPr="00AD61B7">
        <w:rPr>
          <w:rFonts w:ascii="Calibri" w:hAnsi="Calibri" w:cs="Calibri"/>
          <w:i/>
          <w:iCs/>
          <w:noProof/>
          <w:szCs w:val="24"/>
        </w:rPr>
        <w:t>Onco Targets Ther</w:t>
      </w:r>
      <w:r w:rsidRPr="00AD61B7">
        <w:rPr>
          <w:rFonts w:ascii="Calibri" w:hAnsi="Calibri" w:cs="Calibri"/>
          <w:noProof/>
          <w:szCs w:val="24"/>
        </w:rPr>
        <w:t xml:space="preserve"> 2016; 9: 3511–3523.</w:t>
      </w:r>
    </w:p>
    <w:p w14:paraId="429426F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67. </w:t>
      </w:r>
      <w:r w:rsidRPr="00AD61B7">
        <w:rPr>
          <w:rFonts w:ascii="Calibri" w:hAnsi="Calibri" w:cs="Calibri"/>
          <w:noProof/>
          <w:szCs w:val="24"/>
        </w:rPr>
        <w:tab/>
        <w:t xml:space="preserve">Koh HJ, Lee SM, Son BG, et al. Cytosolic NADP+-dependent isocitrate dehydrogenase plays a key role in lipid metabolism. </w:t>
      </w:r>
      <w:r w:rsidRPr="00AD61B7">
        <w:rPr>
          <w:rFonts w:ascii="Calibri" w:hAnsi="Calibri" w:cs="Calibri"/>
          <w:i/>
          <w:iCs/>
          <w:noProof/>
          <w:szCs w:val="24"/>
        </w:rPr>
        <w:t>J Biol Chem</w:t>
      </w:r>
      <w:r w:rsidRPr="00AD61B7">
        <w:rPr>
          <w:rFonts w:ascii="Calibri" w:hAnsi="Calibri" w:cs="Calibri"/>
          <w:noProof/>
          <w:szCs w:val="24"/>
        </w:rPr>
        <w:t xml:space="preserve"> 2004; 279: 39968–39974.</w:t>
      </w:r>
    </w:p>
    <w:p w14:paraId="48A8664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68. </w:t>
      </w:r>
      <w:r w:rsidRPr="00AD61B7">
        <w:rPr>
          <w:rFonts w:ascii="Calibri" w:hAnsi="Calibri" w:cs="Calibri"/>
          <w:noProof/>
          <w:szCs w:val="24"/>
        </w:rPr>
        <w:tab/>
        <w:t xml:space="preserve">Lee SH, Jo SH, Lee SM, et al. Role of NADP+-dependent isocitrate dehydrogenase (NADP +-ICDH) on cellular defence against oxidative injury by γ-rays. </w:t>
      </w:r>
      <w:r w:rsidRPr="00AD61B7">
        <w:rPr>
          <w:rFonts w:ascii="Calibri" w:hAnsi="Calibri" w:cs="Calibri"/>
          <w:i/>
          <w:iCs/>
          <w:noProof/>
          <w:szCs w:val="24"/>
        </w:rPr>
        <w:t>Int J Radiat Biol</w:t>
      </w:r>
      <w:r w:rsidRPr="00AD61B7">
        <w:rPr>
          <w:rFonts w:ascii="Calibri" w:hAnsi="Calibri" w:cs="Calibri"/>
          <w:noProof/>
          <w:szCs w:val="24"/>
        </w:rPr>
        <w:t xml:space="preserve"> 2004; 80: 635–642.</w:t>
      </w:r>
    </w:p>
    <w:p w14:paraId="7F690F6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69. </w:t>
      </w:r>
      <w:r w:rsidRPr="00AD61B7">
        <w:rPr>
          <w:rFonts w:ascii="Calibri" w:hAnsi="Calibri" w:cs="Calibri"/>
          <w:noProof/>
          <w:szCs w:val="24"/>
        </w:rPr>
        <w:tab/>
        <w:t xml:space="preserve">Leighton F, Poole B, Lazarow PB, et al. The synthesis and turnover of rat liver peroxisomes. I. Fractionation of peroxisome proteins. </w:t>
      </w:r>
      <w:r w:rsidRPr="00AD61B7">
        <w:rPr>
          <w:rFonts w:ascii="Calibri" w:hAnsi="Calibri" w:cs="Calibri"/>
          <w:i/>
          <w:iCs/>
          <w:noProof/>
          <w:szCs w:val="24"/>
        </w:rPr>
        <w:t>J Cell Biol</w:t>
      </w:r>
      <w:r w:rsidRPr="00AD61B7">
        <w:rPr>
          <w:rFonts w:ascii="Calibri" w:hAnsi="Calibri" w:cs="Calibri"/>
          <w:noProof/>
          <w:szCs w:val="24"/>
        </w:rPr>
        <w:t xml:space="preserve"> 1969; 41: 521–535.</w:t>
      </w:r>
    </w:p>
    <w:p w14:paraId="7C81D40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70. </w:t>
      </w:r>
      <w:r w:rsidRPr="00AD61B7">
        <w:rPr>
          <w:rFonts w:ascii="Calibri" w:hAnsi="Calibri" w:cs="Calibri"/>
          <w:noProof/>
          <w:szCs w:val="24"/>
        </w:rPr>
        <w:tab/>
        <w:t xml:space="preserve">Parsons DW, Jones S, Zhang X, et al. An integrated genomic analysis of human glioblastoma multiforme. </w:t>
      </w:r>
      <w:r w:rsidRPr="00AD61B7">
        <w:rPr>
          <w:rFonts w:ascii="Calibri" w:hAnsi="Calibri" w:cs="Calibri"/>
          <w:i/>
          <w:iCs/>
          <w:noProof/>
          <w:szCs w:val="24"/>
        </w:rPr>
        <w:t>Science (80- )</w:t>
      </w:r>
      <w:r w:rsidRPr="00AD61B7">
        <w:rPr>
          <w:rFonts w:ascii="Calibri" w:hAnsi="Calibri" w:cs="Calibri"/>
          <w:noProof/>
          <w:szCs w:val="24"/>
        </w:rPr>
        <w:t xml:space="preserve"> 2008; 321: 1807–1812.</w:t>
      </w:r>
    </w:p>
    <w:p w14:paraId="1BB05ED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71. </w:t>
      </w:r>
      <w:r w:rsidRPr="00AD61B7">
        <w:rPr>
          <w:rFonts w:ascii="Calibri" w:hAnsi="Calibri" w:cs="Calibri"/>
          <w:noProof/>
          <w:szCs w:val="24"/>
        </w:rPr>
        <w:tab/>
        <w:t xml:space="preserve">Lee SM, Koh HJ, Park DC, et al. Cytosolic NADP+-dependent isocitrate dehydrogenase status modulates oxidative damage to cells. </w:t>
      </w:r>
      <w:r w:rsidRPr="00AD61B7">
        <w:rPr>
          <w:rFonts w:ascii="Calibri" w:hAnsi="Calibri" w:cs="Calibri"/>
          <w:i/>
          <w:iCs/>
          <w:noProof/>
          <w:szCs w:val="24"/>
        </w:rPr>
        <w:t>Free Radic Biol Med</w:t>
      </w:r>
      <w:r w:rsidRPr="00AD61B7">
        <w:rPr>
          <w:rFonts w:ascii="Calibri" w:hAnsi="Calibri" w:cs="Calibri"/>
          <w:noProof/>
          <w:szCs w:val="24"/>
        </w:rPr>
        <w:t xml:space="preserve"> 2002; 32: 1185–1196.</w:t>
      </w:r>
    </w:p>
    <w:p w14:paraId="58327A6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72. </w:t>
      </w:r>
      <w:r w:rsidRPr="00AD61B7">
        <w:rPr>
          <w:rFonts w:ascii="Calibri" w:hAnsi="Calibri" w:cs="Calibri"/>
          <w:noProof/>
          <w:szCs w:val="24"/>
        </w:rPr>
        <w:tab/>
        <w:t xml:space="preserve">Dang L, White DW, Gross S, et al. Cancer-associated IDH1 mutations produce 2-hydroxyglutarate. </w:t>
      </w:r>
      <w:r w:rsidRPr="00AD61B7">
        <w:rPr>
          <w:rFonts w:ascii="Calibri" w:hAnsi="Calibri" w:cs="Calibri"/>
          <w:i/>
          <w:iCs/>
          <w:noProof/>
          <w:szCs w:val="24"/>
        </w:rPr>
        <w:t>Nature</w:t>
      </w:r>
      <w:r w:rsidRPr="00AD61B7">
        <w:rPr>
          <w:rFonts w:ascii="Calibri" w:hAnsi="Calibri" w:cs="Calibri"/>
          <w:noProof/>
          <w:szCs w:val="24"/>
        </w:rPr>
        <w:t xml:space="preserve"> 2009; 462: 739–744.</w:t>
      </w:r>
    </w:p>
    <w:p w14:paraId="238D97C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73. </w:t>
      </w:r>
      <w:r w:rsidRPr="00AD61B7">
        <w:rPr>
          <w:rFonts w:ascii="Calibri" w:hAnsi="Calibri" w:cs="Calibri"/>
          <w:noProof/>
          <w:szCs w:val="24"/>
        </w:rPr>
        <w:tab/>
        <w:t xml:space="preserve">Chowdhury R, Yeoh KK, Tian YM, et al. The oncometabolite 2-hydroxyglutarate inhibits histone lysine demethylases. </w:t>
      </w:r>
      <w:r w:rsidRPr="00AD61B7">
        <w:rPr>
          <w:rFonts w:ascii="Calibri" w:hAnsi="Calibri" w:cs="Calibri"/>
          <w:i/>
          <w:iCs/>
          <w:noProof/>
          <w:szCs w:val="24"/>
        </w:rPr>
        <w:t>EMBO Rep</w:t>
      </w:r>
      <w:r w:rsidRPr="00AD61B7">
        <w:rPr>
          <w:rFonts w:ascii="Calibri" w:hAnsi="Calibri" w:cs="Calibri"/>
          <w:noProof/>
          <w:szCs w:val="24"/>
        </w:rPr>
        <w:t xml:space="preserve"> 2011; 12: 463–469.</w:t>
      </w:r>
    </w:p>
    <w:p w14:paraId="0A04A48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74. </w:t>
      </w:r>
      <w:r w:rsidRPr="00AD61B7">
        <w:rPr>
          <w:rFonts w:ascii="Calibri" w:hAnsi="Calibri" w:cs="Calibri"/>
          <w:noProof/>
          <w:szCs w:val="24"/>
        </w:rPr>
        <w:tab/>
        <w:t xml:space="preserve">Turcan S, Rohle D, Goenka A, et al. IDH1 mutation is sufficient to establish the glioma hypermethylator phenotype. </w:t>
      </w:r>
      <w:r w:rsidRPr="00AD61B7">
        <w:rPr>
          <w:rFonts w:ascii="Calibri" w:hAnsi="Calibri" w:cs="Calibri"/>
          <w:i/>
          <w:iCs/>
          <w:noProof/>
          <w:szCs w:val="24"/>
        </w:rPr>
        <w:t>Nature</w:t>
      </w:r>
      <w:r w:rsidRPr="00AD61B7">
        <w:rPr>
          <w:rFonts w:ascii="Calibri" w:hAnsi="Calibri" w:cs="Calibri"/>
          <w:noProof/>
          <w:szCs w:val="24"/>
        </w:rPr>
        <w:t xml:space="preserve"> 2012; 483: 479–483.</w:t>
      </w:r>
    </w:p>
    <w:p w14:paraId="6F27C25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75. </w:t>
      </w:r>
      <w:r w:rsidRPr="00AD61B7">
        <w:rPr>
          <w:rFonts w:ascii="Calibri" w:hAnsi="Calibri" w:cs="Calibri"/>
          <w:noProof/>
          <w:szCs w:val="24"/>
        </w:rPr>
        <w:tab/>
        <w:t xml:space="preserve">Zhao S, Lin Y, Xu W, et al. Glioma-derived mutations in IDH1 dominantly inhibit IDH1 catalytic activity and induce HIF-1α. </w:t>
      </w:r>
      <w:r w:rsidRPr="00AD61B7">
        <w:rPr>
          <w:rFonts w:ascii="Calibri" w:hAnsi="Calibri" w:cs="Calibri"/>
          <w:i/>
          <w:iCs/>
          <w:noProof/>
          <w:szCs w:val="24"/>
        </w:rPr>
        <w:t>Science (80- )</w:t>
      </w:r>
      <w:r w:rsidRPr="00AD61B7">
        <w:rPr>
          <w:rFonts w:ascii="Calibri" w:hAnsi="Calibri" w:cs="Calibri"/>
          <w:noProof/>
          <w:szCs w:val="24"/>
        </w:rPr>
        <w:t xml:space="preserve"> 2009; 324: 261–265.</w:t>
      </w:r>
    </w:p>
    <w:p w14:paraId="6356E5B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76. </w:t>
      </w:r>
      <w:r w:rsidRPr="00AD61B7">
        <w:rPr>
          <w:rFonts w:ascii="Calibri" w:hAnsi="Calibri" w:cs="Calibri"/>
          <w:noProof/>
          <w:szCs w:val="24"/>
        </w:rPr>
        <w:tab/>
        <w:t xml:space="preserve">Liu S, Cadoux-Hudson T, Schofield CJ. Isocitrate dehydrogenase variants in cancer — Cellular consequences and therapeutic opportunities. </w:t>
      </w:r>
      <w:r w:rsidRPr="00AD61B7">
        <w:rPr>
          <w:rFonts w:ascii="Calibri" w:hAnsi="Calibri" w:cs="Calibri"/>
          <w:i/>
          <w:iCs/>
          <w:noProof/>
          <w:szCs w:val="24"/>
        </w:rPr>
        <w:t>Current Opinion in Chemical Biology</w:t>
      </w:r>
      <w:r w:rsidRPr="00AD61B7">
        <w:rPr>
          <w:rFonts w:ascii="Calibri" w:hAnsi="Calibri" w:cs="Calibri"/>
          <w:noProof/>
          <w:szCs w:val="24"/>
        </w:rPr>
        <w:t xml:space="preserve"> 2020; 57: 122–134.</w:t>
      </w:r>
    </w:p>
    <w:p w14:paraId="17B73ED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77. </w:t>
      </w:r>
      <w:r w:rsidRPr="00AD61B7">
        <w:rPr>
          <w:rFonts w:ascii="Calibri" w:hAnsi="Calibri" w:cs="Calibri"/>
          <w:noProof/>
          <w:szCs w:val="24"/>
        </w:rPr>
        <w:tab/>
        <w:t xml:space="preserve">Lass U, Nümann A, von Eckardstein K, et al. Clonal analysis in recurrent astrocytic, oligoastrocytic and oligodendroglial tumors implicates IDH1- mutation as common tumor initiating event. </w:t>
      </w:r>
      <w:r w:rsidRPr="00AD61B7">
        <w:rPr>
          <w:rFonts w:ascii="Calibri" w:hAnsi="Calibri" w:cs="Calibri"/>
          <w:i/>
          <w:iCs/>
          <w:noProof/>
          <w:szCs w:val="24"/>
        </w:rPr>
        <w:t>PLoS One</w:t>
      </w:r>
      <w:r w:rsidRPr="00AD61B7">
        <w:rPr>
          <w:rFonts w:ascii="Calibri" w:hAnsi="Calibri" w:cs="Calibri"/>
          <w:noProof/>
          <w:szCs w:val="24"/>
        </w:rPr>
        <w:t>; 7. Epub ahead of print 23 July 2012. DOI: 10.1371/journal.pone.0041298.</w:t>
      </w:r>
    </w:p>
    <w:p w14:paraId="6BF1F7F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78. </w:t>
      </w:r>
      <w:r w:rsidRPr="00AD61B7">
        <w:rPr>
          <w:rFonts w:ascii="Calibri" w:hAnsi="Calibri" w:cs="Calibri"/>
          <w:noProof/>
          <w:szCs w:val="24"/>
        </w:rPr>
        <w:tab/>
        <w:t xml:space="preserve">Arita H, Narita Y, Yoshida A, et al. IDH1/2 mutation detection in gliomas. </w:t>
      </w:r>
      <w:r w:rsidRPr="00AD61B7">
        <w:rPr>
          <w:rFonts w:ascii="Calibri" w:hAnsi="Calibri" w:cs="Calibri"/>
          <w:i/>
          <w:iCs/>
          <w:noProof/>
          <w:szCs w:val="24"/>
        </w:rPr>
        <w:t>Brain Tumor Pathol</w:t>
      </w:r>
      <w:r w:rsidRPr="00AD61B7">
        <w:rPr>
          <w:rFonts w:ascii="Calibri" w:hAnsi="Calibri" w:cs="Calibri"/>
          <w:noProof/>
          <w:szCs w:val="24"/>
        </w:rPr>
        <w:t xml:space="preserve"> 2015; 32: 79–89.</w:t>
      </w:r>
    </w:p>
    <w:p w14:paraId="3CC2E4B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79. </w:t>
      </w:r>
      <w:r w:rsidRPr="00AD61B7">
        <w:rPr>
          <w:rFonts w:ascii="Calibri" w:hAnsi="Calibri" w:cs="Calibri"/>
          <w:noProof/>
          <w:szCs w:val="24"/>
        </w:rPr>
        <w:tab/>
        <w:t xml:space="preserve">Waitkus MS, Diplas BH, Yan H. Isocitrate dehydrogenase mutations in gliomas. </w:t>
      </w:r>
      <w:r w:rsidRPr="00AD61B7">
        <w:rPr>
          <w:rFonts w:ascii="Calibri" w:hAnsi="Calibri" w:cs="Calibri"/>
          <w:i/>
          <w:iCs/>
          <w:noProof/>
          <w:szCs w:val="24"/>
        </w:rPr>
        <w:t>Neuro-Oncology</w:t>
      </w:r>
      <w:r w:rsidRPr="00AD61B7">
        <w:rPr>
          <w:rFonts w:ascii="Calibri" w:hAnsi="Calibri" w:cs="Calibri"/>
          <w:noProof/>
          <w:szCs w:val="24"/>
        </w:rPr>
        <w:t xml:space="preserve"> 2016; 18: 16–26.</w:t>
      </w:r>
    </w:p>
    <w:p w14:paraId="1BCC676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80. </w:t>
      </w:r>
      <w:r w:rsidRPr="00AD61B7">
        <w:rPr>
          <w:rFonts w:ascii="Calibri" w:hAnsi="Calibri" w:cs="Calibri"/>
          <w:noProof/>
          <w:szCs w:val="24"/>
        </w:rPr>
        <w:tab/>
        <w:t xml:space="preserve">Jiao Y, Killela PJ, Reitman ZJ, et al. Frequent ATRX, CIC, FUBP1 and IDH1 mutations refine the classification of malignant gliomas. </w:t>
      </w:r>
      <w:r w:rsidRPr="00AD61B7">
        <w:rPr>
          <w:rFonts w:ascii="Calibri" w:hAnsi="Calibri" w:cs="Calibri"/>
          <w:i/>
          <w:iCs/>
          <w:noProof/>
          <w:szCs w:val="24"/>
        </w:rPr>
        <w:t>Oncotarget</w:t>
      </w:r>
      <w:r w:rsidRPr="00AD61B7">
        <w:rPr>
          <w:rFonts w:ascii="Calibri" w:hAnsi="Calibri" w:cs="Calibri"/>
          <w:noProof/>
          <w:szCs w:val="24"/>
        </w:rPr>
        <w:t xml:space="preserve"> 2012; 3: 709–722.</w:t>
      </w:r>
    </w:p>
    <w:p w14:paraId="0BA7424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81. </w:t>
      </w:r>
      <w:r w:rsidRPr="00AD61B7">
        <w:rPr>
          <w:rFonts w:ascii="Calibri" w:hAnsi="Calibri" w:cs="Calibri"/>
          <w:noProof/>
          <w:szCs w:val="24"/>
        </w:rPr>
        <w:tab/>
        <w:t xml:space="preserve">Sasaki H, Zlatescu MC, Betensky RA, et al. Histopathological-molecular genetic correlations in referral pathologist-diagnosed low-grade ‘oligodendroglioma’. </w:t>
      </w:r>
      <w:r w:rsidRPr="00AD61B7">
        <w:rPr>
          <w:rFonts w:ascii="Calibri" w:hAnsi="Calibri" w:cs="Calibri"/>
          <w:i/>
          <w:iCs/>
          <w:noProof/>
          <w:szCs w:val="24"/>
        </w:rPr>
        <w:t>J Neuropathol Exp Neurol</w:t>
      </w:r>
      <w:r w:rsidRPr="00AD61B7">
        <w:rPr>
          <w:rFonts w:ascii="Calibri" w:hAnsi="Calibri" w:cs="Calibri"/>
          <w:noProof/>
          <w:szCs w:val="24"/>
        </w:rPr>
        <w:t xml:space="preserve"> 2002; 61: 58–63.</w:t>
      </w:r>
    </w:p>
    <w:p w14:paraId="2AA6FE5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82. </w:t>
      </w:r>
      <w:r w:rsidRPr="00AD61B7">
        <w:rPr>
          <w:rFonts w:ascii="Calibri" w:hAnsi="Calibri" w:cs="Calibri"/>
          <w:noProof/>
          <w:szCs w:val="24"/>
        </w:rPr>
        <w:tab/>
        <w:t xml:space="preserve">Ichimura K, Pearson DM, Kocialkowski S, et al. IDH1 mutations are present in the majority of common adult gliomas but rare in primary glioblastomas. </w:t>
      </w:r>
      <w:r w:rsidRPr="00AD61B7">
        <w:rPr>
          <w:rFonts w:ascii="Calibri" w:hAnsi="Calibri" w:cs="Calibri"/>
          <w:i/>
          <w:iCs/>
          <w:noProof/>
          <w:szCs w:val="24"/>
        </w:rPr>
        <w:t>Neuro Oncol</w:t>
      </w:r>
      <w:r w:rsidRPr="00AD61B7">
        <w:rPr>
          <w:rFonts w:ascii="Calibri" w:hAnsi="Calibri" w:cs="Calibri"/>
          <w:noProof/>
          <w:szCs w:val="24"/>
        </w:rPr>
        <w:t xml:space="preserve"> 2009; 11: 341–347.</w:t>
      </w:r>
    </w:p>
    <w:p w14:paraId="6378AAF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83. </w:t>
      </w:r>
      <w:r w:rsidRPr="00AD61B7">
        <w:rPr>
          <w:rFonts w:ascii="Calibri" w:hAnsi="Calibri" w:cs="Calibri"/>
          <w:noProof/>
          <w:szCs w:val="24"/>
        </w:rPr>
        <w:tab/>
        <w:t xml:space="preserve">Gupta K, Salunke P. Molecular markers of glioma: An update on recent progress and perspectives. </w:t>
      </w:r>
      <w:r w:rsidRPr="00AD61B7">
        <w:rPr>
          <w:rFonts w:ascii="Calibri" w:hAnsi="Calibri" w:cs="Calibri"/>
          <w:i/>
          <w:iCs/>
          <w:noProof/>
          <w:szCs w:val="24"/>
        </w:rPr>
        <w:t>Journal of Cancer Research and Clinical Oncology</w:t>
      </w:r>
      <w:r w:rsidRPr="00AD61B7">
        <w:rPr>
          <w:rFonts w:ascii="Calibri" w:hAnsi="Calibri" w:cs="Calibri"/>
          <w:noProof/>
          <w:szCs w:val="24"/>
        </w:rPr>
        <w:t xml:space="preserve"> 2012; 138: 1971–1981.</w:t>
      </w:r>
    </w:p>
    <w:p w14:paraId="2744CC7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84. </w:t>
      </w:r>
      <w:r w:rsidRPr="00AD61B7">
        <w:rPr>
          <w:rFonts w:ascii="Calibri" w:hAnsi="Calibri" w:cs="Calibri"/>
          <w:noProof/>
          <w:szCs w:val="24"/>
        </w:rPr>
        <w:tab/>
        <w:t xml:space="preserve">Zou P, Xu H, Chen P, et al. IDH1/IDH2 Mutations Define the Prognosis and Molecular Profiles of Patients with Gliomas: A Meta-Analysis. </w:t>
      </w:r>
      <w:r w:rsidRPr="00AD61B7">
        <w:rPr>
          <w:rFonts w:ascii="Calibri" w:hAnsi="Calibri" w:cs="Calibri"/>
          <w:i/>
          <w:iCs/>
          <w:noProof/>
          <w:szCs w:val="24"/>
        </w:rPr>
        <w:t>PLoS One</w:t>
      </w:r>
      <w:r w:rsidRPr="00AD61B7">
        <w:rPr>
          <w:rFonts w:ascii="Calibri" w:hAnsi="Calibri" w:cs="Calibri"/>
          <w:noProof/>
          <w:szCs w:val="24"/>
        </w:rPr>
        <w:t xml:space="preserve"> 2013; 8: e68782.</w:t>
      </w:r>
    </w:p>
    <w:p w14:paraId="15656E5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85. </w:t>
      </w:r>
      <w:r w:rsidRPr="00AD61B7">
        <w:rPr>
          <w:rFonts w:ascii="Calibri" w:hAnsi="Calibri" w:cs="Calibri"/>
          <w:noProof/>
          <w:szCs w:val="24"/>
        </w:rPr>
        <w:tab/>
        <w:t xml:space="preserve">H Y, DW P, G J, et al. IDH1 and IDH2 mutations in gliomas. </w:t>
      </w:r>
      <w:r w:rsidRPr="00AD61B7">
        <w:rPr>
          <w:rFonts w:ascii="Calibri" w:hAnsi="Calibri" w:cs="Calibri"/>
          <w:i/>
          <w:iCs/>
          <w:noProof/>
          <w:szCs w:val="24"/>
        </w:rPr>
        <w:t>N Engl J Med</w:t>
      </w:r>
      <w:r w:rsidRPr="00AD61B7">
        <w:rPr>
          <w:rFonts w:ascii="Calibri" w:hAnsi="Calibri" w:cs="Calibri"/>
          <w:noProof/>
          <w:szCs w:val="24"/>
        </w:rPr>
        <w:t>; 360. Epub ahead of print 2009. DOI: 10.1056/NEJMOA0808710.</w:t>
      </w:r>
    </w:p>
    <w:p w14:paraId="6F46C96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86. </w:t>
      </w:r>
      <w:r w:rsidRPr="00AD61B7">
        <w:rPr>
          <w:rFonts w:ascii="Calibri" w:hAnsi="Calibri" w:cs="Calibri"/>
          <w:noProof/>
          <w:szCs w:val="24"/>
        </w:rPr>
        <w:tab/>
        <w:t xml:space="preserve">Hartmann C, Hentschel B, Wick W, et al. Patients with IDH1 wild type anaplastic astrocytomas exhibit worse prognosis than IDH1-mutated glioblastomas, and IDH1 mutation status accounts for the unfavorable prognostic effect of higher age: Implications for classification of gliomas. </w:t>
      </w:r>
      <w:r w:rsidRPr="00AD61B7">
        <w:rPr>
          <w:rFonts w:ascii="Calibri" w:hAnsi="Calibri" w:cs="Calibri"/>
          <w:i/>
          <w:iCs/>
          <w:noProof/>
          <w:szCs w:val="24"/>
        </w:rPr>
        <w:t>Acta Neuropathol</w:t>
      </w:r>
      <w:r w:rsidRPr="00AD61B7">
        <w:rPr>
          <w:rFonts w:ascii="Calibri" w:hAnsi="Calibri" w:cs="Calibri"/>
          <w:noProof/>
          <w:szCs w:val="24"/>
        </w:rPr>
        <w:t xml:space="preserve"> 2010; 120: 707–718.</w:t>
      </w:r>
    </w:p>
    <w:p w14:paraId="09A997C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87. </w:t>
      </w:r>
      <w:r w:rsidRPr="00AD61B7">
        <w:rPr>
          <w:rFonts w:ascii="Calibri" w:hAnsi="Calibri" w:cs="Calibri"/>
          <w:noProof/>
          <w:szCs w:val="24"/>
        </w:rPr>
        <w:tab/>
        <w:t xml:space="preserve">Dewitt JC, Jordan JT, Frosch MP, et al. Cost-effectiveness of IDH testing in diffuse gliomas according to the 2016 WHO classification of tumors of the central nervous system recommendations. </w:t>
      </w:r>
      <w:r w:rsidRPr="00AD61B7">
        <w:rPr>
          <w:rFonts w:ascii="Calibri" w:hAnsi="Calibri" w:cs="Calibri"/>
          <w:i/>
          <w:iCs/>
          <w:noProof/>
          <w:szCs w:val="24"/>
        </w:rPr>
        <w:t>Neuro Oncol</w:t>
      </w:r>
      <w:r w:rsidRPr="00AD61B7">
        <w:rPr>
          <w:rFonts w:ascii="Calibri" w:hAnsi="Calibri" w:cs="Calibri"/>
          <w:noProof/>
          <w:szCs w:val="24"/>
        </w:rPr>
        <w:t xml:space="preserve"> 2017; 19: 1640–1650.</w:t>
      </w:r>
    </w:p>
    <w:p w14:paraId="4A2FECC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88. </w:t>
      </w:r>
      <w:r w:rsidRPr="00AD61B7">
        <w:rPr>
          <w:rFonts w:ascii="Calibri" w:hAnsi="Calibri" w:cs="Calibri"/>
          <w:noProof/>
          <w:szCs w:val="24"/>
        </w:rPr>
        <w:tab/>
        <w:t xml:space="preserve">Robinson C, Kleinschmidt-DeMasters BK. IDH1-mutation in diffuse gliomas in persons age 55 years and over. </w:t>
      </w:r>
      <w:r w:rsidRPr="00AD61B7">
        <w:rPr>
          <w:rFonts w:ascii="Calibri" w:hAnsi="Calibri" w:cs="Calibri"/>
          <w:i/>
          <w:iCs/>
          <w:noProof/>
          <w:szCs w:val="24"/>
        </w:rPr>
        <w:t>J Neuropathol Exp Neurol</w:t>
      </w:r>
      <w:r w:rsidRPr="00AD61B7">
        <w:rPr>
          <w:rFonts w:ascii="Calibri" w:hAnsi="Calibri" w:cs="Calibri"/>
          <w:noProof/>
          <w:szCs w:val="24"/>
        </w:rPr>
        <w:t xml:space="preserve"> 2017; 76: 151–154.</w:t>
      </w:r>
    </w:p>
    <w:p w14:paraId="2B9B7F7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89. </w:t>
      </w:r>
      <w:r w:rsidRPr="00AD61B7">
        <w:rPr>
          <w:rFonts w:ascii="Calibri" w:hAnsi="Calibri" w:cs="Calibri"/>
          <w:noProof/>
          <w:szCs w:val="24"/>
        </w:rPr>
        <w:tab/>
        <w:t xml:space="preserve">Hegi ME, Diserens AC, Gorlia T, et al. MGMT gene silencing and benefit from temozolomide in glioblastoma. </w:t>
      </w:r>
      <w:r w:rsidRPr="00AD61B7">
        <w:rPr>
          <w:rFonts w:ascii="Calibri" w:hAnsi="Calibri" w:cs="Calibri"/>
          <w:i/>
          <w:iCs/>
          <w:noProof/>
          <w:szCs w:val="24"/>
        </w:rPr>
        <w:t>N Engl J Med</w:t>
      </w:r>
      <w:r w:rsidRPr="00AD61B7">
        <w:rPr>
          <w:rFonts w:ascii="Calibri" w:hAnsi="Calibri" w:cs="Calibri"/>
          <w:noProof/>
          <w:szCs w:val="24"/>
        </w:rPr>
        <w:t xml:space="preserve"> 2005; 352: 997–1003.</w:t>
      </w:r>
    </w:p>
    <w:p w14:paraId="0774A9C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90. </w:t>
      </w:r>
      <w:r w:rsidRPr="00AD61B7">
        <w:rPr>
          <w:rFonts w:ascii="Calibri" w:hAnsi="Calibri" w:cs="Calibri"/>
          <w:noProof/>
          <w:szCs w:val="24"/>
        </w:rPr>
        <w:tab/>
        <w:t xml:space="preserve">Gerson SL. MGMT: Its role in cancer aetiology and cancer therapeutics. </w:t>
      </w:r>
      <w:r w:rsidRPr="00AD61B7">
        <w:rPr>
          <w:rFonts w:ascii="Calibri" w:hAnsi="Calibri" w:cs="Calibri"/>
          <w:i/>
          <w:iCs/>
          <w:noProof/>
          <w:szCs w:val="24"/>
        </w:rPr>
        <w:t>Nature Reviews Cancer</w:t>
      </w:r>
      <w:r w:rsidRPr="00AD61B7">
        <w:rPr>
          <w:rFonts w:ascii="Calibri" w:hAnsi="Calibri" w:cs="Calibri"/>
          <w:noProof/>
          <w:szCs w:val="24"/>
        </w:rPr>
        <w:t xml:space="preserve"> 2004; 4: 296–307.</w:t>
      </w:r>
    </w:p>
    <w:p w14:paraId="21A30D9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91. </w:t>
      </w:r>
      <w:r w:rsidRPr="00AD61B7">
        <w:rPr>
          <w:rFonts w:ascii="Calibri" w:hAnsi="Calibri" w:cs="Calibri"/>
          <w:noProof/>
          <w:szCs w:val="24"/>
        </w:rPr>
        <w:tab/>
        <w:t xml:space="preserve">Patel M, Vogelbaum MA, Barnett GH, et al. Molecular targeted therapy in recurrent glioblastoma: Current challenges and future directions. </w:t>
      </w:r>
      <w:r w:rsidRPr="00AD61B7">
        <w:rPr>
          <w:rFonts w:ascii="Calibri" w:hAnsi="Calibri" w:cs="Calibri"/>
          <w:i/>
          <w:iCs/>
          <w:noProof/>
          <w:szCs w:val="24"/>
        </w:rPr>
        <w:t>Expert Opinion on Investigational Drugs</w:t>
      </w:r>
      <w:r w:rsidRPr="00AD61B7">
        <w:rPr>
          <w:rFonts w:ascii="Calibri" w:hAnsi="Calibri" w:cs="Calibri"/>
          <w:noProof/>
          <w:szCs w:val="24"/>
        </w:rPr>
        <w:t xml:space="preserve"> 2012; 21: 1247–1266.</w:t>
      </w:r>
    </w:p>
    <w:p w14:paraId="074C435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92. </w:t>
      </w:r>
      <w:r w:rsidRPr="00AD61B7">
        <w:rPr>
          <w:rFonts w:ascii="Calibri" w:hAnsi="Calibri" w:cs="Calibri"/>
          <w:noProof/>
          <w:szCs w:val="24"/>
        </w:rPr>
        <w:tab/>
        <w:t xml:space="preserve">Weller M, Stupp R, Reifenberger G, et al. MGMT promoter methylation in malignant gliomas: Ready for personalized medicine? </w:t>
      </w:r>
      <w:r w:rsidRPr="00AD61B7">
        <w:rPr>
          <w:rFonts w:ascii="Calibri" w:hAnsi="Calibri" w:cs="Calibri"/>
          <w:i/>
          <w:iCs/>
          <w:noProof/>
          <w:szCs w:val="24"/>
        </w:rPr>
        <w:t>Nature Reviews Neurology</w:t>
      </w:r>
      <w:r w:rsidRPr="00AD61B7">
        <w:rPr>
          <w:rFonts w:ascii="Calibri" w:hAnsi="Calibri" w:cs="Calibri"/>
          <w:noProof/>
          <w:szCs w:val="24"/>
        </w:rPr>
        <w:t xml:space="preserve"> 2010; 6: 39–51.</w:t>
      </w:r>
    </w:p>
    <w:p w14:paraId="13BFA43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93. </w:t>
      </w:r>
      <w:r w:rsidRPr="00AD61B7">
        <w:rPr>
          <w:rFonts w:ascii="Calibri" w:hAnsi="Calibri" w:cs="Calibri"/>
          <w:noProof/>
          <w:szCs w:val="24"/>
        </w:rPr>
        <w:tab/>
        <w:t xml:space="preserve">Wick W, Meisner C, Hentschel B, et al. Prognostic or predictive value of MGMT promoter methylation in gliomas depends on IDH1 mutation. </w:t>
      </w:r>
      <w:r w:rsidRPr="00AD61B7">
        <w:rPr>
          <w:rFonts w:ascii="Calibri" w:hAnsi="Calibri" w:cs="Calibri"/>
          <w:i/>
          <w:iCs/>
          <w:noProof/>
          <w:szCs w:val="24"/>
        </w:rPr>
        <w:t>Neurology</w:t>
      </w:r>
      <w:r w:rsidRPr="00AD61B7">
        <w:rPr>
          <w:rFonts w:ascii="Calibri" w:hAnsi="Calibri" w:cs="Calibri"/>
          <w:noProof/>
          <w:szCs w:val="24"/>
        </w:rPr>
        <w:t xml:space="preserve"> 2013; 81: 1515–1522.</w:t>
      </w:r>
    </w:p>
    <w:p w14:paraId="3A0B9C6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94. </w:t>
      </w:r>
      <w:r w:rsidRPr="00AD61B7">
        <w:rPr>
          <w:rFonts w:ascii="Calibri" w:hAnsi="Calibri" w:cs="Calibri"/>
          <w:noProof/>
          <w:szCs w:val="24"/>
        </w:rPr>
        <w:tab/>
        <w:t xml:space="preserve">Estival A, Sanz C, Ramirez JL, et al. Pyrosequencing versus methylation-specific PCR for assessment of MGMT methylation in tumor and blood samples of glioblastoma patients. </w:t>
      </w:r>
      <w:r w:rsidRPr="00AD61B7">
        <w:rPr>
          <w:rFonts w:ascii="Calibri" w:hAnsi="Calibri" w:cs="Calibri"/>
          <w:i/>
          <w:iCs/>
          <w:noProof/>
          <w:szCs w:val="24"/>
        </w:rPr>
        <w:t>Sci Rep</w:t>
      </w:r>
      <w:r w:rsidRPr="00AD61B7">
        <w:rPr>
          <w:rFonts w:ascii="Calibri" w:hAnsi="Calibri" w:cs="Calibri"/>
          <w:noProof/>
          <w:szCs w:val="24"/>
        </w:rPr>
        <w:t xml:space="preserve"> 2019; 9: 11125.</w:t>
      </w:r>
    </w:p>
    <w:p w14:paraId="6A7B439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95. </w:t>
      </w:r>
      <w:r w:rsidRPr="00AD61B7">
        <w:rPr>
          <w:rFonts w:ascii="Calibri" w:hAnsi="Calibri" w:cs="Calibri"/>
          <w:noProof/>
          <w:szCs w:val="24"/>
        </w:rPr>
        <w:tab/>
        <w:t xml:space="preserve">Herman JG, Graff JR, Myöhänen S, et al. Methylation-specific PCR: A novel PCR assay for methylation status of CpG islands. </w:t>
      </w:r>
      <w:r w:rsidRPr="00AD61B7">
        <w:rPr>
          <w:rFonts w:ascii="Calibri" w:hAnsi="Calibri" w:cs="Calibri"/>
          <w:i/>
          <w:iCs/>
          <w:noProof/>
          <w:szCs w:val="24"/>
        </w:rPr>
        <w:t>Proc Natl Acad Sci U S A</w:t>
      </w:r>
      <w:r w:rsidRPr="00AD61B7">
        <w:rPr>
          <w:rFonts w:ascii="Calibri" w:hAnsi="Calibri" w:cs="Calibri"/>
          <w:noProof/>
          <w:szCs w:val="24"/>
        </w:rPr>
        <w:t xml:space="preserve"> 1996; 93: 9821–9826.</w:t>
      </w:r>
    </w:p>
    <w:p w14:paraId="15DD494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96. </w:t>
      </w:r>
      <w:r w:rsidRPr="00AD61B7">
        <w:rPr>
          <w:rFonts w:ascii="Calibri" w:hAnsi="Calibri" w:cs="Calibri"/>
          <w:noProof/>
          <w:szCs w:val="24"/>
        </w:rPr>
        <w:tab/>
        <w:t xml:space="preserve">Zhang H, Berezov A, Wang Q, et al. ErbB receptors: From oncogenes to targeted cancer therapies. </w:t>
      </w:r>
      <w:r w:rsidRPr="00AD61B7">
        <w:rPr>
          <w:rFonts w:ascii="Calibri" w:hAnsi="Calibri" w:cs="Calibri"/>
          <w:i/>
          <w:iCs/>
          <w:noProof/>
          <w:szCs w:val="24"/>
        </w:rPr>
        <w:t>Journal of Clinical Investigation</w:t>
      </w:r>
      <w:r w:rsidRPr="00AD61B7">
        <w:rPr>
          <w:rFonts w:ascii="Calibri" w:hAnsi="Calibri" w:cs="Calibri"/>
          <w:noProof/>
          <w:szCs w:val="24"/>
        </w:rPr>
        <w:t xml:space="preserve"> 2007; 117: 2051–2058.</w:t>
      </w:r>
    </w:p>
    <w:p w14:paraId="65511CE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97. </w:t>
      </w:r>
      <w:r w:rsidRPr="00AD61B7">
        <w:rPr>
          <w:rFonts w:ascii="Calibri" w:hAnsi="Calibri" w:cs="Calibri"/>
          <w:noProof/>
          <w:szCs w:val="24"/>
        </w:rPr>
        <w:tab/>
        <w:t xml:space="preserve">Downward J, Parker P, Waterfield MD. Autophosphorylation sites on the epidermal growth factor receptor. </w:t>
      </w:r>
      <w:r w:rsidRPr="00AD61B7">
        <w:rPr>
          <w:rFonts w:ascii="Calibri" w:hAnsi="Calibri" w:cs="Calibri"/>
          <w:i/>
          <w:iCs/>
          <w:noProof/>
          <w:szCs w:val="24"/>
        </w:rPr>
        <w:t>Nature</w:t>
      </w:r>
      <w:r w:rsidRPr="00AD61B7">
        <w:rPr>
          <w:rFonts w:ascii="Calibri" w:hAnsi="Calibri" w:cs="Calibri"/>
          <w:noProof/>
          <w:szCs w:val="24"/>
        </w:rPr>
        <w:t xml:space="preserve"> 1984; 311: 483–485.</w:t>
      </w:r>
    </w:p>
    <w:p w14:paraId="73CFC52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98. </w:t>
      </w:r>
      <w:r w:rsidRPr="00AD61B7">
        <w:rPr>
          <w:rFonts w:ascii="Calibri" w:hAnsi="Calibri" w:cs="Calibri"/>
          <w:noProof/>
          <w:szCs w:val="24"/>
        </w:rPr>
        <w:tab/>
        <w:t xml:space="preserve">Oda K, Matsuoka Y, Funahashi A, et al. A comprehensive pathway map of epidermal growth factor receptor signaling. </w:t>
      </w:r>
      <w:r w:rsidRPr="00AD61B7">
        <w:rPr>
          <w:rFonts w:ascii="Calibri" w:hAnsi="Calibri" w:cs="Calibri"/>
          <w:i/>
          <w:iCs/>
          <w:noProof/>
          <w:szCs w:val="24"/>
        </w:rPr>
        <w:t>Mol Syst Biol</w:t>
      </w:r>
      <w:r w:rsidRPr="00AD61B7">
        <w:rPr>
          <w:rFonts w:ascii="Calibri" w:hAnsi="Calibri" w:cs="Calibri"/>
          <w:noProof/>
          <w:szCs w:val="24"/>
        </w:rPr>
        <w:t xml:space="preserve"> 2005; 1: 2005.0010.</w:t>
      </w:r>
    </w:p>
    <w:p w14:paraId="04CA67B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99. </w:t>
      </w:r>
      <w:r w:rsidRPr="00AD61B7">
        <w:rPr>
          <w:rFonts w:ascii="Calibri" w:hAnsi="Calibri" w:cs="Calibri"/>
          <w:noProof/>
          <w:szCs w:val="24"/>
        </w:rPr>
        <w:tab/>
        <w:t xml:space="preserve">Chakravarti A, Chakladar A, Delaney MA, et al. </w:t>
      </w:r>
      <w:r w:rsidRPr="00AD61B7">
        <w:rPr>
          <w:rFonts w:ascii="Calibri" w:hAnsi="Calibri" w:cs="Calibri"/>
          <w:i/>
          <w:iCs/>
          <w:noProof/>
          <w:szCs w:val="24"/>
        </w:rPr>
        <w:t>The Epidermal Growth Factor Receptor Pathway Mediates Resistance to Sequential Administration of Radiation and Chemotherapy in Primary Human Glioblastoma Cells in a RAS-dependent Manner 1</w:t>
      </w:r>
      <w:r w:rsidRPr="00AD61B7">
        <w:rPr>
          <w:rFonts w:ascii="Calibri" w:hAnsi="Calibri" w:cs="Calibri"/>
          <w:noProof/>
          <w:szCs w:val="24"/>
        </w:rPr>
        <w:t>. 2002.</w:t>
      </w:r>
    </w:p>
    <w:p w14:paraId="63F8CFE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100. </w:t>
      </w:r>
      <w:r w:rsidRPr="00AD61B7">
        <w:rPr>
          <w:rFonts w:ascii="Calibri" w:hAnsi="Calibri" w:cs="Calibri"/>
          <w:noProof/>
          <w:szCs w:val="24"/>
        </w:rPr>
        <w:tab/>
        <w:t xml:space="preserve">Wilson TA, Karajannis MA, Harter DH. Glioblastoma multiforme: State of the art and future therapeutics. </w:t>
      </w:r>
      <w:r w:rsidRPr="00AD61B7">
        <w:rPr>
          <w:rFonts w:ascii="Calibri" w:hAnsi="Calibri" w:cs="Calibri"/>
          <w:i/>
          <w:iCs/>
          <w:noProof/>
          <w:szCs w:val="24"/>
        </w:rPr>
        <w:t>Surg Neurol Int</w:t>
      </w:r>
      <w:r w:rsidRPr="00AD61B7">
        <w:rPr>
          <w:rFonts w:ascii="Calibri" w:hAnsi="Calibri" w:cs="Calibri"/>
          <w:noProof/>
          <w:szCs w:val="24"/>
        </w:rPr>
        <w:t>; 5. Epub ahead of print 2014. DOI: 10.4103/2152-7806.132138.</w:t>
      </w:r>
    </w:p>
    <w:p w14:paraId="5B4DED7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101. </w:t>
      </w:r>
      <w:r w:rsidRPr="00AD61B7">
        <w:rPr>
          <w:rFonts w:ascii="Calibri" w:hAnsi="Calibri" w:cs="Calibri"/>
          <w:noProof/>
          <w:szCs w:val="24"/>
        </w:rPr>
        <w:tab/>
        <w:t xml:space="preserve">Wen PY, Kesari S. Malignant Gliomas in Adults. </w:t>
      </w:r>
      <w:r w:rsidRPr="00AD61B7">
        <w:rPr>
          <w:rFonts w:ascii="Calibri" w:hAnsi="Calibri" w:cs="Calibri"/>
          <w:i/>
          <w:iCs/>
          <w:noProof/>
          <w:szCs w:val="24"/>
        </w:rPr>
        <w:t>N Engl J Med</w:t>
      </w:r>
      <w:r w:rsidRPr="00AD61B7">
        <w:rPr>
          <w:rFonts w:ascii="Calibri" w:hAnsi="Calibri" w:cs="Calibri"/>
          <w:noProof/>
          <w:szCs w:val="24"/>
        </w:rPr>
        <w:t xml:space="preserve"> 2008; 359: 492–507.</w:t>
      </w:r>
    </w:p>
    <w:p w14:paraId="579C192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102. </w:t>
      </w:r>
      <w:r w:rsidRPr="00AD61B7">
        <w:rPr>
          <w:rFonts w:ascii="Calibri" w:hAnsi="Calibri" w:cs="Calibri"/>
          <w:noProof/>
          <w:szCs w:val="24"/>
        </w:rPr>
        <w:tab/>
        <w:t xml:space="preserve">Hegi ME, Diserens AC, Bady P, et al. Pathway analysis of glioblastoma tissue after preoperative treatment with the EGFR tyrosine kinase inhibitor gefitinib - A phase II trial. </w:t>
      </w:r>
      <w:r w:rsidRPr="00AD61B7">
        <w:rPr>
          <w:rFonts w:ascii="Calibri" w:hAnsi="Calibri" w:cs="Calibri"/>
          <w:i/>
          <w:iCs/>
          <w:noProof/>
          <w:szCs w:val="24"/>
        </w:rPr>
        <w:t>Mol Cancer Ther</w:t>
      </w:r>
      <w:r w:rsidRPr="00AD61B7">
        <w:rPr>
          <w:rFonts w:ascii="Calibri" w:hAnsi="Calibri" w:cs="Calibri"/>
          <w:noProof/>
          <w:szCs w:val="24"/>
        </w:rPr>
        <w:t xml:space="preserve"> 2011; 10: 1102–1112.</w:t>
      </w:r>
    </w:p>
    <w:p w14:paraId="1A7D604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103. </w:t>
      </w:r>
      <w:r w:rsidRPr="00AD61B7">
        <w:rPr>
          <w:rFonts w:ascii="Calibri" w:hAnsi="Calibri" w:cs="Calibri"/>
          <w:noProof/>
          <w:szCs w:val="24"/>
        </w:rPr>
        <w:tab/>
        <w:t xml:space="preserve">Reardon DA, Nabors LB, Mason WP, et al. Phase I/randomized phase II study of afatinib, an irreversible ErbB family blocker, with or without protracted temozolomide in adults with recurrent glioblastoma. </w:t>
      </w:r>
      <w:r w:rsidRPr="00AD61B7">
        <w:rPr>
          <w:rFonts w:ascii="Calibri" w:hAnsi="Calibri" w:cs="Calibri"/>
          <w:i/>
          <w:iCs/>
          <w:noProof/>
          <w:szCs w:val="24"/>
        </w:rPr>
        <w:t>Neuro Oncol</w:t>
      </w:r>
      <w:r w:rsidRPr="00AD61B7">
        <w:rPr>
          <w:rFonts w:ascii="Calibri" w:hAnsi="Calibri" w:cs="Calibri"/>
          <w:noProof/>
          <w:szCs w:val="24"/>
        </w:rPr>
        <w:t xml:space="preserve"> 2015; 17: 430–439.</w:t>
      </w:r>
    </w:p>
    <w:p w14:paraId="56E37AB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104. </w:t>
      </w:r>
      <w:r w:rsidRPr="00AD61B7">
        <w:rPr>
          <w:rFonts w:ascii="Calibri" w:hAnsi="Calibri" w:cs="Calibri"/>
          <w:noProof/>
          <w:szCs w:val="24"/>
        </w:rPr>
        <w:tab/>
        <w:t xml:space="preserve">Neyns B, Sadones J, Joosens E, et al. Stratified phase II trial of cetuximab in patients with recurrent high-grade glioma. </w:t>
      </w:r>
      <w:r w:rsidRPr="00AD61B7">
        <w:rPr>
          <w:rFonts w:ascii="Calibri" w:hAnsi="Calibri" w:cs="Calibri"/>
          <w:i/>
          <w:iCs/>
          <w:noProof/>
          <w:szCs w:val="24"/>
        </w:rPr>
        <w:t>Ann Oncol</w:t>
      </w:r>
      <w:r w:rsidRPr="00AD61B7">
        <w:rPr>
          <w:rFonts w:ascii="Calibri" w:hAnsi="Calibri" w:cs="Calibri"/>
          <w:noProof/>
          <w:szCs w:val="24"/>
        </w:rPr>
        <w:t xml:space="preserve"> 2009; 20: 1596–1603.</w:t>
      </w:r>
    </w:p>
    <w:p w14:paraId="6FE72F5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105. </w:t>
      </w:r>
      <w:r w:rsidRPr="00AD61B7">
        <w:rPr>
          <w:rFonts w:ascii="Calibri" w:hAnsi="Calibri" w:cs="Calibri"/>
          <w:noProof/>
          <w:szCs w:val="24"/>
        </w:rPr>
        <w:tab/>
        <w:t xml:space="preserve">Malkki H. Trial Watch: Glioblastoma vaccine therapy disappointment in Phase III trial. </w:t>
      </w:r>
      <w:r w:rsidRPr="00AD61B7">
        <w:rPr>
          <w:rFonts w:ascii="Calibri" w:hAnsi="Calibri" w:cs="Calibri"/>
          <w:i/>
          <w:iCs/>
          <w:noProof/>
          <w:szCs w:val="24"/>
        </w:rPr>
        <w:t>Nature reviews. Neurology</w:t>
      </w:r>
      <w:r w:rsidRPr="00AD61B7">
        <w:rPr>
          <w:rFonts w:ascii="Calibri" w:hAnsi="Calibri" w:cs="Calibri"/>
          <w:noProof/>
          <w:szCs w:val="24"/>
        </w:rPr>
        <w:t xml:space="preserve"> 2016; 12: 190.</w:t>
      </w:r>
    </w:p>
    <w:p w14:paraId="131028A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106. </w:t>
      </w:r>
      <w:r w:rsidRPr="00AD61B7">
        <w:rPr>
          <w:rFonts w:ascii="Calibri" w:hAnsi="Calibri" w:cs="Calibri"/>
          <w:noProof/>
          <w:szCs w:val="24"/>
        </w:rPr>
        <w:tab/>
        <w:t xml:space="preserve">Hatanpaa KJ, Burma S, Zhao D, et al. Epidermal growth factor receptor in glioma: Signal transduction, neuropathology, imaging, and radioresistance1. </w:t>
      </w:r>
      <w:r w:rsidRPr="00AD61B7">
        <w:rPr>
          <w:rFonts w:ascii="Calibri" w:hAnsi="Calibri" w:cs="Calibri"/>
          <w:i/>
          <w:iCs/>
          <w:noProof/>
          <w:szCs w:val="24"/>
        </w:rPr>
        <w:t>Neoplasia</w:t>
      </w:r>
      <w:r w:rsidRPr="00AD61B7">
        <w:rPr>
          <w:rFonts w:ascii="Calibri" w:hAnsi="Calibri" w:cs="Calibri"/>
          <w:noProof/>
          <w:szCs w:val="24"/>
        </w:rPr>
        <w:t xml:space="preserve"> 2010; 12: 675–684.</w:t>
      </w:r>
    </w:p>
    <w:p w14:paraId="6DF42E8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107. </w:t>
      </w:r>
      <w:r w:rsidRPr="00AD61B7">
        <w:rPr>
          <w:rFonts w:ascii="Calibri" w:hAnsi="Calibri" w:cs="Calibri"/>
          <w:noProof/>
          <w:szCs w:val="24"/>
        </w:rPr>
        <w:tab/>
        <w:t xml:space="preserve">Reifenberger J, Reifenberger G, Liu L, et al. Molecular genetic analysis of oligodendroglial tumors shows preferential allelic deletions on 19q and 1p. </w:t>
      </w:r>
      <w:r w:rsidRPr="00AD61B7">
        <w:rPr>
          <w:rFonts w:ascii="Calibri" w:hAnsi="Calibri" w:cs="Calibri"/>
          <w:i/>
          <w:iCs/>
          <w:noProof/>
          <w:szCs w:val="24"/>
        </w:rPr>
        <w:t>Am J Pathol</w:t>
      </w:r>
      <w:r w:rsidRPr="00AD61B7">
        <w:rPr>
          <w:rFonts w:ascii="Calibri" w:hAnsi="Calibri" w:cs="Calibri"/>
          <w:noProof/>
          <w:szCs w:val="24"/>
        </w:rPr>
        <w:t xml:space="preserve"> 1994; 145: 1175–1190.</w:t>
      </w:r>
    </w:p>
    <w:p w14:paraId="4BA938F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108. </w:t>
      </w:r>
      <w:r w:rsidRPr="00AD61B7">
        <w:rPr>
          <w:rFonts w:ascii="Calibri" w:hAnsi="Calibri" w:cs="Calibri"/>
          <w:noProof/>
          <w:szCs w:val="24"/>
        </w:rPr>
        <w:tab/>
        <w:t xml:space="preserve">Weller M, Berger H, Hartmann C, et al. Combined 1p/19q loss in oligodendroglial tumors: Predictive or prognostic biomarker? </w:t>
      </w:r>
      <w:r w:rsidRPr="00AD61B7">
        <w:rPr>
          <w:rFonts w:ascii="Calibri" w:hAnsi="Calibri" w:cs="Calibri"/>
          <w:i/>
          <w:iCs/>
          <w:noProof/>
          <w:szCs w:val="24"/>
        </w:rPr>
        <w:t>Clin Cancer Res</w:t>
      </w:r>
      <w:r w:rsidRPr="00AD61B7">
        <w:rPr>
          <w:rFonts w:ascii="Calibri" w:hAnsi="Calibri" w:cs="Calibri"/>
          <w:noProof/>
          <w:szCs w:val="24"/>
        </w:rPr>
        <w:t xml:space="preserve"> 2007; 13: 6933–6937.</w:t>
      </w:r>
    </w:p>
    <w:p w14:paraId="35FC6D9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109. </w:t>
      </w:r>
      <w:r w:rsidRPr="00AD61B7">
        <w:rPr>
          <w:rFonts w:ascii="Calibri" w:hAnsi="Calibri" w:cs="Calibri"/>
          <w:noProof/>
          <w:szCs w:val="24"/>
        </w:rPr>
        <w:tab/>
        <w:t xml:space="preserve">Hu N, Richards R, Jensen R. Role of chromosomal 1p/19q co-deletion on the prognosis of oligodendrogliomas: A systematic review and meta-analysis. </w:t>
      </w:r>
      <w:r w:rsidRPr="00AD61B7">
        <w:rPr>
          <w:rFonts w:ascii="Calibri" w:hAnsi="Calibri" w:cs="Calibri"/>
          <w:i/>
          <w:iCs/>
          <w:noProof/>
          <w:szCs w:val="24"/>
        </w:rPr>
        <w:t>Interdiscip Neurosurg Adv Tech Case Manag</w:t>
      </w:r>
      <w:r w:rsidRPr="00AD61B7">
        <w:rPr>
          <w:rFonts w:ascii="Calibri" w:hAnsi="Calibri" w:cs="Calibri"/>
          <w:noProof/>
          <w:szCs w:val="24"/>
        </w:rPr>
        <w:t xml:space="preserve"> 2016; 5: 58–63.</w:t>
      </w:r>
    </w:p>
    <w:p w14:paraId="3004593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110. </w:t>
      </w:r>
      <w:r w:rsidRPr="00AD61B7">
        <w:rPr>
          <w:rFonts w:ascii="Calibri" w:hAnsi="Calibri" w:cs="Calibri"/>
          <w:noProof/>
          <w:szCs w:val="24"/>
        </w:rPr>
        <w:tab/>
        <w:t xml:space="preserve">Gladson CL, Prayson RA, Liu WM. The pathobiology of glioma tumors. </w:t>
      </w:r>
      <w:r w:rsidRPr="00AD61B7">
        <w:rPr>
          <w:rFonts w:ascii="Calibri" w:hAnsi="Calibri" w:cs="Calibri"/>
          <w:i/>
          <w:iCs/>
          <w:noProof/>
          <w:szCs w:val="24"/>
        </w:rPr>
        <w:t>Annual Review of Pathology: Mechanisms of Disease</w:t>
      </w:r>
      <w:r w:rsidRPr="00AD61B7">
        <w:rPr>
          <w:rFonts w:ascii="Calibri" w:hAnsi="Calibri" w:cs="Calibri"/>
          <w:noProof/>
          <w:szCs w:val="24"/>
        </w:rPr>
        <w:t xml:space="preserve"> 2010; 5: 33–50.</w:t>
      </w:r>
    </w:p>
    <w:p w14:paraId="31DEC73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111. </w:t>
      </w:r>
      <w:r w:rsidRPr="00AD61B7">
        <w:rPr>
          <w:rFonts w:ascii="Calibri" w:hAnsi="Calibri" w:cs="Calibri"/>
          <w:noProof/>
          <w:szCs w:val="24"/>
        </w:rPr>
        <w:tab/>
        <w:t xml:space="preserve">Comprehensive, Integrative Genomic Analysis of Diffuse Lower-Grade Gliomas. </w:t>
      </w:r>
      <w:r w:rsidRPr="00AD61B7">
        <w:rPr>
          <w:rFonts w:ascii="Calibri" w:hAnsi="Calibri" w:cs="Calibri"/>
          <w:i/>
          <w:iCs/>
          <w:noProof/>
          <w:szCs w:val="24"/>
        </w:rPr>
        <w:t>N Engl J Med</w:t>
      </w:r>
      <w:r w:rsidRPr="00AD61B7">
        <w:rPr>
          <w:rFonts w:ascii="Calibri" w:hAnsi="Calibri" w:cs="Calibri"/>
          <w:noProof/>
          <w:szCs w:val="24"/>
        </w:rPr>
        <w:t xml:space="preserve"> 2015; 372: 2481–2498.</w:t>
      </w:r>
    </w:p>
    <w:p w14:paraId="4A8DE3C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112. </w:t>
      </w:r>
      <w:r w:rsidRPr="00AD61B7">
        <w:rPr>
          <w:rFonts w:ascii="Calibri" w:hAnsi="Calibri" w:cs="Calibri"/>
          <w:noProof/>
          <w:szCs w:val="24"/>
        </w:rPr>
        <w:tab/>
        <w:t xml:space="preserve">Bettegowda C, Agrawal N, Jiao Y, et al. Mutations in CIC and FUBP1 contribute to human oligodendroglioma. </w:t>
      </w:r>
      <w:r w:rsidRPr="00AD61B7">
        <w:rPr>
          <w:rFonts w:ascii="Calibri" w:hAnsi="Calibri" w:cs="Calibri"/>
          <w:i/>
          <w:iCs/>
          <w:noProof/>
          <w:szCs w:val="24"/>
        </w:rPr>
        <w:t>Science (80- )</w:t>
      </w:r>
      <w:r w:rsidRPr="00AD61B7">
        <w:rPr>
          <w:rFonts w:ascii="Calibri" w:hAnsi="Calibri" w:cs="Calibri"/>
          <w:noProof/>
          <w:szCs w:val="24"/>
        </w:rPr>
        <w:t xml:space="preserve"> 2011; 333: 1453–1455.</w:t>
      </w:r>
    </w:p>
    <w:p w14:paraId="4067E56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113. </w:t>
      </w:r>
      <w:r w:rsidRPr="00AD61B7">
        <w:rPr>
          <w:rFonts w:ascii="Calibri" w:hAnsi="Calibri" w:cs="Calibri"/>
          <w:noProof/>
          <w:szCs w:val="24"/>
        </w:rPr>
        <w:tab/>
        <w:t xml:space="preserve">Woehrer A, Sander P, Haberler C, et al. FISH-based detection of 1p 19q codeletion in oligodendroglial tumors: Procedures and protocols for neuropathological practice - A publication under the auspices of the Research Committee of the European Confederation of Neuropathological Societies (Euro-CNS). </w:t>
      </w:r>
      <w:r w:rsidRPr="00AD61B7">
        <w:rPr>
          <w:rFonts w:ascii="Calibri" w:hAnsi="Calibri" w:cs="Calibri"/>
          <w:i/>
          <w:iCs/>
          <w:noProof/>
          <w:szCs w:val="24"/>
        </w:rPr>
        <w:t>Clin Neuropathol</w:t>
      </w:r>
      <w:r w:rsidRPr="00AD61B7">
        <w:rPr>
          <w:rFonts w:ascii="Calibri" w:hAnsi="Calibri" w:cs="Calibri"/>
          <w:noProof/>
          <w:szCs w:val="24"/>
        </w:rPr>
        <w:t xml:space="preserve"> 2011; 30: 47–55.</w:t>
      </w:r>
    </w:p>
    <w:p w14:paraId="6CD80B9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114. </w:t>
      </w:r>
      <w:r w:rsidRPr="00AD61B7">
        <w:rPr>
          <w:rFonts w:ascii="Calibri" w:hAnsi="Calibri" w:cs="Calibri"/>
          <w:noProof/>
          <w:szCs w:val="24"/>
        </w:rPr>
        <w:tab/>
        <w:t xml:space="preserve">Liu T, Yuan X, Xu D. Cancer-specific telomerase reverse transcriptase (Tert) promoter mutations: Biological and clinical implications. </w:t>
      </w:r>
      <w:r w:rsidRPr="00AD61B7">
        <w:rPr>
          <w:rFonts w:ascii="Calibri" w:hAnsi="Calibri" w:cs="Calibri"/>
          <w:i/>
          <w:iCs/>
          <w:noProof/>
          <w:szCs w:val="24"/>
        </w:rPr>
        <w:t>Genes</w:t>
      </w:r>
      <w:r w:rsidRPr="00AD61B7">
        <w:rPr>
          <w:rFonts w:ascii="Calibri" w:hAnsi="Calibri" w:cs="Calibri"/>
          <w:noProof/>
          <w:szCs w:val="24"/>
        </w:rPr>
        <w:t>; 7. Epub ahead of print 18 July 2016. DOI: 10.3390/genes7070038.</w:t>
      </w:r>
    </w:p>
    <w:p w14:paraId="374166A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115. </w:t>
      </w:r>
      <w:r w:rsidRPr="00AD61B7">
        <w:rPr>
          <w:rFonts w:ascii="Calibri" w:hAnsi="Calibri" w:cs="Calibri"/>
          <w:noProof/>
          <w:szCs w:val="24"/>
        </w:rPr>
        <w:tab/>
        <w:t xml:space="preserve">Pekmezci M, Rice T, Molinaro AM, et al. Adult infiltrating gliomas with WHO 2016 integrated diagnosis: additional prognostic roles of ATRX and TERT. </w:t>
      </w:r>
      <w:r w:rsidRPr="00AD61B7">
        <w:rPr>
          <w:rFonts w:ascii="Calibri" w:hAnsi="Calibri" w:cs="Calibri"/>
          <w:i/>
          <w:iCs/>
          <w:noProof/>
          <w:szCs w:val="24"/>
        </w:rPr>
        <w:t>Acta Neuropathol</w:t>
      </w:r>
      <w:r w:rsidRPr="00AD61B7">
        <w:rPr>
          <w:rFonts w:ascii="Calibri" w:hAnsi="Calibri" w:cs="Calibri"/>
          <w:noProof/>
          <w:szCs w:val="24"/>
        </w:rPr>
        <w:t xml:space="preserve"> 2017; 133: 1001–1016.</w:t>
      </w:r>
    </w:p>
    <w:p w14:paraId="630C544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116. </w:t>
      </w:r>
      <w:r w:rsidRPr="00AD61B7">
        <w:rPr>
          <w:rFonts w:ascii="Calibri" w:hAnsi="Calibri" w:cs="Calibri"/>
          <w:noProof/>
          <w:szCs w:val="24"/>
        </w:rPr>
        <w:tab/>
        <w:t xml:space="preserve">Killela PJ, Reitman ZJ, Jiao Y, et al. TERT promoter mutations occur frequently in gliomas and a subset of tumors derived from cells with low rates of self-renewal. </w:t>
      </w:r>
      <w:r w:rsidRPr="00AD61B7">
        <w:rPr>
          <w:rFonts w:ascii="Calibri" w:hAnsi="Calibri" w:cs="Calibri"/>
          <w:i/>
          <w:iCs/>
          <w:noProof/>
          <w:szCs w:val="24"/>
        </w:rPr>
        <w:t>Proc Natl Acad Sci U S A</w:t>
      </w:r>
      <w:r w:rsidRPr="00AD61B7">
        <w:rPr>
          <w:rFonts w:ascii="Calibri" w:hAnsi="Calibri" w:cs="Calibri"/>
          <w:noProof/>
          <w:szCs w:val="24"/>
        </w:rPr>
        <w:t xml:space="preserve"> 2013; 110: 6021–6026.</w:t>
      </w:r>
    </w:p>
    <w:p w14:paraId="6B09534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117. </w:t>
      </w:r>
      <w:r w:rsidRPr="00AD61B7">
        <w:rPr>
          <w:rFonts w:ascii="Calibri" w:hAnsi="Calibri" w:cs="Calibri"/>
          <w:noProof/>
          <w:szCs w:val="24"/>
        </w:rPr>
        <w:tab/>
        <w:t xml:space="preserve">Eckel-Passow JE, Lachance DH, Molinaro AM, et al.  Glioma Groups Based on 1p/19q, IDH , and TERT Promoter Mutations in Tumors . </w:t>
      </w:r>
      <w:r w:rsidRPr="00AD61B7">
        <w:rPr>
          <w:rFonts w:ascii="Calibri" w:hAnsi="Calibri" w:cs="Calibri"/>
          <w:i/>
          <w:iCs/>
          <w:noProof/>
          <w:szCs w:val="24"/>
        </w:rPr>
        <w:t>N Engl J Med</w:t>
      </w:r>
      <w:r w:rsidRPr="00AD61B7">
        <w:rPr>
          <w:rFonts w:ascii="Calibri" w:hAnsi="Calibri" w:cs="Calibri"/>
          <w:noProof/>
          <w:szCs w:val="24"/>
        </w:rPr>
        <w:t xml:space="preserve"> 2015; 372: 2499–2508.</w:t>
      </w:r>
    </w:p>
    <w:p w14:paraId="5FCC827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118. </w:t>
      </w:r>
      <w:r w:rsidRPr="00AD61B7">
        <w:rPr>
          <w:rFonts w:ascii="Calibri" w:hAnsi="Calibri" w:cs="Calibri"/>
          <w:noProof/>
          <w:szCs w:val="24"/>
        </w:rPr>
        <w:tab/>
        <w:t xml:space="preserve">Arita H, Yamasaki K, Matsushita Y, et al. A combination of TERT promoter mutation and MGMT methylation status predicts clinically relevant subgroups of newly diagnosed glioblastomas. </w:t>
      </w:r>
      <w:r w:rsidRPr="00AD61B7">
        <w:rPr>
          <w:rFonts w:ascii="Calibri" w:hAnsi="Calibri" w:cs="Calibri"/>
          <w:i/>
          <w:iCs/>
          <w:noProof/>
          <w:szCs w:val="24"/>
        </w:rPr>
        <w:t>Acta Neuropathol Commun</w:t>
      </w:r>
      <w:r w:rsidRPr="00AD61B7">
        <w:rPr>
          <w:rFonts w:ascii="Calibri" w:hAnsi="Calibri" w:cs="Calibri"/>
          <w:noProof/>
          <w:szCs w:val="24"/>
        </w:rPr>
        <w:t xml:space="preserve"> 2016; 4: 79.</w:t>
      </w:r>
    </w:p>
    <w:p w14:paraId="43B5E79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119. </w:t>
      </w:r>
      <w:r w:rsidRPr="00AD61B7">
        <w:rPr>
          <w:rFonts w:ascii="Calibri" w:hAnsi="Calibri" w:cs="Calibri"/>
          <w:noProof/>
          <w:szCs w:val="24"/>
        </w:rPr>
        <w:tab/>
        <w:t xml:space="preserve">Nguyen HN, Lie A, Li T, et al. Human TERT promoter mutation enables survival advantage from MGMT promoter methylation in IDH1 wild-type primary glioblastoma treated by standard chemoradiotherapy. </w:t>
      </w:r>
      <w:r w:rsidRPr="00AD61B7">
        <w:rPr>
          <w:rFonts w:ascii="Calibri" w:hAnsi="Calibri" w:cs="Calibri"/>
          <w:i/>
          <w:iCs/>
          <w:noProof/>
          <w:szCs w:val="24"/>
        </w:rPr>
        <w:t>Neuro Oncol</w:t>
      </w:r>
      <w:r w:rsidRPr="00AD61B7">
        <w:rPr>
          <w:rFonts w:ascii="Calibri" w:hAnsi="Calibri" w:cs="Calibri"/>
          <w:noProof/>
          <w:szCs w:val="24"/>
        </w:rPr>
        <w:t xml:space="preserve"> 2017; 19: 394–404.</w:t>
      </w:r>
    </w:p>
    <w:p w14:paraId="3481ABC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120. </w:t>
      </w:r>
      <w:r w:rsidRPr="00AD61B7">
        <w:rPr>
          <w:rFonts w:ascii="Calibri" w:hAnsi="Calibri" w:cs="Calibri"/>
          <w:noProof/>
          <w:szCs w:val="24"/>
        </w:rPr>
        <w:tab/>
        <w:t xml:space="preserve">Heuling ES, Knab F, Radke J, et al. Prognostic relevance of tumor purity and interaction with MGMT methylation in glioblastoma. </w:t>
      </w:r>
      <w:r w:rsidRPr="00AD61B7">
        <w:rPr>
          <w:rFonts w:ascii="Calibri" w:hAnsi="Calibri" w:cs="Calibri"/>
          <w:i/>
          <w:iCs/>
          <w:noProof/>
          <w:szCs w:val="24"/>
        </w:rPr>
        <w:t>Mol Cancer Res</w:t>
      </w:r>
      <w:r w:rsidRPr="00AD61B7">
        <w:rPr>
          <w:rFonts w:ascii="Calibri" w:hAnsi="Calibri" w:cs="Calibri"/>
          <w:noProof/>
          <w:szCs w:val="24"/>
        </w:rPr>
        <w:t xml:space="preserve"> 2017; 15: 532–540.</w:t>
      </w:r>
    </w:p>
    <w:p w14:paraId="6DA8903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121. </w:t>
      </w:r>
      <w:r w:rsidRPr="00AD61B7">
        <w:rPr>
          <w:rFonts w:ascii="Calibri" w:hAnsi="Calibri" w:cs="Calibri"/>
          <w:noProof/>
          <w:szCs w:val="24"/>
        </w:rPr>
        <w:tab/>
        <w:t>Synhaeve NE, van den Bent MJ, French PJ, et al. Clinical evaluation of a dedicated next generation sequencing panel for routine glioma diagnostics. 2018; 6: 126.</w:t>
      </w:r>
    </w:p>
    <w:p w14:paraId="76B094E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122. </w:t>
      </w:r>
      <w:r w:rsidRPr="00AD61B7">
        <w:rPr>
          <w:rFonts w:ascii="Calibri" w:hAnsi="Calibri" w:cs="Calibri"/>
          <w:noProof/>
          <w:szCs w:val="24"/>
        </w:rPr>
        <w:tab/>
        <w:t xml:space="preserve">Picketts DJ, Higgs DR, Bachoo S, et al. ATRX encodes a novel member of the SNF2 family of proteins: Mutations point to a common mechanism underlying the ATR-X syndrome. </w:t>
      </w:r>
      <w:r w:rsidRPr="00AD61B7">
        <w:rPr>
          <w:rFonts w:ascii="Calibri" w:hAnsi="Calibri" w:cs="Calibri"/>
          <w:i/>
          <w:iCs/>
          <w:noProof/>
          <w:szCs w:val="24"/>
        </w:rPr>
        <w:t>Hum Mol Genet</w:t>
      </w:r>
      <w:r w:rsidRPr="00AD61B7">
        <w:rPr>
          <w:rFonts w:ascii="Calibri" w:hAnsi="Calibri" w:cs="Calibri"/>
          <w:noProof/>
          <w:szCs w:val="24"/>
        </w:rPr>
        <w:t xml:space="preserve"> 1996; 5: 1899–1907.</w:t>
      </w:r>
    </w:p>
    <w:p w14:paraId="6F4D010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123. </w:t>
      </w:r>
      <w:r w:rsidRPr="00AD61B7">
        <w:rPr>
          <w:rFonts w:ascii="Calibri" w:hAnsi="Calibri" w:cs="Calibri"/>
          <w:noProof/>
          <w:szCs w:val="24"/>
        </w:rPr>
        <w:tab/>
        <w:t xml:space="preserve">Ramamoorthy M, Smith S. Loss of ATRX Suppresses Resolution of Telomere Cohesion to Control Recombination in ALT Cancer Cells. </w:t>
      </w:r>
      <w:r w:rsidRPr="00AD61B7">
        <w:rPr>
          <w:rFonts w:ascii="Calibri" w:hAnsi="Calibri" w:cs="Calibri"/>
          <w:i/>
          <w:iCs/>
          <w:noProof/>
          <w:szCs w:val="24"/>
        </w:rPr>
        <w:t>Cancer Cell</w:t>
      </w:r>
      <w:r w:rsidRPr="00AD61B7">
        <w:rPr>
          <w:rFonts w:ascii="Calibri" w:hAnsi="Calibri" w:cs="Calibri"/>
          <w:noProof/>
          <w:szCs w:val="24"/>
        </w:rPr>
        <w:t xml:space="preserve"> 2015; 28: 357–369.</w:t>
      </w:r>
    </w:p>
    <w:p w14:paraId="782CB89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124. </w:t>
      </w:r>
      <w:r w:rsidRPr="00AD61B7">
        <w:rPr>
          <w:rFonts w:ascii="Calibri" w:hAnsi="Calibri" w:cs="Calibri"/>
          <w:noProof/>
          <w:szCs w:val="24"/>
        </w:rPr>
        <w:tab/>
        <w:t xml:space="preserve">Sadic D, Schmidt K, Groh S, et al. Atrx promotes heterochromatin formation at retrotransposons. </w:t>
      </w:r>
      <w:r w:rsidRPr="00AD61B7">
        <w:rPr>
          <w:rFonts w:ascii="Calibri" w:hAnsi="Calibri" w:cs="Calibri"/>
          <w:i/>
          <w:iCs/>
          <w:noProof/>
          <w:szCs w:val="24"/>
        </w:rPr>
        <w:t>EMBO Rep</w:t>
      </w:r>
      <w:r w:rsidRPr="00AD61B7">
        <w:rPr>
          <w:rFonts w:ascii="Calibri" w:hAnsi="Calibri" w:cs="Calibri"/>
          <w:noProof/>
          <w:szCs w:val="24"/>
        </w:rPr>
        <w:t xml:space="preserve"> 2015; 16: 836–850.</w:t>
      </w:r>
    </w:p>
    <w:p w14:paraId="66B347D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125. </w:t>
      </w:r>
      <w:r w:rsidRPr="00AD61B7">
        <w:rPr>
          <w:rFonts w:ascii="Calibri" w:hAnsi="Calibri" w:cs="Calibri"/>
          <w:noProof/>
          <w:szCs w:val="24"/>
        </w:rPr>
        <w:tab/>
        <w:t xml:space="preserve">Noh KM, Maze I, Zhao D, et al. ATRX tolerates activity-dependent histone H3 methyl/phos switching to maintain repetitive element silencing in neurons. </w:t>
      </w:r>
      <w:r w:rsidRPr="00AD61B7">
        <w:rPr>
          <w:rFonts w:ascii="Calibri" w:hAnsi="Calibri" w:cs="Calibri"/>
          <w:i/>
          <w:iCs/>
          <w:noProof/>
          <w:szCs w:val="24"/>
        </w:rPr>
        <w:t>Proc Natl Acad Sci U S A</w:t>
      </w:r>
      <w:r w:rsidRPr="00AD61B7">
        <w:rPr>
          <w:rFonts w:ascii="Calibri" w:hAnsi="Calibri" w:cs="Calibri"/>
          <w:noProof/>
          <w:szCs w:val="24"/>
        </w:rPr>
        <w:t xml:space="preserve"> 2015; 112: 6820–6827.</w:t>
      </w:r>
    </w:p>
    <w:p w14:paraId="06D8A14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126. </w:t>
      </w:r>
      <w:r w:rsidRPr="00AD61B7">
        <w:rPr>
          <w:rFonts w:ascii="Calibri" w:hAnsi="Calibri" w:cs="Calibri"/>
          <w:noProof/>
          <w:szCs w:val="24"/>
        </w:rPr>
        <w:tab/>
        <w:t xml:space="preserve">Conte D, Huh M, Goodall E, et al. Loss of Atrx Sensitizes Cells to DNA Damaging Agents through p53-Mediated Death Pathways. </w:t>
      </w:r>
      <w:r w:rsidRPr="00AD61B7">
        <w:rPr>
          <w:rFonts w:ascii="Calibri" w:hAnsi="Calibri" w:cs="Calibri"/>
          <w:i/>
          <w:iCs/>
          <w:noProof/>
          <w:szCs w:val="24"/>
        </w:rPr>
        <w:t>PLoS One</w:t>
      </w:r>
      <w:r w:rsidRPr="00AD61B7">
        <w:rPr>
          <w:rFonts w:ascii="Calibri" w:hAnsi="Calibri" w:cs="Calibri"/>
          <w:noProof/>
          <w:szCs w:val="24"/>
        </w:rPr>
        <w:t>; 7. Epub ahead of print 17 December 2012. DOI: 10.1371/journal.pone.0052167.</w:t>
      </w:r>
    </w:p>
    <w:p w14:paraId="3FAF2EC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127. </w:t>
      </w:r>
      <w:r w:rsidRPr="00AD61B7">
        <w:rPr>
          <w:rFonts w:ascii="Calibri" w:hAnsi="Calibri" w:cs="Calibri"/>
          <w:noProof/>
          <w:szCs w:val="24"/>
        </w:rPr>
        <w:tab/>
        <w:t xml:space="preserve">Leung JWC, Ghosal G, Wang W, et al. Alpha thalassemia/mental retardation syndrome X-linked gene product ATRX is required for proper replication restart and cellular resistance to replication stress. </w:t>
      </w:r>
      <w:r w:rsidRPr="00AD61B7">
        <w:rPr>
          <w:rFonts w:ascii="Calibri" w:hAnsi="Calibri" w:cs="Calibri"/>
          <w:i/>
          <w:iCs/>
          <w:noProof/>
          <w:szCs w:val="24"/>
        </w:rPr>
        <w:t>J Biol Chem</w:t>
      </w:r>
      <w:r w:rsidRPr="00AD61B7">
        <w:rPr>
          <w:rFonts w:ascii="Calibri" w:hAnsi="Calibri" w:cs="Calibri"/>
          <w:noProof/>
          <w:szCs w:val="24"/>
        </w:rPr>
        <w:t xml:space="preserve"> 2013; 288: 6342–6350.</w:t>
      </w:r>
    </w:p>
    <w:p w14:paraId="3EA16A6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128. </w:t>
      </w:r>
      <w:r w:rsidRPr="00AD61B7">
        <w:rPr>
          <w:rFonts w:ascii="Calibri" w:hAnsi="Calibri" w:cs="Calibri"/>
          <w:noProof/>
          <w:szCs w:val="24"/>
        </w:rPr>
        <w:tab/>
        <w:t xml:space="preserve">Koschmann C, Calinescu AA, Nunez FJ, et al. ATRX loss promotes tumor growth and impairs nonhomologous end joining DNA repair in glioma. </w:t>
      </w:r>
      <w:r w:rsidRPr="00AD61B7">
        <w:rPr>
          <w:rFonts w:ascii="Calibri" w:hAnsi="Calibri" w:cs="Calibri"/>
          <w:i/>
          <w:iCs/>
          <w:noProof/>
          <w:szCs w:val="24"/>
        </w:rPr>
        <w:t>Sci Transl Med</w:t>
      </w:r>
      <w:r w:rsidRPr="00AD61B7">
        <w:rPr>
          <w:rFonts w:ascii="Calibri" w:hAnsi="Calibri" w:cs="Calibri"/>
          <w:noProof/>
          <w:szCs w:val="24"/>
        </w:rPr>
        <w:t xml:space="preserve"> 2016; 8: 328ra28.</w:t>
      </w:r>
    </w:p>
    <w:p w14:paraId="517C6F9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129. </w:t>
      </w:r>
      <w:r w:rsidRPr="00AD61B7">
        <w:rPr>
          <w:rFonts w:ascii="Calibri" w:hAnsi="Calibri" w:cs="Calibri"/>
          <w:noProof/>
          <w:szCs w:val="24"/>
        </w:rPr>
        <w:tab/>
        <w:t xml:space="preserve">Wiestler B, Capper D, Holland-Letz T, et al. ATRX loss refines the classification of anaplastic gliomas and identifies a subgroup of IDH mutant astrocytic tumors with better prognosis. </w:t>
      </w:r>
      <w:r w:rsidRPr="00AD61B7">
        <w:rPr>
          <w:rFonts w:ascii="Calibri" w:hAnsi="Calibri" w:cs="Calibri"/>
          <w:i/>
          <w:iCs/>
          <w:noProof/>
          <w:szCs w:val="24"/>
        </w:rPr>
        <w:t>Acta Neuropathol</w:t>
      </w:r>
      <w:r w:rsidRPr="00AD61B7">
        <w:rPr>
          <w:rFonts w:ascii="Calibri" w:hAnsi="Calibri" w:cs="Calibri"/>
          <w:noProof/>
          <w:szCs w:val="24"/>
        </w:rPr>
        <w:t xml:space="preserve"> 2013; 126: 443–451.</w:t>
      </w:r>
    </w:p>
    <w:p w14:paraId="2DD1390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130. </w:t>
      </w:r>
      <w:r w:rsidRPr="00AD61B7">
        <w:rPr>
          <w:rFonts w:ascii="Calibri" w:hAnsi="Calibri" w:cs="Calibri"/>
          <w:noProof/>
          <w:szCs w:val="24"/>
        </w:rPr>
        <w:tab/>
        <w:t xml:space="preserve">Ikemura M, Shibahara J, Mukasa A, et al. Utility of ATRX immunohistochemistry in diagnosis of adult diffuse gliomas. </w:t>
      </w:r>
      <w:r w:rsidRPr="00AD61B7">
        <w:rPr>
          <w:rFonts w:ascii="Calibri" w:hAnsi="Calibri" w:cs="Calibri"/>
          <w:i/>
          <w:iCs/>
          <w:noProof/>
          <w:szCs w:val="24"/>
        </w:rPr>
        <w:t>Histopathology</w:t>
      </w:r>
      <w:r w:rsidRPr="00AD61B7">
        <w:rPr>
          <w:rFonts w:ascii="Calibri" w:hAnsi="Calibri" w:cs="Calibri"/>
          <w:noProof/>
          <w:szCs w:val="24"/>
        </w:rPr>
        <w:t xml:space="preserve"> 2016; 69: 260–267.</w:t>
      </w:r>
    </w:p>
    <w:p w14:paraId="4E85F7E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131. </w:t>
      </w:r>
      <w:r w:rsidRPr="00AD61B7">
        <w:rPr>
          <w:rFonts w:ascii="Calibri" w:hAnsi="Calibri" w:cs="Calibri"/>
          <w:noProof/>
          <w:szCs w:val="24"/>
        </w:rPr>
        <w:tab/>
        <w:t xml:space="preserve">Vousden KH, Prives C. Blinded by the Light: The Growing Complexity of p53. </w:t>
      </w:r>
      <w:r w:rsidRPr="00AD61B7">
        <w:rPr>
          <w:rFonts w:ascii="Calibri" w:hAnsi="Calibri" w:cs="Calibri"/>
          <w:i/>
          <w:iCs/>
          <w:noProof/>
          <w:szCs w:val="24"/>
        </w:rPr>
        <w:t>Cell</w:t>
      </w:r>
      <w:r w:rsidRPr="00AD61B7">
        <w:rPr>
          <w:rFonts w:ascii="Calibri" w:hAnsi="Calibri" w:cs="Calibri"/>
          <w:noProof/>
          <w:szCs w:val="24"/>
        </w:rPr>
        <w:t xml:space="preserve"> 2009; 137: 413–431.</w:t>
      </w:r>
    </w:p>
    <w:p w14:paraId="0484D08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132. </w:t>
      </w:r>
      <w:r w:rsidRPr="00AD61B7">
        <w:rPr>
          <w:rFonts w:ascii="Calibri" w:hAnsi="Calibri" w:cs="Calibri"/>
          <w:noProof/>
          <w:szCs w:val="24"/>
        </w:rPr>
        <w:tab/>
        <w:t xml:space="preserve">McLendon R, Friedman A, Bigner D, et al. Comprehensive genomic characterization defines human glioblastoma genes and core pathways. </w:t>
      </w:r>
      <w:r w:rsidRPr="00AD61B7">
        <w:rPr>
          <w:rFonts w:ascii="Calibri" w:hAnsi="Calibri" w:cs="Calibri"/>
          <w:i/>
          <w:iCs/>
          <w:noProof/>
          <w:szCs w:val="24"/>
        </w:rPr>
        <w:t>Nature</w:t>
      </w:r>
      <w:r w:rsidRPr="00AD61B7">
        <w:rPr>
          <w:rFonts w:ascii="Calibri" w:hAnsi="Calibri" w:cs="Calibri"/>
          <w:noProof/>
          <w:szCs w:val="24"/>
        </w:rPr>
        <w:t xml:space="preserve"> 2008; 455: 1061–1068.</w:t>
      </w:r>
    </w:p>
    <w:p w14:paraId="7641BDC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133. </w:t>
      </w:r>
      <w:r w:rsidRPr="00AD61B7">
        <w:rPr>
          <w:rFonts w:ascii="Calibri" w:hAnsi="Calibri" w:cs="Calibri"/>
          <w:noProof/>
          <w:szCs w:val="24"/>
        </w:rPr>
        <w:tab/>
        <w:t xml:space="preserve">Leroy B, Fournier JL, Ishioka C, et al. The TP53 website: An integrative resource centre for the TP53 mutation database and TP53 mutant analysis. </w:t>
      </w:r>
      <w:r w:rsidRPr="00AD61B7">
        <w:rPr>
          <w:rFonts w:ascii="Calibri" w:hAnsi="Calibri" w:cs="Calibri"/>
          <w:i/>
          <w:iCs/>
          <w:noProof/>
          <w:szCs w:val="24"/>
        </w:rPr>
        <w:t>Nucleic Acids Res</w:t>
      </w:r>
      <w:r w:rsidRPr="00AD61B7">
        <w:rPr>
          <w:rFonts w:ascii="Calibri" w:hAnsi="Calibri" w:cs="Calibri"/>
          <w:noProof/>
          <w:szCs w:val="24"/>
        </w:rPr>
        <w:t>; 41. Epub ahead of print 1 January 2013. DOI: 10.1093/nar/gks1033.</w:t>
      </w:r>
    </w:p>
    <w:p w14:paraId="531ABEE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134. </w:t>
      </w:r>
      <w:r w:rsidRPr="00AD61B7">
        <w:rPr>
          <w:rFonts w:ascii="Calibri" w:hAnsi="Calibri" w:cs="Calibri"/>
          <w:noProof/>
          <w:szCs w:val="24"/>
        </w:rPr>
        <w:tab/>
        <w:t xml:space="preserve">Lin T, Chao C, Saito S, et al. p53 induces differentiation of mouse embryonic stem cells by suppressing Nanog expression. </w:t>
      </w:r>
      <w:r w:rsidRPr="00AD61B7">
        <w:rPr>
          <w:rFonts w:ascii="Calibri" w:hAnsi="Calibri" w:cs="Calibri"/>
          <w:i/>
          <w:iCs/>
          <w:noProof/>
          <w:szCs w:val="24"/>
        </w:rPr>
        <w:t>Nat Cell Biol</w:t>
      </w:r>
      <w:r w:rsidRPr="00AD61B7">
        <w:rPr>
          <w:rFonts w:ascii="Calibri" w:hAnsi="Calibri" w:cs="Calibri"/>
          <w:noProof/>
          <w:szCs w:val="24"/>
        </w:rPr>
        <w:t xml:space="preserve"> 2005; 7: 165–171.</w:t>
      </w:r>
    </w:p>
    <w:p w14:paraId="441B947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135. </w:t>
      </w:r>
      <w:r w:rsidRPr="00AD61B7">
        <w:rPr>
          <w:rFonts w:ascii="Calibri" w:hAnsi="Calibri" w:cs="Calibri"/>
          <w:noProof/>
          <w:szCs w:val="24"/>
        </w:rPr>
        <w:tab/>
        <w:t xml:space="preserve">Zheng H, Ying H, Yan H, et al. p53 and Pten control neural and glioma stem/progenitor cell renewal and differentiation. </w:t>
      </w:r>
      <w:r w:rsidRPr="00AD61B7">
        <w:rPr>
          <w:rFonts w:ascii="Calibri" w:hAnsi="Calibri" w:cs="Calibri"/>
          <w:i/>
          <w:iCs/>
          <w:noProof/>
          <w:szCs w:val="24"/>
        </w:rPr>
        <w:t>Nature</w:t>
      </w:r>
      <w:r w:rsidRPr="00AD61B7">
        <w:rPr>
          <w:rFonts w:ascii="Calibri" w:hAnsi="Calibri" w:cs="Calibri"/>
          <w:noProof/>
          <w:szCs w:val="24"/>
        </w:rPr>
        <w:t xml:space="preserve"> 2008; 455: 1129–1133.</w:t>
      </w:r>
    </w:p>
    <w:p w14:paraId="711C6C0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136. </w:t>
      </w:r>
      <w:r w:rsidRPr="00AD61B7">
        <w:rPr>
          <w:rFonts w:ascii="Calibri" w:hAnsi="Calibri" w:cs="Calibri"/>
          <w:noProof/>
          <w:szCs w:val="24"/>
        </w:rPr>
        <w:tab/>
        <w:t xml:space="preserve">Cerami E, Gao J, Dogrusoz U, et al. The cBio Cancer Genomics Portal: An open platform for exploring multidimensional cancer genomics data. </w:t>
      </w:r>
      <w:r w:rsidRPr="00AD61B7">
        <w:rPr>
          <w:rFonts w:ascii="Calibri" w:hAnsi="Calibri" w:cs="Calibri"/>
          <w:i/>
          <w:iCs/>
          <w:noProof/>
          <w:szCs w:val="24"/>
        </w:rPr>
        <w:t>Cancer Discov</w:t>
      </w:r>
      <w:r w:rsidRPr="00AD61B7">
        <w:rPr>
          <w:rFonts w:ascii="Calibri" w:hAnsi="Calibri" w:cs="Calibri"/>
          <w:noProof/>
          <w:szCs w:val="24"/>
        </w:rPr>
        <w:t xml:space="preserve"> 2012; 2: 401–404.</w:t>
      </w:r>
    </w:p>
    <w:p w14:paraId="6A6A3D7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137. </w:t>
      </w:r>
      <w:r w:rsidRPr="00AD61B7">
        <w:rPr>
          <w:rFonts w:ascii="Calibri" w:hAnsi="Calibri" w:cs="Calibri"/>
          <w:noProof/>
          <w:szCs w:val="24"/>
        </w:rPr>
        <w:tab/>
        <w:t xml:space="preserve">Gao J, Aksoy BA, Dogrusoz U, et al. Integrative analysis of complex cancer genomics and clinical profiles using the cBioPortal. </w:t>
      </w:r>
      <w:r w:rsidRPr="00AD61B7">
        <w:rPr>
          <w:rFonts w:ascii="Calibri" w:hAnsi="Calibri" w:cs="Calibri"/>
          <w:i/>
          <w:iCs/>
          <w:noProof/>
          <w:szCs w:val="24"/>
        </w:rPr>
        <w:t>Sci Signal</w:t>
      </w:r>
      <w:r w:rsidRPr="00AD61B7">
        <w:rPr>
          <w:rFonts w:ascii="Calibri" w:hAnsi="Calibri" w:cs="Calibri"/>
          <w:noProof/>
          <w:szCs w:val="24"/>
        </w:rPr>
        <w:t>; 6. Epub ahead of print 2 April 2013. DOI: 10.1126/scisignal.2004088.</w:t>
      </w:r>
    </w:p>
    <w:p w14:paraId="08C4B2C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138. </w:t>
      </w:r>
      <w:r w:rsidRPr="00AD61B7">
        <w:rPr>
          <w:rFonts w:ascii="Calibri" w:hAnsi="Calibri" w:cs="Calibri"/>
          <w:noProof/>
          <w:szCs w:val="24"/>
        </w:rPr>
        <w:tab/>
        <w:t xml:space="preserve">Crespo I, Vital AL, Gonzalez-Tablas M, et al. Molecular and Genomic Alterations in Glioblastoma Multiforme. </w:t>
      </w:r>
      <w:r w:rsidRPr="00AD61B7">
        <w:rPr>
          <w:rFonts w:ascii="Calibri" w:hAnsi="Calibri" w:cs="Calibri"/>
          <w:i/>
          <w:iCs/>
          <w:noProof/>
          <w:szCs w:val="24"/>
        </w:rPr>
        <w:t>American Journal of Pathology</w:t>
      </w:r>
      <w:r w:rsidRPr="00AD61B7">
        <w:rPr>
          <w:rFonts w:ascii="Calibri" w:hAnsi="Calibri" w:cs="Calibri"/>
          <w:noProof/>
          <w:szCs w:val="24"/>
        </w:rPr>
        <w:t xml:space="preserve"> 2015; 185: 1820–1833.</w:t>
      </w:r>
    </w:p>
    <w:p w14:paraId="7D0A7C9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139. </w:t>
      </w:r>
      <w:r w:rsidRPr="00AD61B7">
        <w:rPr>
          <w:rFonts w:ascii="Calibri" w:hAnsi="Calibri" w:cs="Calibri"/>
          <w:noProof/>
          <w:szCs w:val="24"/>
        </w:rPr>
        <w:tab/>
        <w:t xml:space="preserve">Krex D, Mohr B, Appelt H, et al. Genetic Analysis of A Multifocal Glioblastoma Multiforme: A Suitable Tool to Gain New Aspects in Glioma Development. </w:t>
      </w:r>
      <w:r w:rsidRPr="00AD61B7">
        <w:rPr>
          <w:rFonts w:ascii="Calibri" w:hAnsi="Calibri" w:cs="Calibri"/>
          <w:i/>
          <w:iCs/>
          <w:noProof/>
          <w:szCs w:val="24"/>
        </w:rPr>
        <w:t>Neurosurgery</w:t>
      </w:r>
      <w:r w:rsidRPr="00AD61B7">
        <w:rPr>
          <w:rFonts w:ascii="Calibri" w:hAnsi="Calibri" w:cs="Calibri"/>
          <w:noProof/>
          <w:szCs w:val="24"/>
        </w:rPr>
        <w:t xml:space="preserve"> 2003; 53: 1377–1384.</w:t>
      </w:r>
    </w:p>
    <w:p w14:paraId="165B7F7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140. </w:t>
      </w:r>
      <w:r w:rsidRPr="00AD61B7">
        <w:rPr>
          <w:rFonts w:ascii="Calibri" w:hAnsi="Calibri" w:cs="Calibri"/>
          <w:noProof/>
          <w:szCs w:val="24"/>
        </w:rPr>
        <w:tab/>
        <w:t xml:space="preserve">Djuzenova CS, Fiedler V, Memmel S, et al. Actin cytoskeleton organization, cell surface modification and invasion rate of 5 glioblastoma cell lines differing in PTEN and p53 status. </w:t>
      </w:r>
      <w:r w:rsidRPr="00AD61B7">
        <w:rPr>
          <w:rFonts w:ascii="Calibri" w:hAnsi="Calibri" w:cs="Calibri"/>
          <w:i/>
          <w:iCs/>
          <w:noProof/>
          <w:szCs w:val="24"/>
        </w:rPr>
        <w:t>Exp Cell Res</w:t>
      </w:r>
      <w:r w:rsidRPr="00AD61B7">
        <w:rPr>
          <w:rFonts w:ascii="Calibri" w:hAnsi="Calibri" w:cs="Calibri"/>
          <w:noProof/>
          <w:szCs w:val="24"/>
        </w:rPr>
        <w:t xml:space="preserve"> 2015; 330: 346–357.</w:t>
      </w:r>
    </w:p>
    <w:p w14:paraId="4F357F0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141. </w:t>
      </w:r>
      <w:r w:rsidRPr="00AD61B7">
        <w:rPr>
          <w:rFonts w:ascii="Calibri" w:hAnsi="Calibri" w:cs="Calibri"/>
          <w:noProof/>
          <w:szCs w:val="24"/>
        </w:rPr>
        <w:tab/>
        <w:t xml:space="preserve">England B, Huang T, Karsy M. Current understanding of the role and targeting of tumor suppressor p53 in glioblastoma multiforme. </w:t>
      </w:r>
      <w:r w:rsidRPr="00AD61B7">
        <w:rPr>
          <w:rFonts w:ascii="Calibri" w:hAnsi="Calibri" w:cs="Calibri"/>
          <w:i/>
          <w:iCs/>
          <w:noProof/>
          <w:szCs w:val="24"/>
        </w:rPr>
        <w:t>Tumor Biology</w:t>
      </w:r>
      <w:r w:rsidRPr="00AD61B7">
        <w:rPr>
          <w:rFonts w:ascii="Calibri" w:hAnsi="Calibri" w:cs="Calibri"/>
          <w:noProof/>
          <w:szCs w:val="24"/>
        </w:rPr>
        <w:t xml:space="preserve"> 2013; 34: 2063–2074.</w:t>
      </w:r>
    </w:p>
    <w:p w14:paraId="5257DD8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142. </w:t>
      </w:r>
      <w:r w:rsidRPr="00AD61B7">
        <w:rPr>
          <w:rFonts w:ascii="Calibri" w:hAnsi="Calibri" w:cs="Calibri"/>
          <w:noProof/>
          <w:szCs w:val="24"/>
        </w:rPr>
        <w:tab/>
        <w:t xml:space="preserve">Park CM, Park MJ, Kwak HJ, et al. Induction of p53-mediated apoptosis and recovery of chemosensitivity through p53 transduction in human glioblastoma cells by cisplatin. </w:t>
      </w:r>
      <w:r w:rsidRPr="00AD61B7">
        <w:rPr>
          <w:rFonts w:ascii="Calibri" w:hAnsi="Calibri" w:cs="Calibri"/>
          <w:i/>
          <w:iCs/>
          <w:noProof/>
          <w:szCs w:val="24"/>
        </w:rPr>
        <w:t>Int J Oncol</w:t>
      </w:r>
      <w:r w:rsidRPr="00AD61B7">
        <w:rPr>
          <w:rFonts w:ascii="Calibri" w:hAnsi="Calibri" w:cs="Calibri"/>
          <w:noProof/>
          <w:szCs w:val="24"/>
        </w:rPr>
        <w:t xml:space="preserve"> 2006; 28: 119–125.</w:t>
      </w:r>
    </w:p>
    <w:p w14:paraId="0FD9782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143. </w:t>
      </w:r>
      <w:r w:rsidRPr="00AD61B7">
        <w:rPr>
          <w:rFonts w:ascii="Calibri" w:hAnsi="Calibri" w:cs="Calibri"/>
          <w:noProof/>
          <w:szCs w:val="24"/>
        </w:rPr>
        <w:tab/>
        <w:t xml:space="preserve">Zheng H, Ying H, Yan H, et al. p53 and Pten control neural and glioma stem/progenitor cell renewal and differentiation. </w:t>
      </w:r>
      <w:r w:rsidRPr="00AD61B7">
        <w:rPr>
          <w:rFonts w:ascii="Calibri" w:hAnsi="Calibri" w:cs="Calibri"/>
          <w:i/>
          <w:iCs/>
          <w:noProof/>
          <w:szCs w:val="24"/>
        </w:rPr>
        <w:t>Nature</w:t>
      </w:r>
      <w:r w:rsidRPr="00AD61B7">
        <w:rPr>
          <w:rFonts w:ascii="Calibri" w:hAnsi="Calibri" w:cs="Calibri"/>
          <w:noProof/>
          <w:szCs w:val="24"/>
        </w:rPr>
        <w:t xml:space="preserve"> 2008; 455: 1129–1133.</w:t>
      </w:r>
    </w:p>
    <w:p w14:paraId="24E3454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144. </w:t>
      </w:r>
      <w:r w:rsidRPr="00AD61B7">
        <w:rPr>
          <w:rFonts w:ascii="Calibri" w:hAnsi="Calibri" w:cs="Calibri"/>
          <w:noProof/>
          <w:szCs w:val="24"/>
        </w:rPr>
        <w:tab/>
        <w:t xml:space="preserve">Wang Y, Yang J, Zheng H, et al. Expression of Mutant p53 Proteins Implicates a Lineage Relationship between Neural Stem Cells and Malignant Astrocytic Glioma in a Murine Model. </w:t>
      </w:r>
      <w:r w:rsidRPr="00AD61B7">
        <w:rPr>
          <w:rFonts w:ascii="Calibri" w:hAnsi="Calibri" w:cs="Calibri"/>
          <w:i/>
          <w:iCs/>
          <w:noProof/>
          <w:szCs w:val="24"/>
        </w:rPr>
        <w:t>Cancer Cell</w:t>
      </w:r>
      <w:r w:rsidRPr="00AD61B7">
        <w:rPr>
          <w:rFonts w:ascii="Calibri" w:hAnsi="Calibri" w:cs="Calibri"/>
          <w:noProof/>
          <w:szCs w:val="24"/>
        </w:rPr>
        <w:t xml:space="preserve"> 2009; 15: 514–526.</w:t>
      </w:r>
    </w:p>
    <w:p w14:paraId="3DE5E88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145. </w:t>
      </w:r>
      <w:r w:rsidRPr="00AD61B7">
        <w:rPr>
          <w:rFonts w:ascii="Calibri" w:hAnsi="Calibri" w:cs="Calibri"/>
          <w:noProof/>
          <w:szCs w:val="24"/>
        </w:rPr>
        <w:tab/>
        <w:t xml:space="preserve">Brennan CW, Verhaak RGW, McKenna A, et al. The somatic genomic landscape of glioblastoma. </w:t>
      </w:r>
      <w:r w:rsidRPr="00AD61B7">
        <w:rPr>
          <w:rFonts w:ascii="Calibri" w:hAnsi="Calibri" w:cs="Calibri"/>
          <w:i/>
          <w:iCs/>
          <w:noProof/>
          <w:szCs w:val="24"/>
        </w:rPr>
        <w:t>Cell</w:t>
      </w:r>
      <w:r w:rsidRPr="00AD61B7">
        <w:rPr>
          <w:rFonts w:ascii="Calibri" w:hAnsi="Calibri" w:cs="Calibri"/>
          <w:noProof/>
          <w:szCs w:val="24"/>
        </w:rPr>
        <w:t xml:space="preserve"> 2013; 155: 462.</w:t>
      </w:r>
    </w:p>
    <w:p w14:paraId="3817135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146. </w:t>
      </w:r>
      <w:r w:rsidRPr="00AD61B7">
        <w:rPr>
          <w:rFonts w:ascii="Calibri" w:hAnsi="Calibri" w:cs="Calibri"/>
          <w:noProof/>
          <w:szCs w:val="24"/>
        </w:rPr>
        <w:tab/>
        <w:t xml:space="preserve">Takami H, Yoshida A, Fukushima S, et al. Revisiting TP53 mutations and immunohistochemistry - A comparative study in 157 diffuse gliomas. In: </w:t>
      </w:r>
      <w:r w:rsidRPr="00AD61B7">
        <w:rPr>
          <w:rFonts w:ascii="Calibri" w:hAnsi="Calibri" w:cs="Calibri"/>
          <w:i/>
          <w:iCs/>
          <w:noProof/>
          <w:szCs w:val="24"/>
        </w:rPr>
        <w:t>Brain Pathology</w:t>
      </w:r>
      <w:r w:rsidRPr="00AD61B7">
        <w:rPr>
          <w:rFonts w:ascii="Calibri" w:hAnsi="Calibri" w:cs="Calibri"/>
          <w:noProof/>
          <w:szCs w:val="24"/>
        </w:rPr>
        <w:t>. Blackwell Publishing Ltd, pp. 256–265.</w:t>
      </w:r>
    </w:p>
    <w:p w14:paraId="684D80D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147. </w:t>
      </w:r>
      <w:r w:rsidRPr="00AD61B7">
        <w:rPr>
          <w:rFonts w:ascii="Calibri" w:hAnsi="Calibri" w:cs="Calibri"/>
          <w:noProof/>
          <w:szCs w:val="24"/>
        </w:rPr>
        <w:tab/>
        <w:t xml:space="preserve">Hainaut P, Pfeifer GP. Somatic TP53 mutations in the era of genome sequencing. </w:t>
      </w:r>
      <w:r w:rsidRPr="00AD61B7">
        <w:rPr>
          <w:rFonts w:ascii="Calibri" w:hAnsi="Calibri" w:cs="Calibri"/>
          <w:i/>
          <w:iCs/>
          <w:noProof/>
          <w:szCs w:val="24"/>
        </w:rPr>
        <w:t>Cold Spring Harb Perspect Med</w:t>
      </w:r>
      <w:r w:rsidRPr="00AD61B7">
        <w:rPr>
          <w:rFonts w:ascii="Calibri" w:hAnsi="Calibri" w:cs="Calibri"/>
          <w:noProof/>
          <w:szCs w:val="24"/>
        </w:rPr>
        <w:t>; 6. Epub ahead of print 1 November 2016. DOI: 10.1101/cshperspect.a026179.</w:t>
      </w:r>
    </w:p>
    <w:p w14:paraId="0055881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148. </w:t>
      </w:r>
      <w:r w:rsidRPr="00AD61B7">
        <w:rPr>
          <w:rFonts w:ascii="Calibri" w:hAnsi="Calibri" w:cs="Calibri"/>
          <w:noProof/>
          <w:szCs w:val="24"/>
        </w:rPr>
        <w:tab/>
        <w:t xml:space="preserve">Xiong S, Van Pelt CS, Elizondo-Fraire AC, et al. Synergistic roles of Mdm2 and Mdm4 for p53 inhibition in central nervous system development. </w:t>
      </w:r>
      <w:r w:rsidRPr="00AD61B7">
        <w:rPr>
          <w:rFonts w:ascii="Calibri" w:hAnsi="Calibri" w:cs="Calibri"/>
          <w:i/>
          <w:iCs/>
          <w:noProof/>
          <w:szCs w:val="24"/>
        </w:rPr>
        <w:t>Proc Natl Acad Sci U S A</w:t>
      </w:r>
      <w:r w:rsidRPr="00AD61B7">
        <w:rPr>
          <w:rFonts w:ascii="Calibri" w:hAnsi="Calibri" w:cs="Calibri"/>
          <w:noProof/>
          <w:szCs w:val="24"/>
        </w:rPr>
        <w:t xml:space="preserve"> 2006; 103: 3226–3231.</w:t>
      </w:r>
    </w:p>
    <w:p w14:paraId="6C5279C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149. </w:t>
      </w:r>
      <w:r w:rsidRPr="00AD61B7">
        <w:rPr>
          <w:rFonts w:ascii="Calibri" w:hAnsi="Calibri" w:cs="Calibri"/>
          <w:noProof/>
          <w:szCs w:val="24"/>
        </w:rPr>
        <w:tab/>
        <w:t xml:space="preserve">Ghimenti C, Fiano V, Chiadò-Piat L, et al. Deregulation of the p14ARF/Mdm2/p53 pathway and G1/S transition in two glioblastoma sets. </w:t>
      </w:r>
      <w:r w:rsidRPr="00AD61B7">
        <w:rPr>
          <w:rFonts w:ascii="Calibri" w:hAnsi="Calibri" w:cs="Calibri"/>
          <w:i/>
          <w:iCs/>
          <w:noProof/>
          <w:szCs w:val="24"/>
        </w:rPr>
        <w:t>J Neurooncol</w:t>
      </w:r>
      <w:r w:rsidRPr="00AD61B7">
        <w:rPr>
          <w:rFonts w:ascii="Calibri" w:hAnsi="Calibri" w:cs="Calibri"/>
          <w:noProof/>
          <w:szCs w:val="24"/>
        </w:rPr>
        <w:t xml:space="preserve"> 2003; 61: 95–102.</w:t>
      </w:r>
    </w:p>
    <w:p w14:paraId="331598B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150. </w:t>
      </w:r>
      <w:r w:rsidRPr="00AD61B7">
        <w:rPr>
          <w:rFonts w:ascii="Calibri" w:hAnsi="Calibri" w:cs="Calibri"/>
          <w:noProof/>
          <w:szCs w:val="24"/>
        </w:rPr>
        <w:tab/>
        <w:t xml:space="preserve">Canon J, Osgood T, Olson SH, et al. The MDM2 inhibitor AMG 232 demonstrates robust antitumor efficacy and potentiates the activity of p53-inducing cytotoxic agents. </w:t>
      </w:r>
      <w:r w:rsidRPr="00AD61B7">
        <w:rPr>
          <w:rFonts w:ascii="Calibri" w:hAnsi="Calibri" w:cs="Calibri"/>
          <w:i/>
          <w:iCs/>
          <w:noProof/>
          <w:szCs w:val="24"/>
        </w:rPr>
        <w:t>Mol Cancer Ther</w:t>
      </w:r>
      <w:r w:rsidRPr="00AD61B7">
        <w:rPr>
          <w:rFonts w:ascii="Calibri" w:hAnsi="Calibri" w:cs="Calibri"/>
          <w:noProof/>
          <w:szCs w:val="24"/>
        </w:rPr>
        <w:t xml:space="preserve"> 2015; 14: 649–658.</w:t>
      </w:r>
    </w:p>
    <w:p w14:paraId="5E905DC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151. </w:t>
      </w:r>
      <w:r w:rsidRPr="00AD61B7">
        <w:rPr>
          <w:rFonts w:ascii="Calibri" w:hAnsi="Calibri" w:cs="Calibri"/>
          <w:noProof/>
          <w:szCs w:val="24"/>
        </w:rPr>
        <w:tab/>
        <w:t xml:space="preserve">Verreault M, Schmitt C, Goldwirt L, et al. Preclinical efficacy of the MDM2 inhibitor RG7112 in MDM2-amplified and TP53 wild-type glioblastomas. </w:t>
      </w:r>
      <w:r w:rsidRPr="00AD61B7">
        <w:rPr>
          <w:rFonts w:ascii="Calibri" w:hAnsi="Calibri" w:cs="Calibri"/>
          <w:i/>
          <w:iCs/>
          <w:noProof/>
          <w:szCs w:val="24"/>
        </w:rPr>
        <w:t>Clin Cancer Res</w:t>
      </w:r>
      <w:r w:rsidRPr="00AD61B7">
        <w:rPr>
          <w:rFonts w:ascii="Calibri" w:hAnsi="Calibri" w:cs="Calibri"/>
          <w:noProof/>
          <w:szCs w:val="24"/>
        </w:rPr>
        <w:t xml:space="preserve"> 2016; 22: 1185–1196.</w:t>
      </w:r>
    </w:p>
    <w:p w14:paraId="636B599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152. </w:t>
      </w:r>
      <w:r w:rsidRPr="00AD61B7">
        <w:rPr>
          <w:rFonts w:ascii="Calibri" w:hAnsi="Calibri" w:cs="Calibri"/>
          <w:noProof/>
          <w:szCs w:val="24"/>
        </w:rPr>
        <w:tab/>
        <w:t xml:space="preserve">Kim M, Ma DJ, Calligaris D, et al. Efficacy of the MDM2 inhibitor SAR405838 in glioblastoma is limited by poor distribution across the blood–brain barrier. </w:t>
      </w:r>
      <w:r w:rsidRPr="00AD61B7">
        <w:rPr>
          <w:rFonts w:ascii="Calibri" w:hAnsi="Calibri" w:cs="Calibri"/>
          <w:i/>
          <w:iCs/>
          <w:noProof/>
          <w:szCs w:val="24"/>
        </w:rPr>
        <w:t>Mol Cancer Ther</w:t>
      </w:r>
      <w:r w:rsidRPr="00AD61B7">
        <w:rPr>
          <w:rFonts w:ascii="Calibri" w:hAnsi="Calibri" w:cs="Calibri"/>
          <w:noProof/>
          <w:szCs w:val="24"/>
        </w:rPr>
        <w:t xml:space="preserve"> 2018; 17: 1893–1901.</w:t>
      </w:r>
    </w:p>
    <w:p w14:paraId="2858C0B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153. </w:t>
      </w:r>
      <w:r w:rsidRPr="00AD61B7">
        <w:rPr>
          <w:rFonts w:ascii="Calibri" w:hAnsi="Calibri" w:cs="Calibri"/>
          <w:noProof/>
          <w:szCs w:val="24"/>
        </w:rPr>
        <w:tab/>
        <w:t xml:space="preserve">Kato S, Ross JS, Gay L, et al.  Analysis of MDM2 Amplification: Next-Generation Sequencing of Patients With Diverse Malignancies . </w:t>
      </w:r>
      <w:r w:rsidRPr="00AD61B7">
        <w:rPr>
          <w:rFonts w:ascii="Calibri" w:hAnsi="Calibri" w:cs="Calibri"/>
          <w:i/>
          <w:iCs/>
          <w:noProof/>
          <w:szCs w:val="24"/>
        </w:rPr>
        <w:t>JCO Precis Oncol</w:t>
      </w:r>
      <w:r w:rsidRPr="00AD61B7">
        <w:rPr>
          <w:rFonts w:ascii="Calibri" w:hAnsi="Calibri" w:cs="Calibri"/>
          <w:noProof/>
          <w:szCs w:val="24"/>
        </w:rPr>
        <w:t xml:space="preserve"> 2018; 1–14.</w:t>
      </w:r>
    </w:p>
    <w:p w14:paraId="6FE5CB3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154. </w:t>
      </w:r>
      <w:r w:rsidRPr="00AD61B7">
        <w:rPr>
          <w:rFonts w:ascii="Calibri" w:hAnsi="Calibri" w:cs="Calibri"/>
          <w:noProof/>
          <w:szCs w:val="24"/>
        </w:rPr>
        <w:tab/>
        <w:t xml:space="preserve">Montgomery RM, Queiroz L de S, Rogerio F. EGFR, p53, IDH-1 and MDM2 immunohistochemical analysis in glioblastoma: therapeutic and prognostic correlation. </w:t>
      </w:r>
      <w:r w:rsidRPr="00AD61B7">
        <w:rPr>
          <w:rFonts w:ascii="Calibri" w:hAnsi="Calibri" w:cs="Calibri"/>
          <w:i/>
          <w:iCs/>
          <w:noProof/>
          <w:szCs w:val="24"/>
        </w:rPr>
        <w:t>Arq Neuropsiquiatr</w:t>
      </w:r>
      <w:r w:rsidRPr="00AD61B7">
        <w:rPr>
          <w:rFonts w:ascii="Calibri" w:hAnsi="Calibri" w:cs="Calibri"/>
          <w:noProof/>
          <w:szCs w:val="24"/>
        </w:rPr>
        <w:t xml:space="preserve"> 2015; 73: 561–568.</w:t>
      </w:r>
    </w:p>
    <w:p w14:paraId="5DB14F7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155. </w:t>
      </w:r>
      <w:r w:rsidRPr="00AD61B7">
        <w:rPr>
          <w:rFonts w:ascii="Calibri" w:hAnsi="Calibri" w:cs="Calibri"/>
          <w:noProof/>
          <w:szCs w:val="24"/>
        </w:rPr>
        <w:tab/>
        <w:t xml:space="preserve">Thway K, Wang J, Swansbury J, et al. Fluorescence in situ hybridization for MDM2 amplification as a routine ancillary diagnostic tool for suspected well-differentiated and dedifferentiated liposarcomas: Experience at a tertiary center. </w:t>
      </w:r>
      <w:r w:rsidRPr="00AD61B7">
        <w:rPr>
          <w:rFonts w:ascii="Calibri" w:hAnsi="Calibri" w:cs="Calibri"/>
          <w:i/>
          <w:iCs/>
          <w:noProof/>
          <w:szCs w:val="24"/>
        </w:rPr>
        <w:t>Sarcoma</w:t>
      </w:r>
      <w:r w:rsidRPr="00AD61B7">
        <w:rPr>
          <w:rFonts w:ascii="Calibri" w:hAnsi="Calibri" w:cs="Calibri"/>
          <w:noProof/>
          <w:szCs w:val="24"/>
        </w:rPr>
        <w:t>; 2015. Epub ahead of print 25 February 2015. DOI: 10.1155/2015/812089.</w:t>
      </w:r>
    </w:p>
    <w:p w14:paraId="7643B19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156. </w:t>
      </w:r>
      <w:r w:rsidRPr="00AD61B7">
        <w:rPr>
          <w:rFonts w:ascii="Calibri" w:hAnsi="Calibri" w:cs="Calibri"/>
          <w:noProof/>
          <w:szCs w:val="24"/>
        </w:rPr>
        <w:tab/>
        <w:t xml:space="preserve">Li J, Yen C, Liaw D, et al. PTEN, a putative protein tyrosine phosphatase gene mutated in human brain, breast, and prostate cancer. </w:t>
      </w:r>
      <w:r w:rsidRPr="00AD61B7">
        <w:rPr>
          <w:rFonts w:ascii="Calibri" w:hAnsi="Calibri" w:cs="Calibri"/>
          <w:i/>
          <w:iCs/>
          <w:noProof/>
          <w:szCs w:val="24"/>
        </w:rPr>
        <w:t>Science (80- )</w:t>
      </w:r>
      <w:r w:rsidRPr="00AD61B7">
        <w:rPr>
          <w:rFonts w:ascii="Calibri" w:hAnsi="Calibri" w:cs="Calibri"/>
          <w:noProof/>
          <w:szCs w:val="24"/>
        </w:rPr>
        <w:t xml:space="preserve"> 1997; 275: 1943–1947.</w:t>
      </w:r>
    </w:p>
    <w:p w14:paraId="1E011B1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157. </w:t>
      </w:r>
      <w:r w:rsidRPr="00AD61B7">
        <w:rPr>
          <w:rFonts w:ascii="Calibri" w:hAnsi="Calibri" w:cs="Calibri"/>
          <w:noProof/>
          <w:szCs w:val="24"/>
        </w:rPr>
        <w:tab/>
        <w:t xml:space="preserve">Koul D. PTEN signaling pathways in glioblastoma. </w:t>
      </w:r>
      <w:r w:rsidRPr="00AD61B7">
        <w:rPr>
          <w:rFonts w:ascii="Calibri" w:hAnsi="Calibri" w:cs="Calibri"/>
          <w:i/>
          <w:iCs/>
          <w:noProof/>
          <w:szCs w:val="24"/>
        </w:rPr>
        <w:t>Cancer Biology and Therapy</w:t>
      </w:r>
      <w:r w:rsidRPr="00AD61B7">
        <w:rPr>
          <w:rFonts w:ascii="Calibri" w:hAnsi="Calibri" w:cs="Calibri"/>
          <w:noProof/>
          <w:szCs w:val="24"/>
        </w:rPr>
        <w:t xml:space="preserve"> 2008; 7: 1321–1325.</w:t>
      </w:r>
    </w:p>
    <w:p w14:paraId="2B79196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158. </w:t>
      </w:r>
      <w:r w:rsidRPr="00AD61B7">
        <w:rPr>
          <w:rFonts w:ascii="Calibri" w:hAnsi="Calibri" w:cs="Calibri"/>
          <w:noProof/>
          <w:szCs w:val="24"/>
        </w:rPr>
        <w:tab/>
        <w:t xml:space="preserve">Ming M, He YY. PTEN in DNA damage repair. </w:t>
      </w:r>
      <w:r w:rsidRPr="00AD61B7">
        <w:rPr>
          <w:rFonts w:ascii="Calibri" w:hAnsi="Calibri" w:cs="Calibri"/>
          <w:i/>
          <w:iCs/>
          <w:noProof/>
          <w:szCs w:val="24"/>
        </w:rPr>
        <w:t>Cancer Letters</w:t>
      </w:r>
      <w:r w:rsidRPr="00AD61B7">
        <w:rPr>
          <w:rFonts w:ascii="Calibri" w:hAnsi="Calibri" w:cs="Calibri"/>
          <w:noProof/>
          <w:szCs w:val="24"/>
        </w:rPr>
        <w:t xml:space="preserve"> 2012; 319: 125–129.</w:t>
      </w:r>
    </w:p>
    <w:p w14:paraId="5FD021F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159. </w:t>
      </w:r>
      <w:r w:rsidRPr="00AD61B7">
        <w:rPr>
          <w:rFonts w:ascii="Calibri" w:hAnsi="Calibri" w:cs="Calibri"/>
          <w:noProof/>
          <w:szCs w:val="24"/>
        </w:rPr>
        <w:tab/>
        <w:t xml:space="preserve">Smith JS, Tachibana I, Passe SM, et al. PTEN mutation, EGFR amplification, and outcome in patients with anaplastic astrocytoma and glioblastoma multiforme. </w:t>
      </w:r>
      <w:r w:rsidRPr="00AD61B7">
        <w:rPr>
          <w:rFonts w:ascii="Calibri" w:hAnsi="Calibri" w:cs="Calibri"/>
          <w:i/>
          <w:iCs/>
          <w:noProof/>
          <w:szCs w:val="24"/>
        </w:rPr>
        <w:t>J Natl Cancer Inst</w:t>
      </w:r>
      <w:r w:rsidRPr="00AD61B7">
        <w:rPr>
          <w:rFonts w:ascii="Calibri" w:hAnsi="Calibri" w:cs="Calibri"/>
          <w:noProof/>
          <w:szCs w:val="24"/>
        </w:rPr>
        <w:t xml:space="preserve"> 2001; 93: 1246–1256.</w:t>
      </w:r>
    </w:p>
    <w:p w14:paraId="4EB2E3C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160. </w:t>
      </w:r>
      <w:r w:rsidRPr="00AD61B7">
        <w:rPr>
          <w:rFonts w:ascii="Calibri" w:hAnsi="Calibri" w:cs="Calibri"/>
          <w:noProof/>
          <w:szCs w:val="24"/>
        </w:rPr>
        <w:tab/>
        <w:t xml:space="preserve">Srividya MR, Thota B, Shailaja BC, et al. Homozygous 10q23/PTEN deletion and its impact on outcome in glioblastoma: A prospective translational study on a uniformly treated cohort of adult patients. </w:t>
      </w:r>
      <w:r w:rsidRPr="00AD61B7">
        <w:rPr>
          <w:rFonts w:ascii="Calibri" w:hAnsi="Calibri" w:cs="Calibri"/>
          <w:i/>
          <w:iCs/>
          <w:noProof/>
          <w:szCs w:val="24"/>
        </w:rPr>
        <w:t>Neuropathology</w:t>
      </w:r>
      <w:r w:rsidRPr="00AD61B7">
        <w:rPr>
          <w:rFonts w:ascii="Calibri" w:hAnsi="Calibri" w:cs="Calibri"/>
          <w:noProof/>
          <w:szCs w:val="24"/>
        </w:rPr>
        <w:t xml:space="preserve"> 2011; 31: 376–383.</w:t>
      </w:r>
    </w:p>
    <w:p w14:paraId="3FD84EB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161. </w:t>
      </w:r>
      <w:r w:rsidRPr="00AD61B7">
        <w:rPr>
          <w:rFonts w:ascii="Calibri" w:hAnsi="Calibri" w:cs="Calibri"/>
          <w:noProof/>
          <w:szCs w:val="24"/>
        </w:rPr>
        <w:tab/>
        <w:t xml:space="preserve">Chenn A, Walsh CA. Regulation of cerebral cortical size by control of cell cycle exit in neural precursors. </w:t>
      </w:r>
      <w:r w:rsidRPr="00AD61B7">
        <w:rPr>
          <w:rFonts w:ascii="Calibri" w:hAnsi="Calibri" w:cs="Calibri"/>
          <w:i/>
          <w:iCs/>
          <w:noProof/>
          <w:szCs w:val="24"/>
        </w:rPr>
        <w:t>Science (80- )</w:t>
      </w:r>
      <w:r w:rsidRPr="00AD61B7">
        <w:rPr>
          <w:rFonts w:ascii="Calibri" w:hAnsi="Calibri" w:cs="Calibri"/>
          <w:noProof/>
          <w:szCs w:val="24"/>
        </w:rPr>
        <w:t xml:space="preserve"> 2002; 297: 365–369.</w:t>
      </w:r>
    </w:p>
    <w:p w14:paraId="68506FA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162. </w:t>
      </w:r>
      <w:r w:rsidRPr="00AD61B7">
        <w:rPr>
          <w:rFonts w:ascii="Calibri" w:hAnsi="Calibri" w:cs="Calibri"/>
          <w:noProof/>
          <w:szCs w:val="24"/>
        </w:rPr>
        <w:tab/>
        <w:t xml:space="preserve">Fraser MM, Zhu X, Kwon CH, et al. Pten loss causes hypertrophy and increased proliferation of astrocytes in vivo. </w:t>
      </w:r>
      <w:r w:rsidRPr="00AD61B7">
        <w:rPr>
          <w:rFonts w:ascii="Calibri" w:hAnsi="Calibri" w:cs="Calibri"/>
          <w:i/>
          <w:iCs/>
          <w:noProof/>
          <w:szCs w:val="24"/>
        </w:rPr>
        <w:t>Cancer Res</w:t>
      </w:r>
      <w:r w:rsidRPr="00AD61B7">
        <w:rPr>
          <w:rFonts w:ascii="Calibri" w:hAnsi="Calibri" w:cs="Calibri"/>
          <w:noProof/>
          <w:szCs w:val="24"/>
        </w:rPr>
        <w:t xml:space="preserve"> 2004; 64: 7773–7779.</w:t>
      </w:r>
    </w:p>
    <w:p w14:paraId="70D8948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163. </w:t>
      </w:r>
      <w:r w:rsidRPr="00AD61B7">
        <w:rPr>
          <w:rFonts w:ascii="Calibri" w:hAnsi="Calibri" w:cs="Calibri"/>
          <w:noProof/>
          <w:szCs w:val="24"/>
        </w:rPr>
        <w:tab/>
        <w:t xml:space="preserve">Tilot AK, Gaugler MK, Yu Q, et al. Germline disruption of Pten localization causes enhanced sex-dependent social motivation and increased glial production. </w:t>
      </w:r>
      <w:r w:rsidRPr="00AD61B7">
        <w:rPr>
          <w:rFonts w:ascii="Calibri" w:hAnsi="Calibri" w:cs="Calibri"/>
          <w:i/>
          <w:iCs/>
          <w:noProof/>
          <w:szCs w:val="24"/>
        </w:rPr>
        <w:t>Hum Mol Genet</w:t>
      </w:r>
      <w:r w:rsidRPr="00AD61B7">
        <w:rPr>
          <w:rFonts w:ascii="Calibri" w:hAnsi="Calibri" w:cs="Calibri"/>
          <w:noProof/>
          <w:szCs w:val="24"/>
        </w:rPr>
        <w:t xml:space="preserve"> 2014; 23: 3212–3227.</w:t>
      </w:r>
    </w:p>
    <w:p w14:paraId="3FC74C6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164. </w:t>
      </w:r>
      <w:r w:rsidRPr="00AD61B7">
        <w:rPr>
          <w:rFonts w:ascii="Calibri" w:hAnsi="Calibri" w:cs="Calibri"/>
          <w:noProof/>
          <w:szCs w:val="24"/>
        </w:rPr>
        <w:tab/>
        <w:t xml:space="preserve">Chen Y, Huang WC, Séjourné J, et al. Pten mutations alter brain growth trajectory and allocation of cell types through elevated β-Catenin signaling. </w:t>
      </w:r>
      <w:r w:rsidRPr="00AD61B7">
        <w:rPr>
          <w:rFonts w:ascii="Calibri" w:hAnsi="Calibri" w:cs="Calibri"/>
          <w:i/>
          <w:iCs/>
          <w:noProof/>
          <w:szCs w:val="24"/>
        </w:rPr>
        <w:t>J Neurosci</w:t>
      </w:r>
      <w:r w:rsidRPr="00AD61B7">
        <w:rPr>
          <w:rFonts w:ascii="Calibri" w:hAnsi="Calibri" w:cs="Calibri"/>
          <w:noProof/>
          <w:szCs w:val="24"/>
        </w:rPr>
        <w:t xml:space="preserve"> 2015; 35: 10252–10267.</w:t>
      </w:r>
    </w:p>
    <w:p w14:paraId="5BCBA06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165. </w:t>
      </w:r>
      <w:r w:rsidRPr="00AD61B7">
        <w:rPr>
          <w:rFonts w:ascii="Calibri" w:hAnsi="Calibri" w:cs="Calibri"/>
          <w:noProof/>
          <w:szCs w:val="24"/>
        </w:rPr>
        <w:tab/>
        <w:t xml:space="preserve">Chalhoub N, Baker SJ. PTEN and the PI3-kinase pathway in cancer. </w:t>
      </w:r>
      <w:r w:rsidRPr="00AD61B7">
        <w:rPr>
          <w:rFonts w:ascii="Calibri" w:hAnsi="Calibri" w:cs="Calibri"/>
          <w:i/>
          <w:iCs/>
          <w:noProof/>
          <w:szCs w:val="24"/>
        </w:rPr>
        <w:t>Annual Review of Pathology: Mechanisms of Disease</w:t>
      </w:r>
      <w:r w:rsidRPr="00AD61B7">
        <w:rPr>
          <w:rFonts w:ascii="Calibri" w:hAnsi="Calibri" w:cs="Calibri"/>
          <w:noProof/>
          <w:szCs w:val="24"/>
        </w:rPr>
        <w:t xml:space="preserve"> 2009; 4: 127–150.</w:t>
      </w:r>
    </w:p>
    <w:p w14:paraId="2DD6639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166. </w:t>
      </w:r>
      <w:r w:rsidRPr="00AD61B7">
        <w:rPr>
          <w:rFonts w:ascii="Calibri" w:hAnsi="Calibri" w:cs="Calibri"/>
          <w:noProof/>
          <w:szCs w:val="24"/>
        </w:rPr>
        <w:tab/>
        <w:t xml:space="preserve">Kitange GJ, Templeton KL, Jenkins RB. Recent advances in the molecular genetics of primary gliomas. </w:t>
      </w:r>
      <w:r w:rsidRPr="00AD61B7">
        <w:rPr>
          <w:rFonts w:ascii="Calibri" w:hAnsi="Calibri" w:cs="Calibri"/>
          <w:i/>
          <w:iCs/>
          <w:noProof/>
          <w:szCs w:val="24"/>
        </w:rPr>
        <w:t>Current Opinion in Oncology</w:t>
      </w:r>
      <w:r w:rsidRPr="00AD61B7">
        <w:rPr>
          <w:rFonts w:ascii="Calibri" w:hAnsi="Calibri" w:cs="Calibri"/>
          <w:noProof/>
          <w:szCs w:val="24"/>
        </w:rPr>
        <w:t xml:space="preserve"> 2003; 15: 197–203.</w:t>
      </w:r>
    </w:p>
    <w:p w14:paraId="14B78A9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167. </w:t>
      </w:r>
      <w:r w:rsidRPr="00AD61B7">
        <w:rPr>
          <w:rFonts w:ascii="Calibri" w:hAnsi="Calibri" w:cs="Calibri"/>
          <w:noProof/>
          <w:szCs w:val="24"/>
        </w:rPr>
        <w:tab/>
        <w:t xml:space="preserve">Yang JM, Schiapparelli P, Nguyen HN, et al. Characterization of PTEN mutations in brain cancer reveals that pten mono-ubiquitination promotes protein stability and nuclear localization. </w:t>
      </w:r>
      <w:r w:rsidRPr="00AD61B7">
        <w:rPr>
          <w:rFonts w:ascii="Calibri" w:hAnsi="Calibri" w:cs="Calibri"/>
          <w:i/>
          <w:iCs/>
          <w:noProof/>
          <w:szCs w:val="24"/>
        </w:rPr>
        <w:t>Oncogene</w:t>
      </w:r>
      <w:r w:rsidRPr="00AD61B7">
        <w:rPr>
          <w:rFonts w:ascii="Calibri" w:hAnsi="Calibri" w:cs="Calibri"/>
          <w:noProof/>
          <w:szCs w:val="24"/>
        </w:rPr>
        <w:t xml:space="preserve"> 2017; 36: 3673–3685.</w:t>
      </w:r>
    </w:p>
    <w:p w14:paraId="604BE06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168. </w:t>
      </w:r>
      <w:r w:rsidRPr="00AD61B7">
        <w:rPr>
          <w:rFonts w:ascii="Calibri" w:hAnsi="Calibri" w:cs="Calibri"/>
          <w:noProof/>
          <w:szCs w:val="24"/>
        </w:rPr>
        <w:tab/>
        <w:t xml:space="preserve">Korshunov A, Sycheva R, Gorelyshev S, et al. Clinical utility of fluorescence in situ hybridization (FISH) in nonbrainstem glioblastomas of childhood. </w:t>
      </w:r>
      <w:r w:rsidRPr="00AD61B7">
        <w:rPr>
          <w:rFonts w:ascii="Calibri" w:hAnsi="Calibri" w:cs="Calibri"/>
          <w:i/>
          <w:iCs/>
          <w:noProof/>
          <w:szCs w:val="24"/>
        </w:rPr>
        <w:t>Mod Pathol</w:t>
      </w:r>
      <w:r w:rsidRPr="00AD61B7">
        <w:rPr>
          <w:rFonts w:ascii="Calibri" w:hAnsi="Calibri" w:cs="Calibri"/>
          <w:noProof/>
          <w:szCs w:val="24"/>
        </w:rPr>
        <w:t xml:space="preserve"> 2005; 18: 1258–1263.</w:t>
      </w:r>
    </w:p>
    <w:p w14:paraId="59EC8F5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169. </w:t>
      </w:r>
      <w:r w:rsidRPr="00AD61B7">
        <w:rPr>
          <w:rFonts w:ascii="Calibri" w:hAnsi="Calibri" w:cs="Calibri"/>
          <w:noProof/>
          <w:szCs w:val="24"/>
        </w:rPr>
        <w:tab/>
        <w:t xml:space="preserve">Van den Boom J, Wolter M, Kuick R, et al. Characterization of gene expression profiles associated with glioma progression using oligonucleotide-based microarray analysis and real-time reverse transcription-polymerase chain reaction. </w:t>
      </w:r>
      <w:r w:rsidRPr="00AD61B7">
        <w:rPr>
          <w:rFonts w:ascii="Calibri" w:hAnsi="Calibri" w:cs="Calibri"/>
          <w:i/>
          <w:iCs/>
          <w:noProof/>
          <w:szCs w:val="24"/>
        </w:rPr>
        <w:t>Am J Pathol</w:t>
      </w:r>
      <w:r w:rsidRPr="00AD61B7">
        <w:rPr>
          <w:rFonts w:ascii="Calibri" w:hAnsi="Calibri" w:cs="Calibri"/>
          <w:noProof/>
          <w:szCs w:val="24"/>
        </w:rPr>
        <w:t xml:space="preserve"> 2003; 163: 1033–1043.</w:t>
      </w:r>
    </w:p>
    <w:p w14:paraId="6343876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170. </w:t>
      </w:r>
      <w:r w:rsidRPr="00AD61B7">
        <w:rPr>
          <w:rFonts w:ascii="Calibri" w:hAnsi="Calibri" w:cs="Calibri"/>
          <w:noProof/>
          <w:szCs w:val="24"/>
        </w:rPr>
        <w:tab/>
        <w:t xml:space="preserve">Majuelos-Melguizo J, Rodríguez MI, López-Jiménez L, et al. PARP targeting counteracts gliomagenesis through induction of mitotic catastrophe and aggravation of deficiency in homologous recombination in PTEN-mutant glioma. </w:t>
      </w:r>
      <w:r w:rsidRPr="00AD61B7">
        <w:rPr>
          <w:rFonts w:ascii="Calibri" w:hAnsi="Calibri" w:cs="Calibri"/>
          <w:i/>
          <w:iCs/>
          <w:noProof/>
          <w:szCs w:val="24"/>
        </w:rPr>
        <w:t>Oncotarget</w:t>
      </w:r>
      <w:r w:rsidRPr="00AD61B7">
        <w:rPr>
          <w:rFonts w:ascii="Calibri" w:hAnsi="Calibri" w:cs="Calibri"/>
          <w:noProof/>
          <w:szCs w:val="24"/>
        </w:rPr>
        <w:t xml:space="preserve"> 2015; 6: 4790–4803.</w:t>
      </w:r>
    </w:p>
    <w:p w14:paraId="30AE0D8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171. </w:t>
      </w:r>
      <w:r w:rsidRPr="00AD61B7">
        <w:rPr>
          <w:rFonts w:ascii="Calibri" w:hAnsi="Calibri" w:cs="Calibri"/>
          <w:noProof/>
          <w:szCs w:val="24"/>
        </w:rPr>
        <w:tab/>
        <w:t xml:space="preserve">Sweeney SM, Cerami E, Baras A, et al. AACR project genie: Powering precision medicine through an international consortium. </w:t>
      </w:r>
      <w:r w:rsidRPr="00AD61B7">
        <w:rPr>
          <w:rFonts w:ascii="Calibri" w:hAnsi="Calibri" w:cs="Calibri"/>
          <w:i/>
          <w:iCs/>
          <w:noProof/>
          <w:szCs w:val="24"/>
        </w:rPr>
        <w:t>Cancer Discov</w:t>
      </w:r>
      <w:r w:rsidRPr="00AD61B7">
        <w:rPr>
          <w:rFonts w:ascii="Calibri" w:hAnsi="Calibri" w:cs="Calibri"/>
          <w:noProof/>
          <w:szCs w:val="24"/>
        </w:rPr>
        <w:t xml:space="preserve"> 2017; 7: 818–831.</w:t>
      </w:r>
    </w:p>
    <w:p w14:paraId="2049B3B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172. </w:t>
      </w:r>
      <w:r w:rsidRPr="00AD61B7">
        <w:rPr>
          <w:rFonts w:ascii="Calibri" w:hAnsi="Calibri" w:cs="Calibri"/>
          <w:noProof/>
          <w:szCs w:val="24"/>
        </w:rPr>
        <w:tab/>
        <w:t xml:space="preserve">Lu VM, O’Connor KP, Shah AH, et al. The prognostic significance of CDKN2A homozygous deletion in IDH-mutant lower-grade glioma and glioblastoma: a systematic review of the contemporary literature. </w:t>
      </w:r>
      <w:r w:rsidRPr="00AD61B7">
        <w:rPr>
          <w:rFonts w:ascii="Calibri" w:hAnsi="Calibri" w:cs="Calibri"/>
          <w:i/>
          <w:iCs/>
          <w:noProof/>
          <w:szCs w:val="24"/>
        </w:rPr>
        <w:t>Journal of Neuro-Oncology</w:t>
      </w:r>
      <w:r w:rsidRPr="00AD61B7">
        <w:rPr>
          <w:rFonts w:ascii="Calibri" w:hAnsi="Calibri" w:cs="Calibri"/>
          <w:noProof/>
          <w:szCs w:val="24"/>
        </w:rPr>
        <w:t xml:space="preserve"> 2020; 148: 221–229.</w:t>
      </w:r>
    </w:p>
    <w:p w14:paraId="4680F5E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173. </w:t>
      </w:r>
      <w:r w:rsidRPr="00AD61B7">
        <w:rPr>
          <w:rFonts w:ascii="Calibri" w:hAnsi="Calibri" w:cs="Calibri"/>
          <w:noProof/>
          <w:szCs w:val="24"/>
        </w:rPr>
        <w:tab/>
        <w:t xml:space="preserve">Weller M, Felsberg J, Hartmann C, et al. Molecular predictors of progression-free and overall survival in patients with newly diagnosed glioblastoma: A prospective translational study of the German Glioma Network. </w:t>
      </w:r>
      <w:r w:rsidRPr="00AD61B7">
        <w:rPr>
          <w:rFonts w:ascii="Calibri" w:hAnsi="Calibri" w:cs="Calibri"/>
          <w:i/>
          <w:iCs/>
          <w:noProof/>
          <w:szCs w:val="24"/>
        </w:rPr>
        <w:t>J Clin Oncol</w:t>
      </w:r>
      <w:r w:rsidRPr="00AD61B7">
        <w:rPr>
          <w:rFonts w:ascii="Calibri" w:hAnsi="Calibri" w:cs="Calibri"/>
          <w:noProof/>
          <w:szCs w:val="24"/>
        </w:rPr>
        <w:t xml:space="preserve"> 2009; 27: 5743–5750.</w:t>
      </w:r>
    </w:p>
    <w:p w14:paraId="5C66B17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174. </w:t>
      </w:r>
      <w:r w:rsidRPr="00AD61B7">
        <w:rPr>
          <w:rFonts w:ascii="Calibri" w:hAnsi="Calibri" w:cs="Calibri"/>
          <w:noProof/>
          <w:szCs w:val="24"/>
        </w:rPr>
        <w:tab/>
        <w:t xml:space="preserve">Liu W, Lv G, Li Y, et al. Downregulation of CDKN2A and suppression of cyclin D1 gene expressions in malignant gliomas. </w:t>
      </w:r>
      <w:r w:rsidRPr="00AD61B7">
        <w:rPr>
          <w:rFonts w:ascii="Calibri" w:hAnsi="Calibri" w:cs="Calibri"/>
          <w:i/>
          <w:iCs/>
          <w:noProof/>
          <w:szCs w:val="24"/>
        </w:rPr>
        <w:t>J Exp Clin Cancer Res</w:t>
      </w:r>
      <w:r w:rsidRPr="00AD61B7">
        <w:rPr>
          <w:rFonts w:ascii="Calibri" w:hAnsi="Calibri" w:cs="Calibri"/>
          <w:noProof/>
          <w:szCs w:val="24"/>
        </w:rPr>
        <w:t xml:space="preserve"> 2011; 30: 76.</w:t>
      </w:r>
    </w:p>
    <w:p w14:paraId="6AB37A3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175. </w:t>
      </w:r>
      <w:r w:rsidRPr="00AD61B7">
        <w:rPr>
          <w:rFonts w:ascii="Calibri" w:hAnsi="Calibri" w:cs="Calibri"/>
          <w:noProof/>
          <w:szCs w:val="24"/>
        </w:rPr>
        <w:tab/>
        <w:t xml:space="preserve">Zerrouqi A, Pyrzynska B, Febbraio M, et al. P14ARF inhibits human glioblastoma-induced angiogenesis by upregulating the expression of TIMP3. </w:t>
      </w:r>
      <w:r w:rsidRPr="00AD61B7">
        <w:rPr>
          <w:rFonts w:ascii="Calibri" w:hAnsi="Calibri" w:cs="Calibri"/>
          <w:i/>
          <w:iCs/>
          <w:noProof/>
          <w:szCs w:val="24"/>
        </w:rPr>
        <w:t>J Clin Invest</w:t>
      </w:r>
      <w:r w:rsidRPr="00AD61B7">
        <w:rPr>
          <w:rFonts w:ascii="Calibri" w:hAnsi="Calibri" w:cs="Calibri"/>
          <w:noProof/>
          <w:szCs w:val="24"/>
        </w:rPr>
        <w:t xml:space="preserve"> 2012; 122: 1283–1295.</w:t>
      </w:r>
    </w:p>
    <w:p w14:paraId="0265B66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176. </w:t>
      </w:r>
      <w:r w:rsidRPr="00AD61B7">
        <w:rPr>
          <w:rFonts w:ascii="Calibri" w:hAnsi="Calibri" w:cs="Calibri"/>
          <w:noProof/>
          <w:szCs w:val="24"/>
        </w:rPr>
        <w:tab/>
        <w:t xml:space="preserve">Reis GF, Pekmezci M, Hansen HM, et al. CDKN2A Loss Is Associated with Shortened Overall Survival in Lower-Grade (World Health Organization Grades II-III) Astrocytomas. </w:t>
      </w:r>
      <w:r w:rsidRPr="00AD61B7">
        <w:rPr>
          <w:rFonts w:ascii="Calibri" w:hAnsi="Calibri" w:cs="Calibri"/>
          <w:i/>
          <w:iCs/>
          <w:noProof/>
          <w:szCs w:val="24"/>
        </w:rPr>
        <w:t>J Neuropathol Exp Neurol</w:t>
      </w:r>
      <w:r w:rsidRPr="00AD61B7">
        <w:rPr>
          <w:rFonts w:ascii="Calibri" w:hAnsi="Calibri" w:cs="Calibri"/>
          <w:noProof/>
          <w:szCs w:val="24"/>
        </w:rPr>
        <w:t xml:space="preserve"> 2015; 74: 442–452.</w:t>
      </w:r>
    </w:p>
    <w:p w14:paraId="131450E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177. </w:t>
      </w:r>
      <w:r w:rsidRPr="00AD61B7">
        <w:rPr>
          <w:rFonts w:ascii="Calibri" w:hAnsi="Calibri" w:cs="Calibri"/>
          <w:noProof/>
          <w:szCs w:val="24"/>
        </w:rPr>
        <w:tab/>
        <w:t xml:space="preserve">Purkait S, Jha P, Sharma MC, et al. CDKN2A deletion in pediatric versus adult glioblastomas and predictive value of p16 immunohistochemistry. </w:t>
      </w:r>
      <w:r w:rsidRPr="00AD61B7">
        <w:rPr>
          <w:rFonts w:ascii="Calibri" w:hAnsi="Calibri" w:cs="Calibri"/>
          <w:i/>
          <w:iCs/>
          <w:noProof/>
          <w:szCs w:val="24"/>
        </w:rPr>
        <w:t>Neuropathology</w:t>
      </w:r>
      <w:r w:rsidRPr="00AD61B7">
        <w:rPr>
          <w:rFonts w:ascii="Calibri" w:hAnsi="Calibri" w:cs="Calibri"/>
          <w:noProof/>
          <w:szCs w:val="24"/>
        </w:rPr>
        <w:t xml:space="preserve"> 2013; 33: 405–412.</w:t>
      </w:r>
    </w:p>
    <w:p w14:paraId="0D6FCD6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178. </w:t>
      </w:r>
      <w:r w:rsidRPr="00AD61B7">
        <w:rPr>
          <w:rFonts w:ascii="Calibri" w:hAnsi="Calibri" w:cs="Calibri"/>
          <w:noProof/>
          <w:szCs w:val="24"/>
        </w:rPr>
        <w:tab/>
        <w:t xml:space="preserve">Aveyard JS, Knowles MA. Measurement of relative copy number of CDKN2A/ARF and CDKN2B in bladder cancer by real-time quantitative PCR and multiplex ligation-dependent probe amplification. </w:t>
      </w:r>
      <w:r w:rsidRPr="00AD61B7">
        <w:rPr>
          <w:rFonts w:ascii="Calibri" w:hAnsi="Calibri" w:cs="Calibri"/>
          <w:i/>
          <w:iCs/>
          <w:noProof/>
          <w:szCs w:val="24"/>
        </w:rPr>
        <w:t>J Mol Diagnostics</w:t>
      </w:r>
      <w:r w:rsidRPr="00AD61B7">
        <w:rPr>
          <w:rFonts w:ascii="Calibri" w:hAnsi="Calibri" w:cs="Calibri"/>
          <w:noProof/>
          <w:szCs w:val="24"/>
        </w:rPr>
        <w:t xml:space="preserve"> 2004; 6: 356–365.</w:t>
      </w:r>
    </w:p>
    <w:p w14:paraId="152827C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179. </w:t>
      </w:r>
      <w:r w:rsidRPr="00AD61B7">
        <w:rPr>
          <w:rFonts w:ascii="Calibri" w:hAnsi="Calibri" w:cs="Calibri"/>
          <w:noProof/>
          <w:szCs w:val="24"/>
        </w:rPr>
        <w:tab/>
        <w:t xml:space="preserve">Cachia AR, Indsto JO, Mclaren KM, et al. </w:t>
      </w:r>
      <w:r w:rsidRPr="00AD61B7">
        <w:rPr>
          <w:rFonts w:ascii="Calibri" w:hAnsi="Calibri" w:cs="Calibri"/>
          <w:i/>
          <w:iCs/>
          <w:noProof/>
          <w:szCs w:val="24"/>
        </w:rPr>
        <w:t>CDKN2A Mutation and Deletion Status in Thin and Thick Primary Melanoma 1</w:t>
      </w:r>
      <w:r w:rsidRPr="00AD61B7">
        <w:rPr>
          <w:rFonts w:ascii="Calibri" w:hAnsi="Calibri" w:cs="Calibri"/>
          <w:noProof/>
          <w:szCs w:val="24"/>
        </w:rPr>
        <w:t>. 2000.</w:t>
      </w:r>
    </w:p>
    <w:p w14:paraId="408B206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180. </w:t>
      </w:r>
      <w:r w:rsidRPr="00AD61B7">
        <w:rPr>
          <w:rFonts w:ascii="Calibri" w:hAnsi="Calibri" w:cs="Calibri"/>
          <w:noProof/>
          <w:szCs w:val="24"/>
        </w:rPr>
        <w:tab/>
        <w:t xml:space="preserve">Pardee AB. G1 events and regulation of cell proliferation. </w:t>
      </w:r>
      <w:r w:rsidRPr="00AD61B7">
        <w:rPr>
          <w:rFonts w:ascii="Calibri" w:hAnsi="Calibri" w:cs="Calibri"/>
          <w:i/>
          <w:iCs/>
          <w:noProof/>
          <w:szCs w:val="24"/>
        </w:rPr>
        <w:t>Science (80- )</w:t>
      </w:r>
      <w:r w:rsidRPr="00AD61B7">
        <w:rPr>
          <w:rFonts w:ascii="Calibri" w:hAnsi="Calibri" w:cs="Calibri"/>
          <w:noProof/>
          <w:szCs w:val="24"/>
        </w:rPr>
        <w:t xml:space="preserve"> 1989; 246: 603–608.</w:t>
      </w:r>
    </w:p>
    <w:p w14:paraId="3467468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181. </w:t>
      </w:r>
      <w:r w:rsidRPr="00AD61B7">
        <w:rPr>
          <w:rFonts w:ascii="Calibri" w:hAnsi="Calibri" w:cs="Calibri"/>
          <w:noProof/>
          <w:szCs w:val="24"/>
        </w:rPr>
        <w:tab/>
        <w:t xml:space="preserve">Knudsen KE, Alan Diehl J, Haiman CA, et al. Cyclin D1: Polymorphism, aberrant splicing and cancer risk. </w:t>
      </w:r>
      <w:r w:rsidRPr="00AD61B7">
        <w:rPr>
          <w:rFonts w:ascii="Calibri" w:hAnsi="Calibri" w:cs="Calibri"/>
          <w:i/>
          <w:iCs/>
          <w:noProof/>
          <w:szCs w:val="24"/>
        </w:rPr>
        <w:t>Oncogene</w:t>
      </w:r>
      <w:r w:rsidRPr="00AD61B7">
        <w:rPr>
          <w:rFonts w:ascii="Calibri" w:hAnsi="Calibri" w:cs="Calibri"/>
          <w:noProof/>
          <w:szCs w:val="24"/>
        </w:rPr>
        <w:t xml:space="preserve"> 2006; 25: 1620–1628.</w:t>
      </w:r>
    </w:p>
    <w:p w14:paraId="790A19A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182. </w:t>
      </w:r>
      <w:r w:rsidRPr="00AD61B7">
        <w:rPr>
          <w:rFonts w:ascii="Calibri" w:hAnsi="Calibri" w:cs="Calibri"/>
          <w:noProof/>
          <w:szCs w:val="24"/>
        </w:rPr>
        <w:tab/>
        <w:t xml:space="preserve">Serrano M, Hannon GJ, Beach D. A new regulatory motif in cell-cycle control causing specific inhibition of cyclin D/CDK4. </w:t>
      </w:r>
      <w:r w:rsidRPr="00AD61B7">
        <w:rPr>
          <w:rFonts w:ascii="Calibri" w:hAnsi="Calibri" w:cs="Calibri"/>
          <w:i/>
          <w:iCs/>
          <w:noProof/>
          <w:szCs w:val="24"/>
        </w:rPr>
        <w:t>Nature</w:t>
      </w:r>
      <w:r w:rsidRPr="00AD61B7">
        <w:rPr>
          <w:rFonts w:ascii="Calibri" w:hAnsi="Calibri" w:cs="Calibri"/>
          <w:noProof/>
          <w:szCs w:val="24"/>
        </w:rPr>
        <w:t xml:space="preserve"> 1993; 366: 704–707.</w:t>
      </w:r>
    </w:p>
    <w:p w14:paraId="1386659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183. </w:t>
      </w:r>
      <w:r w:rsidRPr="00AD61B7">
        <w:rPr>
          <w:rFonts w:ascii="Calibri" w:hAnsi="Calibri" w:cs="Calibri"/>
          <w:noProof/>
          <w:szCs w:val="24"/>
        </w:rPr>
        <w:tab/>
        <w:t xml:space="preserve">Zhang D, Dai D, Zhou M, et al. Inhibition of Cyclin D1 Expression in Human Glioblastoma Cells is Associated with Increased Temozolomide Chemosensitivity. </w:t>
      </w:r>
      <w:r w:rsidRPr="00AD61B7">
        <w:rPr>
          <w:rFonts w:ascii="Calibri" w:hAnsi="Calibri" w:cs="Calibri"/>
          <w:i/>
          <w:iCs/>
          <w:noProof/>
          <w:szCs w:val="24"/>
        </w:rPr>
        <w:t>Cell Physiol Biochem</w:t>
      </w:r>
      <w:r w:rsidRPr="00AD61B7">
        <w:rPr>
          <w:rFonts w:ascii="Calibri" w:hAnsi="Calibri" w:cs="Calibri"/>
          <w:noProof/>
          <w:szCs w:val="24"/>
        </w:rPr>
        <w:t xml:space="preserve"> 2018; 51: 2496–2508.</w:t>
      </w:r>
    </w:p>
    <w:p w14:paraId="25F3667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184. </w:t>
      </w:r>
      <w:r w:rsidRPr="00AD61B7">
        <w:rPr>
          <w:rFonts w:ascii="Calibri" w:hAnsi="Calibri" w:cs="Calibri"/>
          <w:noProof/>
          <w:szCs w:val="24"/>
        </w:rPr>
        <w:tab/>
        <w:t xml:space="preserve">Wang J, Wang Q, Cui Y, et al. Knockdown of cyclin D1 inhibits proliferation, induces apoptosis, and attenuates the invasive capacity of human glioblastoma cells. </w:t>
      </w:r>
      <w:r w:rsidRPr="00AD61B7">
        <w:rPr>
          <w:rFonts w:ascii="Calibri" w:hAnsi="Calibri" w:cs="Calibri"/>
          <w:i/>
          <w:iCs/>
          <w:noProof/>
          <w:szCs w:val="24"/>
        </w:rPr>
        <w:t>J Neurooncol</w:t>
      </w:r>
      <w:r w:rsidRPr="00AD61B7">
        <w:rPr>
          <w:rFonts w:ascii="Calibri" w:hAnsi="Calibri" w:cs="Calibri"/>
          <w:noProof/>
          <w:szCs w:val="24"/>
        </w:rPr>
        <w:t xml:space="preserve"> 2012; 106: 473–484.</w:t>
      </w:r>
    </w:p>
    <w:p w14:paraId="05AF71B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185. </w:t>
      </w:r>
      <w:r w:rsidRPr="00AD61B7">
        <w:rPr>
          <w:rFonts w:ascii="Calibri" w:hAnsi="Calibri" w:cs="Calibri"/>
          <w:noProof/>
          <w:szCs w:val="24"/>
        </w:rPr>
        <w:tab/>
        <w:t xml:space="preserve">Cemeli T, Guasch‐Vallés M, Nàger M, et al. Cytoplasmic cyclin D1 regulates glioblastoma dissemination. </w:t>
      </w:r>
      <w:r w:rsidRPr="00AD61B7">
        <w:rPr>
          <w:rFonts w:ascii="Calibri" w:hAnsi="Calibri" w:cs="Calibri"/>
          <w:i/>
          <w:iCs/>
          <w:noProof/>
          <w:szCs w:val="24"/>
        </w:rPr>
        <w:t>J Pathol</w:t>
      </w:r>
      <w:r w:rsidRPr="00AD61B7">
        <w:rPr>
          <w:rFonts w:ascii="Calibri" w:hAnsi="Calibri" w:cs="Calibri"/>
          <w:noProof/>
          <w:szCs w:val="24"/>
        </w:rPr>
        <w:t xml:space="preserve"> 2019; 248: 501–513.</w:t>
      </w:r>
    </w:p>
    <w:p w14:paraId="36AA956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186. </w:t>
      </w:r>
      <w:r w:rsidRPr="00AD61B7">
        <w:rPr>
          <w:rFonts w:ascii="Calibri" w:hAnsi="Calibri" w:cs="Calibri"/>
          <w:noProof/>
          <w:szCs w:val="24"/>
        </w:rPr>
        <w:tab/>
        <w:t xml:space="preserve">Naqvi AZ, Mahjabeen I, Ameen S, et al. Genetic and expression variations of cell cycle pathway genes in brain tumor patients. </w:t>
      </w:r>
      <w:r w:rsidRPr="00AD61B7">
        <w:rPr>
          <w:rFonts w:ascii="Calibri" w:hAnsi="Calibri" w:cs="Calibri"/>
          <w:i/>
          <w:iCs/>
          <w:noProof/>
          <w:szCs w:val="24"/>
        </w:rPr>
        <w:t>Biosci Rep</w:t>
      </w:r>
      <w:r w:rsidRPr="00AD61B7">
        <w:rPr>
          <w:rFonts w:ascii="Calibri" w:hAnsi="Calibri" w:cs="Calibri"/>
          <w:noProof/>
          <w:szCs w:val="24"/>
        </w:rPr>
        <w:t>; 40. Epub ahead of print 1 May 2020. DOI: 10.1042/BSR20190629.</w:t>
      </w:r>
    </w:p>
    <w:p w14:paraId="4932906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187. </w:t>
      </w:r>
      <w:r w:rsidRPr="00AD61B7">
        <w:rPr>
          <w:rFonts w:ascii="Calibri" w:hAnsi="Calibri" w:cs="Calibri"/>
          <w:noProof/>
          <w:szCs w:val="24"/>
        </w:rPr>
        <w:tab/>
        <w:t xml:space="preserve">Schwartzentruber J, Korshunov A, Liu XY, et al. Driver mutations in histone H3.3 and chromatin remodelling genes in paediatric glioblastoma. </w:t>
      </w:r>
      <w:r w:rsidRPr="00AD61B7">
        <w:rPr>
          <w:rFonts w:ascii="Calibri" w:hAnsi="Calibri" w:cs="Calibri"/>
          <w:i/>
          <w:iCs/>
          <w:noProof/>
          <w:szCs w:val="24"/>
        </w:rPr>
        <w:t>Nature</w:t>
      </w:r>
      <w:r w:rsidRPr="00AD61B7">
        <w:rPr>
          <w:rFonts w:ascii="Calibri" w:hAnsi="Calibri" w:cs="Calibri"/>
          <w:noProof/>
          <w:szCs w:val="24"/>
        </w:rPr>
        <w:t xml:space="preserve"> 2012; 482: 226–231.</w:t>
      </w:r>
    </w:p>
    <w:p w14:paraId="33DA55D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188. </w:t>
      </w:r>
      <w:r w:rsidRPr="00AD61B7">
        <w:rPr>
          <w:rFonts w:ascii="Calibri" w:hAnsi="Calibri" w:cs="Calibri"/>
          <w:noProof/>
          <w:szCs w:val="24"/>
        </w:rPr>
        <w:tab/>
        <w:t xml:space="preserve">Gojo J, Pavelka Z, Zapletalova D, et al. Personalized Treatment of H3K27M-Mutant Pediatric Diffuse Gliomas Provides Improved Therapeutic Opportunities. </w:t>
      </w:r>
      <w:r w:rsidRPr="00AD61B7">
        <w:rPr>
          <w:rFonts w:ascii="Calibri" w:hAnsi="Calibri" w:cs="Calibri"/>
          <w:i/>
          <w:iCs/>
          <w:noProof/>
          <w:szCs w:val="24"/>
        </w:rPr>
        <w:t>Front Oncol</w:t>
      </w:r>
      <w:r w:rsidRPr="00AD61B7">
        <w:rPr>
          <w:rFonts w:ascii="Calibri" w:hAnsi="Calibri" w:cs="Calibri"/>
          <w:noProof/>
          <w:szCs w:val="24"/>
        </w:rPr>
        <w:t xml:space="preserve"> 2020; 9: 1436.</w:t>
      </w:r>
    </w:p>
    <w:p w14:paraId="5A1B3F0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189. </w:t>
      </w:r>
      <w:r w:rsidRPr="00AD61B7">
        <w:rPr>
          <w:rFonts w:ascii="Calibri" w:hAnsi="Calibri" w:cs="Calibri"/>
          <w:noProof/>
          <w:szCs w:val="24"/>
        </w:rPr>
        <w:tab/>
        <w:t xml:space="preserve">Tauziède-Espariat A, Saffroy R, Pagès M, et al. Cerebellar high-grade gliomas do not present the same molecular alterations as supratentorial high-grade gliomas and may show histone H3 gene mutations. </w:t>
      </w:r>
      <w:r w:rsidRPr="00AD61B7">
        <w:rPr>
          <w:rFonts w:ascii="Calibri" w:hAnsi="Calibri" w:cs="Calibri"/>
          <w:i/>
          <w:iCs/>
          <w:noProof/>
          <w:szCs w:val="24"/>
        </w:rPr>
        <w:t>Clin Neuropathol</w:t>
      </w:r>
      <w:r w:rsidRPr="00AD61B7">
        <w:rPr>
          <w:rFonts w:ascii="Calibri" w:hAnsi="Calibri" w:cs="Calibri"/>
          <w:noProof/>
          <w:szCs w:val="24"/>
        </w:rPr>
        <w:t xml:space="preserve"> 2018; 37: 209–216.</w:t>
      </w:r>
    </w:p>
    <w:p w14:paraId="624E561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190. </w:t>
      </w:r>
      <w:r w:rsidRPr="00AD61B7">
        <w:rPr>
          <w:rFonts w:ascii="Calibri" w:hAnsi="Calibri" w:cs="Calibri"/>
          <w:noProof/>
          <w:szCs w:val="24"/>
        </w:rPr>
        <w:tab/>
        <w:t xml:space="preserve">Picart T, Barritault M, Berthillier J, et al. Characteristics of cerebellar glioblastomas in adults. </w:t>
      </w:r>
      <w:r w:rsidRPr="00AD61B7">
        <w:rPr>
          <w:rFonts w:ascii="Calibri" w:hAnsi="Calibri" w:cs="Calibri"/>
          <w:i/>
          <w:iCs/>
          <w:noProof/>
          <w:szCs w:val="24"/>
        </w:rPr>
        <w:t>J Neurooncol</w:t>
      </w:r>
      <w:r w:rsidRPr="00AD61B7">
        <w:rPr>
          <w:rFonts w:ascii="Calibri" w:hAnsi="Calibri" w:cs="Calibri"/>
          <w:noProof/>
          <w:szCs w:val="24"/>
        </w:rPr>
        <w:t xml:space="preserve"> 2018; 136: 555–563.</w:t>
      </w:r>
    </w:p>
    <w:p w14:paraId="7249D36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191. </w:t>
      </w:r>
      <w:r w:rsidRPr="00AD61B7">
        <w:rPr>
          <w:rFonts w:ascii="Calibri" w:hAnsi="Calibri" w:cs="Calibri"/>
          <w:noProof/>
          <w:szCs w:val="24"/>
        </w:rPr>
        <w:tab/>
        <w:t xml:space="preserve">Schreck KC, Ranjan S, Skorupan N, et al. Incidence and clinicopathologic features of H3 K27M mutations in adults with radiographically-determined midline gliomas. </w:t>
      </w:r>
      <w:r w:rsidRPr="00AD61B7">
        <w:rPr>
          <w:rFonts w:ascii="Calibri" w:hAnsi="Calibri" w:cs="Calibri"/>
          <w:i/>
          <w:iCs/>
          <w:noProof/>
          <w:szCs w:val="24"/>
        </w:rPr>
        <w:t>J Neurooncol</w:t>
      </w:r>
      <w:r w:rsidRPr="00AD61B7">
        <w:rPr>
          <w:rFonts w:ascii="Calibri" w:hAnsi="Calibri" w:cs="Calibri"/>
          <w:noProof/>
          <w:szCs w:val="24"/>
        </w:rPr>
        <w:t>; 143. Epub ahead of print 2019. DOI: 10.1007/s11060-019-03134-x.</w:t>
      </w:r>
    </w:p>
    <w:p w14:paraId="153FD37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192. </w:t>
      </w:r>
      <w:r w:rsidRPr="00AD61B7">
        <w:rPr>
          <w:rFonts w:ascii="Calibri" w:hAnsi="Calibri" w:cs="Calibri"/>
          <w:noProof/>
          <w:szCs w:val="24"/>
        </w:rPr>
        <w:tab/>
        <w:t xml:space="preserve">Mosaab A, El-Ayadi M, Khorshed EN, et al. Histone H3K27M Mutation Overrides Histological Grading in Pediatric Gliomas. </w:t>
      </w:r>
      <w:r w:rsidRPr="00AD61B7">
        <w:rPr>
          <w:rFonts w:ascii="Calibri" w:hAnsi="Calibri" w:cs="Calibri"/>
          <w:i/>
          <w:iCs/>
          <w:noProof/>
          <w:szCs w:val="24"/>
        </w:rPr>
        <w:t>Sci Rep</w:t>
      </w:r>
      <w:r w:rsidRPr="00AD61B7">
        <w:rPr>
          <w:rFonts w:ascii="Calibri" w:hAnsi="Calibri" w:cs="Calibri"/>
          <w:noProof/>
          <w:szCs w:val="24"/>
        </w:rPr>
        <w:t>; 10. Epub ahead of print 1 December 2020. DOI: 10.1038/s41598-020-65272-x.</w:t>
      </w:r>
    </w:p>
    <w:p w14:paraId="4CA1176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193. </w:t>
      </w:r>
      <w:r w:rsidRPr="00AD61B7">
        <w:rPr>
          <w:rFonts w:ascii="Calibri" w:hAnsi="Calibri" w:cs="Calibri"/>
          <w:noProof/>
          <w:szCs w:val="24"/>
        </w:rPr>
        <w:tab/>
        <w:t xml:space="preserve">Huang T, Garcia R, Qi J, et al. Detection of histone H3 K27M mutation and post-translational modifications in pediatric diffuse midline glioma via tissue immunohistochemistry informs diagnosis and clinical outcomes. </w:t>
      </w:r>
      <w:r w:rsidRPr="00AD61B7">
        <w:rPr>
          <w:rFonts w:ascii="Calibri" w:hAnsi="Calibri" w:cs="Calibri"/>
          <w:i/>
          <w:iCs/>
          <w:noProof/>
          <w:szCs w:val="24"/>
        </w:rPr>
        <w:t>Oncotarget</w:t>
      </w:r>
      <w:r w:rsidRPr="00AD61B7">
        <w:rPr>
          <w:rFonts w:ascii="Calibri" w:hAnsi="Calibri" w:cs="Calibri"/>
          <w:noProof/>
          <w:szCs w:val="24"/>
        </w:rPr>
        <w:t xml:space="preserve"> 2018; 9: 37112–37124.</w:t>
      </w:r>
    </w:p>
    <w:p w14:paraId="5B0AF48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194. </w:t>
      </w:r>
      <w:r w:rsidRPr="00AD61B7">
        <w:rPr>
          <w:rFonts w:ascii="Calibri" w:hAnsi="Calibri" w:cs="Calibri"/>
          <w:noProof/>
          <w:szCs w:val="24"/>
        </w:rPr>
        <w:tab/>
        <w:t xml:space="preserve">Fan Q-W, Weiss WA. Targeting the RTK-PI3K-mTOR Axis in Malignant Glioma: Overcoming Resistance. In: </w:t>
      </w:r>
      <w:r w:rsidRPr="00AD61B7">
        <w:rPr>
          <w:rFonts w:ascii="Calibri" w:hAnsi="Calibri" w:cs="Calibri"/>
          <w:i/>
          <w:iCs/>
          <w:noProof/>
          <w:szCs w:val="24"/>
        </w:rPr>
        <w:t>Current topics in microbiology and immunology</w:t>
      </w:r>
      <w:r w:rsidRPr="00AD61B7">
        <w:rPr>
          <w:rFonts w:ascii="Calibri" w:hAnsi="Calibri" w:cs="Calibri"/>
          <w:noProof/>
          <w:szCs w:val="24"/>
        </w:rPr>
        <w:t>. Curr Top Microbiol Immunol, pp. 279–296.</w:t>
      </w:r>
    </w:p>
    <w:p w14:paraId="4E5498E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195. </w:t>
      </w:r>
      <w:r w:rsidRPr="00AD61B7">
        <w:rPr>
          <w:rFonts w:ascii="Calibri" w:hAnsi="Calibri" w:cs="Calibri"/>
          <w:noProof/>
          <w:szCs w:val="24"/>
        </w:rPr>
        <w:tab/>
        <w:t xml:space="preserve">Westhoff M-A, Karpel-Massler G, Brühl O, et al. A critical evaluation of PI3K inhibition in Glioblastoma and Neuroblastoma therapy. </w:t>
      </w:r>
      <w:r w:rsidRPr="00AD61B7">
        <w:rPr>
          <w:rFonts w:ascii="Calibri" w:hAnsi="Calibri" w:cs="Calibri"/>
          <w:i/>
          <w:iCs/>
          <w:noProof/>
          <w:szCs w:val="24"/>
        </w:rPr>
        <w:t>Mol Cell Ther</w:t>
      </w:r>
      <w:r w:rsidRPr="00AD61B7">
        <w:rPr>
          <w:rFonts w:ascii="Calibri" w:hAnsi="Calibri" w:cs="Calibri"/>
          <w:noProof/>
          <w:szCs w:val="24"/>
        </w:rPr>
        <w:t xml:space="preserve"> 2014; 2: 32.</w:t>
      </w:r>
    </w:p>
    <w:p w14:paraId="1E7B451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196. </w:t>
      </w:r>
      <w:r w:rsidRPr="00AD61B7">
        <w:rPr>
          <w:rFonts w:ascii="Calibri" w:hAnsi="Calibri" w:cs="Calibri"/>
          <w:noProof/>
          <w:szCs w:val="24"/>
        </w:rPr>
        <w:tab/>
        <w:t xml:space="preserve">Ströbele S, Schneider M, Schneele L, et al. A Potential Role for the Inhibition of PI3K Signaling in Glioblastoma Therapy. </w:t>
      </w:r>
      <w:r w:rsidRPr="00AD61B7">
        <w:rPr>
          <w:rFonts w:ascii="Calibri" w:hAnsi="Calibri" w:cs="Calibri"/>
          <w:i/>
          <w:iCs/>
          <w:noProof/>
          <w:szCs w:val="24"/>
        </w:rPr>
        <w:t>PLoS One</w:t>
      </w:r>
      <w:r w:rsidRPr="00AD61B7">
        <w:rPr>
          <w:rFonts w:ascii="Calibri" w:hAnsi="Calibri" w:cs="Calibri"/>
          <w:noProof/>
          <w:szCs w:val="24"/>
        </w:rPr>
        <w:t xml:space="preserve"> 2015; 10: e0131670.</w:t>
      </w:r>
    </w:p>
    <w:p w14:paraId="7A16556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197. </w:t>
      </w:r>
      <w:r w:rsidRPr="00AD61B7">
        <w:rPr>
          <w:rFonts w:ascii="Calibri" w:hAnsi="Calibri" w:cs="Calibri"/>
          <w:noProof/>
          <w:szCs w:val="24"/>
        </w:rPr>
        <w:tab/>
        <w:t xml:space="preserve">Langhans J, Schneele L, Trenkler N, et al. The effects of PI3K-mediated signalling on glioblastoma cell behaviour. </w:t>
      </w:r>
      <w:r w:rsidRPr="00AD61B7">
        <w:rPr>
          <w:rFonts w:ascii="Calibri" w:hAnsi="Calibri" w:cs="Calibri"/>
          <w:i/>
          <w:iCs/>
          <w:noProof/>
          <w:szCs w:val="24"/>
        </w:rPr>
        <w:t>Oncogenesis</w:t>
      </w:r>
      <w:r w:rsidRPr="00AD61B7">
        <w:rPr>
          <w:rFonts w:ascii="Calibri" w:hAnsi="Calibri" w:cs="Calibri"/>
          <w:noProof/>
          <w:szCs w:val="24"/>
        </w:rPr>
        <w:t>; 6. Epub ahead of print 1 November 2017. DOI: 10.1038/s41389-017-0004-8.</w:t>
      </w:r>
    </w:p>
    <w:p w14:paraId="45D7264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198. </w:t>
      </w:r>
      <w:r w:rsidRPr="00AD61B7">
        <w:rPr>
          <w:rFonts w:ascii="Calibri" w:hAnsi="Calibri" w:cs="Calibri"/>
          <w:noProof/>
          <w:szCs w:val="24"/>
        </w:rPr>
        <w:tab/>
        <w:t xml:space="preserve">Zhao H fu, Wang J, Shao W, et al. Recent advances in the use of PI3K inhibitors for glioblastoma multiforme: Current preclinical and clinical development. </w:t>
      </w:r>
      <w:r w:rsidRPr="00AD61B7">
        <w:rPr>
          <w:rFonts w:ascii="Calibri" w:hAnsi="Calibri" w:cs="Calibri"/>
          <w:i/>
          <w:iCs/>
          <w:noProof/>
          <w:szCs w:val="24"/>
        </w:rPr>
        <w:t>Molecular Cancer</w:t>
      </w:r>
      <w:r w:rsidRPr="00AD61B7">
        <w:rPr>
          <w:rFonts w:ascii="Calibri" w:hAnsi="Calibri" w:cs="Calibri"/>
          <w:noProof/>
          <w:szCs w:val="24"/>
        </w:rPr>
        <w:t xml:space="preserve"> 2017; 16: 1–16.</w:t>
      </w:r>
    </w:p>
    <w:p w14:paraId="69E49EA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199. </w:t>
      </w:r>
      <w:r w:rsidRPr="00AD61B7">
        <w:rPr>
          <w:rFonts w:ascii="Calibri" w:hAnsi="Calibri" w:cs="Calibri"/>
          <w:noProof/>
          <w:szCs w:val="24"/>
        </w:rPr>
        <w:tab/>
        <w:t xml:space="preserve">Lisi L, Ciotti GMP, Chiavari M, et al. Vascular endothelial growth factor receptor 1 in glioblastoma-associated microglia/macrophages. </w:t>
      </w:r>
      <w:r w:rsidRPr="00AD61B7">
        <w:rPr>
          <w:rFonts w:ascii="Calibri" w:hAnsi="Calibri" w:cs="Calibri"/>
          <w:i/>
          <w:iCs/>
          <w:noProof/>
          <w:szCs w:val="24"/>
        </w:rPr>
        <w:t>Oncol Rep</w:t>
      </w:r>
      <w:r w:rsidRPr="00AD61B7">
        <w:rPr>
          <w:rFonts w:ascii="Calibri" w:hAnsi="Calibri" w:cs="Calibri"/>
          <w:noProof/>
          <w:szCs w:val="24"/>
        </w:rPr>
        <w:t xml:space="preserve"> 2020; 43: 2083–2092.</w:t>
      </w:r>
    </w:p>
    <w:p w14:paraId="02A7483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200. </w:t>
      </w:r>
      <w:r w:rsidRPr="00AD61B7">
        <w:rPr>
          <w:rFonts w:ascii="Calibri" w:hAnsi="Calibri" w:cs="Calibri"/>
          <w:noProof/>
          <w:szCs w:val="24"/>
        </w:rPr>
        <w:tab/>
        <w:t xml:space="preserve">Dahiya S, Emnett RJ, Haydon DH, et al. BRAF-V600E mutation in pediatric and adult glioblastoma. </w:t>
      </w:r>
      <w:r w:rsidRPr="00AD61B7">
        <w:rPr>
          <w:rFonts w:ascii="Calibri" w:hAnsi="Calibri" w:cs="Calibri"/>
          <w:i/>
          <w:iCs/>
          <w:noProof/>
          <w:szCs w:val="24"/>
        </w:rPr>
        <w:t>Neuro-Oncology</w:t>
      </w:r>
      <w:r w:rsidRPr="00AD61B7">
        <w:rPr>
          <w:rFonts w:ascii="Calibri" w:hAnsi="Calibri" w:cs="Calibri"/>
          <w:noProof/>
          <w:szCs w:val="24"/>
        </w:rPr>
        <w:t xml:space="preserve"> 2014; 16: 318–319.</w:t>
      </w:r>
    </w:p>
    <w:p w14:paraId="668AD7E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201. </w:t>
      </w:r>
      <w:r w:rsidRPr="00AD61B7">
        <w:rPr>
          <w:rFonts w:ascii="Calibri" w:hAnsi="Calibri" w:cs="Calibri"/>
          <w:noProof/>
          <w:szCs w:val="24"/>
        </w:rPr>
        <w:tab/>
        <w:t xml:space="preserve">Dougherty MJ, Santi M, Brose MS, et al. Activating mutations in BRAF characterize a spectrum of pediatric low-grade gliomas. </w:t>
      </w:r>
      <w:r w:rsidRPr="00AD61B7">
        <w:rPr>
          <w:rFonts w:ascii="Calibri" w:hAnsi="Calibri" w:cs="Calibri"/>
          <w:i/>
          <w:iCs/>
          <w:noProof/>
          <w:szCs w:val="24"/>
        </w:rPr>
        <w:t>Neuro Oncol</w:t>
      </w:r>
      <w:r w:rsidRPr="00AD61B7">
        <w:rPr>
          <w:rFonts w:ascii="Calibri" w:hAnsi="Calibri" w:cs="Calibri"/>
          <w:noProof/>
          <w:szCs w:val="24"/>
        </w:rPr>
        <w:t xml:space="preserve"> 2010; 12: 621–630.</w:t>
      </w:r>
    </w:p>
    <w:p w14:paraId="778A666E"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202. </w:t>
      </w:r>
      <w:r w:rsidRPr="00AD61B7">
        <w:rPr>
          <w:rFonts w:ascii="Calibri" w:hAnsi="Calibri" w:cs="Calibri"/>
          <w:noProof/>
          <w:szCs w:val="24"/>
        </w:rPr>
        <w:tab/>
        <w:t xml:space="preserve">Schindler G, Capper D, Meyer J, et al. Analysis of BRAF V600E mutation in 1,320 nervous system tumors reveals high mutation frequencies in pleomorphic xanthoastrocytoma, ganglioglioma and extra-cerebellar pilocytic astrocytoma. </w:t>
      </w:r>
      <w:r w:rsidRPr="00AD61B7">
        <w:rPr>
          <w:rFonts w:ascii="Calibri" w:hAnsi="Calibri" w:cs="Calibri"/>
          <w:i/>
          <w:iCs/>
          <w:noProof/>
          <w:szCs w:val="24"/>
        </w:rPr>
        <w:t>Acta Neuropathol</w:t>
      </w:r>
      <w:r w:rsidRPr="00AD61B7">
        <w:rPr>
          <w:rFonts w:ascii="Calibri" w:hAnsi="Calibri" w:cs="Calibri"/>
          <w:noProof/>
          <w:szCs w:val="24"/>
        </w:rPr>
        <w:t xml:space="preserve"> 2011; 121: 397–405.</w:t>
      </w:r>
    </w:p>
    <w:p w14:paraId="138877C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203. </w:t>
      </w:r>
      <w:r w:rsidRPr="00AD61B7">
        <w:rPr>
          <w:rFonts w:ascii="Calibri" w:hAnsi="Calibri" w:cs="Calibri"/>
          <w:noProof/>
          <w:szCs w:val="24"/>
        </w:rPr>
        <w:tab/>
        <w:t xml:space="preserve">Lassaletta A, Zapotocky M, Mistry M, et al. Therapeutic and prognostic implications of BRAF V600E in pediatric low-grade gliomas. </w:t>
      </w:r>
      <w:r w:rsidRPr="00AD61B7">
        <w:rPr>
          <w:rFonts w:ascii="Calibri" w:hAnsi="Calibri" w:cs="Calibri"/>
          <w:i/>
          <w:iCs/>
          <w:noProof/>
          <w:szCs w:val="24"/>
        </w:rPr>
        <w:t>J Clin Oncol</w:t>
      </w:r>
      <w:r w:rsidRPr="00AD61B7">
        <w:rPr>
          <w:rFonts w:ascii="Calibri" w:hAnsi="Calibri" w:cs="Calibri"/>
          <w:noProof/>
          <w:szCs w:val="24"/>
        </w:rPr>
        <w:t xml:space="preserve"> 2017; 35: 2934–2941.</w:t>
      </w:r>
    </w:p>
    <w:p w14:paraId="7568FEC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204. </w:t>
      </w:r>
      <w:r w:rsidRPr="00AD61B7">
        <w:rPr>
          <w:rFonts w:ascii="Calibri" w:hAnsi="Calibri" w:cs="Calibri"/>
          <w:noProof/>
          <w:szCs w:val="24"/>
        </w:rPr>
        <w:tab/>
        <w:t xml:space="preserve">Jones DTW, Kocialkowski S, Liu L, et al. Tandem duplication producing a novel oncogenic BRAF fusion gene defines the majority of pilocytic astrocytomas. </w:t>
      </w:r>
      <w:r w:rsidRPr="00AD61B7">
        <w:rPr>
          <w:rFonts w:ascii="Calibri" w:hAnsi="Calibri" w:cs="Calibri"/>
          <w:i/>
          <w:iCs/>
          <w:noProof/>
          <w:szCs w:val="24"/>
        </w:rPr>
        <w:t>Cancer Res</w:t>
      </w:r>
      <w:r w:rsidRPr="00AD61B7">
        <w:rPr>
          <w:rFonts w:ascii="Calibri" w:hAnsi="Calibri" w:cs="Calibri"/>
          <w:noProof/>
          <w:szCs w:val="24"/>
        </w:rPr>
        <w:t xml:space="preserve"> 2008; 68: 8673–8677.</w:t>
      </w:r>
    </w:p>
    <w:p w14:paraId="5802726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205. </w:t>
      </w:r>
      <w:r w:rsidRPr="00AD61B7">
        <w:rPr>
          <w:rFonts w:ascii="Calibri" w:hAnsi="Calibri" w:cs="Calibri"/>
          <w:noProof/>
          <w:szCs w:val="24"/>
        </w:rPr>
        <w:tab/>
        <w:t xml:space="preserve">Richardson WD, Pringle N, Mosley MJ, et al. A role for platelet-derived growth factor in normal gliogenesis in the central nervous system. </w:t>
      </w:r>
      <w:r w:rsidRPr="00AD61B7">
        <w:rPr>
          <w:rFonts w:ascii="Calibri" w:hAnsi="Calibri" w:cs="Calibri"/>
          <w:i/>
          <w:iCs/>
          <w:noProof/>
          <w:szCs w:val="24"/>
        </w:rPr>
        <w:t>Cell</w:t>
      </w:r>
      <w:r w:rsidRPr="00AD61B7">
        <w:rPr>
          <w:rFonts w:ascii="Calibri" w:hAnsi="Calibri" w:cs="Calibri"/>
          <w:noProof/>
          <w:szCs w:val="24"/>
        </w:rPr>
        <w:t xml:space="preserve"> 1988; 53: 309–319.</w:t>
      </w:r>
    </w:p>
    <w:p w14:paraId="70EAD0AC"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206. </w:t>
      </w:r>
      <w:r w:rsidRPr="00AD61B7">
        <w:rPr>
          <w:rFonts w:ascii="Calibri" w:hAnsi="Calibri" w:cs="Calibri"/>
          <w:noProof/>
          <w:szCs w:val="24"/>
        </w:rPr>
        <w:tab/>
        <w:t xml:space="preserve">Martinho O, Longatto-Filho A, Lambros MBK, et al. Expression, mutation and copy number analysis of platelet-derived growth factor receptor A (PDGFRA) and its ligand PDGFA in gliomas. </w:t>
      </w:r>
      <w:r w:rsidRPr="00AD61B7">
        <w:rPr>
          <w:rFonts w:ascii="Calibri" w:hAnsi="Calibri" w:cs="Calibri"/>
          <w:i/>
          <w:iCs/>
          <w:noProof/>
          <w:szCs w:val="24"/>
        </w:rPr>
        <w:t>Br J Cancer</w:t>
      </w:r>
      <w:r w:rsidRPr="00AD61B7">
        <w:rPr>
          <w:rFonts w:ascii="Calibri" w:hAnsi="Calibri" w:cs="Calibri"/>
          <w:noProof/>
          <w:szCs w:val="24"/>
        </w:rPr>
        <w:t xml:space="preserve"> 2009; 101: 973–982.</w:t>
      </w:r>
    </w:p>
    <w:p w14:paraId="7B5443B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207. </w:t>
      </w:r>
      <w:r w:rsidRPr="00AD61B7">
        <w:rPr>
          <w:rFonts w:ascii="Calibri" w:hAnsi="Calibri" w:cs="Calibri"/>
          <w:noProof/>
          <w:szCs w:val="24"/>
        </w:rPr>
        <w:tab/>
        <w:t xml:space="preserve">Alentorn A, Marie Y, Carpentier C, et al. Prevalence, clinico-pathological value, and co-occurrence of PDGFRA abnormalities in diffuse gliomas. </w:t>
      </w:r>
      <w:r w:rsidRPr="00AD61B7">
        <w:rPr>
          <w:rFonts w:ascii="Calibri" w:hAnsi="Calibri" w:cs="Calibri"/>
          <w:i/>
          <w:iCs/>
          <w:noProof/>
          <w:szCs w:val="24"/>
        </w:rPr>
        <w:t>Neuro Oncol</w:t>
      </w:r>
      <w:r w:rsidRPr="00AD61B7">
        <w:rPr>
          <w:rFonts w:ascii="Calibri" w:hAnsi="Calibri" w:cs="Calibri"/>
          <w:noProof/>
          <w:szCs w:val="24"/>
        </w:rPr>
        <w:t xml:space="preserve"> 2012; 14: 1393–1403.</w:t>
      </w:r>
    </w:p>
    <w:p w14:paraId="6AB7307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208. </w:t>
      </w:r>
      <w:r w:rsidRPr="00AD61B7">
        <w:rPr>
          <w:rFonts w:ascii="Calibri" w:hAnsi="Calibri" w:cs="Calibri"/>
          <w:noProof/>
          <w:szCs w:val="24"/>
        </w:rPr>
        <w:tab/>
        <w:t xml:space="preserve">Diaz RJ, Ali S, Qadir MG, et al. The role of bevacizumab in the treatment of glioblastoma. </w:t>
      </w:r>
      <w:r w:rsidRPr="00AD61B7">
        <w:rPr>
          <w:rFonts w:ascii="Calibri" w:hAnsi="Calibri" w:cs="Calibri"/>
          <w:i/>
          <w:iCs/>
          <w:noProof/>
          <w:szCs w:val="24"/>
        </w:rPr>
        <w:t>Journal of Neuro-Oncology</w:t>
      </w:r>
      <w:r w:rsidRPr="00AD61B7">
        <w:rPr>
          <w:rFonts w:ascii="Calibri" w:hAnsi="Calibri" w:cs="Calibri"/>
          <w:noProof/>
          <w:szCs w:val="24"/>
        </w:rPr>
        <w:t xml:space="preserve"> 2017; 133: 455–467.</w:t>
      </w:r>
    </w:p>
    <w:p w14:paraId="10CBA68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209. </w:t>
      </w:r>
      <w:r w:rsidRPr="00AD61B7">
        <w:rPr>
          <w:rFonts w:ascii="Calibri" w:hAnsi="Calibri" w:cs="Calibri"/>
          <w:noProof/>
          <w:szCs w:val="24"/>
        </w:rPr>
        <w:tab/>
        <w:t xml:space="preserve">Phuphanich S, Wheeler CJ, Rudnick JD, et al. Phase i trial of a multi-epitope-pulsed dendritic cell vaccine for patients with newly diagnosed glioblastoma. </w:t>
      </w:r>
      <w:r w:rsidRPr="00AD61B7">
        <w:rPr>
          <w:rFonts w:ascii="Calibri" w:hAnsi="Calibri" w:cs="Calibri"/>
          <w:i/>
          <w:iCs/>
          <w:noProof/>
          <w:szCs w:val="24"/>
        </w:rPr>
        <w:t>Cancer Immunol Immunother</w:t>
      </w:r>
      <w:r w:rsidRPr="00AD61B7">
        <w:rPr>
          <w:rFonts w:ascii="Calibri" w:hAnsi="Calibri" w:cs="Calibri"/>
          <w:noProof/>
          <w:szCs w:val="24"/>
        </w:rPr>
        <w:t xml:space="preserve"> 2013; 62: 125–135.</w:t>
      </w:r>
    </w:p>
    <w:p w14:paraId="6FC0DD6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210. </w:t>
      </w:r>
      <w:r w:rsidRPr="00AD61B7">
        <w:rPr>
          <w:rFonts w:ascii="Calibri" w:hAnsi="Calibri" w:cs="Calibri"/>
          <w:noProof/>
          <w:szCs w:val="24"/>
        </w:rPr>
        <w:tab/>
        <w:t xml:space="preserve">Molinaro AM, Taylor JW, Wiencke JK, et al. Genetic and molecular epidemiology of adult diffuse glioma. </w:t>
      </w:r>
      <w:r w:rsidRPr="00AD61B7">
        <w:rPr>
          <w:rFonts w:ascii="Calibri" w:hAnsi="Calibri" w:cs="Calibri"/>
          <w:i/>
          <w:iCs/>
          <w:noProof/>
          <w:szCs w:val="24"/>
        </w:rPr>
        <w:t>Nature Reviews Neurology</w:t>
      </w:r>
      <w:r w:rsidRPr="00AD61B7">
        <w:rPr>
          <w:rFonts w:ascii="Calibri" w:hAnsi="Calibri" w:cs="Calibri"/>
          <w:noProof/>
          <w:szCs w:val="24"/>
        </w:rPr>
        <w:t xml:space="preserve"> 2019; 15: 405–417.</w:t>
      </w:r>
    </w:p>
    <w:p w14:paraId="54FA165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211. </w:t>
      </w:r>
      <w:r w:rsidRPr="00AD61B7">
        <w:rPr>
          <w:rFonts w:ascii="Calibri" w:hAnsi="Calibri" w:cs="Calibri"/>
          <w:noProof/>
          <w:szCs w:val="24"/>
        </w:rPr>
        <w:tab/>
        <w:t xml:space="preserve">Perry A. WHO’s arrived in 2016! An updated weather forecast for integrated brain tumor diagnosis. </w:t>
      </w:r>
      <w:r w:rsidRPr="00AD61B7">
        <w:rPr>
          <w:rFonts w:ascii="Calibri" w:hAnsi="Calibri" w:cs="Calibri"/>
          <w:i/>
          <w:iCs/>
          <w:noProof/>
          <w:szCs w:val="24"/>
        </w:rPr>
        <w:t>Brain Tumor Pathol</w:t>
      </w:r>
      <w:r w:rsidRPr="00AD61B7">
        <w:rPr>
          <w:rFonts w:ascii="Calibri" w:hAnsi="Calibri" w:cs="Calibri"/>
          <w:noProof/>
          <w:szCs w:val="24"/>
        </w:rPr>
        <w:t xml:space="preserve"> 2016; 33: 157–160.</w:t>
      </w:r>
    </w:p>
    <w:p w14:paraId="193755A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212. </w:t>
      </w:r>
      <w:r w:rsidRPr="00AD61B7">
        <w:rPr>
          <w:rFonts w:ascii="Calibri" w:hAnsi="Calibri" w:cs="Calibri"/>
          <w:noProof/>
          <w:szCs w:val="24"/>
        </w:rPr>
        <w:tab/>
        <w:t xml:space="preserve">Wesseling P, Capper D. WHO 2016 Classification of gliomas. </w:t>
      </w:r>
      <w:r w:rsidRPr="00AD61B7">
        <w:rPr>
          <w:rFonts w:ascii="Calibri" w:hAnsi="Calibri" w:cs="Calibri"/>
          <w:i/>
          <w:iCs/>
          <w:noProof/>
          <w:szCs w:val="24"/>
        </w:rPr>
        <w:t>Neuropathology and Applied Neurobiology</w:t>
      </w:r>
      <w:r w:rsidRPr="00AD61B7">
        <w:rPr>
          <w:rFonts w:ascii="Calibri" w:hAnsi="Calibri" w:cs="Calibri"/>
          <w:noProof/>
          <w:szCs w:val="24"/>
        </w:rPr>
        <w:t xml:space="preserve"> 2018; 44: 139–150.</w:t>
      </w:r>
    </w:p>
    <w:p w14:paraId="7ADCD56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213. </w:t>
      </w:r>
      <w:r w:rsidRPr="00AD61B7">
        <w:rPr>
          <w:rFonts w:ascii="Calibri" w:hAnsi="Calibri" w:cs="Calibri"/>
          <w:noProof/>
          <w:szCs w:val="24"/>
        </w:rPr>
        <w:tab/>
        <w:t xml:space="preserve">Reitman ZJ, Yan H. Isocitrate dehydrogenase 1 and 2 mutations in cancer: alterations at a crossroads of cellular metabolism. </w:t>
      </w:r>
      <w:r w:rsidRPr="00AD61B7">
        <w:rPr>
          <w:rFonts w:ascii="Calibri" w:hAnsi="Calibri" w:cs="Calibri"/>
          <w:i/>
          <w:iCs/>
          <w:noProof/>
          <w:szCs w:val="24"/>
        </w:rPr>
        <w:t>J Natl Cancer Inst</w:t>
      </w:r>
      <w:r w:rsidRPr="00AD61B7">
        <w:rPr>
          <w:rFonts w:ascii="Calibri" w:hAnsi="Calibri" w:cs="Calibri"/>
          <w:noProof/>
          <w:szCs w:val="24"/>
        </w:rPr>
        <w:t xml:space="preserve"> 2010; 102: 932–41.</w:t>
      </w:r>
    </w:p>
    <w:p w14:paraId="04F3E16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214. </w:t>
      </w:r>
      <w:r w:rsidRPr="00AD61B7">
        <w:rPr>
          <w:rFonts w:ascii="Calibri" w:hAnsi="Calibri" w:cs="Calibri"/>
          <w:noProof/>
          <w:szCs w:val="24"/>
        </w:rPr>
        <w:tab/>
        <w:t xml:space="preserve">Chen J-R, Yao Y, Xu H-Z, et al. Isocitrate Dehydrogenase (IDH)1/2 Mutations as Prognostic Markers in Patients With Glioblastomas. </w:t>
      </w:r>
      <w:r w:rsidRPr="00AD61B7">
        <w:rPr>
          <w:rFonts w:ascii="Calibri" w:hAnsi="Calibri" w:cs="Calibri"/>
          <w:i/>
          <w:iCs/>
          <w:noProof/>
          <w:szCs w:val="24"/>
        </w:rPr>
        <w:t>Medicine (Baltimore)</w:t>
      </w:r>
      <w:r w:rsidRPr="00AD61B7">
        <w:rPr>
          <w:rFonts w:ascii="Calibri" w:hAnsi="Calibri" w:cs="Calibri"/>
          <w:noProof/>
          <w:szCs w:val="24"/>
        </w:rPr>
        <w:t xml:space="preserve"> 2016; 95: e2583.</w:t>
      </w:r>
    </w:p>
    <w:p w14:paraId="1B1B188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215. </w:t>
      </w:r>
      <w:r w:rsidRPr="00AD61B7">
        <w:rPr>
          <w:rFonts w:ascii="Calibri" w:hAnsi="Calibri" w:cs="Calibri"/>
          <w:noProof/>
          <w:szCs w:val="24"/>
        </w:rPr>
        <w:tab/>
        <w:t xml:space="preserve">Okita Y, Narita Y, Miyakita Y, et al. IDH1/2 mutation is a prognostic marker for survival and predicts response to chemotherapy for grade II gliomas concomitantly treated with radiation therapy. </w:t>
      </w:r>
      <w:r w:rsidRPr="00AD61B7">
        <w:rPr>
          <w:rFonts w:ascii="Calibri" w:hAnsi="Calibri" w:cs="Calibri"/>
          <w:i/>
          <w:iCs/>
          <w:noProof/>
          <w:szCs w:val="24"/>
        </w:rPr>
        <w:t>Int J Oncol</w:t>
      </w:r>
      <w:r w:rsidRPr="00AD61B7">
        <w:rPr>
          <w:rFonts w:ascii="Calibri" w:hAnsi="Calibri" w:cs="Calibri"/>
          <w:noProof/>
          <w:szCs w:val="24"/>
        </w:rPr>
        <w:t xml:space="preserve"> 2012; 41: 1325–36.</w:t>
      </w:r>
    </w:p>
    <w:p w14:paraId="7989441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216. </w:t>
      </w:r>
      <w:r w:rsidRPr="00AD61B7">
        <w:rPr>
          <w:rFonts w:ascii="Calibri" w:hAnsi="Calibri" w:cs="Calibri"/>
          <w:noProof/>
          <w:szCs w:val="24"/>
        </w:rPr>
        <w:tab/>
        <w:t xml:space="preserve">Balss J, Meyer J, Mueller W, et al. Analysis of the IDH1 codon 132 mutation in brain tumors. </w:t>
      </w:r>
      <w:r w:rsidRPr="00AD61B7">
        <w:rPr>
          <w:rFonts w:ascii="Calibri" w:hAnsi="Calibri" w:cs="Calibri"/>
          <w:i/>
          <w:iCs/>
          <w:noProof/>
          <w:szCs w:val="24"/>
        </w:rPr>
        <w:t>Acta Neuropathol</w:t>
      </w:r>
      <w:r w:rsidRPr="00AD61B7">
        <w:rPr>
          <w:rFonts w:ascii="Calibri" w:hAnsi="Calibri" w:cs="Calibri"/>
          <w:noProof/>
          <w:szCs w:val="24"/>
        </w:rPr>
        <w:t xml:space="preserve"> 2008; 116: 597–602.</w:t>
      </w:r>
    </w:p>
    <w:p w14:paraId="22061E0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217. </w:t>
      </w:r>
      <w:r w:rsidRPr="00AD61B7">
        <w:rPr>
          <w:rFonts w:ascii="Calibri" w:hAnsi="Calibri" w:cs="Calibri"/>
          <w:noProof/>
          <w:szCs w:val="24"/>
        </w:rPr>
        <w:tab/>
        <w:t xml:space="preserve">Bleeker FE, Lamba S, Leenstra S, et al. </w:t>
      </w:r>
      <w:r w:rsidRPr="00AD61B7">
        <w:rPr>
          <w:rFonts w:ascii="Calibri" w:hAnsi="Calibri" w:cs="Calibri"/>
          <w:i/>
          <w:iCs/>
          <w:noProof/>
          <w:szCs w:val="24"/>
        </w:rPr>
        <w:t>IDH1</w:t>
      </w:r>
      <w:r w:rsidRPr="00AD61B7">
        <w:rPr>
          <w:rFonts w:ascii="Calibri" w:hAnsi="Calibri" w:cs="Calibri"/>
          <w:noProof/>
          <w:szCs w:val="24"/>
        </w:rPr>
        <w:t xml:space="preserve"> mutations at residue p.R132 (IDH1 </w:t>
      </w:r>
      <w:r w:rsidRPr="00AD61B7">
        <w:rPr>
          <w:rFonts w:ascii="Calibri" w:hAnsi="Calibri" w:cs="Calibri"/>
          <w:noProof/>
          <w:szCs w:val="24"/>
          <w:vertAlign w:val="superscript"/>
        </w:rPr>
        <w:t>R132</w:t>
      </w:r>
      <w:r w:rsidRPr="00AD61B7">
        <w:rPr>
          <w:rFonts w:ascii="Calibri" w:hAnsi="Calibri" w:cs="Calibri"/>
          <w:noProof/>
          <w:szCs w:val="24"/>
        </w:rPr>
        <w:t xml:space="preserve"> ) occur frequently in high-grade gliomas but not in other solid tumors. </w:t>
      </w:r>
      <w:r w:rsidRPr="00AD61B7">
        <w:rPr>
          <w:rFonts w:ascii="Calibri" w:hAnsi="Calibri" w:cs="Calibri"/>
          <w:i/>
          <w:iCs/>
          <w:noProof/>
          <w:szCs w:val="24"/>
        </w:rPr>
        <w:t>Hum Mutat</w:t>
      </w:r>
      <w:r w:rsidRPr="00AD61B7">
        <w:rPr>
          <w:rFonts w:ascii="Calibri" w:hAnsi="Calibri" w:cs="Calibri"/>
          <w:noProof/>
          <w:szCs w:val="24"/>
        </w:rPr>
        <w:t xml:space="preserve"> 2009; 30: 7–11.</w:t>
      </w:r>
    </w:p>
    <w:p w14:paraId="5FBA5C7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218. </w:t>
      </w:r>
      <w:r w:rsidRPr="00AD61B7">
        <w:rPr>
          <w:rFonts w:ascii="Calibri" w:hAnsi="Calibri" w:cs="Calibri"/>
          <w:noProof/>
          <w:szCs w:val="24"/>
        </w:rPr>
        <w:tab/>
        <w:t xml:space="preserve">Kang MR, Kim MS, Oh JE, et al. Mutational analysis of IDH1 codon 132 in glioblastomas and other common cancers. </w:t>
      </w:r>
      <w:r w:rsidRPr="00AD61B7">
        <w:rPr>
          <w:rFonts w:ascii="Calibri" w:hAnsi="Calibri" w:cs="Calibri"/>
          <w:i/>
          <w:iCs/>
          <w:noProof/>
          <w:szCs w:val="24"/>
        </w:rPr>
        <w:t>Int J Cancer</w:t>
      </w:r>
      <w:r w:rsidRPr="00AD61B7">
        <w:rPr>
          <w:rFonts w:ascii="Calibri" w:hAnsi="Calibri" w:cs="Calibri"/>
          <w:noProof/>
          <w:szCs w:val="24"/>
        </w:rPr>
        <w:t xml:space="preserve"> 2009; 125: 353–355.</w:t>
      </w:r>
    </w:p>
    <w:p w14:paraId="0B791E7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219. </w:t>
      </w:r>
      <w:r w:rsidRPr="00AD61B7">
        <w:rPr>
          <w:rFonts w:ascii="Calibri" w:hAnsi="Calibri" w:cs="Calibri"/>
          <w:noProof/>
          <w:szCs w:val="24"/>
        </w:rPr>
        <w:tab/>
        <w:t xml:space="preserve">Sanson M, Marie Y, Paris S, et al. Isocitrate Dehydrogenase 1 Codon 132 Mutation Is an Important Prognostic Biomarker in Gliomas. </w:t>
      </w:r>
      <w:r w:rsidRPr="00AD61B7">
        <w:rPr>
          <w:rFonts w:ascii="Calibri" w:hAnsi="Calibri" w:cs="Calibri"/>
          <w:i/>
          <w:iCs/>
          <w:noProof/>
          <w:szCs w:val="24"/>
        </w:rPr>
        <w:t>J Clin Oncol</w:t>
      </w:r>
      <w:r w:rsidRPr="00AD61B7">
        <w:rPr>
          <w:rFonts w:ascii="Calibri" w:hAnsi="Calibri" w:cs="Calibri"/>
          <w:noProof/>
          <w:szCs w:val="24"/>
        </w:rPr>
        <w:t xml:space="preserve"> 2009; 27: 4150–4154.</w:t>
      </w:r>
    </w:p>
    <w:p w14:paraId="4093672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220. </w:t>
      </w:r>
      <w:r w:rsidRPr="00AD61B7">
        <w:rPr>
          <w:rFonts w:ascii="Calibri" w:hAnsi="Calibri" w:cs="Calibri"/>
          <w:noProof/>
          <w:szCs w:val="24"/>
        </w:rPr>
        <w:tab/>
        <w:t xml:space="preserve">Yan H, Parsons DW, Jin G, et al. IDH1 and IDH2 Mutations in Gliomas . </w:t>
      </w:r>
      <w:r w:rsidRPr="00AD61B7">
        <w:rPr>
          <w:rFonts w:ascii="Calibri" w:hAnsi="Calibri" w:cs="Calibri"/>
          <w:i/>
          <w:iCs/>
          <w:noProof/>
          <w:szCs w:val="24"/>
        </w:rPr>
        <w:t>N Engl J Med</w:t>
      </w:r>
      <w:r w:rsidRPr="00AD61B7">
        <w:rPr>
          <w:rFonts w:ascii="Calibri" w:hAnsi="Calibri" w:cs="Calibri"/>
          <w:noProof/>
          <w:szCs w:val="24"/>
        </w:rPr>
        <w:t xml:space="preserve"> 2009; 360: 765–773.</w:t>
      </w:r>
    </w:p>
    <w:p w14:paraId="71E9BA9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221. </w:t>
      </w:r>
      <w:r w:rsidRPr="00AD61B7">
        <w:rPr>
          <w:rFonts w:ascii="Calibri" w:hAnsi="Calibri" w:cs="Calibri"/>
          <w:noProof/>
          <w:szCs w:val="24"/>
        </w:rPr>
        <w:tab/>
        <w:t xml:space="preserve">Yan H, Parsons DW, Jin G, et al. </w:t>
      </w:r>
      <w:r w:rsidRPr="00AD61B7">
        <w:rPr>
          <w:rFonts w:ascii="Calibri" w:hAnsi="Calibri" w:cs="Calibri"/>
          <w:i/>
          <w:iCs/>
          <w:noProof/>
          <w:szCs w:val="24"/>
        </w:rPr>
        <w:t>IDH1</w:t>
      </w:r>
      <w:r w:rsidRPr="00AD61B7">
        <w:rPr>
          <w:rFonts w:ascii="Calibri" w:hAnsi="Calibri" w:cs="Calibri"/>
          <w:noProof/>
          <w:szCs w:val="24"/>
        </w:rPr>
        <w:t xml:space="preserve"> and </w:t>
      </w:r>
      <w:r w:rsidRPr="00AD61B7">
        <w:rPr>
          <w:rFonts w:ascii="Calibri" w:hAnsi="Calibri" w:cs="Calibri"/>
          <w:i/>
          <w:iCs/>
          <w:noProof/>
          <w:szCs w:val="24"/>
        </w:rPr>
        <w:t>IDH2</w:t>
      </w:r>
      <w:r w:rsidRPr="00AD61B7">
        <w:rPr>
          <w:rFonts w:ascii="Calibri" w:hAnsi="Calibri" w:cs="Calibri"/>
          <w:noProof/>
          <w:szCs w:val="24"/>
        </w:rPr>
        <w:t xml:space="preserve"> Mutations in Gliomas. </w:t>
      </w:r>
      <w:r w:rsidRPr="00AD61B7">
        <w:rPr>
          <w:rFonts w:ascii="Calibri" w:hAnsi="Calibri" w:cs="Calibri"/>
          <w:i/>
          <w:iCs/>
          <w:noProof/>
          <w:szCs w:val="24"/>
        </w:rPr>
        <w:t>N Engl J Med</w:t>
      </w:r>
      <w:r w:rsidRPr="00AD61B7">
        <w:rPr>
          <w:rFonts w:ascii="Calibri" w:hAnsi="Calibri" w:cs="Calibri"/>
          <w:noProof/>
          <w:szCs w:val="24"/>
        </w:rPr>
        <w:t xml:space="preserve"> 2009; 360: 765–773.</w:t>
      </w:r>
    </w:p>
    <w:p w14:paraId="2EA7B76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222. </w:t>
      </w:r>
      <w:r w:rsidRPr="00AD61B7">
        <w:rPr>
          <w:rFonts w:ascii="Calibri" w:hAnsi="Calibri" w:cs="Calibri"/>
          <w:noProof/>
          <w:szCs w:val="24"/>
        </w:rPr>
        <w:tab/>
        <w:t xml:space="preserve">Hartmann C, Meyer J, Balss J, et al. Type and frequency of IDH1 and IDH2 mutations are related to astrocytic and oligodendroglial differentiation and age: a study of 1,010 diffuse gliomas. </w:t>
      </w:r>
      <w:r w:rsidRPr="00AD61B7">
        <w:rPr>
          <w:rFonts w:ascii="Calibri" w:hAnsi="Calibri" w:cs="Calibri"/>
          <w:i/>
          <w:iCs/>
          <w:noProof/>
          <w:szCs w:val="24"/>
        </w:rPr>
        <w:t>Acta Neuropathol</w:t>
      </w:r>
      <w:r w:rsidRPr="00AD61B7">
        <w:rPr>
          <w:rFonts w:ascii="Calibri" w:hAnsi="Calibri" w:cs="Calibri"/>
          <w:noProof/>
          <w:szCs w:val="24"/>
        </w:rPr>
        <w:t xml:space="preserve"> 2009; 118: 469–474.</w:t>
      </w:r>
    </w:p>
    <w:p w14:paraId="7334AD9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223. </w:t>
      </w:r>
      <w:r w:rsidRPr="00AD61B7">
        <w:rPr>
          <w:rFonts w:ascii="Calibri" w:hAnsi="Calibri" w:cs="Calibri"/>
          <w:noProof/>
          <w:szCs w:val="24"/>
        </w:rPr>
        <w:tab/>
        <w:t xml:space="preserve">Watanabe T, Vital A, Nobusawa S, et al. Selective acquisition of IDH1 R132C mutations in astrocytomas associated with Li-Fraumeni syndrome. </w:t>
      </w:r>
      <w:r w:rsidRPr="00AD61B7">
        <w:rPr>
          <w:rFonts w:ascii="Calibri" w:hAnsi="Calibri" w:cs="Calibri"/>
          <w:i/>
          <w:iCs/>
          <w:noProof/>
          <w:szCs w:val="24"/>
        </w:rPr>
        <w:t>Acta Neuropathol</w:t>
      </w:r>
      <w:r w:rsidRPr="00AD61B7">
        <w:rPr>
          <w:rFonts w:ascii="Calibri" w:hAnsi="Calibri" w:cs="Calibri"/>
          <w:noProof/>
          <w:szCs w:val="24"/>
        </w:rPr>
        <w:t xml:space="preserve"> 2009; 117: 653–656.</w:t>
      </w:r>
    </w:p>
    <w:p w14:paraId="46F416E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224. </w:t>
      </w:r>
      <w:r w:rsidRPr="00AD61B7">
        <w:rPr>
          <w:rFonts w:ascii="Calibri" w:hAnsi="Calibri" w:cs="Calibri"/>
          <w:noProof/>
          <w:szCs w:val="24"/>
        </w:rPr>
        <w:tab/>
        <w:t xml:space="preserve">Xu X, Zhao J, Xu Z, et al. Structures of human cytosolic NADP-dependent isocitrate dehydrogenase reveal a novel self-regulatory mechanism of activity. </w:t>
      </w:r>
      <w:r w:rsidRPr="00AD61B7">
        <w:rPr>
          <w:rFonts w:ascii="Calibri" w:hAnsi="Calibri" w:cs="Calibri"/>
          <w:i/>
          <w:iCs/>
          <w:noProof/>
          <w:szCs w:val="24"/>
        </w:rPr>
        <w:t>J Biol Chem</w:t>
      </w:r>
      <w:r w:rsidRPr="00AD61B7">
        <w:rPr>
          <w:rFonts w:ascii="Calibri" w:hAnsi="Calibri" w:cs="Calibri"/>
          <w:noProof/>
          <w:szCs w:val="24"/>
        </w:rPr>
        <w:t xml:space="preserve"> 2004; 279: 33946–57.</w:t>
      </w:r>
    </w:p>
    <w:p w14:paraId="1D206E3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225. </w:t>
      </w:r>
      <w:r w:rsidRPr="00AD61B7">
        <w:rPr>
          <w:rFonts w:ascii="Calibri" w:hAnsi="Calibri" w:cs="Calibri"/>
          <w:noProof/>
          <w:szCs w:val="24"/>
        </w:rPr>
        <w:tab/>
        <w:t xml:space="preserve">Camelo-Piragua S, Jansen M, Ganguly A, et al. A Sensitive and Specific Diagnostic Panel to Distinguish Diffuse Astrocytoma From Astrocytosis: Chromosome 7 Gain With Mutant Isocitrate Dehydrogenase 1 and p53. </w:t>
      </w:r>
      <w:r w:rsidRPr="00AD61B7">
        <w:rPr>
          <w:rFonts w:ascii="Calibri" w:hAnsi="Calibri" w:cs="Calibri"/>
          <w:i/>
          <w:iCs/>
          <w:noProof/>
          <w:szCs w:val="24"/>
        </w:rPr>
        <w:t>J Neuropathol Exp Neurol</w:t>
      </w:r>
      <w:r w:rsidRPr="00AD61B7">
        <w:rPr>
          <w:rFonts w:ascii="Calibri" w:hAnsi="Calibri" w:cs="Calibri"/>
          <w:noProof/>
          <w:szCs w:val="24"/>
        </w:rPr>
        <w:t xml:space="preserve"> 2011; 70: 110–115.</w:t>
      </w:r>
    </w:p>
    <w:p w14:paraId="0031384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226. </w:t>
      </w:r>
      <w:r w:rsidRPr="00AD61B7">
        <w:rPr>
          <w:rFonts w:ascii="Calibri" w:hAnsi="Calibri" w:cs="Calibri"/>
          <w:noProof/>
          <w:szCs w:val="24"/>
        </w:rPr>
        <w:tab/>
        <w:t xml:space="preserve">Reuss DE, Mamatjan Y, Schrimpf D, et al. IDH mutant diffuse and anaplastic astrocytomas have similar age at presentation and little difference in survival: a grading problem for WHO. </w:t>
      </w:r>
      <w:r w:rsidRPr="00AD61B7">
        <w:rPr>
          <w:rFonts w:ascii="Calibri" w:hAnsi="Calibri" w:cs="Calibri"/>
          <w:i/>
          <w:iCs/>
          <w:noProof/>
          <w:szCs w:val="24"/>
        </w:rPr>
        <w:t>Acta Neuropathol</w:t>
      </w:r>
      <w:r w:rsidRPr="00AD61B7">
        <w:rPr>
          <w:rFonts w:ascii="Calibri" w:hAnsi="Calibri" w:cs="Calibri"/>
          <w:noProof/>
          <w:szCs w:val="24"/>
        </w:rPr>
        <w:t xml:space="preserve"> 2015; 129: 867–873.</w:t>
      </w:r>
    </w:p>
    <w:p w14:paraId="7B49D9A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227. </w:t>
      </w:r>
      <w:r w:rsidRPr="00AD61B7">
        <w:rPr>
          <w:rFonts w:ascii="Calibri" w:hAnsi="Calibri" w:cs="Calibri"/>
          <w:noProof/>
          <w:szCs w:val="24"/>
        </w:rPr>
        <w:tab/>
        <w:t xml:space="preserve">Wang F, Travins J, DeLaBarre B, et al. Targeted Inhibition of Mutant IDH2 in Leukemia Cells Induces Cellular Differentiation. </w:t>
      </w:r>
      <w:r w:rsidRPr="00AD61B7">
        <w:rPr>
          <w:rFonts w:ascii="Calibri" w:hAnsi="Calibri" w:cs="Calibri"/>
          <w:i/>
          <w:iCs/>
          <w:noProof/>
          <w:szCs w:val="24"/>
        </w:rPr>
        <w:t>Science (80- )</w:t>
      </w:r>
      <w:r w:rsidRPr="00AD61B7">
        <w:rPr>
          <w:rFonts w:ascii="Calibri" w:hAnsi="Calibri" w:cs="Calibri"/>
          <w:noProof/>
          <w:szCs w:val="24"/>
        </w:rPr>
        <w:t xml:space="preserve"> 2013; 340: 622–626.</w:t>
      </w:r>
    </w:p>
    <w:p w14:paraId="5B2EF8C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228. </w:t>
      </w:r>
      <w:r w:rsidRPr="00AD61B7">
        <w:rPr>
          <w:rFonts w:ascii="Calibri" w:hAnsi="Calibri" w:cs="Calibri"/>
          <w:noProof/>
          <w:szCs w:val="24"/>
        </w:rPr>
        <w:tab/>
        <w:t xml:space="preserve">Schumacher T, Bunse L, Pusch S, et al. A vaccine targeting mutant IDH1 induces antitumour immunity. </w:t>
      </w:r>
      <w:r w:rsidRPr="00AD61B7">
        <w:rPr>
          <w:rFonts w:ascii="Calibri" w:hAnsi="Calibri" w:cs="Calibri"/>
          <w:i/>
          <w:iCs/>
          <w:noProof/>
          <w:szCs w:val="24"/>
        </w:rPr>
        <w:t>Nature</w:t>
      </w:r>
      <w:r w:rsidRPr="00AD61B7">
        <w:rPr>
          <w:rFonts w:ascii="Calibri" w:hAnsi="Calibri" w:cs="Calibri"/>
          <w:noProof/>
          <w:szCs w:val="24"/>
        </w:rPr>
        <w:t xml:space="preserve"> 2014; 512: 324–327.</w:t>
      </w:r>
    </w:p>
    <w:p w14:paraId="340A420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229. </w:t>
      </w:r>
      <w:r w:rsidRPr="00AD61B7">
        <w:rPr>
          <w:rFonts w:ascii="Calibri" w:hAnsi="Calibri" w:cs="Calibri"/>
          <w:noProof/>
          <w:szCs w:val="24"/>
        </w:rPr>
        <w:tab/>
        <w:t xml:space="preserve">Chen L, Voronovich Z, Clark K, et al. Predicting the likelihood of an isocitrate dehydrogenase 1 or 2 mutation in diagnoses of infiltrative glioma. </w:t>
      </w:r>
      <w:r w:rsidRPr="00AD61B7">
        <w:rPr>
          <w:rFonts w:ascii="Calibri" w:hAnsi="Calibri" w:cs="Calibri"/>
          <w:i/>
          <w:iCs/>
          <w:noProof/>
          <w:szCs w:val="24"/>
        </w:rPr>
        <w:t>Neuro Oncol</w:t>
      </w:r>
      <w:r w:rsidRPr="00AD61B7">
        <w:rPr>
          <w:rFonts w:ascii="Calibri" w:hAnsi="Calibri" w:cs="Calibri"/>
          <w:noProof/>
          <w:szCs w:val="24"/>
        </w:rPr>
        <w:t xml:space="preserve"> 2014; 16: 1478–1483.</w:t>
      </w:r>
    </w:p>
    <w:p w14:paraId="0894FE8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230. </w:t>
      </w:r>
      <w:r w:rsidRPr="00AD61B7">
        <w:rPr>
          <w:rFonts w:ascii="Calibri" w:hAnsi="Calibri" w:cs="Calibri"/>
          <w:noProof/>
          <w:szCs w:val="24"/>
        </w:rPr>
        <w:tab/>
        <w:t xml:space="preserve">Pinkham MB, Telford N, Whitfield GA, et al. FISHing Tips: What Every Clinician Should Know About 1p19q Analysis in Gliomas Using Fluorescence in situ Hybridisation. </w:t>
      </w:r>
      <w:r w:rsidRPr="00AD61B7">
        <w:rPr>
          <w:rFonts w:ascii="Calibri" w:hAnsi="Calibri" w:cs="Calibri"/>
          <w:i/>
          <w:iCs/>
          <w:noProof/>
          <w:szCs w:val="24"/>
        </w:rPr>
        <w:t>Clin Oncol</w:t>
      </w:r>
      <w:r w:rsidRPr="00AD61B7">
        <w:rPr>
          <w:rFonts w:ascii="Calibri" w:hAnsi="Calibri" w:cs="Calibri"/>
          <w:noProof/>
          <w:szCs w:val="24"/>
        </w:rPr>
        <w:t xml:space="preserve"> 2015; 27: 445–453.</w:t>
      </w:r>
    </w:p>
    <w:p w14:paraId="56F59360"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231. </w:t>
      </w:r>
      <w:r w:rsidRPr="00AD61B7">
        <w:rPr>
          <w:rFonts w:ascii="Calibri" w:hAnsi="Calibri" w:cs="Calibri"/>
          <w:noProof/>
          <w:szCs w:val="24"/>
        </w:rPr>
        <w:tab/>
        <w:t xml:space="preserve">Fox EJ, Reid-Bayliss KS. Accuracy of Next Generation Sequencing Platforms. </w:t>
      </w:r>
      <w:r w:rsidRPr="00AD61B7">
        <w:rPr>
          <w:rFonts w:ascii="Calibri" w:hAnsi="Calibri" w:cs="Calibri"/>
          <w:i/>
          <w:iCs/>
          <w:noProof/>
          <w:szCs w:val="24"/>
        </w:rPr>
        <w:t>J Next Gener Seq Appl</w:t>
      </w:r>
      <w:r w:rsidRPr="00AD61B7">
        <w:rPr>
          <w:rFonts w:ascii="Calibri" w:hAnsi="Calibri" w:cs="Calibri"/>
          <w:noProof/>
          <w:szCs w:val="24"/>
        </w:rPr>
        <w:t>; 01. Epub ahead of print 2014. DOI: 10.4172/2469-9853.1000106.</w:t>
      </w:r>
    </w:p>
    <w:p w14:paraId="2623C04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232. </w:t>
      </w:r>
      <w:r w:rsidRPr="00AD61B7">
        <w:rPr>
          <w:rFonts w:ascii="Calibri" w:hAnsi="Calibri" w:cs="Calibri"/>
          <w:noProof/>
          <w:szCs w:val="24"/>
        </w:rPr>
        <w:tab/>
        <w:t xml:space="preserve">Lee SC. Diffuse gliomas for nonneuropathologists: The new integrated molecular diagnostics. In: </w:t>
      </w:r>
      <w:r w:rsidRPr="00AD61B7">
        <w:rPr>
          <w:rFonts w:ascii="Calibri" w:hAnsi="Calibri" w:cs="Calibri"/>
          <w:i/>
          <w:iCs/>
          <w:noProof/>
          <w:szCs w:val="24"/>
        </w:rPr>
        <w:t>Archives of Pathology and Laboratory Medicine</w:t>
      </w:r>
      <w:r w:rsidRPr="00AD61B7">
        <w:rPr>
          <w:rFonts w:ascii="Calibri" w:hAnsi="Calibri" w:cs="Calibri"/>
          <w:noProof/>
          <w:szCs w:val="24"/>
        </w:rPr>
        <w:t>. College of American Pathologists, pp. 804–814.</w:t>
      </w:r>
    </w:p>
    <w:p w14:paraId="4493A3E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233. </w:t>
      </w:r>
      <w:r w:rsidRPr="00AD61B7">
        <w:rPr>
          <w:rFonts w:ascii="Calibri" w:hAnsi="Calibri" w:cs="Calibri"/>
          <w:noProof/>
          <w:szCs w:val="24"/>
        </w:rPr>
        <w:tab/>
        <w:t xml:space="preserve">Weller M, van den Bent M, Tonn JC, et al. European Association for Neuro-Oncology (EANO) guideline on the diagnosis and treatment of adult astrocytic and oligodendroglial gliomas. </w:t>
      </w:r>
      <w:r w:rsidRPr="00AD61B7">
        <w:rPr>
          <w:rFonts w:ascii="Calibri" w:hAnsi="Calibri" w:cs="Calibri"/>
          <w:i/>
          <w:iCs/>
          <w:noProof/>
          <w:szCs w:val="24"/>
        </w:rPr>
        <w:t>Lancet Oncol</w:t>
      </w:r>
      <w:r w:rsidRPr="00AD61B7">
        <w:rPr>
          <w:rFonts w:ascii="Calibri" w:hAnsi="Calibri" w:cs="Calibri"/>
          <w:noProof/>
          <w:szCs w:val="24"/>
        </w:rPr>
        <w:t xml:space="preserve"> 2017; 18: e315–e329.</w:t>
      </w:r>
    </w:p>
    <w:p w14:paraId="6F02CAE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234. </w:t>
      </w:r>
      <w:r w:rsidRPr="00AD61B7">
        <w:rPr>
          <w:rFonts w:ascii="Calibri" w:hAnsi="Calibri" w:cs="Calibri"/>
          <w:noProof/>
          <w:szCs w:val="24"/>
        </w:rPr>
        <w:tab/>
        <w:t xml:space="preserve">Zacher A, Kaulich K, Stepanow S, et al. Molecular Diagnostics of Gliomas Using Next Generation Sequencing of a Glioma-Tailored Gene Panel. </w:t>
      </w:r>
      <w:r w:rsidRPr="00AD61B7">
        <w:rPr>
          <w:rFonts w:ascii="Calibri" w:hAnsi="Calibri" w:cs="Calibri"/>
          <w:i/>
          <w:iCs/>
          <w:noProof/>
          <w:szCs w:val="24"/>
        </w:rPr>
        <w:t>Brain Pathol</w:t>
      </w:r>
      <w:r w:rsidRPr="00AD61B7">
        <w:rPr>
          <w:rFonts w:ascii="Calibri" w:hAnsi="Calibri" w:cs="Calibri"/>
          <w:noProof/>
          <w:szCs w:val="24"/>
        </w:rPr>
        <w:t xml:space="preserve"> 2017; 27: 146–159.</w:t>
      </w:r>
    </w:p>
    <w:p w14:paraId="592EC36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235. </w:t>
      </w:r>
      <w:r w:rsidRPr="00AD61B7">
        <w:rPr>
          <w:rFonts w:ascii="Calibri" w:hAnsi="Calibri" w:cs="Calibri"/>
          <w:noProof/>
          <w:szCs w:val="24"/>
        </w:rPr>
        <w:tab/>
        <w:t xml:space="preserve">Na K, Kim HS, Shim HS, et al. Targeted next-generation sequencing panel (TruSight Tumor 170) in diffuse glioma: a single institutional experience of 135 cases. </w:t>
      </w:r>
      <w:r w:rsidRPr="00AD61B7">
        <w:rPr>
          <w:rFonts w:ascii="Calibri" w:hAnsi="Calibri" w:cs="Calibri"/>
          <w:i/>
          <w:iCs/>
          <w:noProof/>
          <w:szCs w:val="24"/>
        </w:rPr>
        <w:t>J Neurooncol</w:t>
      </w:r>
      <w:r w:rsidRPr="00AD61B7">
        <w:rPr>
          <w:rFonts w:ascii="Calibri" w:hAnsi="Calibri" w:cs="Calibri"/>
          <w:noProof/>
          <w:szCs w:val="24"/>
        </w:rPr>
        <w:t xml:space="preserve"> 2019; 142: 445–454.</w:t>
      </w:r>
    </w:p>
    <w:p w14:paraId="720C1FC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236. </w:t>
      </w:r>
      <w:r w:rsidRPr="00AD61B7">
        <w:rPr>
          <w:rFonts w:ascii="Calibri" w:hAnsi="Calibri" w:cs="Calibri"/>
          <w:noProof/>
          <w:szCs w:val="24"/>
        </w:rPr>
        <w:tab/>
        <w:t xml:space="preserve">Thakkar JP, Dolecek TA, Horbinski C, et al. Epidemiologic and molecular prognostic review of glioblastoma. </w:t>
      </w:r>
      <w:r w:rsidRPr="00AD61B7">
        <w:rPr>
          <w:rFonts w:ascii="Calibri" w:hAnsi="Calibri" w:cs="Calibri"/>
          <w:i/>
          <w:iCs/>
          <w:noProof/>
          <w:szCs w:val="24"/>
        </w:rPr>
        <w:t>Cancer Epidemiology Biomarkers and Prevention</w:t>
      </w:r>
      <w:r w:rsidRPr="00AD61B7">
        <w:rPr>
          <w:rFonts w:ascii="Calibri" w:hAnsi="Calibri" w:cs="Calibri"/>
          <w:noProof/>
          <w:szCs w:val="24"/>
        </w:rPr>
        <w:t xml:space="preserve"> 2014; 23: 1985–1996.</w:t>
      </w:r>
    </w:p>
    <w:p w14:paraId="562B5CA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237. </w:t>
      </w:r>
      <w:r w:rsidRPr="00AD61B7">
        <w:rPr>
          <w:rFonts w:ascii="Calibri" w:hAnsi="Calibri" w:cs="Calibri"/>
          <w:noProof/>
          <w:szCs w:val="24"/>
        </w:rPr>
        <w:tab/>
        <w:t xml:space="preserve">Dunn GP, Rinne ML, Wykosky J, et al. Emerging insights into the molecular and cellular basis of glioblastoma. </w:t>
      </w:r>
      <w:r w:rsidRPr="00AD61B7">
        <w:rPr>
          <w:rFonts w:ascii="Calibri" w:hAnsi="Calibri" w:cs="Calibri"/>
          <w:i/>
          <w:iCs/>
          <w:noProof/>
          <w:szCs w:val="24"/>
        </w:rPr>
        <w:t>Genes Dev</w:t>
      </w:r>
      <w:r w:rsidRPr="00AD61B7">
        <w:rPr>
          <w:rFonts w:ascii="Calibri" w:hAnsi="Calibri" w:cs="Calibri"/>
          <w:noProof/>
          <w:szCs w:val="24"/>
        </w:rPr>
        <w:t xml:space="preserve"> 2012; 26: 756–784.</w:t>
      </w:r>
    </w:p>
    <w:p w14:paraId="588E19D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238. </w:t>
      </w:r>
      <w:r w:rsidRPr="00AD61B7">
        <w:rPr>
          <w:rFonts w:ascii="Calibri" w:hAnsi="Calibri" w:cs="Calibri"/>
          <w:noProof/>
          <w:szCs w:val="24"/>
        </w:rPr>
        <w:tab/>
        <w:t xml:space="preserve">Hou L, Jiang J, Liu B, et al. Smoking and adult glioma: A population-based case-control study in China. </w:t>
      </w:r>
      <w:r w:rsidRPr="00AD61B7">
        <w:rPr>
          <w:rFonts w:ascii="Calibri" w:hAnsi="Calibri" w:cs="Calibri"/>
          <w:i/>
          <w:iCs/>
          <w:noProof/>
          <w:szCs w:val="24"/>
        </w:rPr>
        <w:t>Neuro Oncol</w:t>
      </w:r>
      <w:r w:rsidRPr="00AD61B7">
        <w:rPr>
          <w:rFonts w:ascii="Calibri" w:hAnsi="Calibri" w:cs="Calibri"/>
          <w:noProof/>
          <w:szCs w:val="24"/>
        </w:rPr>
        <w:t xml:space="preserve"> 2016; 18: 105–113.</w:t>
      </w:r>
    </w:p>
    <w:p w14:paraId="5E82C05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239. </w:t>
      </w:r>
      <w:r w:rsidRPr="00AD61B7">
        <w:rPr>
          <w:rFonts w:ascii="Calibri" w:hAnsi="Calibri" w:cs="Calibri"/>
          <w:noProof/>
          <w:szCs w:val="24"/>
        </w:rPr>
        <w:tab/>
        <w:t xml:space="preserve">Stupp R, Hegi ME, Mason WP, et al. Effects of radiotherapy with concomitant and adjuvant temozolomide versus radiotherapy alone on survival in glioblastoma in a randomised phase III study: 5-year analysis of the EORTC-NCIC trial. </w:t>
      </w:r>
      <w:r w:rsidRPr="00AD61B7">
        <w:rPr>
          <w:rFonts w:ascii="Calibri" w:hAnsi="Calibri" w:cs="Calibri"/>
          <w:i/>
          <w:iCs/>
          <w:noProof/>
          <w:szCs w:val="24"/>
        </w:rPr>
        <w:t>Lancet Oncol</w:t>
      </w:r>
      <w:r w:rsidRPr="00AD61B7">
        <w:rPr>
          <w:rFonts w:ascii="Calibri" w:hAnsi="Calibri" w:cs="Calibri"/>
          <w:noProof/>
          <w:szCs w:val="24"/>
        </w:rPr>
        <w:t xml:space="preserve"> 2009; 10: 459–466.</w:t>
      </w:r>
    </w:p>
    <w:p w14:paraId="5918FAD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240. </w:t>
      </w:r>
      <w:r w:rsidRPr="00AD61B7">
        <w:rPr>
          <w:rFonts w:ascii="Calibri" w:hAnsi="Calibri" w:cs="Calibri"/>
          <w:noProof/>
          <w:szCs w:val="24"/>
        </w:rPr>
        <w:tab/>
        <w:t xml:space="preserve">Liang J, Lv X, Lu C, et al. Prognostic factors of patients with Gliomas- A n analysis on 335 patients with Glioblastoma and other forms of Gliomas. </w:t>
      </w:r>
      <w:r w:rsidRPr="00AD61B7">
        <w:rPr>
          <w:rFonts w:ascii="Calibri" w:hAnsi="Calibri" w:cs="Calibri"/>
          <w:i/>
          <w:iCs/>
          <w:noProof/>
          <w:szCs w:val="24"/>
        </w:rPr>
        <w:t>BMC Cancer</w:t>
      </w:r>
      <w:r w:rsidRPr="00AD61B7">
        <w:rPr>
          <w:rFonts w:ascii="Calibri" w:hAnsi="Calibri" w:cs="Calibri"/>
          <w:noProof/>
          <w:szCs w:val="24"/>
        </w:rPr>
        <w:t xml:space="preserve"> 2020; 20: 35.</w:t>
      </w:r>
    </w:p>
    <w:p w14:paraId="2E5C811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241. </w:t>
      </w:r>
      <w:r w:rsidRPr="00AD61B7">
        <w:rPr>
          <w:rFonts w:ascii="Calibri" w:hAnsi="Calibri" w:cs="Calibri"/>
          <w:noProof/>
          <w:szCs w:val="24"/>
        </w:rPr>
        <w:tab/>
        <w:t xml:space="preserve">Taylor OG, Brzozowski JS, Skelding KA. Glioblastoma multiforme: An overview of emerging therapeutic targets. </w:t>
      </w:r>
      <w:r w:rsidRPr="00AD61B7">
        <w:rPr>
          <w:rFonts w:ascii="Calibri" w:hAnsi="Calibri" w:cs="Calibri"/>
          <w:i/>
          <w:iCs/>
          <w:noProof/>
          <w:szCs w:val="24"/>
        </w:rPr>
        <w:t>Frontiers in Oncology</w:t>
      </w:r>
      <w:r w:rsidRPr="00AD61B7">
        <w:rPr>
          <w:rFonts w:ascii="Calibri" w:hAnsi="Calibri" w:cs="Calibri"/>
          <w:noProof/>
          <w:szCs w:val="24"/>
        </w:rPr>
        <w:t xml:space="preserve"> 2019; 9: 963.</w:t>
      </w:r>
    </w:p>
    <w:p w14:paraId="2DD05D6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242. </w:t>
      </w:r>
      <w:r w:rsidRPr="00AD61B7">
        <w:rPr>
          <w:rFonts w:ascii="Calibri" w:hAnsi="Calibri" w:cs="Calibri"/>
          <w:noProof/>
          <w:szCs w:val="24"/>
        </w:rPr>
        <w:tab/>
        <w:t xml:space="preserve">Silantyev AS, Falzone L, Libra M, et al. Current and Future Trends on Diagnosis and Prognosis of Glioblastoma: From Molecular Biology to Proteomics. </w:t>
      </w:r>
      <w:r w:rsidRPr="00AD61B7">
        <w:rPr>
          <w:rFonts w:ascii="Calibri" w:hAnsi="Calibri" w:cs="Calibri"/>
          <w:i/>
          <w:iCs/>
          <w:noProof/>
          <w:szCs w:val="24"/>
        </w:rPr>
        <w:t>Cells</w:t>
      </w:r>
      <w:r w:rsidRPr="00AD61B7">
        <w:rPr>
          <w:rFonts w:ascii="Calibri" w:hAnsi="Calibri" w:cs="Calibri"/>
          <w:noProof/>
          <w:szCs w:val="24"/>
        </w:rPr>
        <w:t>; 8. Epub ahead of print 9 August 2019. DOI: 10.3390/cells8080863.</w:t>
      </w:r>
    </w:p>
    <w:p w14:paraId="2D9B949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243. </w:t>
      </w:r>
      <w:r w:rsidRPr="00AD61B7">
        <w:rPr>
          <w:rFonts w:ascii="Calibri" w:hAnsi="Calibri" w:cs="Calibri"/>
          <w:noProof/>
          <w:szCs w:val="24"/>
        </w:rPr>
        <w:tab/>
        <w:t xml:space="preserve">Molinaro AM, Taylor JW, Wiencke JK, et al. Genetic and molecular epidemiology of adult diffuse glioma. </w:t>
      </w:r>
      <w:r w:rsidRPr="00AD61B7">
        <w:rPr>
          <w:rFonts w:ascii="Calibri" w:hAnsi="Calibri" w:cs="Calibri"/>
          <w:i/>
          <w:iCs/>
          <w:noProof/>
          <w:szCs w:val="24"/>
        </w:rPr>
        <w:t>Nature Reviews Neurology</w:t>
      </w:r>
      <w:r w:rsidRPr="00AD61B7">
        <w:rPr>
          <w:rFonts w:ascii="Calibri" w:hAnsi="Calibri" w:cs="Calibri"/>
          <w:noProof/>
          <w:szCs w:val="24"/>
        </w:rPr>
        <w:t xml:space="preserve"> 2019; 15: 405–417.</w:t>
      </w:r>
    </w:p>
    <w:p w14:paraId="44A0B88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244. </w:t>
      </w:r>
      <w:r w:rsidRPr="00AD61B7">
        <w:rPr>
          <w:rFonts w:ascii="Calibri" w:hAnsi="Calibri" w:cs="Calibri"/>
          <w:noProof/>
          <w:szCs w:val="24"/>
        </w:rPr>
        <w:tab/>
        <w:t xml:space="preserve">Sanai N, Berger MS. Glioma extent of resection and its impact on patient outcome. </w:t>
      </w:r>
      <w:r w:rsidRPr="00AD61B7">
        <w:rPr>
          <w:rFonts w:ascii="Calibri" w:hAnsi="Calibri" w:cs="Calibri"/>
          <w:i/>
          <w:iCs/>
          <w:noProof/>
          <w:szCs w:val="24"/>
        </w:rPr>
        <w:t>Neurosurgery</w:t>
      </w:r>
      <w:r w:rsidRPr="00AD61B7">
        <w:rPr>
          <w:rFonts w:ascii="Calibri" w:hAnsi="Calibri" w:cs="Calibri"/>
          <w:noProof/>
          <w:szCs w:val="24"/>
        </w:rPr>
        <w:t xml:space="preserve"> 2008; 62: 753–764.</w:t>
      </w:r>
    </w:p>
    <w:p w14:paraId="64D3F20D"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245. </w:t>
      </w:r>
      <w:r w:rsidRPr="00AD61B7">
        <w:rPr>
          <w:rFonts w:ascii="Calibri" w:hAnsi="Calibri" w:cs="Calibri"/>
          <w:noProof/>
          <w:szCs w:val="24"/>
        </w:rPr>
        <w:tab/>
        <w:t xml:space="preserve">Sanai N, Polley MY, McDermott MW, et al. An extent of resection threshold for newly diagnosed glioblastomas: Clinical article. </w:t>
      </w:r>
      <w:r w:rsidRPr="00AD61B7">
        <w:rPr>
          <w:rFonts w:ascii="Calibri" w:hAnsi="Calibri" w:cs="Calibri"/>
          <w:i/>
          <w:iCs/>
          <w:noProof/>
          <w:szCs w:val="24"/>
        </w:rPr>
        <w:t>J Neurosurg</w:t>
      </w:r>
      <w:r w:rsidRPr="00AD61B7">
        <w:rPr>
          <w:rFonts w:ascii="Calibri" w:hAnsi="Calibri" w:cs="Calibri"/>
          <w:noProof/>
          <w:szCs w:val="24"/>
        </w:rPr>
        <w:t xml:space="preserve"> 2011; 115: 3–8.</w:t>
      </w:r>
    </w:p>
    <w:p w14:paraId="31F9C2D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246. </w:t>
      </w:r>
      <w:r w:rsidRPr="00AD61B7">
        <w:rPr>
          <w:rFonts w:ascii="Calibri" w:hAnsi="Calibri" w:cs="Calibri"/>
          <w:noProof/>
          <w:szCs w:val="24"/>
        </w:rPr>
        <w:tab/>
        <w:t xml:space="preserve">Ziu M, Kim BYS, Jiang W, et al. The role of radiation therapy in treatment of adults with newly diagnosed glioblastoma multiforme: a systematic review and evidence-based clinical practice guideline update. </w:t>
      </w:r>
      <w:r w:rsidRPr="00AD61B7">
        <w:rPr>
          <w:rFonts w:ascii="Calibri" w:hAnsi="Calibri" w:cs="Calibri"/>
          <w:i/>
          <w:iCs/>
          <w:noProof/>
          <w:szCs w:val="24"/>
        </w:rPr>
        <w:t>Journal of Neuro-Oncology</w:t>
      </w:r>
      <w:r w:rsidRPr="00AD61B7">
        <w:rPr>
          <w:rFonts w:ascii="Calibri" w:hAnsi="Calibri" w:cs="Calibri"/>
          <w:noProof/>
          <w:szCs w:val="24"/>
        </w:rPr>
        <w:t xml:space="preserve"> 2020; 150: 215–267.</w:t>
      </w:r>
    </w:p>
    <w:p w14:paraId="55B4EEC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247. </w:t>
      </w:r>
      <w:r w:rsidRPr="00AD61B7">
        <w:rPr>
          <w:rFonts w:ascii="Calibri" w:hAnsi="Calibri" w:cs="Calibri"/>
          <w:noProof/>
          <w:szCs w:val="24"/>
        </w:rPr>
        <w:tab/>
        <w:t xml:space="preserve">Xu Y, Geng R, Yuan F, et al. Identification of differentially expressed key genes between glioblastoma and low-grade glioma by bioinformatics analysis. </w:t>
      </w:r>
      <w:r w:rsidRPr="00AD61B7">
        <w:rPr>
          <w:rFonts w:ascii="Calibri" w:hAnsi="Calibri" w:cs="Calibri"/>
          <w:i/>
          <w:iCs/>
          <w:noProof/>
          <w:szCs w:val="24"/>
        </w:rPr>
        <w:t>PeerJ</w:t>
      </w:r>
      <w:r w:rsidRPr="00AD61B7">
        <w:rPr>
          <w:rFonts w:ascii="Calibri" w:hAnsi="Calibri" w:cs="Calibri"/>
          <w:noProof/>
          <w:szCs w:val="24"/>
        </w:rPr>
        <w:t>; 2019. Epub ahead of print 2019. DOI: 10.7717/peerj.6560.</w:t>
      </w:r>
    </w:p>
    <w:p w14:paraId="19390A0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248. </w:t>
      </w:r>
      <w:r w:rsidRPr="00AD61B7">
        <w:rPr>
          <w:rFonts w:ascii="Calibri" w:hAnsi="Calibri" w:cs="Calibri"/>
          <w:noProof/>
          <w:szCs w:val="24"/>
        </w:rPr>
        <w:tab/>
        <w:t xml:space="preserve">Li L, Liu X, Ma X, et al. Identification of key candidate genes and pathways in glioblastoma by integrated bioinformatical analysis. </w:t>
      </w:r>
      <w:r w:rsidRPr="00AD61B7">
        <w:rPr>
          <w:rFonts w:ascii="Calibri" w:hAnsi="Calibri" w:cs="Calibri"/>
          <w:i/>
          <w:iCs/>
          <w:noProof/>
          <w:szCs w:val="24"/>
        </w:rPr>
        <w:t>Exp Ther Med</w:t>
      </w:r>
      <w:r w:rsidRPr="00AD61B7">
        <w:rPr>
          <w:rFonts w:ascii="Calibri" w:hAnsi="Calibri" w:cs="Calibri"/>
          <w:noProof/>
          <w:szCs w:val="24"/>
        </w:rPr>
        <w:t xml:space="preserve"> 2019; 18: 3439–3449.</w:t>
      </w:r>
    </w:p>
    <w:p w14:paraId="3C41ADA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249. </w:t>
      </w:r>
      <w:r w:rsidRPr="00AD61B7">
        <w:rPr>
          <w:rFonts w:ascii="Calibri" w:hAnsi="Calibri" w:cs="Calibri"/>
          <w:noProof/>
          <w:szCs w:val="24"/>
        </w:rPr>
        <w:tab/>
        <w:t xml:space="preserve">Galbraith K, Kumar A, Abdullah KG, et al. Molecular correlates of long survival in IDH-Wildtype glioblastoma cohorts. </w:t>
      </w:r>
      <w:r w:rsidRPr="00AD61B7">
        <w:rPr>
          <w:rFonts w:ascii="Calibri" w:hAnsi="Calibri" w:cs="Calibri"/>
          <w:i/>
          <w:iCs/>
          <w:noProof/>
          <w:szCs w:val="24"/>
        </w:rPr>
        <w:t>J Neuropathol Exp Neurol</w:t>
      </w:r>
      <w:r w:rsidRPr="00AD61B7">
        <w:rPr>
          <w:rFonts w:ascii="Calibri" w:hAnsi="Calibri" w:cs="Calibri"/>
          <w:noProof/>
          <w:szCs w:val="24"/>
        </w:rPr>
        <w:t xml:space="preserve"> 2020; 79: 843–854.</w:t>
      </w:r>
    </w:p>
    <w:p w14:paraId="3EB042C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250. </w:t>
      </w:r>
      <w:r w:rsidRPr="00AD61B7">
        <w:rPr>
          <w:rFonts w:ascii="Calibri" w:hAnsi="Calibri" w:cs="Calibri"/>
          <w:noProof/>
          <w:szCs w:val="24"/>
        </w:rPr>
        <w:tab/>
        <w:t xml:space="preserve">Dmitrenko V V., Iershov A V., Stetsyuk PI, et al. Determination of molecular glioblastoma subclasses on the basis of analysis of gene expression. </w:t>
      </w:r>
      <w:r w:rsidRPr="00AD61B7">
        <w:rPr>
          <w:rFonts w:ascii="Calibri" w:hAnsi="Calibri" w:cs="Calibri"/>
          <w:i/>
          <w:iCs/>
          <w:noProof/>
          <w:szCs w:val="24"/>
        </w:rPr>
        <w:t>Cytol Genet</w:t>
      </w:r>
      <w:r w:rsidRPr="00AD61B7">
        <w:rPr>
          <w:rFonts w:ascii="Calibri" w:hAnsi="Calibri" w:cs="Calibri"/>
          <w:noProof/>
          <w:szCs w:val="24"/>
        </w:rPr>
        <w:t xml:space="preserve"> 2014; 48: 383–391.</w:t>
      </w:r>
    </w:p>
    <w:p w14:paraId="0AFE94FA"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251. </w:t>
      </w:r>
      <w:r w:rsidRPr="00AD61B7">
        <w:rPr>
          <w:rFonts w:ascii="Calibri" w:hAnsi="Calibri" w:cs="Calibri"/>
          <w:noProof/>
          <w:szCs w:val="24"/>
        </w:rPr>
        <w:tab/>
        <w:t xml:space="preserve">Brennan C, Momota H, Hambardzumyan D, et al. Glioblastoma subclasses can be defined by activity among signal transduction pathways and associated genomic alterations. </w:t>
      </w:r>
      <w:r w:rsidRPr="00AD61B7">
        <w:rPr>
          <w:rFonts w:ascii="Calibri" w:hAnsi="Calibri" w:cs="Calibri"/>
          <w:i/>
          <w:iCs/>
          <w:noProof/>
          <w:szCs w:val="24"/>
        </w:rPr>
        <w:t>PLoS One</w:t>
      </w:r>
      <w:r w:rsidRPr="00AD61B7">
        <w:rPr>
          <w:rFonts w:ascii="Calibri" w:hAnsi="Calibri" w:cs="Calibri"/>
          <w:noProof/>
          <w:szCs w:val="24"/>
        </w:rPr>
        <w:t>; 4. Epub ahead of print 13 November 2009. DOI: 10.1371/journal.pone.0007752.</w:t>
      </w:r>
    </w:p>
    <w:p w14:paraId="63A5F5A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252. </w:t>
      </w:r>
      <w:r w:rsidRPr="00AD61B7">
        <w:rPr>
          <w:rFonts w:ascii="Calibri" w:hAnsi="Calibri" w:cs="Calibri"/>
          <w:noProof/>
          <w:szCs w:val="24"/>
        </w:rPr>
        <w:tab/>
        <w:t xml:space="preserve">Phillips HS, Kharbanda S, Chen R, et al. Molecular subclasses of high-grade glioma predict prognosis, delineate a pattern of disease progression, and resemble stages in neurogenesis. </w:t>
      </w:r>
      <w:r w:rsidRPr="00AD61B7">
        <w:rPr>
          <w:rFonts w:ascii="Calibri" w:hAnsi="Calibri" w:cs="Calibri"/>
          <w:i/>
          <w:iCs/>
          <w:noProof/>
          <w:szCs w:val="24"/>
        </w:rPr>
        <w:t>Cancer Cell</w:t>
      </w:r>
      <w:r w:rsidRPr="00AD61B7">
        <w:rPr>
          <w:rFonts w:ascii="Calibri" w:hAnsi="Calibri" w:cs="Calibri"/>
          <w:noProof/>
          <w:szCs w:val="24"/>
        </w:rPr>
        <w:t xml:space="preserve"> 2006; 9: 157–173.</w:t>
      </w:r>
    </w:p>
    <w:p w14:paraId="70CD5E9B"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253. </w:t>
      </w:r>
      <w:r w:rsidRPr="00AD61B7">
        <w:rPr>
          <w:rFonts w:ascii="Calibri" w:hAnsi="Calibri" w:cs="Calibri"/>
          <w:noProof/>
          <w:szCs w:val="24"/>
        </w:rPr>
        <w:tab/>
        <w:t xml:space="preserve">Liu YQ, Wu F, Li JJ, et al. Gene Expression Profiling Stratifies IDH-Wildtype Glioblastoma With Distinct Prognoses. </w:t>
      </w:r>
      <w:r w:rsidRPr="00AD61B7">
        <w:rPr>
          <w:rFonts w:ascii="Calibri" w:hAnsi="Calibri" w:cs="Calibri"/>
          <w:i/>
          <w:iCs/>
          <w:noProof/>
          <w:szCs w:val="24"/>
        </w:rPr>
        <w:t>Front Oncol</w:t>
      </w:r>
      <w:r w:rsidRPr="00AD61B7">
        <w:rPr>
          <w:rFonts w:ascii="Calibri" w:hAnsi="Calibri" w:cs="Calibri"/>
          <w:noProof/>
          <w:szCs w:val="24"/>
        </w:rPr>
        <w:t xml:space="preserve"> 2019; 9: 1433.</w:t>
      </w:r>
    </w:p>
    <w:p w14:paraId="11B34BD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254. </w:t>
      </w:r>
      <w:r w:rsidRPr="00AD61B7">
        <w:rPr>
          <w:rFonts w:ascii="Calibri" w:hAnsi="Calibri" w:cs="Calibri"/>
          <w:noProof/>
          <w:szCs w:val="24"/>
        </w:rPr>
        <w:tab/>
        <w:t xml:space="preserve">Ma S, Rudra S, Campian JL, et al. Prognostic impact of CDKN2A/B deletion, TERT mutation, and EGFR amplification on histological and molecular IDH-wildtype glioblastoma. </w:t>
      </w:r>
      <w:r w:rsidRPr="00AD61B7">
        <w:rPr>
          <w:rFonts w:ascii="Calibri" w:hAnsi="Calibri" w:cs="Calibri"/>
          <w:i/>
          <w:iCs/>
          <w:noProof/>
          <w:szCs w:val="24"/>
        </w:rPr>
        <w:t>Neuro-Oncology Adv</w:t>
      </w:r>
      <w:r w:rsidRPr="00AD61B7">
        <w:rPr>
          <w:rFonts w:ascii="Calibri" w:hAnsi="Calibri" w:cs="Calibri"/>
          <w:noProof/>
          <w:szCs w:val="24"/>
        </w:rPr>
        <w:t>; 2. Epub ahead of print 1 January 2020. DOI: 10.1093/noajnl/vdaa126.</w:t>
      </w:r>
    </w:p>
    <w:p w14:paraId="2670F70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255. </w:t>
      </w:r>
      <w:r w:rsidRPr="00AD61B7">
        <w:rPr>
          <w:rFonts w:ascii="Calibri" w:hAnsi="Calibri" w:cs="Calibri"/>
          <w:noProof/>
          <w:szCs w:val="24"/>
        </w:rPr>
        <w:tab/>
        <w:t xml:space="preserve">Christians A, Adel-Horowski A, Banan R, et al. The prognostic role of IDH mutations in homogeneously treated patients with anaplastic astrocytomas and glioblastomas. </w:t>
      </w:r>
      <w:r w:rsidRPr="00AD61B7">
        <w:rPr>
          <w:rFonts w:ascii="Calibri" w:hAnsi="Calibri" w:cs="Calibri"/>
          <w:i/>
          <w:iCs/>
          <w:noProof/>
          <w:szCs w:val="24"/>
        </w:rPr>
        <w:t>Acta Neuropathol Commun</w:t>
      </w:r>
      <w:r w:rsidRPr="00AD61B7">
        <w:rPr>
          <w:rFonts w:ascii="Calibri" w:hAnsi="Calibri" w:cs="Calibri"/>
          <w:noProof/>
          <w:szCs w:val="24"/>
        </w:rPr>
        <w:t xml:space="preserve"> 2019; 7: 156.</w:t>
      </w:r>
    </w:p>
    <w:p w14:paraId="56C1C0C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256. </w:t>
      </w:r>
      <w:r w:rsidRPr="00AD61B7">
        <w:rPr>
          <w:rFonts w:ascii="Calibri" w:hAnsi="Calibri" w:cs="Calibri"/>
          <w:noProof/>
          <w:szCs w:val="24"/>
        </w:rPr>
        <w:tab/>
        <w:t xml:space="preserve">Biau J, Chautard E, De Schlichting E, et al. Radiotherapy plus temozolomide in elderly patients with glioblastoma: a ‘real-life’ report. </w:t>
      </w:r>
      <w:r w:rsidRPr="00AD61B7">
        <w:rPr>
          <w:rFonts w:ascii="Calibri" w:hAnsi="Calibri" w:cs="Calibri"/>
          <w:i/>
          <w:iCs/>
          <w:noProof/>
          <w:szCs w:val="24"/>
        </w:rPr>
        <w:t>Radiat Oncol</w:t>
      </w:r>
      <w:r w:rsidRPr="00AD61B7">
        <w:rPr>
          <w:rFonts w:ascii="Calibri" w:hAnsi="Calibri" w:cs="Calibri"/>
          <w:noProof/>
          <w:szCs w:val="24"/>
        </w:rPr>
        <w:t xml:space="preserve"> 2017; 12: 197.</w:t>
      </w:r>
    </w:p>
    <w:p w14:paraId="620D681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257. </w:t>
      </w:r>
      <w:r w:rsidRPr="00AD61B7">
        <w:rPr>
          <w:rFonts w:ascii="Calibri" w:hAnsi="Calibri" w:cs="Calibri"/>
          <w:noProof/>
          <w:szCs w:val="24"/>
        </w:rPr>
        <w:tab/>
        <w:t xml:space="preserve">Incekara F, van der Voort SR, Dubbink HJ, et al. Topographical Mapping of 436 Newly Diagnosed IDH Wildtype Glioblastoma With vs. Without MGMT Promoter Methylation. </w:t>
      </w:r>
      <w:r w:rsidRPr="00AD61B7">
        <w:rPr>
          <w:rFonts w:ascii="Calibri" w:hAnsi="Calibri" w:cs="Calibri"/>
          <w:i/>
          <w:iCs/>
          <w:noProof/>
          <w:szCs w:val="24"/>
        </w:rPr>
        <w:t>Front Oncol</w:t>
      </w:r>
      <w:r w:rsidRPr="00AD61B7">
        <w:rPr>
          <w:rFonts w:ascii="Calibri" w:hAnsi="Calibri" w:cs="Calibri"/>
          <w:noProof/>
          <w:szCs w:val="24"/>
        </w:rPr>
        <w:t xml:space="preserve"> 2020; 10: 596.</w:t>
      </w:r>
    </w:p>
    <w:p w14:paraId="375EED02"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258. </w:t>
      </w:r>
      <w:r w:rsidRPr="00AD61B7">
        <w:rPr>
          <w:rFonts w:ascii="Calibri" w:hAnsi="Calibri" w:cs="Calibri"/>
          <w:noProof/>
          <w:szCs w:val="24"/>
        </w:rPr>
        <w:tab/>
        <w:t xml:space="preserve">Amelot A, De Cremoux P, Quillien V, et al. IDH-mutation is a weak predictor of long-term survival in glioblastoma patients. </w:t>
      </w:r>
      <w:r w:rsidRPr="00AD61B7">
        <w:rPr>
          <w:rFonts w:ascii="Calibri" w:hAnsi="Calibri" w:cs="Calibri"/>
          <w:i/>
          <w:iCs/>
          <w:noProof/>
          <w:szCs w:val="24"/>
        </w:rPr>
        <w:t>PLoS One</w:t>
      </w:r>
      <w:r w:rsidRPr="00AD61B7">
        <w:rPr>
          <w:rFonts w:ascii="Calibri" w:hAnsi="Calibri" w:cs="Calibri"/>
          <w:noProof/>
          <w:szCs w:val="24"/>
        </w:rPr>
        <w:t>; 10. Epub ahead of print 9 July 2015. DOI: 10.1371/journal.pone.0130596.</w:t>
      </w:r>
    </w:p>
    <w:p w14:paraId="4FB7377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259. </w:t>
      </w:r>
      <w:r w:rsidRPr="00AD61B7">
        <w:rPr>
          <w:rFonts w:ascii="Calibri" w:hAnsi="Calibri" w:cs="Calibri"/>
          <w:noProof/>
          <w:szCs w:val="24"/>
        </w:rPr>
        <w:tab/>
        <w:t xml:space="preserve">Sheikh S, Radivoyevitch T, Barnholtz-Sloan JS, et al. Long-term trends in glioblastoma survival: Implications for historical control groups in clinical trials. </w:t>
      </w:r>
      <w:r w:rsidRPr="00AD61B7">
        <w:rPr>
          <w:rFonts w:ascii="Calibri" w:hAnsi="Calibri" w:cs="Calibri"/>
          <w:i/>
          <w:iCs/>
          <w:noProof/>
          <w:szCs w:val="24"/>
        </w:rPr>
        <w:t>Neuro-Oncology Pract</w:t>
      </w:r>
      <w:r w:rsidRPr="00AD61B7">
        <w:rPr>
          <w:rFonts w:ascii="Calibri" w:hAnsi="Calibri" w:cs="Calibri"/>
          <w:noProof/>
          <w:szCs w:val="24"/>
        </w:rPr>
        <w:t xml:space="preserve"> 2020; 7: 158–163.</w:t>
      </w:r>
    </w:p>
    <w:p w14:paraId="42D7FD5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260. </w:t>
      </w:r>
      <w:r w:rsidRPr="00AD61B7">
        <w:rPr>
          <w:rFonts w:ascii="Calibri" w:hAnsi="Calibri" w:cs="Calibri"/>
          <w:noProof/>
          <w:szCs w:val="24"/>
        </w:rPr>
        <w:tab/>
        <w:t xml:space="preserve">Stensjøen AL, Solheim O, Kvistad KA, et al. Growth dynamics of untreated glioblastomas in vivo. </w:t>
      </w:r>
      <w:r w:rsidRPr="00AD61B7">
        <w:rPr>
          <w:rFonts w:ascii="Calibri" w:hAnsi="Calibri" w:cs="Calibri"/>
          <w:i/>
          <w:iCs/>
          <w:noProof/>
          <w:szCs w:val="24"/>
        </w:rPr>
        <w:t>Neuro Oncol</w:t>
      </w:r>
      <w:r w:rsidRPr="00AD61B7">
        <w:rPr>
          <w:rFonts w:ascii="Calibri" w:hAnsi="Calibri" w:cs="Calibri"/>
          <w:noProof/>
          <w:szCs w:val="24"/>
        </w:rPr>
        <w:t xml:space="preserve"> 2015; 17: 1402–1411.</w:t>
      </w:r>
    </w:p>
    <w:p w14:paraId="731DD68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261. </w:t>
      </w:r>
      <w:r w:rsidRPr="00AD61B7">
        <w:rPr>
          <w:rFonts w:ascii="Calibri" w:hAnsi="Calibri" w:cs="Calibri"/>
          <w:noProof/>
          <w:szCs w:val="24"/>
        </w:rPr>
        <w:tab/>
        <w:t xml:space="preserve">Pardee AB. G1 events and regulation of cell proliferation. </w:t>
      </w:r>
      <w:r w:rsidRPr="00AD61B7">
        <w:rPr>
          <w:rFonts w:ascii="Calibri" w:hAnsi="Calibri" w:cs="Calibri"/>
          <w:i/>
          <w:iCs/>
          <w:noProof/>
          <w:szCs w:val="24"/>
        </w:rPr>
        <w:t>Science (80- )</w:t>
      </w:r>
      <w:r w:rsidRPr="00AD61B7">
        <w:rPr>
          <w:rFonts w:ascii="Calibri" w:hAnsi="Calibri" w:cs="Calibri"/>
          <w:noProof/>
          <w:szCs w:val="24"/>
        </w:rPr>
        <w:t xml:space="preserve"> 1989; 246: 603–608.</w:t>
      </w:r>
    </w:p>
    <w:p w14:paraId="5ABBEB8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262. </w:t>
      </w:r>
      <w:r w:rsidRPr="00AD61B7">
        <w:rPr>
          <w:rFonts w:ascii="Calibri" w:hAnsi="Calibri" w:cs="Calibri"/>
          <w:noProof/>
          <w:szCs w:val="24"/>
        </w:rPr>
        <w:tab/>
        <w:t xml:space="preserve">Laigle-Donadey F, Crinière E, Benouaich A, et al. Loss of 22q chromosome is related to glioma progression and loss of 10q. </w:t>
      </w:r>
      <w:r w:rsidRPr="00AD61B7">
        <w:rPr>
          <w:rFonts w:ascii="Calibri" w:hAnsi="Calibri" w:cs="Calibri"/>
          <w:i/>
          <w:iCs/>
          <w:noProof/>
          <w:szCs w:val="24"/>
        </w:rPr>
        <w:t>J Neurooncol</w:t>
      </w:r>
      <w:r w:rsidRPr="00AD61B7">
        <w:rPr>
          <w:rFonts w:ascii="Calibri" w:hAnsi="Calibri" w:cs="Calibri"/>
          <w:noProof/>
          <w:szCs w:val="24"/>
        </w:rPr>
        <w:t xml:space="preserve"> 2006; 76: 265–268.</w:t>
      </w:r>
    </w:p>
    <w:p w14:paraId="7647AF3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263. </w:t>
      </w:r>
      <w:r w:rsidRPr="00AD61B7">
        <w:rPr>
          <w:rFonts w:ascii="Calibri" w:hAnsi="Calibri" w:cs="Calibri"/>
          <w:noProof/>
          <w:szCs w:val="24"/>
        </w:rPr>
        <w:tab/>
        <w:t xml:space="preserve">Nakamura M, Ishida E, Shimada K, et al. Frequent LOH on 22q12.3 and TIMP-3 inactivation occur in the progression to secondary glioblastomas. </w:t>
      </w:r>
      <w:r w:rsidRPr="00AD61B7">
        <w:rPr>
          <w:rFonts w:ascii="Calibri" w:hAnsi="Calibri" w:cs="Calibri"/>
          <w:i/>
          <w:iCs/>
          <w:noProof/>
          <w:szCs w:val="24"/>
        </w:rPr>
        <w:t>Lab Investig</w:t>
      </w:r>
      <w:r w:rsidRPr="00AD61B7">
        <w:rPr>
          <w:rFonts w:ascii="Calibri" w:hAnsi="Calibri" w:cs="Calibri"/>
          <w:noProof/>
          <w:szCs w:val="24"/>
        </w:rPr>
        <w:t xml:space="preserve"> 2005; 85: 165–175.</w:t>
      </w:r>
    </w:p>
    <w:p w14:paraId="371A105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264. </w:t>
      </w:r>
      <w:r w:rsidRPr="00AD61B7">
        <w:rPr>
          <w:rFonts w:ascii="Calibri" w:hAnsi="Calibri" w:cs="Calibri"/>
          <w:noProof/>
          <w:szCs w:val="24"/>
        </w:rPr>
        <w:tab/>
        <w:t xml:space="preserve">Oskam NT, Bijleveld EH, Hulsebos TJM. A region of common deletion in 22q13.3 In human glioma associated with astrocytoma progression. </w:t>
      </w:r>
      <w:r w:rsidRPr="00AD61B7">
        <w:rPr>
          <w:rFonts w:ascii="Calibri" w:hAnsi="Calibri" w:cs="Calibri"/>
          <w:i/>
          <w:iCs/>
          <w:noProof/>
          <w:szCs w:val="24"/>
        </w:rPr>
        <w:t>Int J Cancer</w:t>
      </w:r>
      <w:r w:rsidRPr="00AD61B7">
        <w:rPr>
          <w:rFonts w:ascii="Calibri" w:hAnsi="Calibri" w:cs="Calibri"/>
          <w:noProof/>
          <w:szCs w:val="24"/>
        </w:rPr>
        <w:t xml:space="preserve"> 2000; 85: 336–339.</w:t>
      </w:r>
    </w:p>
    <w:p w14:paraId="7DF1FCD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265. </w:t>
      </w:r>
      <w:r w:rsidRPr="00AD61B7">
        <w:rPr>
          <w:rFonts w:ascii="Calibri" w:hAnsi="Calibri" w:cs="Calibri"/>
          <w:noProof/>
          <w:szCs w:val="24"/>
        </w:rPr>
        <w:tab/>
        <w:t xml:space="preserve">Fisher C. The diversity of soft tissue tumours with EWSR1 gene rearrangements: A review. </w:t>
      </w:r>
      <w:r w:rsidRPr="00AD61B7">
        <w:rPr>
          <w:rFonts w:ascii="Calibri" w:hAnsi="Calibri" w:cs="Calibri"/>
          <w:i/>
          <w:iCs/>
          <w:noProof/>
          <w:szCs w:val="24"/>
        </w:rPr>
        <w:t>Histopathology</w:t>
      </w:r>
      <w:r w:rsidRPr="00AD61B7">
        <w:rPr>
          <w:rFonts w:ascii="Calibri" w:hAnsi="Calibri" w:cs="Calibri"/>
          <w:noProof/>
          <w:szCs w:val="24"/>
        </w:rPr>
        <w:t xml:space="preserve"> 2014; 64: 134–150.</w:t>
      </w:r>
    </w:p>
    <w:p w14:paraId="477EEF59"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266. </w:t>
      </w:r>
      <w:r w:rsidRPr="00AD61B7">
        <w:rPr>
          <w:rFonts w:ascii="Calibri" w:hAnsi="Calibri" w:cs="Calibri"/>
          <w:noProof/>
          <w:szCs w:val="24"/>
        </w:rPr>
        <w:tab/>
        <w:t xml:space="preserve">Pandita A, Balasubramaniam A, Perrin R, et al. Malignant and benign ganglioglioma: A pathological and molecular study1. </w:t>
      </w:r>
      <w:r w:rsidRPr="00AD61B7">
        <w:rPr>
          <w:rFonts w:ascii="Calibri" w:hAnsi="Calibri" w:cs="Calibri"/>
          <w:i/>
          <w:iCs/>
          <w:noProof/>
          <w:szCs w:val="24"/>
        </w:rPr>
        <w:t>Neuro Oncol</w:t>
      </w:r>
      <w:r w:rsidRPr="00AD61B7">
        <w:rPr>
          <w:rFonts w:ascii="Calibri" w:hAnsi="Calibri" w:cs="Calibri"/>
          <w:noProof/>
          <w:szCs w:val="24"/>
        </w:rPr>
        <w:t xml:space="preserve"> 2007; 9: 124–134.</w:t>
      </w:r>
    </w:p>
    <w:p w14:paraId="6BB0F86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267. </w:t>
      </w:r>
      <w:r w:rsidRPr="00AD61B7">
        <w:rPr>
          <w:rFonts w:ascii="Calibri" w:hAnsi="Calibri" w:cs="Calibri"/>
          <w:noProof/>
          <w:szCs w:val="24"/>
        </w:rPr>
        <w:tab/>
        <w:t xml:space="preserve">Cimino PJ, McFerrin L, Wirsching H-G, et al. Copy number profiling across glioblastoma populations has implications for clinical trial design. </w:t>
      </w:r>
      <w:r w:rsidRPr="00AD61B7">
        <w:rPr>
          <w:rFonts w:ascii="Calibri" w:hAnsi="Calibri" w:cs="Calibri"/>
          <w:i/>
          <w:iCs/>
          <w:noProof/>
          <w:szCs w:val="24"/>
        </w:rPr>
        <w:t>Neuro Oncol</w:t>
      </w:r>
      <w:r w:rsidRPr="00AD61B7">
        <w:rPr>
          <w:rFonts w:ascii="Calibri" w:hAnsi="Calibri" w:cs="Calibri"/>
          <w:noProof/>
          <w:szCs w:val="24"/>
        </w:rPr>
        <w:t xml:space="preserve"> 2018; 20: 1368–1373.</w:t>
      </w:r>
    </w:p>
    <w:p w14:paraId="7F359347"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268. </w:t>
      </w:r>
      <w:r w:rsidRPr="00AD61B7">
        <w:rPr>
          <w:rFonts w:ascii="Calibri" w:hAnsi="Calibri" w:cs="Calibri"/>
          <w:noProof/>
          <w:szCs w:val="24"/>
        </w:rPr>
        <w:tab/>
        <w:t xml:space="preserve">Geisenberger C, Mock A, Warta R, et al. Molecular profiling of long-term survivors identifies a subgroup of glioblastoma characterized by chromosome 19/20 co-gain. </w:t>
      </w:r>
      <w:r w:rsidRPr="00AD61B7">
        <w:rPr>
          <w:rFonts w:ascii="Calibri" w:hAnsi="Calibri" w:cs="Calibri"/>
          <w:i/>
          <w:iCs/>
          <w:noProof/>
          <w:szCs w:val="24"/>
        </w:rPr>
        <w:t>Acta Neuropathol</w:t>
      </w:r>
      <w:r w:rsidRPr="00AD61B7">
        <w:rPr>
          <w:rFonts w:ascii="Calibri" w:hAnsi="Calibri" w:cs="Calibri"/>
          <w:noProof/>
          <w:szCs w:val="24"/>
        </w:rPr>
        <w:t xml:space="preserve"> 2015; 130: 419–434.</w:t>
      </w:r>
    </w:p>
    <w:p w14:paraId="455FF651"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269. </w:t>
      </w:r>
      <w:r w:rsidRPr="00AD61B7">
        <w:rPr>
          <w:rFonts w:ascii="Calibri" w:hAnsi="Calibri" w:cs="Calibri"/>
          <w:noProof/>
          <w:szCs w:val="24"/>
        </w:rPr>
        <w:tab/>
        <w:t xml:space="preserve">Mirchia K, Richardson TE. Beyond IDH-mutation: Emerging molecular diagnostic and prognostic features in adult diffuse gliomas. </w:t>
      </w:r>
      <w:r w:rsidRPr="00AD61B7">
        <w:rPr>
          <w:rFonts w:ascii="Calibri" w:hAnsi="Calibri" w:cs="Calibri"/>
          <w:i/>
          <w:iCs/>
          <w:noProof/>
          <w:szCs w:val="24"/>
        </w:rPr>
        <w:t>Cancers</w:t>
      </w:r>
      <w:r w:rsidRPr="00AD61B7">
        <w:rPr>
          <w:rFonts w:ascii="Calibri" w:hAnsi="Calibri" w:cs="Calibri"/>
          <w:noProof/>
          <w:szCs w:val="24"/>
        </w:rPr>
        <w:t xml:space="preserve"> 2020; 12: 1–22.</w:t>
      </w:r>
    </w:p>
    <w:p w14:paraId="0D794E15"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270. </w:t>
      </w:r>
      <w:r w:rsidRPr="00AD61B7">
        <w:rPr>
          <w:rFonts w:ascii="Calibri" w:hAnsi="Calibri" w:cs="Calibri"/>
          <w:noProof/>
          <w:szCs w:val="24"/>
        </w:rPr>
        <w:tab/>
        <w:t xml:space="preserve">Mansouri A, Hachem LD, Mansouri S, et al. MGMT promoter methylation status testing to guide therapy for glioblastoma: Refining the approach based on emerging evidence and current challenges. </w:t>
      </w:r>
      <w:r w:rsidRPr="00AD61B7">
        <w:rPr>
          <w:rFonts w:ascii="Calibri" w:hAnsi="Calibri" w:cs="Calibri"/>
          <w:i/>
          <w:iCs/>
          <w:noProof/>
          <w:szCs w:val="24"/>
        </w:rPr>
        <w:t>Neuro Oncol</w:t>
      </w:r>
      <w:r w:rsidRPr="00AD61B7">
        <w:rPr>
          <w:rFonts w:ascii="Calibri" w:hAnsi="Calibri" w:cs="Calibri"/>
          <w:noProof/>
          <w:szCs w:val="24"/>
        </w:rPr>
        <w:t xml:space="preserve"> 2019; 21: 167–178.</w:t>
      </w:r>
    </w:p>
    <w:p w14:paraId="01B52824"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271. </w:t>
      </w:r>
      <w:r w:rsidRPr="00AD61B7">
        <w:rPr>
          <w:rFonts w:ascii="Calibri" w:hAnsi="Calibri" w:cs="Calibri"/>
          <w:noProof/>
          <w:szCs w:val="24"/>
        </w:rPr>
        <w:tab/>
        <w:t xml:space="preserve">Radke J, Koch A, Pritsch F, et al. Predictive MGMT status in a homogeneous cohort of IDH wildtype glioblastoma patients. </w:t>
      </w:r>
      <w:r w:rsidRPr="00AD61B7">
        <w:rPr>
          <w:rFonts w:ascii="Calibri" w:hAnsi="Calibri" w:cs="Calibri"/>
          <w:i/>
          <w:iCs/>
          <w:noProof/>
          <w:szCs w:val="24"/>
        </w:rPr>
        <w:t>Acta Neuropathol Commun</w:t>
      </w:r>
      <w:r w:rsidRPr="00AD61B7">
        <w:rPr>
          <w:rFonts w:ascii="Calibri" w:hAnsi="Calibri" w:cs="Calibri"/>
          <w:noProof/>
          <w:szCs w:val="24"/>
        </w:rPr>
        <w:t xml:space="preserve"> 2019; 7: 89.</w:t>
      </w:r>
    </w:p>
    <w:p w14:paraId="1DD19C83"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272. </w:t>
      </w:r>
      <w:r w:rsidRPr="00AD61B7">
        <w:rPr>
          <w:rFonts w:ascii="Calibri" w:hAnsi="Calibri" w:cs="Calibri"/>
          <w:noProof/>
          <w:szCs w:val="24"/>
        </w:rPr>
        <w:tab/>
        <w:t xml:space="preserve">Marchi F, Sahnane N, Cerutti R, et al. The Impact of Surgery in IDH 1 Wild Type Glioblastoma in Relation With the MGMT Deregulation. </w:t>
      </w:r>
      <w:r w:rsidRPr="00AD61B7">
        <w:rPr>
          <w:rFonts w:ascii="Calibri" w:hAnsi="Calibri" w:cs="Calibri"/>
          <w:i/>
          <w:iCs/>
          <w:noProof/>
          <w:szCs w:val="24"/>
        </w:rPr>
        <w:t>Front Oncol</w:t>
      </w:r>
      <w:r w:rsidRPr="00AD61B7">
        <w:rPr>
          <w:rFonts w:ascii="Calibri" w:hAnsi="Calibri" w:cs="Calibri"/>
          <w:noProof/>
          <w:szCs w:val="24"/>
        </w:rPr>
        <w:t xml:space="preserve"> 2020; 9: 1569.</w:t>
      </w:r>
    </w:p>
    <w:p w14:paraId="0D6E003F"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273. </w:t>
      </w:r>
      <w:r w:rsidRPr="00AD61B7">
        <w:rPr>
          <w:rFonts w:ascii="Calibri" w:hAnsi="Calibri" w:cs="Calibri"/>
          <w:noProof/>
          <w:szCs w:val="24"/>
        </w:rPr>
        <w:tab/>
        <w:t xml:space="preserve">Hou L, Jiang J, Liu B, et al. Smoking and adult glioma: A population-based case-control study in China. </w:t>
      </w:r>
      <w:r w:rsidRPr="00AD61B7">
        <w:rPr>
          <w:rFonts w:ascii="Calibri" w:hAnsi="Calibri" w:cs="Calibri"/>
          <w:i/>
          <w:iCs/>
          <w:noProof/>
          <w:szCs w:val="24"/>
        </w:rPr>
        <w:t>Neuro Oncol</w:t>
      </w:r>
      <w:r w:rsidRPr="00AD61B7">
        <w:rPr>
          <w:rFonts w:ascii="Calibri" w:hAnsi="Calibri" w:cs="Calibri"/>
          <w:noProof/>
          <w:szCs w:val="24"/>
        </w:rPr>
        <w:t xml:space="preserve"> 2016; 18: 105–113.</w:t>
      </w:r>
    </w:p>
    <w:p w14:paraId="500C3346"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szCs w:val="24"/>
        </w:rPr>
      </w:pPr>
      <w:r w:rsidRPr="00AD61B7">
        <w:rPr>
          <w:rFonts w:ascii="Calibri" w:hAnsi="Calibri" w:cs="Calibri"/>
          <w:noProof/>
          <w:szCs w:val="24"/>
        </w:rPr>
        <w:t xml:space="preserve">274. </w:t>
      </w:r>
      <w:r w:rsidRPr="00AD61B7">
        <w:rPr>
          <w:rFonts w:ascii="Calibri" w:hAnsi="Calibri" w:cs="Calibri"/>
          <w:noProof/>
          <w:szCs w:val="24"/>
        </w:rPr>
        <w:tab/>
        <w:t xml:space="preserve">Li H xing, Peng X xiao, Zong Q, et al. Cigarette smoking and risk of adult glioma: A meta-analysis of 24 observational studies involving more than 2.3 million individuals. </w:t>
      </w:r>
      <w:r w:rsidRPr="00AD61B7">
        <w:rPr>
          <w:rFonts w:ascii="Calibri" w:hAnsi="Calibri" w:cs="Calibri"/>
          <w:i/>
          <w:iCs/>
          <w:noProof/>
          <w:szCs w:val="24"/>
        </w:rPr>
        <w:t>Onco Targets Ther</w:t>
      </w:r>
      <w:r w:rsidRPr="00AD61B7">
        <w:rPr>
          <w:rFonts w:ascii="Calibri" w:hAnsi="Calibri" w:cs="Calibri"/>
          <w:noProof/>
          <w:szCs w:val="24"/>
        </w:rPr>
        <w:t xml:space="preserve"> 2016; 9: 3511–3523.</w:t>
      </w:r>
    </w:p>
    <w:p w14:paraId="7F17DBB8" w14:textId="77777777" w:rsidR="00AD61B7" w:rsidRPr="00AD61B7" w:rsidRDefault="00AD61B7" w:rsidP="00AD61B7">
      <w:pPr>
        <w:widowControl w:val="0"/>
        <w:autoSpaceDE w:val="0"/>
        <w:autoSpaceDN w:val="0"/>
        <w:adjustRightInd w:val="0"/>
        <w:spacing w:line="240" w:lineRule="auto"/>
        <w:ind w:left="640" w:hanging="640"/>
        <w:rPr>
          <w:rFonts w:ascii="Calibri" w:hAnsi="Calibri" w:cs="Calibri"/>
          <w:noProof/>
        </w:rPr>
      </w:pPr>
      <w:r w:rsidRPr="00AD61B7">
        <w:rPr>
          <w:rFonts w:ascii="Calibri" w:hAnsi="Calibri" w:cs="Calibri"/>
          <w:noProof/>
          <w:szCs w:val="24"/>
        </w:rPr>
        <w:t xml:space="preserve">275. </w:t>
      </w:r>
      <w:r w:rsidRPr="00AD61B7">
        <w:rPr>
          <w:rFonts w:ascii="Calibri" w:hAnsi="Calibri" w:cs="Calibri"/>
          <w:noProof/>
          <w:szCs w:val="24"/>
        </w:rPr>
        <w:tab/>
        <w:t xml:space="preserve">Gittleman H, Cioffi G, Chunduru P, et al. An independently validated nomogram for isocitrate dehydrogenase-wild-type glioblastoma patient survival. </w:t>
      </w:r>
      <w:r w:rsidRPr="00AD61B7">
        <w:rPr>
          <w:rFonts w:ascii="Calibri" w:hAnsi="Calibri" w:cs="Calibri"/>
          <w:i/>
          <w:iCs/>
          <w:noProof/>
          <w:szCs w:val="24"/>
        </w:rPr>
        <w:t>Neuro-Oncology Adv</w:t>
      </w:r>
      <w:r w:rsidRPr="00AD61B7">
        <w:rPr>
          <w:rFonts w:ascii="Calibri" w:hAnsi="Calibri" w:cs="Calibri"/>
          <w:noProof/>
          <w:szCs w:val="24"/>
        </w:rPr>
        <w:t>; 1. Epub ahead of print 1 May 2019. DOI: 10.1093/noajnl/vdz007.</w:t>
      </w:r>
    </w:p>
    <w:p w14:paraId="6DD44E7B" w14:textId="79E7A529" w:rsidR="003A1091" w:rsidRDefault="003A1091" w:rsidP="00EC4DAF">
      <w:pPr>
        <w:pStyle w:val="Odstavecseseznamem"/>
        <w:tabs>
          <w:tab w:val="left" w:pos="975"/>
        </w:tabs>
        <w:ind w:left="0"/>
        <w:rPr>
          <w:b/>
          <w:bCs/>
          <w:highlight w:val="yellow"/>
        </w:rPr>
      </w:pPr>
      <w:r>
        <w:rPr>
          <w:b/>
          <w:bCs/>
          <w:highlight w:val="yellow"/>
        </w:rPr>
        <w:fldChar w:fldCharType="end"/>
      </w:r>
    </w:p>
    <w:p w14:paraId="678FF8B1" w14:textId="77777777" w:rsidR="0091621E" w:rsidRDefault="0091621E" w:rsidP="00EC4DAF">
      <w:pPr>
        <w:pStyle w:val="Odstavecseseznamem"/>
        <w:tabs>
          <w:tab w:val="left" w:pos="975"/>
        </w:tabs>
        <w:ind w:left="0"/>
        <w:rPr>
          <w:b/>
          <w:bCs/>
          <w:highlight w:val="yellow"/>
        </w:rPr>
      </w:pPr>
    </w:p>
    <w:p w14:paraId="104BA408" w14:textId="77777777" w:rsidR="00CE58AB" w:rsidRDefault="00CE58AB" w:rsidP="007C510A">
      <w:pPr>
        <w:pStyle w:val="Nadpis1"/>
        <w:ind w:left="0" w:firstLine="0"/>
        <w:sectPr w:rsidR="00CE58AB" w:rsidSect="000B0BA1">
          <w:pgSz w:w="11906" w:h="16838"/>
          <w:pgMar w:top="1417" w:right="1417" w:bottom="1417" w:left="1417" w:header="708" w:footer="708" w:gutter="0"/>
          <w:cols w:space="708"/>
          <w:docGrid w:linePitch="360"/>
        </w:sectPr>
      </w:pPr>
    </w:p>
    <w:p w14:paraId="5C8F046C" w14:textId="3D01FCCA" w:rsidR="00741EFD" w:rsidRDefault="00741EFD" w:rsidP="007C510A">
      <w:pPr>
        <w:pStyle w:val="Nadpis1"/>
        <w:ind w:left="0" w:firstLine="0"/>
      </w:pPr>
      <w:bookmarkStart w:id="129" w:name="_Toc88741522"/>
      <w:r w:rsidRPr="001351CF">
        <w:t>Seznam publikací autora</w:t>
      </w:r>
      <w:bookmarkEnd w:id="129"/>
    </w:p>
    <w:p w14:paraId="5196D52D" w14:textId="2A581002" w:rsidR="00EC39AF" w:rsidRDefault="00741EFD" w:rsidP="00EC39AF">
      <w:pPr>
        <w:pStyle w:val="Nadpis2"/>
      </w:pPr>
      <w:bookmarkStart w:id="130" w:name="_Toc88741523"/>
      <w:bookmarkStart w:id="131" w:name="_Toc58695669"/>
      <w:bookmarkStart w:id="132" w:name="_Toc58695724"/>
      <w:bookmarkStart w:id="133" w:name="_Toc58696089"/>
      <w:bookmarkStart w:id="134" w:name="_Toc58754427"/>
      <w:bookmarkStart w:id="135" w:name="_Toc62813847"/>
      <w:bookmarkStart w:id="136" w:name="_Toc66472668"/>
      <w:r w:rsidRPr="00EC39AF">
        <w:t>Původní a přehledové práce</w:t>
      </w:r>
      <w:bookmarkEnd w:id="130"/>
      <w:r w:rsidR="001351CF" w:rsidRPr="00EC39AF">
        <w:t xml:space="preserve"> </w:t>
      </w:r>
      <w:bookmarkStart w:id="137" w:name="_Toc54424826"/>
      <w:bookmarkStart w:id="138" w:name="_Toc54424926"/>
      <w:bookmarkStart w:id="139" w:name="_Toc54982081"/>
      <w:bookmarkStart w:id="140" w:name="_Toc55044125"/>
      <w:bookmarkStart w:id="141" w:name="_Toc55044168"/>
      <w:bookmarkStart w:id="142" w:name="_Toc55044191"/>
      <w:bookmarkStart w:id="143" w:name="_Toc58655209"/>
      <w:bookmarkStart w:id="144" w:name="_Toc58683092"/>
      <w:bookmarkStart w:id="145" w:name="_Toc58695670"/>
      <w:bookmarkStart w:id="146" w:name="_Toc58695725"/>
      <w:bookmarkStart w:id="147" w:name="_Toc58696090"/>
      <w:bookmarkStart w:id="148" w:name="_Toc58754428"/>
      <w:bookmarkStart w:id="149" w:name="_Toc62813848"/>
      <w:bookmarkStart w:id="150" w:name="_Toc66472669"/>
      <w:bookmarkStart w:id="151" w:name="_Toc66472754"/>
      <w:bookmarkEnd w:id="131"/>
      <w:bookmarkEnd w:id="132"/>
      <w:bookmarkEnd w:id="133"/>
      <w:bookmarkEnd w:id="134"/>
      <w:bookmarkEnd w:id="135"/>
      <w:bookmarkEnd w:id="136"/>
    </w:p>
    <w:p w14:paraId="43E3F6C2" w14:textId="77777777" w:rsidR="00532755" w:rsidRPr="00532755" w:rsidRDefault="00532755" w:rsidP="00CE58AB">
      <w:pPr>
        <w:pStyle w:val="CVNormal"/>
        <w:numPr>
          <w:ilvl w:val="0"/>
          <w:numId w:val="5"/>
        </w:numPr>
        <w:spacing w:after="200" w:line="276" w:lineRule="auto"/>
        <w:ind w:left="0" w:right="0" w:firstLine="0"/>
        <w:jc w:val="both"/>
        <w:rPr>
          <w:rFonts w:asciiTheme="minorHAnsi" w:eastAsiaTheme="minorEastAsia" w:hAnsiTheme="minorHAnsi" w:cstheme="minorBidi"/>
          <w:sz w:val="22"/>
          <w:szCs w:val="22"/>
          <w:lang w:eastAsia="cs-CZ"/>
        </w:rPr>
      </w:pPr>
      <w:bookmarkStart w:id="152" w:name="_Toc54424827"/>
      <w:bookmarkStart w:id="153" w:name="_Toc54424927"/>
      <w:bookmarkStart w:id="154" w:name="_Toc54982082"/>
      <w:bookmarkStart w:id="155" w:name="_Toc55044126"/>
      <w:bookmarkStart w:id="156" w:name="_Toc55044169"/>
      <w:bookmarkStart w:id="157" w:name="_Toc55044192"/>
      <w:bookmarkStart w:id="158" w:name="_Toc58655210"/>
      <w:bookmarkStart w:id="159" w:name="_Toc58683093"/>
      <w:bookmarkStart w:id="160" w:name="_Toc58695671"/>
      <w:bookmarkStart w:id="161" w:name="_Toc58695726"/>
      <w:bookmarkStart w:id="162" w:name="_Toc58696091"/>
      <w:bookmarkStart w:id="163" w:name="_Toc58754429"/>
      <w:bookmarkStart w:id="164" w:name="_Toc62813849"/>
      <w:bookmarkStart w:id="165" w:name="_Toc66472670"/>
      <w:bookmarkStart w:id="166" w:name="_Toc66472755"/>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Pr>
          <w:rFonts w:ascii="Segoe UI" w:hAnsi="Segoe UI" w:cs="Segoe UI"/>
          <w:color w:val="212121"/>
          <w:shd w:val="clear" w:color="auto" w:fill="FFFFFF"/>
        </w:rPr>
        <w:t>Sporikova Z, Koudelakova V, Trojanec R, Hajduch M. Genetic Markers in Triple-Negative Breast Cancer. Clin Breast Cancer. 2018 Oct;18(5):e841-e850. doi: 10.1016/j.clbc.2018.07.023. Epub 2018 Aug 4. PMID: 30146351.</w:t>
      </w:r>
    </w:p>
    <w:p w14:paraId="04484765" w14:textId="4EC703A7" w:rsidR="00EC39AF" w:rsidRDefault="001351CF" w:rsidP="00CE58AB">
      <w:pPr>
        <w:pStyle w:val="CVNormal"/>
        <w:numPr>
          <w:ilvl w:val="0"/>
          <w:numId w:val="5"/>
        </w:numPr>
        <w:spacing w:after="200" w:line="276" w:lineRule="auto"/>
        <w:ind w:left="0" w:right="0" w:firstLine="0"/>
        <w:jc w:val="both"/>
        <w:rPr>
          <w:rFonts w:asciiTheme="minorHAnsi" w:eastAsiaTheme="minorEastAsia" w:hAnsiTheme="minorHAnsi" w:cstheme="minorBidi"/>
          <w:sz w:val="22"/>
          <w:szCs w:val="22"/>
          <w:lang w:eastAsia="cs-CZ"/>
        </w:rPr>
      </w:pPr>
      <w:r w:rsidRPr="00EC39AF">
        <w:rPr>
          <w:rFonts w:asciiTheme="minorHAnsi" w:eastAsiaTheme="minorEastAsia" w:hAnsiTheme="minorHAnsi" w:cstheme="minorBidi"/>
          <w:sz w:val="22"/>
          <w:szCs w:val="22"/>
          <w:lang w:eastAsia="cs-CZ"/>
        </w:rPr>
        <w:t xml:space="preserve">Sporikova Z., Koudelakova V., Hajduch M.: </w:t>
      </w:r>
      <w:hyperlink r:id="rId25" w:history="1">
        <w:r w:rsidRPr="00EC39AF">
          <w:rPr>
            <w:rFonts w:asciiTheme="minorHAnsi" w:eastAsiaTheme="minorEastAsia" w:hAnsiTheme="minorHAnsi" w:cstheme="minorBidi"/>
            <w:sz w:val="22"/>
            <w:szCs w:val="22"/>
            <w:lang w:eastAsia="cs-CZ"/>
          </w:rPr>
          <w:t>Prognostické a prediktivní faktory u pacientů s karcinomem prsu</w:t>
        </w:r>
      </w:hyperlink>
      <w:r w:rsidRPr="00EC39AF">
        <w:rPr>
          <w:rFonts w:asciiTheme="minorHAnsi" w:eastAsiaTheme="minorEastAsia" w:hAnsiTheme="minorHAnsi" w:cstheme="minorBidi"/>
          <w:sz w:val="22"/>
          <w:szCs w:val="22"/>
          <w:lang w:eastAsia="cs-CZ"/>
        </w:rPr>
        <w:t>. Onkologická revue 01/2019.</w:t>
      </w:r>
      <w:bookmarkStart w:id="167" w:name="_Toc58655211"/>
      <w:bookmarkStart w:id="168" w:name="_Toc58683094"/>
      <w:bookmarkStart w:id="169" w:name="_Toc58695672"/>
      <w:bookmarkStart w:id="170" w:name="_Toc58695727"/>
      <w:bookmarkStart w:id="171" w:name="_Toc58696092"/>
      <w:bookmarkStart w:id="172" w:name="_Toc58754430"/>
      <w:bookmarkStart w:id="173" w:name="_Toc62813850"/>
      <w:bookmarkStart w:id="174" w:name="_Toc66472671"/>
      <w:bookmarkStart w:id="175" w:name="_Toc66472756"/>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14:paraId="174A1CE3" w14:textId="1C8C6759" w:rsidR="00532755" w:rsidRPr="00532755" w:rsidRDefault="00532755" w:rsidP="00CE58AB">
      <w:pPr>
        <w:pStyle w:val="CVNormal"/>
        <w:numPr>
          <w:ilvl w:val="0"/>
          <w:numId w:val="5"/>
        </w:numPr>
        <w:spacing w:after="200" w:line="276" w:lineRule="auto"/>
        <w:ind w:left="0" w:right="0" w:firstLine="0"/>
        <w:jc w:val="both"/>
        <w:rPr>
          <w:rFonts w:asciiTheme="minorHAnsi" w:eastAsiaTheme="minorEastAsia" w:hAnsiTheme="minorHAnsi" w:cstheme="minorBidi"/>
          <w:sz w:val="22"/>
          <w:szCs w:val="22"/>
          <w:lang w:eastAsia="cs-CZ"/>
        </w:rPr>
      </w:pPr>
      <w:r>
        <w:rPr>
          <w:rFonts w:ascii="Segoe UI" w:hAnsi="Segoe UI" w:cs="Segoe UI"/>
          <w:color w:val="212121"/>
          <w:shd w:val="clear" w:color="auto" w:fill="FFFFFF"/>
        </w:rPr>
        <w:t>Kalita O., Hrabalek L., Halaj M., Hok P., Franc D., Klementova Y., Dolezel M., Cechakova E., Sporikova Z., Drabek J., Hajduch M., Tuckova L.: Very late complications of oncotherapy in glioblastoma patients: A case series. Biomed Pap Med Fac Univ Palacky Olomouc Czech Repub. 2021 Feb 22. doi: 10.5507/bp.2021.012. Epub ahead of print. PMID: 33612837.</w:t>
      </w:r>
    </w:p>
    <w:p w14:paraId="516587D7" w14:textId="70D763ED" w:rsidR="00532755" w:rsidRPr="009036BC" w:rsidRDefault="00532755" w:rsidP="00CE58AB">
      <w:pPr>
        <w:pStyle w:val="CVNormal"/>
        <w:numPr>
          <w:ilvl w:val="0"/>
          <w:numId w:val="5"/>
        </w:numPr>
        <w:spacing w:after="200" w:line="276" w:lineRule="auto"/>
        <w:ind w:left="0" w:right="0" w:firstLine="0"/>
        <w:jc w:val="both"/>
        <w:rPr>
          <w:rFonts w:asciiTheme="minorHAnsi" w:eastAsiaTheme="minorEastAsia" w:hAnsiTheme="minorHAnsi" w:cstheme="minorBidi"/>
          <w:sz w:val="22"/>
          <w:szCs w:val="22"/>
          <w:lang w:eastAsia="cs-CZ"/>
        </w:rPr>
      </w:pPr>
      <w:r>
        <w:rPr>
          <w:rFonts w:ascii="Segoe UI" w:hAnsi="Segoe UI" w:cs="Segoe UI"/>
          <w:color w:val="212121"/>
          <w:shd w:val="clear" w:color="auto" w:fill="FFFFFF"/>
        </w:rPr>
        <w:t>Kalita O., Sporikova Z., Hajduch M, Megova Houdova M, Slavkovsky R, Hrabalek L, Halaj M, Klementova Y, Dolezel M, Drabek J, Tuckova L, Ehrmann J Jr, Vrbkova J, Trojanec R, Vaverka M. The Influence of Gene Aberrations on Survival in Resected </w:t>
      </w:r>
      <w:r>
        <w:rPr>
          <w:rFonts w:ascii="Segoe UI" w:hAnsi="Segoe UI" w:cs="Segoe UI"/>
          <w:i/>
          <w:iCs/>
          <w:color w:val="212121"/>
          <w:shd w:val="clear" w:color="auto" w:fill="FFFFFF"/>
        </w:rPr>
        <w:t>IDH</w:t>
      </w:r>
      <w:r>
        <w:rPr>
          <w:rFonts w:ascii="Segoe UI" w:hAnsi="Segoe UI" w:cs="Segoe UI"/>
          <w:color w:val="212121"/>
          <w:shd w:val="clear" w:color="auto" w:fill="FFFFFF"/>
        </w:rPr>
        <w:t> Wildtype Glioblastoma Patients: A Single-Institution Study. Curr Oncol. 2021 Mar 21;28(2):1280-1293. doi: 10.3390/curroncol28020122. PMID: 33801093; PMCID: PMC8025822.</w:t>
      </w:r>
    </w:p>
    <w:p w14:paraId="12215ED5" w14:textId="7220CC6F" w:rsidR="009036BC" w:rsidRPr="001949E8" w:rsidRDefault="001949E8" w:rsidP="00CE58AB">
      <w:pPr>
        <w:pStyle w:val="CVNormal"/>
        <w:numPr>
          <w:ilvl w:val="0"/>
          <w:numId w:val="5"/>
        </w:numPr>
        <w:spacing w:after="200" w:line="276" w:lineRule="auto"/>
        <w:ind w:left="0" w:right="0" w:firstLine="0"/>
        <w:jc w:val="both"/>
        <w:rPr>
          <w:rFonts w:ascii="Segoe UI" w:hAnsi="Segoe UI" w:cs="Segoe UI"/>
          <w:color w:val="212121"/>
          <w:shd w:val="clear" w:color="auto" w:fill="FFFFFF"/>
        </w:rPr>
      </w:pPr>
      <w:r>
        <w:rPr>
          <w:rFonts w:ascii="Segoe UI" w:hAnsi="Segoe UI" w:cs="Segoe UI"/>
          <w:color w:val="212121"/>
          <w:shd w:val="clear" w:color="auto" w:fill="FFFFFF"/>
        </w:rPr>
        <w:t xml:space="preserve">Sporikova Z., Slavkovsky R., Tuckova L., Kalita O., Megova Houdova M., Ehrmann J., Hajduch M., Hrabalek L., Vaverka M.: </w:t>
      </w:r>
      <w:r w:rsidRPr="001949E8">
        <w:rPr>
          <w:rFonts w:ascii="Segoe UI" w:hAnsi="Segoe UI" w:cs="Segoe UI"/>
          <w:color w:val="212121"/>
          <w:shd w:val="clear" w:color="auto" w:fill="FFFFFF"/>
        </w:rPr>
        <w:t>IDH1/2 mutations in Czech patients with diffuse gliomas: a single centre retrospective massively parallel sequencing analysis</w:t>
      </w:r>
      <w:r>
        <w:rPr>
          <w:rFonts w:ascii="Segoe UI" w:hAnsi="Segoe UI" w:cs="Segoe UI"/>
          <w:color w:val="212121"/>
          <w:shd w:val="clear" w:color="auto" w:fill="FFFFFF"/>
        </w:rPr>
        <w:t>. Accepted</w:t>
      </w:r>
      <w:r w:rsidR="00CB1FFC">
        <w:rPr>
          <w:rFonts w:ascii="Segoe UI" w:hAnsi="Segoe UI" w:cs="Segoe UI"/>
          <w:color w:val="212121"/>
          <w:shd w:val="clear" w:color="auto" w:fill="FFFFFF"/>
        </w:rPr>
        <w:t xml:space="preserve"> 26/10/2021</w:t>
      </w:r>
      <w:r>
        <w:rPr>
          <w:rFonts w:ascii="Segoe UI" w:hAnsi="Segoe UI" w:cs="Segoe UI"/>
          <w:color w:val="212121"/>
          <w:shd w:val="clear" w:color="auto" w:fill="FFFFFF"/>
        </w:rPr>
        <w:t xml:space="preserve"> in Applied Immunohistochemistry and Molecular Morphology.</w:t>
      </w:r>
    </w:p>
    <w:bookmarkEnd w:id="167"/>
    <w:bookmarkEnd w:id="168"/>
    <w:bookmarkEnd w:id="169"/>
    <w:bookmarkEnd w:id="170"/>
    <w:bookmarkEnd w:id="171"/>
    <w:bookmarkEnd w:id="172"/>
    <w:bookmarkEnd w:id="173"/>
    <w:bookmarkEnd w:id="174"/>
    <w:bookmarkEnd w:id="175"/>
    <w:p w14:paraId="66829D41" w14:textId="250AB948" w:rsidR="00804C20" w:rsidRDefault="00804C20" w:rsidP="00EC4DAF">
      <w:pPr>
        <w:pStyle w:val="Odstavecseseznamem"/>
        <w:tabs>
          <w:tab w:val="left" w:pos="975"/>
        </w:tabs>
        <w:ind w:left="0"/>
        <w:rPr>
          <w:b/>
          <w:bCs/>
          <w:highlight w:val="yellow"/>
        </w:rPr>
      </w:pPr>
    </w:p>
    <w:p w14:paraId="37CD3FD0" w14:textId="0B066A2B" w:rsidR="00946756" w:rsidRDefault="00741EFD" w:rsidP="00EC39AF">
      <w:pPr>
        <w:pStyle w:val="Nadpis2"/>
      </w:pPr>
      <w:bookmarkStart w:id="176" w:name="_Toc449887"/>
      <w:bookmarkStart w:id="177" w:name="_Toc58655212"/>
      <w:bookmarkStart w:id="178" w:name="_Toc58683095"/>
      <w:bookmarkStart w:id="179" w:name="_Toc58695673"/>
      <w:bookmarkStart w:id="180" w:name="_Toc58695728"/>
      <w:bookmarkStart w:id="181" w:name="_Toc58696093"/>
      <w:bookmarkStart w:id="182" w:name="_Toc58754431"/>
      <w:bookmarkStart w:id="183" w:name="_Toc62813851"/>
      <w:bookmarkStart w:id="184" w:name="_Toc66472672"/>
      <w:bookmarkStart w:id="185" w:name="_Toc66472757"/>
      <w:bookmarkStart w:id="186" w:name="_Toc88741524"/>
      <w:r w:rsidRPr="001351CF">
        <w:t>Prvoautorské přednášky a postery přednesené na odborných fórech</w:t>
      </w:r>
      <w:bookmarkEnd w:id="176"/>
      <w:bookmarkEnd w:id="177"/>
      <w:bookmarkEnd w:id="178"/>
      <w:bookmarkEnd w:id="179"/>
      <w:bookmarkEnd w:id="180"/>
      <w:bookmarkEnd w:id="181"/>
      <w:bookmarkEnd w:id="182"/>
      <w:bookmarkEnd w:id="183"/>
      <w:bookmarkEnd w:id="184"/>
      <w:bookmarkEnd w:id="185"/>
      <w:bookmarkEnd w:id="186"/>
    </w:p>
    <w:p w14:paraId="5BED2183" w14:textId="77777777" w:rsidR="005A1331" w:rsidRDefault="00804C20"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5A1331">
        <w:rPr>
          <w:rFonts w:asciiTheme="minorHAnsi" w:eastAsiaTheme="minorEastAsia" w:hAnsiTheme="minorHAnsi" w:cstheme="minorBidi"/>
          <w:sz w:val="22"/>
          <w:szCs w:val="22"/>
          <w:lang w:eastAsia="cs-CZ"/>
        </w:rPr>
        <w:t>Crlikova Z., Megova M., Vrbkova J., Trojanec R., Tuckova L., Potockova J., Hajdúch M:</w:t>
      </w:r>
      <w:r w:rsidR="001351CF" w:rsidRPr="005A1331">
        <w:rPr>
          <w:rFonts w:asciiTheme="minorHAnsi" w:eastAsiaTheme="minorEastAsia" w:hAnsiTheme="minorHAnsi" w:cstheme="minorBidi"/>
          <w:sz w:val="22"/>
          <w:szCs w:val="22"/>
          <w:lang w:eastAsia="cs-CZ"/>
        </w:rPr>
        <w:t xml:space="preserve"> </w:t>
      </w:r>
      <w:r w:rsidRPr="005A1331">
        <w:rPr>
          <w:rFonts w:asciiTheme="minorHAnsi" w:eastAsiaTheme="minorEastAsia" w:hAnsiTheme="minorHAnsi" w:cstheme="minorBidi"/>
          <w:sz w:val="22"/>
          <w:szCs w:val="22"/>
          <w:lang w:eastAsia="cs-CZ"/>
        </w:rPr>
        <w:t>GeneticChanges In RecurrentGlioblastoma. Prague Onco „7. pražské mezioborové onkologické kolokvium“, January 27th-29th, Prague, Czech Republic</w:t>
      </w:r>
    </w:p>
    <w:p w14:paraId="71CE2BA1" w14:textId="2FE76A7E" w:rsidR="005A1331" w:rsidRPr="005A1331" w:rsidRDefault="0064131D"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5A1331">
        <w:rPr>
          <w:rFonts w:asciiTheme="minorHAnsi" w:eastAsiaTheme="minorEastAsia" w:hAnsiTheme="minorHAnsi" w:cstheme="minorBidi"/>
          <w:sz w:val="22"/>
          <w:szCs w:val="22"/>
          <w:lang w:eastAsia="cs-CZ"/>
        </w:rPr>
        <w:t>Crlikova Z., Megova M., Vrbkova J., Trojanec, Tuckova L., Potockova J., Hajdúch M: Genetic changes in recurrent Glioblastoma – Is there any significance? X. Days of diagnostic, predictive and experimental oncology, November 2nd-3rd, 2014, Olomouc, Czech Republic.</w:t>
      </w:r>
      <w:bookmarkStart w:id="187" w:name="_Toc54424828"/>
      <w:bookmarkStart w:id="188" w:name="_Toc54424928"/>
      <w:bookmarkStart w:id="189" w:name="_Toc54982083"/>
      <w:bookmarkStart w:id="190" w:name="_Toc55044127"/>
      <w:bookmarkStart w:id="191" w:name="_Toc55044170"/>
      <w:bookmarkStart w:id="192" w:name="_Toc55044193"/>
      <w:bookmarkStart w:id="193" w:name="_Toc58683096"/>
    </w:p>
    <w:p w14:paraId="6749001A" w14:textId="06010FF7" w:rsidR="0064131D" w:rsidRPr="005A1331" w:rsidRDefault="0064131D"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3F1C7A">
        <w:rPr>
          <w:rFonts w:asciiTheme="minorHAnsi" w:eastAsiaTheme="minorEastAsia" w:hAnsiTheme="minorHAnsi" w:cstheme="minorBidi"/>
          <w:sz w:val="22"/>
          <w:szCs w:val="22"/>
          <w:lang w:eastAsia="cs-CZ"/>
        </w:rPr>
        <w:t>Crliková Z., Trojanec R.: Recurrent Glioblastoma. 2015 Évy Tudományos Diakköri Konferenciája. Február 10-14, Szeged.</w:t>
      </w:r>
      <w:bookmarkEnd w:id="187"/>
      <w:bookmarkEnd w:id="188"/>
      <w:bookmarkEnd w:id="189"/>
      <w:bookmarkEnd w:id="190"/>
      <w:bookmarkEnd w:id="191"/>
      <w:bookmarkEnd w:id="192"/>
      <w:bookmarkEnd w:id="193"/>
    </w:p>
    <w:p w14:paraId="4AE9716F" w14:textId="7B4B95C9" w:rsidR="00804C20" w:rsidRPr="005B3C15" w:rsidRDefault="00804C20"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Crliková Z., Megova M., Štaffová K., Rabčanová</w:t>
      </w:r>
      <w:r w:rsidR="003D3244">
        <w:rPr>
          <w:rFonts w:asciiTheme="minorHAnsi" w:eastAsiaTheme="minorEastAsia" w:hAnsiTheme="minorHAnsi" w:cstheme="minorBidi"/>
          <w:sz w:val="22"/>
          <w:szCs w:val="22"/>
          <w:lang w:eastAsia="cs-CZ"/>
        </w:rPr>
        <w:t xml:space="preserve"> </w:t>
      </w:r>
      <w:r w:rsidRPr="005B3C15">
        <w:rPr>
          <w:rFonts w:asciiTheme="minorHAnsi" w:eastAsiaTheme="minorEastAsia" w:hAnsiTheme="minorHAnsi" w:cstheme="minorBidi"/>
          <w:sz w:val="22"/>
          <w:szCs w:val="22"/>
          <w:lang w:eastAsia="cs-CZ"/>
        </w:rPr>
        <w:t>M.,Vrbková J., Drábek J., Trojanec, Tuckova L., Potockova J., Hajdúch M:OncoScananalysis in recurrentglioblastoma. TheJournalofThe Czech and SlovakOncologicalSocieties, XXXIX. Brněnské onkologické dny a XXIX konference pro nelékařské zdravotnické pracovníky, 8.-10.4.2015, Brno.</w:t>
      </w:r>
    </w:p>
    <w:p w14:paraId="4F2133D5" w14:textId="2B3ED84B" w:rsidR="00804C20" w:rsidRPr="005B3C15" w:rsidRDefault="00804C20"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Crliková Z., Megová M., Vrbková J., Trojanec R., Tučková L., Potockova J., Mlčochová S.,</w:t>
      </w:r>
      <w:r w:rsidR="003D3244">
        <w:rPr>
          <w:rFonts w:asciiTheme="minorHAnsi" w:eastAsiaTheme="minorEastAsia" w:hAnsiTheme="minorHAnsi" w:cstheme="minorBidi"/>
          <w:sz w:val="22"/>
          <w:szCs w:val="22"/>
          <w:lang w:eastAsia="cs-CZ"/>
        </w:rPr>
        <w:t xml:space="preserve"> </w:t>
      </w:r>
      <w:r w:rsidRPr="005B3C15">
        <w:rPr>
          <w:rFonts w:asciiTheme="minorHAnsi" w:eastAsiaTheme="minorEastAsia" w:hAnsiTheme="minorHAnsi" w:cstheme="minorBidi"/>
          <w:sz w:val="22"/>
          <w:szCs w:val="22"/>
          <w:lang w:eastAsia="cs-CZ"/>
        </w:rPr>
        <w:t>Hajdúch M:RecurrentGlioblastoma.The Journalof The Czech and Slovak Oncological Societies, XXXIX. Brněnské onkologické dny a XXIX konference pro nelékařské zdravotnické pracovníky, 8.-10.4.2015, Brno.</w:t>
      </w:r>
    </w:p>
    <w:p w14:paraId="2072D71E" w14:textId="5BD6EFFE" w:rsidR="0064131D" w:rsidRPr="005B3C15" w:rsidRDefault="0064131D" w:rsidP="00EC39AF">
      <w:pPr>
        <w:pStyle w:val="CVNormal"/>
        <w:numPr>
          <w:ilvl w:val="0"/>
          <w:numId w:val="11"/>
        </w:numPr>
        <w:spacing w:after="200" w:line="276" w:lineRule="auto"/>
        <w:ind w:left="0" w:firstLine="0"/>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 xml:space="preserve">Šporiková Z., Megová M., Štaffová K., Srovnal J., Rabčanová M., Vrbková J., Drábek J., Trojanec R., Tučková L., Hajdúch M.: Oncoscan analysis in paired samples of primary and recurrent glioblastoma. XI. Diagnostic, Predictive and Experimental Oncology Days, December 2nd-3rd, 2015, Olomouc, Czech Republic. </w:t>
      </w:r>
    </w:p>
    <w:p w14:paraId="420816E9" w14:textId="2253E02D" w:rsidR="00804C20" w:rsidRPr="005B3C15" w:rsidRDefault="00804C20"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Megová M., Štaffová K., Srovnal J., Rabčanová M., Vrbková J., Drábek J., Trojanec R., Tučková L., Hajdúch M.:  Komparativní genomová analýza primárního a rekurentního glioblastomu. Prague Onco „7. pražské mezioborové onkologické kolokvium“, January 27th-29th, Prague, Czech Republic</w:t>
      </w:r>
    </w:p>
    <w:p w14:paraId="7107BA64" w14:textId="567C4375" w:rsidR="00804C20" w:rsidRPr="005B3C15" w:rsidRDefault="00804C20" w:rsidP="00EC39AF">
      <w:pPr>
        <w:pStyle w:val="CVNormal"/>
        <w:numPr>
          <w:ilvl w:val="0"/>
          <w:numId w:val="11"/>
        </w:numPr>
        <w:spacing w:after="200" w:line="276" w:lineRule="auto"/>
        <w:ind w:lef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Megová M., Štaffová K., Srovnal J., Rabčanová M., Vrbková J., Potočková J., Trojanec R., Tučková L., Hajdúch M.:  Prognostické a prediktivní markery u glioblastomu multiforme. The Journal of The Czech and Slovak Oncological Societies, XL. Brněnské onkologické dny a XXX konference pro nelékařské zdravotnické pracovníky, 27.-29.4.2016, Brno.</w:t>
      </w:r>
    </w:p>
    <w:p w14:paraId="2FE1FD73" w14:textId="47AEC2C2" w:rsidR="00804C20" w:rsidRPr="005B3C15" w:rsidRDefault="00804C20" w:rsidP="00EC39AF">
      <w:pPr>
        <w:pStyle w:val="CVNormal"/>
        <w:numPr>
          <w:ilvl w:val="0"/>
          <w:numId w:val="11"/>
        </w:numPr>
        <w:spacing w:after="200" w:line="276" w:lineRule="auto"/>
        <w:ind w:lef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Megová M., Štaffová K., Srovnal J., Rabčanová M., Potočková J., Vrbková J., Drábek J., Trojanec R., Tučková L., Hajdúch M.:  Genomická analýza rekurentního glioblastomu (genomic analysis of recurrent glioblastoma). The 12th Symposium and Workshop on Molecular Pathology and Histo(cyto)chemistry. 2.-3.6.2016 Olomouc.</w:t>
      </w:r>
    </w:p>
    <w:p w14:paraId="12F41EAB" w14:textId="3F0B14BE" w:rsidR="00804C20" w:rsidRPr="005B3C15" w:rsidRDefault="00804C20" w:rsidP="00EC39AF">
      <w:pPr>
        <w:pStyle w:val="CVNormal"/>
        <w:numPr>
          <w:ilvl w:val="0"/>
          <w:numId w:val="11"/>
        </w:numPr>
        <w:spacing w:after="200" w:line="276" w:lineRule="auto"/>
        <w:ind w:lef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Kalita O., Hajdúch M., Trojanec R., Megová-Houdová M., Vaverka M., Hrabálek L., Zlevorová M., Vrána D., Drábek J., Tučková L., Ehrmann J., Vrbková J.: Gene aberrations in IDH-wild type glioblastoma. XIV. Days of diagnostic, predictive and experimental oncology, November 28th-30th, 2017, Olomouc, Czech Republic.</w:t>
      </w:r>
    </w:p>
    <w:p w14:paraId="13B09842" w14:textId="0B31F3C4" w:rsidR="00804C20" w:rsidRPr="005B3C15" w:rsidRDefault="00804C20"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Kalita O., Hajdúch M., Trojanec R., Megová Houdová M., Vaverka M., Hrabálek L., Zlevorová M., Vrána D., Drábek J., Tučková L., Ehrmann  J. jr., Vrbková J. Genové aberace u glioblastomu multiforme IDH wild type Prague Onco „10. pražské mezioborové onkologické kolokvium“, January 24th-26th, Prague, Czech Republic.</w:t>
      </w:r>
    </w:p>
    <w:p w14:paraId="7867D0A4" w14:textId="463301E1" w:rsidR="00804C20" w:rsidRPr="005B3C15" w:rsidRDefault="00804C20" w:rsidP="00EC39AF">
      <w:pPr>
        <w:pStyle w:val="CVNormal"/>
        <w:numPr>
          <w:ilvl w:val="0"/>
          <w:numId w:val="11"/>
        </w:numPr>
        <w:spacing w:after="200" w:line="276" w:lineRule="auto"/>
        <w:ind w:left="0" w:righ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Z.,Megová M., Štaffová K., Srovnal J., Rabčanová M., Vrbková J., Drábek J., Trojanec R., Tučková L., Hajdúch M.: Genové aberace u glioblastomu multiforme IDH-wild type. XLII. Brněnské onkologické dny. 16.-18.5.2018, Brno, Czech Republic.</w:t>
      </w:r>
    </w:p>
    <w:p w14:paraId="6A7EB859" w14:textId="0FD4C4B9" w:rsidR="00804C20" w:rsidRPr="005B3C15" w:rsidRDefault="00804C20" w:rsidP="00EC39AF">
      <w:pPr>
        <w:pStyle w:val="CVNormal"/>
        <w:numPr>
          <w:ilvl w:val="0"/>
          <w:numId w:val="11"/>
        </w:numPr>
        <w:spacing w:after="200" w:line="276" w:lineRule="auto"/>
        <w:ind w:lef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Kalita O., Hajdúch M., Trojanec R., Megová Houdová M., Vaverka M., Hrabálek L., Zlevorová M., Vrána D., Drábek J., Tučková L., Ehrmann  J. jr., Vrbková J. Prognosticko prediktivní markery u IDH wild type glioblastomu. Molecular Pathology Days. 14.-15.6.2018 Olomouc</w:t>
      </w:r>
    </w:p>
    <w:p w14:paraId="43584AD9" w14:textId="1DFC86FC" w:rsidR="0064131D" w:rsidRPr="005B3C15" w:rsidRDefault="0064131D" w:rsidP="00EC39AF">
      <w:pPr>
        <w:pStyle w:val="CVNormal"/>
        <w:numPr>
          <w:ilvl w:val="0"/>
          <w:numId w:val="11"/>
        </w:numPr>
        <w:spacing w:after="200" w:line="276" w:lineRule="auto"/>
        <w:ind w:left="0" w:firstLine="0"/>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Mapping of molecular landscape underlying drug resistance and recurrence in glioblastoma paired primary and recurrent tumours and glioblastoma resistant cell lines. Reactor, Pastviny 18th-21st September 2018.</w:t>
      </w:r>
    </w:p>
    <w:p w14:paraId="4F5717FB" w14:textId="4DEA483C" w:rsidR="00804C20" w:rsidRPr="005B3C15" w:rsidRDefault="00804C20" w:rsidP="00EC39AF">
      <w:pPr>
        <w:pStyle w:val="CVNormal"/>
        <w:numPr>
          <w:ilvl w:val="0"/>
          <w:numId w:val="11"/>
        </w:numPr>
        <w:spacing w:after="200" w:line="276" w:lineRule="auto"/>
        <w:ind w:lef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Z. Šporiková , M. Megová Houdová , R. Trojanec , O. Kalita , J. Vrbková , J. Drábek , V. Koudeláková, M. Hajdúch: Drug resistance and recurrence in glioblastoma: molecular cytogenetic analysis in paired primary and recurrent form. 13th meeting of European Association of Neuro-oncology, Stockholm October 10-14, 2018.</w:t>
      </w:r>
    </w:p>
    <w:p w14:paraId="0DAAA44A" w14:textId="3CB23E88" w:rsidR="0064131D" w:rsidRPr="005B3C15" w:rsidRDefault="0064131D" w:rsidP="00EC39AF">
      <w:pPr>
        <w:pStyle w:val="CVNormal"/>
        <w:numPr>
          <w:ilvl w:val="0"/>
          <w:numId w:val="11"/>
        </w:numPr>
        <w:spacing w:after="200" w:line="276" w:lineRule="auto"/>
        <w:ind w:left="0" w:firstLine="0"/>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Šporiková Z., Kalita O., Hajdúch M., Trojanec R., Megová Houdová M., Vaverka M., Hrabálek L., Zlevorová M., Vrána D., Drábek J., Tučková L., Ehrmann J. jr., Vrbková J.  IDH1/2 in diffuse gliomas: retrospective mutation analysis. XIV.Days of diagnostic, predictive and experimental oncology, November 19th-21st, 2018, Olomouc, Czech Republic.</w:t>
      </w:r>
    </w:p>
    <w:p w14:paraId="22A75D12" w14:textId="7B7DCA19" w:rsidR="005B3C15" w:rsidRDefault="00804C20" w:rsidP="00EC39AF">
      <w:pPr>
        <w:pStyle w:val="CVNormal"/>
        <w:numPr>
          <w:ilvl w:val="0"/>
          <w:numId w:val="11"/>
        </w:numPr>
        <w:spacing w:after="200" w:line="276" w:lineRule="auto"/>
        <w:ind w:lef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Z. Šporiková, M. Megová Houdová, R. Trojanec , J. Srovnal, V. Balík, J. Ehrmann, M. Hajdúch: Molekulárně cytogenetické aberace u meningeomů. Prague Onco „11. pražské mezioborové onkologické kolokvium“, January 23th-25th, Prague, Czech Republic.</w:t>
      </w:r>
    </w:p>
    <w:p w14:paraId="4D95AC9C" w14:textId="3593424D" w:rsidR="00804C20" w:rsidRPr="005B3C15" w:rsidRDefault="00804C20" w:rsidP="00EC39AF">
      <w:pPr>
        <w:pStyle w:val="CVNormal"/>
        <w:numPr>
          <w:ilvl w:val="0"/>
          <w:numId w:val="11"/>
        </w:numPr>
        <w:spacing w:after="200" w:line="276" w:lineRule="auto"/>
        <w:ind w:left="0" w:firstLine="0"/>
        <w:jc w:val="both"/>
        <w:rPr>
          <w:rFonts w:asciiTheme="minorHAnsi" w:eastAsiaTheme="minorEastAsia" w:hAnsiTheme="minorHAnsi" w:cstheme="minorBidi"/>
          <w:sz w:val="22"/>
          <w:szCs w:val="22"/>
          <w:lang w:eastAsia="cs-CZ"/>
        </w:rPr>
      </w:pPr>
      <w:r w:rsidRPr="005B3C15">
        <w:rPr>
          <w:rFonts w:asciiTheme="minorHAnsi" w:eastAsiaTheme="minorEastAsia" w:hAnsiTheme="minorHAnsi" w:cstheme="minorBidi"/>
          <w:sz w:val="22"/>
          <w:szCs w:val="22"/>
          <w:lang w:eastAsia="cs-CZ"/>
        </w:rPr>
        <w:t>Z. Šporiková, M. Megová Houdová, R. Trojanec , J. Srovnal, V. Balík, J. Ehrmann, M. Hajdúch: Molekulární a cytogenetické znaky meningeomů. XLIII. Brněnské onkologické dny. 10.-12.4.2019, Brno, Czech Republic.</w:t>
      </w:r>
    </w:p>
    <w:p w14:paraId="020BCA25" w14:textId="77777777" w:rsidR="00804C20" w:rsidRDefault="00804C20" w:rsidP="00EC4DAF">
      <w:pPr>
        <w:pStyle w:val="CVNormal"/>
        <w:spacing w:after="200" w:line="276" w:lineRule="auto"/>
        <w:ind w:left="0"/>
        <w:jc w:val="both"/>
        <w:rPr>
          <w:highlight w:val="yellow"/>
        </w:rPr>
      </w:pPr>
    </w:p>
    <w:p w14:paraId="79E8CEA8" w14:textId="77777777" w:rsidR="00CE58AB" w:rsidRDefault="00CE58AB" w:rsidP="00CE58AB">
      <w:pPr>
        <w:pStyle w:val="Nadpis1"/>
        <w:sectPr w:rsidR="00CE58AB" w:rsidSect="000B0BA1">
          <w:pgSz w:w="11906" w:h="16838"/>
          <w:pgMar w:top="1417" w:right="1417" w:bottom="1417" w:left="1417" w:header="708" w:footer="708" w:gutter="0"/>
          <w:cols w:space="708"/>
          <w:docGrid w:linePitch="360"/>
        </w:sectPr>
      </w:pPr>
    </w:p>
    <w:p w14:paraId="41A172B8" w14:textId="7FC28B0A" w:rsidR="00937254" w:rsidRPr="0090295A" w:rsidRDefault="00741EFD" w:rsidP="009074A7">
      <w:pPr>
        <w:pStyle w:val="Nadpis1"/>
        <w:tabs>
          <w:tab w:val="left" w:pos="975"/>
        </w:tabs>
        <w:rPr>
          <w:rFonts w:cstheme="minorHAnsi"/>
        </w:rPr>
      </w:pPr>
      <w:bookmarkStart w:id="194" w:name="_Toc88741525"/>
      <w:r w:rsidRPr="001351CF">
        <w:t xml:space="preserve">Přílohy </w:t>
      </w:r>
      <w:bookmarkEnd w:id="194"/>
      <w:r w:rsidR="0090295A">
        <w:rPr>
          <w:rFonts w:cstheme="minorHAnsi"/>
          <w:noProof/>
        </w:rPr>
        <w:drawing>
          <wp:inline distT="0" distB="0" distL="0" distR="0" wp14:anchorId="14132ADF" wp14:editId="0CDF3AF5">
            <wp:extent cx="5572125" cy="7458075"/>
            <wp:effectExtent l="0" t="0" r="9525" b="952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mall_0.jpg"/>
                    <pic:cNvPicPr/>
                  </pic:nvPicPr>
                  <pic:blipFill>
                    <a:blip r:embed="rId26">
                      <a:extLst>
                        <a:ext uri="{28A0092B-C50C-407E-A947-70E740481C1C}">
                          <a14:useLocalDpi xmlns:a14="http://schemas.microsoft.com/office/drawing/2010/main" val="0"/>
                        </a:ext>
                      </a:extLst>
                    </a:blip>
                    <a:stretch>
                      <a:fillRect/>
                    </a:stretch>
                  </pic:blipFill>
                  <pic:spPr>
                    <a:xfrm>
                      <a:off x="0" y="0"/>
                      <a:ext cx="5572125" cy="7458075"/>
                    </a:xfrm>
                    <a:prstGeom prst="rect">
                      <a:avLst/>
                    </a:prstGeom>
                  </pic:spPr>
                </pic:pic>
              </a:graphicData>
            </a:graphic>
          </wp:inline>
        </w:drawing>
      </w:r>
      <w:r w:rsidR="0090295A">
        <w:rPr>
          <w:rFonts w:cstheme="minorHAnsi"/>
          <w:noProof/>
        </w:rPr>
        <w:drawing>
          <wp:inline distT="0" distB="0" distL="0" distR="0" wp14:anchorId="09B57B11" wp14:editId="6AE57D00">
            <wp:extent cx="5572125" cy="7458075"/>
            <wp:effectExtent l="0" t="0" r="9525" b="952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mall_1.jpg"/>
                    <pic:cNvPicPr/>
                  </pic:nvPicPr>
                  <pic:blipFill>
                    <a:blip r:embed="rId27">
                      <a:extLst>
                        <a:ext uri="{28A0092B-C50C-407E-A947-70E740481C1C}">
                          <a14:useLocalDpi xmlns:a14="http://schemas.microsoft.com/office/drawing/2010/main" val="0"/>
                        </a:ext>
                      </a:extLst>
                    </a:blip>
                    <a:stretch>
                      <a:fillRect/>
                    </a:stretch>
                  </pic:blipFill>
                  <pic:spPr>
                    <a:xfrm>
                      <a:off x="0" y="0"/>
                      <a:ext cx="5572125" cy="7458075"/>
                    </a:xfrm>
                    <a:prstGeom prst="rect">
                      <a:avLst/>
                    </a:prstGeom>
                  </pic:spPr>
                </pic:pic>
              </a:graphicData>
            </a:graphic>
          </wp:inline>
        </w:drawing>
      </w:r>
      <w:r w:rsidR="0090295A">
        <w:rPr>
          <w:rFonts w:cstheme="minorHAnsi"/>
          <w:noProof/>
        </w:rPr>
        <w:drawing>
          <wp:inline distT="0" distB="0" distL="0" distR="0" wp14:anchorId="09FA3FA1" wp14:editId="00F96B74">
            <wp:extent cx="5572125" cy="7458075"/>
            <wp:effectExtent l="0" t="0" r="9525" b="952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mall_2.jpg"/>
                    <pic:cNvPicPr/>
                  </pic:nvPicPr>
                  <pic:blipFill>
                    <a:blip r:embed="rId28">
                      <a:extLst>
                        <a:ext uri="{28A0092B-C50C-407E-A947-70E740481C1C}">
                          <a14:useLocalDpi xmlns:a14="http://schemas.microsoft.com/office/drawing/2010/main" val="0"/>
                        </a:ext>
                      </a:extLst>
                    </a:blip>
                    <a:stretch>
                      <a:fillRect/>
                    </a:stretch>
                  </pic:blipFill>
                  <pic:spPr>
                    <a:xfrm>
                      <a:off x="0" y="0"/>
                      <a:ext cx="5572125" cy="7458075"/>
                    </a:xfrm>
                    <a:prstGeom prst="rect">
                      <a:avLst/>
                    </a:prstGeom>
                  </pic:spPr>
                </pic:pic>
              </a:graphicData>
            </a:graphic>
          </wp:inline>
        </w:drawing>
      </w:r>
      <w:r w:rsidR="0090295A">
        <w:rPr>
          <w:rFonts w:cstheme="minorHAnsi"/>
          <w:noProof/>
        </w:rPr>
        <w:drawing>
          <wp:inline distT="0" distB="0" distL="0" distR="0" wp14:anchorId="0EC12783" wp14:editId="7B9BFDC1">
            <wp:extent cx="5572125" cy="7458075"/>
            <wp:effectExtent l="0" t="0" r="9525" b="952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mall_3.jpg"/>
                    <pic:cNvPicPr/>
                  </pic:nvPicPr>
                  <pic:blipFill>
                    <a:blip r:embed="rId29">
                      <a:extLst>
                        <a:ext uri="{28A0092B-C50C-407E-A947-70E740481C1C}">
                          <a14:useLocalDpi xmlns:a14="http://schemas.microsoft.com/office/drawing/2010/main" val="0"/>
                        </a:ext>
                      </a:extLst>
                    </a:blip>
                    <a:stretch>
                      <a:fillRect/>
                    </a:stretch>
                  </pic:blipFill>
                  <pic:spPr>
                    <a:xfrm>
                      <a:off x="0" y="0"/>
                      <a:ext cx="5572125" cy="7458075"/>
                    </a:xfrm>
                    <a:prstGeom prst="rect">
                      <a:avLst/>
                    </a:prstGeom>
                  </pic:spPr>
                </pic:pic>
              </a:graphicData>
            </a:graphic>
          </wp:inline>
        </w:drawing>
      </w:r>
      <w:r w:rsidR="0090295A">
        <w:rPr>
          <w:rFonts w:cstheme="minorHAnsi"/>
          <w:noProof/>
        </w:rPr>
        <w:drawing>
          <wp:inline distT="0" distB="0" distL="0" distR="0" wp14:anchorId="4510ADD4" wp14:editId="2A62D34C">
            <wp:extent cx="5572125" cy="7458075"/>
            <wp:effectExtent l="0" t="0" r="9525" b="952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mall_4.jpg"/>
                    <pic:cNvPicPr/>
                  </pic:nvPicPr>
                  <pic:blipFill>
                    <a:blip r:embed="rId30">
                      <a:extLst>
                        <a:ext uri="{28A0092B-C50C-407E-A947-70E740481C1C}">
                          <a14:useLocalDpi xmlns:a14="http://schemas.microsoft.com/office/drawing/2010/main" val="0"/>
                        </a:ext>
                      </a:extLst>
                    </a:blip>
                    <a:stretch>
                      <a:fillRect/>
                    </a:stretch>
                  </pic:blipFill>
                  <pic:spPr>
                    <a:xfrm>
                      <a:off x="0" y="0"/>
                      <a:ext cx="5572125" cy="7458075"/>
                    </a:xfrm>
                    <a:prstGeom prst="rect">
                      <a:avLst/>
                    </a:prstGeom>
                  </pic:spPr>
                </pic:pic>
              </a:graphicData>
            </a:graphic>
          </wp:inline>
        </w:drawing>
      </w:r>
      <w:r w:rsidR="0090295A">
        <w:rPr>
          <w:rFonts w:cstheme="minorHAnsi"/>
          <w:noProof/>
        </w:rPr>
        <w:drawing>
          <wp:inline distT="0" distB="0" distL="0" distR="0" wp14:anchorId="22547F6B" wp14:editId="2C50C521">
            <wp:extent cx="5572125" cy="7458075"/>
            <wp:effectExtent l="0" t="0" r="9525" b="9525"/>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mall_5.jpg"/>
                    <pic:cNvPicPr/>
                  </pic:nvPicPr>
                  <pic:blipFill>
                    <a:blip r:embed="rId31">
                      <a:extLst>
                        <a:ext uri="{28A0092B-C50C-407E-A947-70E740481C1C}">
                          <a14:useLocalDpi xmlns:a14="http://schemas.microsoft.com/office/drawing/2010/main" val="0"/>
                        </a:ext>
                      </a:extLst>
                    </a:blip>
                    <a:stretch>
                      <a:fillRect/>
                    </a:stretch>
                  </pic:blipFill>
                  <pic:spPr>
                    <a:xfrm>
                      <a:off x="0" y="0"/>
                      <a:ext cx="5572125" cy="7458075"/>
                    </a:xfrm>
                    <a:prstGeom prst="rect">
                      <a:avLst/>
                    </a:prstGeom>
                  </pic:spPr>
                </pic:pic>
              </a:graphicData>
            </a:graphic>
          </wp:inline>
        </w:drawing>
      </w:r>
    </w:p>
    <w:p w14:paraId="6279D737" w14:textId="7F579A8B" w:rsidR="005A3FAA" w:rsidRDefault="004D2BDD" w:rsidP="00937254">
      <w:pPr>
        <w:pStyle w:val="Nadpis1"/>
        <w:numPr>
          <w:ilvl w:val="0"/>
          <w:numId w:val="0"/>
        </w:numPr>
        <w:tabs>
          <w:tab w:val="left" w:pos="975"/>
        </w:tabs>
        <w:ind w:left="360"/>
      </w:pPr>
      <w:bookmarkStart w:id="195" w:name="_Toc88741526"/>
      <w:r>
        <w:rPr>
          <w:noProof/>
        </w:rPr>
        <w:drawing>
          <wp:inline distT="0" distB="0" distL="0" distR="0" wp14:anchorId="41764FD7" wp14:editId="54FCE059">
            <wp:extent cx="5760720" cy="8145780"/>
            <wp:effectExtent l="0" t="0" r="0" b="762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1B459DA1" wp14:editId="61D3C2F7">
            <wp:extent cx="5760720" cy="8145780"/>
            <wp:effectExtent l="0" t="0" r="0" b="762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166B5FF5" wp14:editId="4AB2DDDC">
            <wp:extent cx="5760720" cy="8145780"/>
            <wp:effectExtent l="0" t="0" r="0" b="762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1F47CF1C" wp14:editId="5FD1EC79">
            <wp:extent cx="5760720" cy="8145780"/>
            <wp:effectExtent l="0" t="0" r="0" b="762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1EBF4C74" wp14:editId="5D93F28D">
            <wp:extent cx="5760720" cy="8145780"/>
            <wp:effectExtent l="0" t="0" r="0" b="762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309AF70E" wp14:editId="43EC57EE">
            <wp:extent cx="5760720" cy="8145780"/>
            <wp:effectExtent l="0" t="0" r="0" b="762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7B60ED6B" wp14:editId="6A7A4EDD">
            <wp:extent cx="5760720" cy="8145780"/>
            <wp:effectExtent l="0" t="0" r="0" b="762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6DB1E629" wp14:editId="6A4538D7">
            <wp:extent cx="5760720" cy="8145780"/>
            <wp:effectExtent l="0" t="0" r="0" b="762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78F6D0A4" wp14:editId="004B1D9F">
            <wp:extent cx="5760720" cy="8145780"/>
            <wp:effectExtent l="0" t="0" r="0" b="762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7EA433BE" wp14:editId="35604A7D">
            <wp:extent cx="5760720" cy="8145780"/>
            <wp:effectExtent l="0" t="0" r="0" b="7620"/>
            <wp:docPr id="206" name="Obráze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Obrázek 20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43BAB22C" wp14:editId="5C3CD4A9">
            <wp:extent cx="5760720" cy="8145780"/>
            <wp:effectExtent l="0" t="0" r="0" b="7620"/>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brázek 20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0F97247B" wp14:editId="24B487C7">
            <wp:extent cx="5760720" cy="8145780"/>
            <wp:effectExtent l="0" t="0" r="0" b="7620"/>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Obrázek 20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22BA8A24" wp14:editId="205E3238">
            <wp:extent cx="5760720" cy="8145780"/>
            <wp:effectExtent l="0" t="0" r="0" b="7620"/>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Obrázek 20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rPr>
        <w:drawing>
          <wp:inline distT="0" distB="0" distL="0" distR="0" wp14:anchorId="6B6CC9B6" wp14:editId="55CE6A95">
            <wp:extent cx="5760720" cy="8145780"/>
            <wp:effectExtent l="0" t="0" r="0" b="7620"/>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Obrázek 21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bookmarkEnd w:id="195"/>
    </w:p>
    <w:p w14:paraId="552D8D8F" w14:textId="26F3661E" w:rsidR="00CB75D7" w:rsidRDefault="003F1C7A" w:rsidP="00EC4DAF">
      <w:pPr>
        <w:tabs>
          <w:tab w:val="left" w:pos="975"/>
        </w:tabs>
        <w:rPr>
          <w:rFonts w:ascii="Arial" w:hAnsi="Arial" w:cs="Arial"/>
          <w:color w:val="222222"/>
          <w:shd w:val="clear" w:color="auto" w:fill="FFFFFF"/>
        </w:rPr>
      </w:pPr>
      <w:r>
        <w:rPr>
          <w:rFonts w:ascii="Arial" w:hAnsi="Arial" w:cs="Arial"/>
          <w:noProof/>
          <w:color w:val="222222"/>
          <w:shd w:val="clear" w:color="auto" w:fill="FFFFFF"/>
        </w:rPr>
        <w:drawing>
          <wp:inline distT="0" distB="0" distL="0" distR="0" wp14:anchorId="6732670C" wp14:editId="69272B4D">
            <wp:extent cx="5760720" cy="8147050"/>
            <wp:effectExtent l="0" t="0" r="0" b="635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pic:nvPicPr>
                  <pic:blipFill>
                    <a:blip r:embed="rId46">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rFonts w:ascii="Arial" w:hAnsi="Arial" w:cs="Arial"/>
          <w:noProof/>
          <w:color w:val="222222"/>
          <w:shd w:val="clear" w:color="auto" w:fill="FFFFFF"/>
        </w:rPr>
        <w:drawing>
          <wp:inline distT="0" distB="0" distL="0" distR="0" wp14:anchorId="56B18D53" wp14:editId="16E3DCA4">
            <wp:extent cx="5760720" cy="8147050"/>
            <wp:effectExtent l="0" t="0" r="0" b="635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pic:cNvPicPr/>
                  </pic:nvPicPr>
                  <pic:blipFill>
                    <a:blip r:embed="rId47">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rFonts w:ascii="Arial" w:hAnsi="Arial" w:cs="Arial"/>
          <w:noProof/>
          <w:color w:val="222222"/>
          <w:shd w:val="clear" w:color="auto" w:fill="FFFFFF"/>
        </w:rPr>
        <w:drawing>
          <wp:inline distT="0" distB="0" distL="0" distR="0" wp14:anchorId="1A970961" wp14:editId="58EA1590">
            <wp:extent cx="5760720" cy="8147050"/>
            <wp:effectExtent l="0" t="0" r="0" b="635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pic:nvPicPr>
                  <pic:blipFill>
                    <a:blip r:embed="rId48">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rFonts w:ascii="Arial" w:hAnsi="Arial" w:cs="Arial"/>
          <w:noProof/>
          <w:color w:val="222222"/>
          <w:shd w:val="clear" w:color="auto" w:fill="FFFFFF"/>
        </w:rPr>
        <w:drawing>
          <wp:inline distT="0" distB="0" distL="0" distR="0" wp14:anchorId="5ABF1445" wp14:editId="627B7713">
            <wp:extent cx="5760720" cy="8147050"/>
            <wp:effectExtent l="0" t="0" r="0" b="635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pic:cNvPicPr/>
                  </pic:nvPicPr>
                  <pic:blipFill>
                    <a:blip r:embed="rId49">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rFonts w:ascii="Arial" w:hAnsi="Arial" w:cs="Arial"/>
          <w:noProof/>
          <w:color w:val="222222"/>
          <w:shd w:val="clear" w:color="auto" w:fill="FFFFFF"/>
        </w:rPr>
        <w:drawing>
          <wp:inline distT="0" distB="0" distL="0" distR="0" wp14:anchorId="0541D483" wp14:editId="0AA67A93">
            <wp:extent cx="5760720" cy="8147050"/>
            <wp:effectExtent l="0" t="0" r="0" b="635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50">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rFonts w:ascii="Arial" w:hAnsi="Arial" w:cs="Arial"/>
          <w:noProof/>
          <w:color w:val="222222"/>
          <w:shd w:val="clear" w:color="auto" w:fill="FFFFFF"/>
        </w:rPr>
        <w:drawing>
          <wp:inline distT="0" distB="0" distL="0" distR="0" wp14:anchorId="62A16683" wp14:editId="6832F0CA">
            <wp:extent cx="5760720" cy="8147050"/>
            <wp:effectExtent l="0" t="0" r="0" b="635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51">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14:paraId="34EAD343" w14:textId="39017D05" w:rsidR="002F539C" w:rsidRDefault="00CB14F4" w:rsidP="00CB75D7">
      <w:pPr>
        <w:tabs>
          <w:tab w:val="left" w:pos="975"/>
        </w:tabs>
        <w:rPr>
          <w:noProof/>
        </w:rPr>
      </w:pPr>
      <w:r>
        <w:rPr>
          <w:noProof/>
        </w:rPr>
        <w:drawing>
          <wp:inline distT="0" distB="0" distL="0" distR="0" wp14:anchorId="13976774" wp14:editId="4113717B">
            <wp:extent cx="5760720" cy="7593965"/>
            <wp:effectExtent l="0" t="0" r="0" b="698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4B567951" wp14:editId="5CDBBBF8">
            <wp:extent cx="5760720" cy="7593965"/>
            <wp:effectExtent l="0" t="0" r="0" b="698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07A360FD" wp14:editId="12762910">
            <wp:extent cx="5760720" cy="7593965"/>
            <wp:effectExtent l="0" t="0" r="0" b="698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1AB86F0B" wp14:editId="028589D5">
            <wp:extent cx="5760720" cy="7593965"/>
            <wp:effectExtent l="0" t="0" r="0" b="6985"/>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brázek 19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0E71B209" wp14:editId="5ED7FCA2">
            <wp:extent cx="5760720" cy="7593965"/>
            <wp:effectExtent l="0" t="0" r="0" b="6985"/>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Obrázek 19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6C68907E" wp14:editId="6BF3693C">
            <wp:extent cx="5760720" cy="7593965"/>
            <wp:effectExtent l="0" t="0" r="0" b="698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Obrázek 19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74E69622" wp14:editId="03CAE3E4">
            <wp:extent cx="5760720" cy="7593965"/>
            <wp:effectExtent l="0" t="0" r="0" b="698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Obrázek 19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390B6CB1" wp14:editId="110D61FA">
            <wp:extent cx="5760720" cy="7593965"/>
            <wp:effectExtent l="0" t="0" r="0" b="6985"/>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Obrázek 19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0AE1C274" wp14:editId="126957C0">
            <wp:extent cx="5760720" cy="7593965"/>
            <wp:effectExtent l="0" t="0" r="0" b="6985"/>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Obrázek 19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r>
        <w:rPr>
          <w:noProof/>
        </w:rPr>
        <w:drawing>
          <wp:inline distT="0" distB="0" distL="0" distR="0" wp14:anchorId="78F4CF74" wp14:editId="43774D78">
            <wp:extent cx="5760720" cy="7593965"/>
            <wp:effectExtent l="0" t="0" r="0" b="6985"/>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ázek 19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7593965"/>
                    </a:xfrm>
                    <a:prstGeom prst="rect">
                      <a:avLst/>
                    </a:prstGeom>
                  </pic:spPr>
                </pic:pic>
              </a:graphicData>
            </a:graphic>
          </wp:inline>
        </w:drawing>
      </w:r>
    </w:p>
    <w:p w14:paraId="60080CA1" w14:textId="41A34D0C" w:rsidR="00CB75D7" w:rsidRDefault="00CB14F4" w:rsidP="00CB75D7">
      <w:pPr>
        <w:tabs>
          <w:tab w:val="left" w:pos="975"/>
        </w:tabs>
      </w:pPr>
      <w:r>
        <w:rPr>
          <w:noProof/>
        </w:rPr>
        <w:drawing>
          <wp:inline distT="0" distB="0" distL="0" distR="0" wp14:anchorId="6E1CEC2D" wp14:editId="5FB2A1BC">
            <wp:extent cx="5760720" cy="8147050"/>
            <wp:effectExtent l="0" t="0" r="0" b="6350"/>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ázek 19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rPr>
        <w:drawing>
          <wp:inline distT="0" distB="0" distL="0" distR="0" wp14:anchorId="34050758" wp14:editId="330626DF">
            <wp:extent cx="5760720" cy="8147050"/>
            <wp:effectExtent l="0" t="0" r="0" b="6350"/>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ázek 20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rPr>
        <w:drawing>
          <wp:inline distT="0" distB="0" distL="0" distR="0" wp14:anchorId="6E0EAD2B" wp14:editId="4A6C6418">
            <wp:extent cx="5760720" cy="8147050"/>
            <wp:effectExtent l="0" t="0" r="0" b="6350"/>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Obrázek 20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rPr>
        <w:drawing>
          <wp:inline distT="0" distB="0" distL="0" distR="0" wp14:anchorId="2B896023" wp14:editId="737D1C08">
            <wp:extent cx="5760720" cy="8147050"/>
            <wp:effectExtent l="0" t="0" r="0" b="635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ázek 20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rPr>
        <w:drawing>
          <wp:inline distT="0" distB="0" distL="0" distR="0" wp14:anchorId="25213DA3" wp14:editId="7620700B">
            <wp:extent cx="5760720" cy="8147050"/>
            <wp:effectExtent l="0" t="0" r="0" b="635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ázek 20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rPr>
        <w:drawing>
          <wp:inline distT="0" distB="0" distL="0" distR="0" wp14:anchorId="51D49939" wp14:editId="5A58C08F">
            <wp:extent cx="5760720" cy="8147050"/>
            <wp:effectExtent l="0" t="0" r="0" b="6350"/>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Obrázek 20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14:paraId="233134AB" w14:textId="2A4F5A1A" w:rsidR="0045050A" w:rsidRDefault="005B3C15" w:rsidP="005738FB">
      <w:pPr>
        <w:pStyle w:val="Odstavecseseznamem"/>
        <w:tabs>
          <w:tab w:val="left" w:pos="975"/>
        </w:tabs>
        <w:ind w:left="360"/>
        <w:rPr>
          <w:noProof/>
        </w:rPr>
      </w:pPr>
      <w:r w:rsidRPr="005B3C15">
        <w:rPr>
          <w:noProof/>
        </w:rPr>
        <w:t xml:space="preserve"> </w:t>
      </w:r>
    </w:p>
    <w:p w14:paraId="58917910" w14:textId="41406CCA" w:rsidR="005B3C15" w:rsidRDefault="005B3C15" w:rsidP="005738FB">
      <w:pPr>
        <w:pStyle w:val="Odstavecseseznamem"/>
        <w:tabs>
          <w:tab w:val="left" w:pos="975"/>
        </w:tabs>
        <w:ind w:left="360"/>
        <w:rPr>
          <w:b/>
          <w:bCs/>
        </w:rPr>
      </w:pPr>
    </w:p>
    <w:p w14:paraId="3C243665" w14:textId="5F9A56F3" w:rsidR="005B3C15" w:rsidRPr="0045050A" w:rsidRDefault="005B3C15" w:rsidP="005738FB">
      <w:pPr>
        <w:pStyle w:val="Odstavecseseznamem"/>
        <w:tabs>
          <w:tab w:val="left" w:pos="975"/>
        </w:tabs>
        <w:ind w:left="360"/>
        <w:rPr>
          <w:b/>
          <w:bCs/>
        </w:rPr>
      </w:pPr>
    </w:p>
    <w:sectPr w:rsidR="005B3C15" w:rsidRPr="0045050A" w:rsidSect="000B0BA1">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46CB53" w16cex:dateUtc="2020-10-30T16:26:00Z"/>
  <w16cex:commentExtensible w16cex:durableId="23BFAF93" w16cex:dateUtc="2021-01-30T09:12:00Z"/>
  <w16cex:commentExtensible w16cex:durableId="240B0F11" w16cex:dateUtc="2021-03-28T12:20:00Z"/>
  <w16cex:commentExtensible w16cex:durableId="240B3BB5" w16cex:dateUtc="2021-03-28T15:30:00Z"/>
  <w16cex:commentExtensible w16cex:durableId="240068E3" w16cex:dateUtc="2021-03-20T11: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995D41E" w16cid:durableId="2346CB53"/>
  <w16cid:commentId w16cid:paraId="7FCAEA89" w16cid:durableId="23BFAF93"/>
  <w16cid:commentId w16cid:paraId="6ADBAFD1" w16cid:durableId="240B0F11"/>
  <w16cid:commentId w16cid:paraId="70E5DD72" w16cid:durableId="240B3BB5"/>
  <w16cid:commentId w16cid:paraId="691FFDAC" w16cid:durableId="240068E3"/>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F9859D" w14:textId="77777777" w:rsidR="009036BC" w:rsidRDefault="009036BC" w:rsidP="0045050A">
      <w:pPr>
        <w:spacing w:after="0" w:line="240" w:lineRule="auto"/>
      </w:pPr>
      <w:r>
        <w:separator/>
      </w:r>
    </w:p>
  </w:endnote>
  <w:endnote w:type="continuationSeparator" w:id="0">
    <w:p w14:paraId="7C6156D7" w14:textId="77777777" w:rsidR="009036BC" w:rsidRDefault="009036BC" w:rsidP="004505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icrosoft Sans Serif">
    <w:panose1 w:val="020B0604020202020204"/>
    <w:charset w:val="EE"/>
    <w:family w:val="swiss"/>
    <w:pitch w:val="variable"/>
    <w:sig w:usb0="E5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Segoe UI">
    <w:panose1 w:val="020B0502040204020203"/>
    <w:charset w:val="EE"/>
    <w:family w:val="swiss"/>
    <w:pitch w:val="variable"/>
    <w:sig w:usb0="E4002EFF" w:usb1="C000E47F"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Cordia New">
    <w:altName w:val="Arial Unicode MS"/>
    <w:panose1 w:val="020B0304020202020204"/>
    <w:charset w:val="DE"/>
    <w:family w:val="swiss"/>
    <w:pitch w:val="variable"/>
    <w:sig w:usb0="00000000" w:usb1="00000000" w:usb2="00000000" w:usb3="00000000" w:csb0="00010001"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3210846"/>
      <w:docPartObj>
        <w:docPartGallery w:val="Page Numbers (Bottom of Page)"/>
        <w:docPartUnique/>
      </w:docPartObj>
    </w:sdtPr>
    <w:sdtEndPr/>
    <w:sdtContent>
      <w:p w14:paraId="296366E1" w14:textId="3EF7DA34" w:rsidR="009036BC" w:rsidRDefault="009036BC">
        <w:pPr>
          <w:pStyle w:val="Zpat"/>
          <w:jc w:val="center"/>
        </w:pPr>
        <w:r>
          <w:fldChar w:fldCharType="begin"/>
        </w:r>
        <w:r>
          <w:instrText>PAGE   \* MERGEFORMAT</w:instrText>
        </w:r>
        <w:r>
          <w:fldChar w:fldCharType="separate"/>
        </w:r>
        <w:r w:rsidR="00C43719">
          <w:rPr>
            <w:noProof/>
          </w:rPr>
          <w:t>7</w:t>
        </w:r>
        <w:r>
          <w:fldChar w:fldCharType="end"/>
        </w:r>
      </w:p>
    </w:sdtContent>
  </w:sdt>
  <w:p w14:paraId="050E5810" w14:textId="59AD5A92" w:rsidR="009036BC" w:rsidRDefault="009036BC" w:rsidP="001F70A3">
    <w:pPr>
      <w:pStyle w:val="Zpat"/>
      <w:tabs>
        <w:tab w:val="clear" w:pos="4536"/>
        <w:tab w:val="clear" w:pos="9072"/>
        <w:tab w:val="left" w:pos="3960"/>
      </w:tab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C03AE" w14:textId="6D903BD1" w:rsidR="009036BC" w:rsidRDefault="009036BC" w:rsidP="001F70A3">
    <w:pPr>
      <w:pStyle w:val="Zpat"/>
      <w:tabs>
        <w:tab w:val="clear" w:pos="4536"/>
        <w:tab w:val="clear" w:pos="9072"/>
        <w:tab w:val="left" w:pos="3930"/>
      </w:tabs>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0450225"/>
      <w:docPartObj>
        <w:docPartGallery w:val="Page Numbers (Bottom of Page)"/>
        <w:docPartUnique/>
      </w:docPartObj>
    </w:sdtPr>
    <w:sdtEndPr/>
    <w:sdtContent>
      <w:p w14:paraId="46DB4DCA" w14:textId="14981517" w:rsidR="009036BC" w:rsidRDefault="009036BC">
        <w:pPr>
          <w:pStyle w:val="Zpat"/>
          <w:jc w:val="center"/>
        </w:pPr>
        <w:r>
          <w:fldChar w:fldCharType="begin"/>
        </w:r>
        <w:r>
          <w:instrText>PAGE   \* MERGEFORMAT</w:instrText>
        </w:r>
        <w:r>
          <w:fldChar w:fldCharType="separate"/>
        </w:r>
        <w:r w:rsidR="00C43719">
          <w:rPr>
            <w:noProof/>
          </w:rPr>
          <w:t>8</w:t>
        </w:r>
        <w:r>
          <w:fldChar w:fldCharType="end"/>
        </w:r>
      </w:p>
    </w:sdtContent>
  </w:sdt>
  <w:p w14:paraId="203B0F84" w14:textId="77777777" w:rsidR="009036BC" w:rsidRDefault="009036BC" w:rsidP="001F70A3">
    <w:pPr>
      <w:pStyle w:val="Zpat"/>
      <w:tabs>
        <w:tab w:val="clear" w:pos="4536"/>
        <w:tab w:val="clear" w:pos="9072"/>
        <w:tab w:val="left" w:pos="3930"/>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9FC097" w14:textId="77777777" w:rsidR="009036BC" w:rsidRDefault="009036BC" w:rsidP="0045050A">
      <w:pPr>
        <w:spacing w:after="0" w:line="240" w:lineRule="auto"/>
      </w:pPr>
      <w:r>
        <w:separator/>
      </w:r>
    </w:p>
  </w:footnote>
  <w:footnote w:type="continuationSeparator" w:id="0">
    <w:p w14:paraId="0396AD5E" w14:textId="77777777" w:rsidR="009036BC" w:rsidRDefault="009036BC" w:rsidP="004505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A72AC"/>
    <w:multiLevelType w:val="hybridMultilevel"/>
    <w:tmpl w:val="DE9831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 w15:restartNumberingAfterBreak="0">
    <w:nsid w:val="0146140E"/>
    <w:multiLevelType w:val="multilevel"/>
    <w:tmpl w:val="341A5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371835"/>
    <w:multiLevelType w:val="hybridMultilevel"/>
    <w:tmpl w:val="E7928A2E"/>
    <w:lvl w:ilvl="0" w:tplc="0405000F">
      <w:start w:val="1"/>
      <w:numFmt w:val="decimal"/>
      <w:lvlText w:val="%1."/>
      <w:lvlJc w:val="left"/>
      <w:pPr>
        <w:ind w:left="2016" w:hanging="360"/>
      </w:pPr>
    </w:lvl>
    <w:lvl w:ilvl="1" w:tplc="04050019" w:tentative="1">
      <w:start w:val="1"/>
      <w:numFmt w:val="lowerLetter"/>
      <w:lvlText w:val="%2."/>
      <w:lvlJc w:val="left"/>
      <w:pPr>
        <w:ind w:left="2736" w:hanging="360"/>
      </w:pPr>
    </w:lvl>
    <w:lvl w:ilvl="2" w:tplc="0405001B" w:tentative="1">
      <w:start w:val="1"/>
      <w:numFmt w:val="lowerRoman"/>
      <w:lvlText w:val="%3."/>
      <w:lvlJc w:val="right"/>
      <w:pPr>
        <w:ind w:left="3456" w:hanging="180"/>
      </w:pPr>
    </w:lvl>
    <w:lvl w:ilvl="3" w:tplc="0405000F" w:tentative="1">
      <w:start w:val="1"/>
      <w:numFmt w:val="decimal"/>
      <w:lvlText w:val="%4."/>
      <w:lvlJc w:val="left"/>
      <w:pPr>
        <w:ind w:left="4176" w:hanging="360"/>
      </w:pPr>
    </w:lvl>
    <w:lvl w:ilvl="4" w:tplc="04050019" w:tentative="1">
      <w:start w:val="1"/>
      <w:numFmt w:val="lowerLetter"/>
      <w:lvlText w:val="%5."/>
      <w:lvlJc w:val="left"/>
      <w:pPr>
        <w:ind w:left="4896" w:hanging="360"/>
      </w:pPr>
    </w:lvl>
    <w:lvl w:ilvl="5" w:tplc="0405001B" w:tentative="1">
      <w:start w:val="1"/>
      <w:numFmt w:val="lowerRoman"/>
      <w:lvlText w:val="%6."/>
      <w:lvlJc w:val="right"/>
      <w:pPr>
        <w:ind w:left="5616" w:hanging="180"/>
      </w:pPr>
    </w:lvl>
    <w:lvl w:ilvl="6" w:tplc="0405000F" w:tentative="1">
      <w:start w:val="1"/>
      <w:numFmt w:val="decimal"/>
      <w:lvlText w:val="%7."/>
      <w:lvlJc w:val="left"/>
      <w:pPr>
        <w:ind w:left="6336" w:hanging="360"/>
      </w:pPr>
    </w:lvl>
    <w:lvl w:ilvl="7" w:tplc="04050019" w:tentative="1">
      <w:start w:val="1"/>
      <w:numFmt w:val="lowerLetter"/>
      <w:lvlText w:val="%8."/>
      <w:lvlJc w:val="left"/>
      <w:pPr>
        <w:ind w:left="7056" w:hanging="360"/>
      </w:pPr>
    </w:lvl>
    <w:lvl w:ilvl="8" w:tplc="0405001B" w:tentative="1">
      <w:start w:val="1"/>
      <w:numFmt w:val="lowerRoman"/>
      <w:lvlText w:val="%9."/>
      <w:lvlJc w:val="right"/>
      <w:pPr>
        <w:ind w:left="7776" w:hanging="180"/>
      </w:pPr>
    </w:lvl>
  </w:abstractNum>
  <w:abstractNum w:abstractNumId="3" w15:restartNumberingAfterBreak="0">
    <w:nsid w:val="0B3C1E06"/>
    <w:multiLevelType w:val="multilevel"/>
    <w:tmpl w:val="326CDE12"/>
    <w:lvl w:ilvl="0">
      <w:start w:val="2"/>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0EA021F"/>
    <w:multiLevelType w:val="multilevel"/>
    <w:tmpl w:val="214E2F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A513F7"/>
    <w:multiLevelType w:val="hybridMultilevel"/>
    <w:tmpl w:val="587882A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 w15:restartNumberingAfterBreak="0">
    <w:nsid w:val="11C67998"/>
    <w:multiLevelType w:val="hybridMultilevel"/>
    <w:tmpl w:val="FFE6BC56"/>
    <w:lvl w:ilvl="0" w:tplc="445E2A8E">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5A34E3F"/>
    <w:multiLevelType w:val="hybridMultilevel"/>
    <w:tmpl w:val="E7928A2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D1C76CE"/>
    <w:multiLevelType w:val="multilevel"/>
    <w:tmpl w:val="7236E93E"/>
    <w:lvl w:ilvl="0">
      <w:start w:val="1"/>
      <w:numFmt w:val="decimal"/>
      <w:pStyle w:val="Nadpis1"/>
      <w:lvlText w:val="%1."/>
      <w:lvlJc w:val="left"/>
      <w:pPr>
        <w:ind w:left="360" w:hanging="360"/>
      </w:pPr>
      <w:rPr>
        <w:rFonts w:hint="default"/>
      </w:rPr>
    </w:lvl>
    <w:lvl w:ilvl="1">
      <w:start w:val="1"/>
      <w:numFmt w:val="decimal"/>
      <w:pStyle w:val="Nadpis2"/>
      <w:lvlText w:val="%1.%2."/>
      <w:lvlJc w:val="left"/>
      <w:pPr>
        <w:ind w:left="432" w:hanging="432"/>
      </w:pPr>
      <w:rPr>
        <w:rFonts w:hint="default"/>
      </w:rPr>
    </w:lvl>
    <w:lvl w:ilvl="2">
      <w:start w:val="1"/>
      <w:numFmt w:val="decimal"/>
      <w:pStyle w:val="Nadpis3"/>
      <w:lvlText w:val="%1.%2.%3."/>
      <w:lvlJc w:val="left"/>
      <w:pPr>
        <w:ind w:left="1224" w:hanging="1224"/>
      </w:pPr>
      <w:rPr>
        <w:rFonts w:hint="default"/>
      </w:rPr>
    </w:lvl>
    <w:lvl w:ilvl="3">
      <w:start w:val="1"/>
      <w:numFmt w:val="decimal"/>
      <w:pStyle w:val="Nadpis4"/>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EB9515A"/>
    <w:multiLevelType w:val="hybridMultilevel"/>
    <w:tmpl w:val="490CD22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7175E8B"/>
    <w:multiLevelType w:val="multilevel"/>
    <w:tmpl w:val="2B862F58"/>
    <w:lvl w:ilvl="0">
      <w:start w:val="1"/>
      <w:numFmt w:val="decimal"/>
      <w:lvlText w:val="%1."/>
      <w:lvlJc w:val="left"/>
      <w:pPr>
        <w:ind w:left="360" w:hanging="360"/>
      </w:pPr>
      <w:rPr>
        <w:rFonts w:hint="default"/>
      </w:rPr>
    </w:lvl>
    <w:lvl w:ilvl="1">
      <w:start w:val="1"/>
      <w:numFmt w:val="decimal"/>
      <w:lvlText w:val="%1.%2."/>
      <w:lvlJc w:val="left"/>
      <w:pPr>
        <w:ind w:left="792" w:hanging="79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7595" w:hanging="7595"/>
      </w:pPr>
      <w:rPr>
        <w:rFonts w:hint="default"/>
        <w:i w:val="0"/>
        <w:i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E70C5A"/>
    <w:multiLevelType w:val="hybridMultilevel"/>
    <w:tmpl w:val="4B7C30B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CC40F4D"/>
    <w:multiLevelType w:val="hybridMultilevel"/>
    <w:tmpl w:val="64BE3C06"/>
    <w:lvl w:ilvl="0" w:tplc="FC4A2FDC">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E337CE9"/>
    <w:multiLevelType w:val="hybridMultilevel"/>
    <w:tmpl w:val="88E07596"/>
    <w:lvl w:ilvl="0" w:tplc="60F64084">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4504617A"/>
    <w:multiLevelType w:val="hybridMultilevel"/>
    <w:tmpl w:val="2792684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48B91A88"/>
    <w:multiLevelType w:val="hybridMultilevel"/>
    <w:tmpl w:val="BB52F196"/>
    <w:lvl w:ilvl="0" w:tplc="8814EC5A">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E886BE6"/>
    <w:multiLevelType w:val="hybridMultilevel"/>
    <w:tmpl w:val="6B10DBC2"/>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7" w15:restartNumberingAfterBreak="0">
    <w:nsid w:val="620E7980"/>
    <w:multiLevelType w:val="hybridMultilevel"/>
    <w:tmpl w:val="F2DC867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776A74C2"/>
    <w:multiLevelType w:val="hybridMultilevel"/>
    <w:tmpl w:val="FAC063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11"/>
  </w:num>
  <w:num w:numId="5">
    <w:abstractNumId w:val="7"/>
  </w:num>
  <w:num w:numId="6">
    <w:abstractNumId w:val="1"/>
  </w:num>
  <w:num w:numId="7">
    <w:abstractNumId w:val="14"/>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10"/>
  </w:num>
  <w:num w:numId="11">
    <w:abstractNumId w:val="2"/>
  </w:num>
  <w:num w:numId="12">
    <w:abstractNumId w:val="16"/>
  </w:num>
  <w:num w:numId="13">
    <w:abstractNumId w:val="5"/>
  </w:num>
  <w:num w:numId="14">
    <w:abstractNumId w:val="0"/>
  </w:num>
  <w:num w:numId="15">
    <w:abstractNumId w:val="18"/>
  </w:num>
  <w:num w:numId="16">
    <w:abstractNumId w:val="4"/>
  </w:num>
  <w:num w:numId="17">
    <w:abstractNumId w:val="15"/>
  </w:num>
  <w:num w:numId="18">
    <w:abstractNumId w:val="6"/>
  </w:num>
  <w:num w:numId="19">
    <w:abstractNumId w:val="13"/>
  </w:num>
  <w:num w:numId="20">
    <w:abstractNumId w:val="12"/>
  </w:num>
  <w:num w:numId="21">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D12"/>
    <w:rsid w:val="000005BF"/>
    <w:rsid w:val="000011FB"/>
    <w:rsid w:val="0001273E"/>
    <w:rsid w:val="00013038"/>
    <w:rsid w:val="00013AE6"/>
    <w:rsid w:val="000151EA"/>
    <w:rsid w:val="000157FF"/>
    <w:rsid w:val="0001786F"/>
    <w:rsid w:val="00020394"/>
    <w:rsid w:val="0002241B"/>
    <w:rsid w:val="000264A4"/>
    <w:rsid w:val="00033277"/>
    <w:rsid w:val="00033559"/>
    <w:rsid w:val="00033C38"/>
    <w:rsid w:val="00037E2D"/>
    <w:rsid w:val="00040049"/>
    <w:rsid w:val="000411BB"/>
    <w:rsid w:val="00044845"/>
    <w:rsid w:val="000474FA"/>
    <w:rsid w:val="000503E8"/>
    <w:rsid w:val="000506C3"/>
    <w:rsid w:val="000513BC"/>
    <w:rsid w:val="00052324"/>
    <w:rsid w:val="00052A41"/>
    <w:rsid w:val="00055ACE"/>
    <w:rsid w:val="00056B0D"/>
    <w:rsid w:val="00056B69"/>
    <w:rsid w:val="00060AA5"/>
    <w:rsid w:val="00060B29"/>
    <w:rsid w:val="00063737"/>
    <w:rsid w:val="00070B2C"/>
    <w:rsid w:val="0007496C"/>
    <w:rsid w:val="000825D1"/>
    <w:rsid w:val="00085171"/>
    <w:rsid w:val="000878D2"/>
    <w:rsid w:val="00090E30"/>
    <w:rsid w:val="0009161F"/>
    <w:rsid w:val="000918DC"/>
    <w:rsid w:val="00091D5F"/>
    <w:rsid w:val="000921E8"/>
    <w:rsid w:val="000926BC"/>
    <w:rsid w:val="0009497E"/>
    <w:rsid w:val="00097A0E"/>
    <w:rsid w:val="00097AD8"/>
    <w:rsid w:val="000A1638"/>
    <w:rsid w:val="000B0BA1"/>
    <w:rsid w:val="000B22BC"/>
    <w:rsid w:val="000B71EB"/>
    <w:rsid w:val="000C0B60"/>
    <w:rsid w:val="000C3072"/>
    <w:rsid w:val="000C57A2"/>
    <w:rsid w:val="000C7098"/>
    <w:rsid w:val="000D47DB"/>
    <w:rsid w:val="000D6F40"/>
    <w:rsid w:val="000D7954"/>
    <w:rsid w:val="000E083A"/>
    <w:rsid w:val="000E09BB"/>
    <w:rsid w:val="000E3FCB"/>
    <w:rsid w:val="000E5A6C"/>
    <w:rsid w:val="000F1418"/>
    <w:rsid w:val="000F1503"/>
    <w:rsid w:val="000F3ED5"/>
    <w:rsid w:val="000F6C4F"/>
    <w:rsid w:val="000F6DEC"/>
    <w:rsid w:val="000F6FAB"/>
    <w:rsid w:val="00107F82"/>
    <w:rsid w:val="00112A2B"/>
    <w:rsid w:val="00113397"/>
    <w:rsid w:val="00120F15"/>
    <w:rsid w:val="0012134A"/>
    <w:rsid w:val="00127EA3"/>
    <w:rsid w:val="001313DA"/>
    <w:rsid w:val="001351CF"/>
    <w:rsid w:val="0014160D"/>
    <w:rsid w:val="0014429C"/>
    <w:rsid w:val="00144684"/>
    <w:rsid w:val="00147073"/>
    <w:rsid w:val="001539D1"/>
    <w:rsid w:val="00156DAD"/>
    <w:rsid w:val="00156DBC"/>
    <w:rsid w:val="00160EA4"/>
    <w:rsid w:val="00163704"/>
    <w:rsid w:val="0017360C"/>
    <w:rsid w:val="001738A0"/>
    <w:rsid w:val="001739D7"/>
    <w:rsid w:val="00174B72"/>
    <w:rsid w:val="00180619"/>
    <w:rsid w:val="00185C66"/>
    <w:rsid w:val="00192562"/>
    <w:rsid w:val="00194968"/>
    <w:rsid w:val="001949E8"/>
    <w:rsid w:val="001A0AFD"/>
    <w:rsid w:val="001A3543"/>
    <w:rsid w:val="001A7CD8"/>
    <w:rsid w:val="001B218E"/>
    <w:rsid w:val="001B2F74"/>
    <w:rsid w:val="001B4A95"/>
    <w:rsid w:val="001B6133"/>
    <w:rsid w:val="001D63C3"/>
    <w:rsid w:val="001E17FA"/>
    <w:rsid w:val="001E2EB3"/>
    <w:rsid w:val="001E39F3"/>
    <w:rsid w:val="001E4E8F"/>
    <w:rsid w:val="001E619A"/>
    <w:rsid w:val="001E77FF"/>
    <w:rsid w:val="001F0CEE"/>
    <w:rsid w:val="001F2782"/>
    <w:rsid w:val="001F3E67"/>
    <w:rsid w:val="001F5A02"/>
    <w:rsid w:val="001F70A3"/>
    <w:rsid w:val="00204189"/>
    <w:rsid w:val="0020523A"/>
    <w:rsid w:val="00205D50"/>
    <w:rsid w:val="00205D86"/>
    <w:rsid w:val="002158AD"/>
    <w:rsid w:val="00216379"/>
    <w:rsid w:val="00217B12"/>
    <w:rsid w:val="0022242D"/>
    <w:rsid w:val="002237A2"/>
    <w:rsid w:val="002250D8"/>
    <w:rsid w:val="00225468"/>
    <w:rsid w:val="002269CD"/>
    <w:rsid w:val="00233A15"/>
    <w:rsid w:val="00235EA7"/>
    <w:rsid w:val="00236F72"/>
    <w:rsid w:val="00246276"/>
    <w:rsid w:val="002463E0"/>
    <w:rsid w:val="00254434"/>
    <w:rsid w:val="00261AD4"/>
    <w:rsid w:val="00261E1E"/>
    <w:rsid w:val="00263647"/>
    <w:rsid w:val="0026562C"/>
    <w:rsid w:val="00267971"/>
    <w:rsid w:val="0027633F"/>
    <w:rsid w:val="00281D5E"/>
    <w:rsid w:val="002851A9"/>
    <w:rsid w:val="002853FA"/>
    <w:rsid w:val="00286F7C"/>
    <w:rsid w:val="00287A21"/>
    <w:rsid w:val="00291A64"/>
    <w:rsid w:val="00292239"/>
    <w:rsid w:val="00293FA4"/>
    <w:rsid w:val="00294813"/>
    <w:rsid w:val="00294BFB"/>
    <w:rsid w:val="002A19FF"/>
    <w:rsid w:val="002A1A6E"/>
    <w:rsid w:val="002A4792"/>
    <w:rsid w:val="002A522A"/>
    <w:rsid w:val="002A56FF"/>
    <w:rsid w:val="002A6D48"/>
    <w:rsid w:val="002B0819"/>
    <w:rsid w:val="002B1EF8"/>
    <w:rsid w:val="002B56B1"/>
    <w:rsid w:val="002C230B"/>
    <w:rsid w:val="002C2C9C"/>
    <w:rsid w:val="002C6BD6"/>
    <w:rsid w:val="002D0CDD"/>
    <w:rsid w:val="002D13FB"/>
    <w:rsid w:val="002D3223"/>
    <w:rsid w:val="002D6856"/>
    <w:rsid w:val="002E1F8C"/>
    <w:rsid w:val="002F03FC"/>
    <w:rsid w:val="002F26AC"/>
    <w:rsid w:val="002F539C"/>
    <w:rsid w:val="0030129D"/>
    <w:rsid w:val="00301FC7"/>
    <w:rsid w:val="003022B3"/>
    <w:rsid w:val="00305D55"/>
    <w:rsid w:val="00306B65"/>
    <w:rsid w:val="0031198A"/>
    <w:rsid w:val="0031269A"/>
    <w:rsid w:val="0031294B"/>
    <w:rsid w:val="00313010"/>
    <w:rsid w:val="00322F9C"/>
    <w:rsid w:val="00331E33"/>
    <w:rsid w:val="00333895"/>
    <w:rsid w:val="0033391E"/>
    <w:rsid w:val="00334267"/>
    <w:rsid w:val="00342A3F"/>
    <w:rsid w:val="00345350"/>
    <w:rsid w:val="0034552A"/>
    <w:rsid w:val="00350C98"/>
    <w:rsid w:val="00350DA3"/>
    <w:rsid w:val="00350F36"/>
    <w:rsid w:val="0035112C"/>
    <w:rsid w:val="00352CCE"/>
    <w:rsid w:val="00352ED5"/>
    <w:rsid w:val="00357A65"/>
    <w:rsid w:val="00363B33"/>
    <w:rsid w:val="00365229"/>
    <w:rsid w:val="003711C6"/>
    <w:rsid w:val="00372180"/>
    <w:rsid w:val="00374CC6"/>
    <w:rsid w:val="00375255"/>
    <w:rsid w:val="003752BF"/>
    <w:rsid w:val="00381B14"/>
    <w:rsid w:val="00382567"/>
    <w:rsid w:val="00383513"/>
    <w:rsid w:val="00383DDD"/>
    <w:rsid w:val="003852D8"/>
    <w:rsid w:val="00391932"/>
    <w:rsid w:val="00392E4B"/>
    <w:rsid w:val="00393010"/>
    <w:rsid w:val="00394BF2"/>
    <w:rsid w:val="003968AF"/>
    <w:rsid w:val="003A1091"/>
    <w:rsid w:val="003A5EE9"/>
    <w:rsid w:val="003B29FF"/>
    <w:rsid w:val="003B3359"/>
    <w:rsid w:val="003B33C9"/>
    <w:rsid w:val="003C3E39"/>
    <w:rsid w:val="003D14B5"/>
    <w:rsid w:val="003D1A7A"/>
    <w:rsid w:val="003D3244"/>
    <w:rsid w:val="003D47E8"/>
    <w:rsid w:val="003E03BC"/>
    <w:rsid w:val="003E0957"/>
    <w:rsid w:val="003E1A73"/>
    <w:rsid w:val="003E345B"/>
    <w:rsid w:val="003F1C7A"/>
    <w:rsid w:val="003F1DB8"/>
    <w:rsid w:val="003F228D"/>
    <w:rsid w:val="003F6EE0"/>
    <w:rsid w:val="003F7C6E"/>
    <w:rsid w:val="00403A59"/>
    <w:rsid w:val="004105E1"/>
    <w:rsid w:val="004105E6"/>
    <w:rsid w:val="00417267"/>
    <w:rsid w:val="00421C7D"/>
    <w:rsid w:val="00422DFE"/>
    <w:rsid w:val="0042538F"/>
    <w:rsid w:val="0042620C"/>
    <w:rsid w:val="00426CFB"/>
    <w:rsid w:val="004272D1"/>
    <w:rsid w:val="00431D9B"/>
    <w:rsid w:val="00435634"/>
    <w:rsid w:val="00441C0B"/>
    <w:rsid w:val="0044278A"/>
    <w:rsid w:val="00445EE5"/>
    <w:rsid w:val="00447CBE"/>
    <w:rsid w:val="004502CB"/>
    <w:rsid w:val="0045050A"/>
    <w:rsid w:val="0045112E"/>
    <w:rsid w:val="00451F34"/>
    <w:rsid w:val="00460780"/>
    <w:rsid w:val="00472FAE"/>
    <w:rsid w:val="00474A4E"/>
    <w:rsid w:val="0047563C"/>
    <w:rsid w:val="00476AC5"/>
    <w:rsid w:val="0047704E"/>
    <w:rsid w:val="00477138"/>
    <w:rsid w:val="0047795B"/>
    <w:rsid w:val="00480FEA"/>
    <w:rsid w:val="004823BA"/>
    <w:rsid w:val="00484014"/>
    <w:rsid w:val="00492EAD"/>
    <w:rsid w:val="004937E4"/>
    <w:rsid w:val="00493B79"/>
    <w:rsid w:val="004942D9"/>
    <w:rsid w:val="00495352"/>
    <w:rsid w:val="004965EF"/>
    <w:rsid w:val="004A0222"/>
    <w:rsid w:val="004A2BC0"/>
    <w:rsid w:val="004B194F"/>
    <w:rsid w:val="004B2913"/>
    <w:rsid w:val="004C0772"/>
    <w:rsid w:val="004C2EE5"/>
    <w:rsid w:val="004C39D8"/>
    <w:rsid w:val="004C50AD"/>
    <w:rsid w:val="004C5366"/>
    <w:rsid w:val="004D10B7"/>
    <w:rsid w:val="004D2515"/>
    <w:rsid w:val="004D2697"/>
    <w:rsid w:val="004D2BDD"/>
    <w:rsid w:val="004D5EFE"/>
    <w:rsid w:val="004D6AEB"/>
    <w:rsid w:val="004E5D32"/>
    <w:rsid w:val="004F45A7"/>
    <w:rsid w:val="004F5AE3"/>
    <w:rsid w:val="004F76F5"/>
    <w:rsid w:val="005018DE"/>
    <w:rsid w:val="0050425C"/>
    <w:rsid w:val="00504475"/>
    <w:rsid w:val="0050790E"/>
    <w:rsid w:val="0051134B"/>
    <w:rsid w:val="00512C86"/>
    <w:rsid w:val="005135AD"/>
    <w:rsid w:val="00513736"/>
    <w:rsid w:val="00517894"/>
    <w:rsid w:val="0052250B"/>
    <w:rsid w:val="005229A9"/>
    <w:rsid w:val="00524905"/>
    <w:rsid w:val="00525F5E"/>
    <w:rsid w:val="00530077"/>
    <w:rsid w:val="005323B5"/>
    <w:rsid w:val="00532755"/>
    <w:rsid w:val="0053400A"/>
    <w:rsid w:val="00534214"/>
    <w:rsid w:val="00537B73"/>
    <w:rsid w:val="00547406"/>
    <w:rsid w:val="005528B3"/>
    <w:rsid w:val="00556EA6"/>
    <w:rsid w:val="00557A7A"/>
    <w:rsid w:val="00562F69"/>
    <w:rsid w:val="00564CEB"/>
    <w:rsid w:val="00564F14"/>
    <w:rsid w:val="005712FF"/>
    <w:rsid w:val="005738FB"/>
    <w:rsid w:val="00580273"/>
    <w:rsid w:val="0058351A"/>
    <w:rsid w:val="005836F8"/>
    <w:rsid w:val="00584714"/>
    <w:rsid w:val="0059071C"/>
    <w:rsid w:val="00592092"/>
    <w:rsid w:val="00592460"/>
    <w:rsid w:val="00594847"/>
    <w:rsid w:val="005A1331"/>
    <w:rsid w:val="005A1DD0"/>
    <w:rsid w:val="005A3CE2"/>
    <w:rsid w:val="005A3FAA"/>
    <w:rsid w:val="005A59EC"/>
    <w:rsid w:val="005A5D5F"/>
    <w:rsid w:val="005B241A"/>
    <w:rsid w:val="005B3C15"/>
    <w:rsid w:val="005B4839"/>
    <w:rsid w:val="005C3A50"/>
    <w:rsid w:val="005C69E2"/>
    <w:rsid w:val="005D0ABA"/>
    <w:rsid w:val="005D32B3"/>
    <w:rsid w:val="005D5409"/>
    <w:rsid w:val="005D726C"/>
    <w:rsid w:val="005D7904"/>
    <w:rsid w:val="005E0021"/>
    <w:rsid w:val="005E2B30"/>
    <w:rsid w:val="005E2B5D"/>
    <w:rsid w:val="005E34F3"/>
    <w:rsid w:val="005E63DA"/>
    <w:rsid w:val="005E64FB"/>
    <w:rsid w:val="005E6FFC"/>
    <w:rsid w:val="005E7FBE"/>
    <w:rsid w:val="005F0998"/>
    <w:rsid w:val="005F09C6"/>
    <w:rsid w:val="005F0A12"/>
    <w:rsid w:val="005F0BF0"/>
    <w:rsid w:val="005F1A0D"/>
    <w:rsid w:val="005F2396"/>
    <w:rsid w:val="00605810"/>
    <w:rsid w:val="00612480"/>
    <w:rsid w:val="006153D3"/>
    <w:rsid w:val="0062093B"/>
    <w:rsid w:val="006222F8"/>
    <w:rsid w:val="006243FC"/>
    <w:rsid w:val="006357AA"/>
    <w:rsid w:val="00636F1A"/>
    <w:rsid w:val="00637739"/>
    <w:rsid w:val="0064131D"/>
    <w:rsid w:val="006431C6"/>
    <w:rsid w:val="006500CA"/>
    <w:rsid w:val="006601B6"/>
    <w:rsid w:val="006647A5"/>
    <w:rsid w:val="00667A55"/>
    <w:rsid w:val="00675679"/>
    <w:rsid w:val="0068057D"/>
    <w:rsid w:val="00680CDF"/>
    <w:rsid w:val="006916A7"/>
    <w:rsid w:val="006920F9"/>
    <w:rsid w:val="006977BB"/>
    <w:rsid w:val="006B01AB"/>
    <w:rsid w:val="006B3482"/>
    <w:rsid w:val="006B5691"/>
    <w:rsid w:val="006B7AEF"/>
    <w:rsid w:val="006B7DE4"/>
    <w:rsid w:val="006C250F"/>
    <w:rsid w:val="006C3969"/>
    <w:rsid w:val="006C5770"/>
    <w:rsid w:val="006D0660"/>
    <w:rsid w:val="006E7BE8"/>
    <w:rsid w:val="00701604"/>
    <w:rsid w:val="00705E93"/>
    <w:rsid w:val="00707B68"/>
    <w:rsid w:val="00712885"/>
    <w:rsid w:val="00714B30"/>
    <w:rsid w:val="00714D12"/>
    <w:rsid w:val="00720257"/>
    <w:rsid w:val="0072220B"/>
    <w:rsid w:val="00737A88"/>
    <w:rsid w:val="007408C6"/>
    <w:rsid w:val="00741EFD"/>
    <w:rsid w:val="007469BD"/>
    <w:rsid w:val="00747579"/>
    <w:rsid w:val="00747B9E"/>
    <w:rsid w:val="0075012F"/>
    <w:rsid w:val="0075728D"/>
    <w:rsid w:val="00757E53"/>
    <w:rsid w:val="007617EA"/>
    <w:rsid w:val="007621A2"/>
    <w:rsid w:val="00764479"/>
    <w:rsid w:val="007650B6"/>
    <w:rsid w:val="00767746"/>
    <w:rsid w:val="0076779E"/>
    <w:rsid w:val="00773BB9"/>
    <w:rsid w:val="00780DDF"/>
    <w:rsid w:val="00782750"/>
    <w:rsid w:val="0078333D"/>
    <w:rsid w:val="00783BF3"/>
    <w:rsid w:val="00784F5B"/>
    <w:rsid w:val="0078517A"/>
    <w:rsid w:val="00786C91"/>
    <w:rsid w:val="00786D56"/>
    <w:rsid w:val="00787064"/>
    <w:rsid w:val="00787081"/>
    <w:rsid w:val="007929AC"/>
    <w:rsid w:val="00796B59"/>
    <w:rsid w:val="00796FCC"/>
    <w:rsid w:val="00797F47"/>
    <w:rsid w:val="007A1C93"/>
    <w:rsid w:val="007A3455"/>
    <w:rsid w:val="007B4C38"/>
    <w:rsid w:val="007B5344"/>
    <w:rsid w:val="007C13E6"/>
    <w:rsid w:val="007C159F"/>
    <w:rsid w:val="007C510A"/>
    <w:rsid w:val="007C62A1"/>
    <w:rsid w:val="007C62DC"/>
    <w:rsid w:val="007C6A29"/>
    <w:rsid w:val="007D091B"/>
    <w:rsid w:val="007D2030"/>
    <w:rsid w:val="007D4B91"/>
    <w:rsid w:val="007D72E0"/>
    <w:rsid w:val="007D7899"/>
    <w:rsid w:val="007E28B7"/>
    <w:rsid w:val="007E48C7"/>
    <w:rsid w:val="007E518A"/>
    <w:rsid w:val="0080253D"/>
    <w:rsid w:val="00804C20"/>
    <w:rsid w:val="008102F4"/>
    <w:rsid w:val="008120A3"/>
    <w:rsid w:val="008134AB"/>
    <w:rsid w:val="00813A6A"/>
    <w:rsid w:val="00823B55"/>
    <w:rsid w:val="00824485"/>
    <w:rsid w:val="00827CBF"/>
    <w:rsid w:val="0083020B"/>
    <w:rsid w:val="0083344F"/>
    <w:rsid w:val="00843419"/>
    <w:rsid w:val="0085092A"/>
    <w:rsid w:val="0085302B"/>
    <w:rsid w:val="00853D69"/>
    <w:rsid w:val="00855B0D"/>
    <w:rsid w:val="008602D1"/>
    <w:rsid w:val="008642B8"/>
    <w:rsid w:val="00865B6C"/>
    <w:rsid w:val="00865F52"/>
    <w:rsid w:val="0086643C"/>
    <w:rsid w:val="008671A5"/>
    <w:rsid w:val="0087177A"/>
    <w:rsid w:val="008730A8"/>
    <w:rsid w:val="00874404"/>
    <w:rsid w:val="008814EF"/>
    <w:rsid w:val="00883E7C"/>
    <w:rsid w:val="008851AD"/>
    <w:rsid w:val="00890147"/>
    <w:rsid w:val="00890F4F"/>
    <w:rsid w:val="00892E33"/>
    <w:rsid w:val="00893AEC"/>
    <w:rsid w:val="008A371B"/>
    <w:rsid w:val="008A41E7"/>
    <w:rsid w:val="008A71DD"/>
    <w:rsid w:val="008B00E9"/>
    <w:rsid w:val="008B0D37"/>
    <w:rsid w:val="008B200F"/>
    <w:rsid w:val="008B4E4A"/>
    <w:rsid w:val="008B7AE5"/>
    <w:rsid w:val="008C0F3F"/>
    <w:rsid w:val="008C2C46"/>
    <w:rsid w:val="008C6FF5"/>
    <w:rsid w:val="008C7576"/>
    <w:rsid w:val="008D2726"/>
    <w:rsid w:val="008D40E8"/>
    <w:rsid w:val="008D5849"/>
    <w:rsid w:val="008E46EE"/>
    <w:rsid w:val="008E71D4"/>
    <w:rsid w:val="008F1049"/>
    <w:rsid w:val="008F1A44"/>
    <w:rsid w:val="008F5435"/>
    <w:rsid w:val="008F6CE3"/>
    <w:rsid w:val="009022F2"/>
    <w:rsid w:val="0090295A"/>
    <w:rsid w:val="009036BC"/>
    <w:rsid w:val="0090640E"/>
    <w:rsid w:val="00910502"/>
    <w:rsid w:val="00910ECB"/>
    <w:rsid w:val="00910F9B"/>
    <w:rsid w:val="00911CF4"/>
    <w:rsid w:val="00913FD9"/>
    <w:rsid w:val="0091508F"/>
    <w:rsid w:val="009160A2"/>
    <w:rsid w:val="0091621E"/>
    <w:rsid w:val="00916223"/>
    <w:rsid w:val="009165EA"/>
    <w:rsid w:val="00917484"/>
    <w:rsid w:val="00917DAF"/>
    <w:rsid w:val="00925C26"/>
    <w:rsid w:val="00925C31"/>
    <w:rsid w:val="0093692C"/>
    <w:rsid w:val="00937254"/>
    <w:rsid w:val="00942522"/>
    <w:rsid w:val="00944687"/>
    <w:rsid w:val="0094630F"/>
    <w:rsid w:val="00946756"/>
    <w:rsid w:val="00954C1A"/>
    <w:rsid w:val="0095590C"/>
    <w:rsid w:val="009610F1"/>
    <w:rsid w:val="0097465E"/>
    <w:rsid w:val="00975260"/>
    <w:rsid w:val="00983F83"/>
    <w:rsid w:val="00984082"/>
    <w:rsid w:val="0098449D"/>
    <w:rsid w:val="00986469"/>
    <w:rsid w:val="009867E9"/>
    <w:rsid w:val="0098773A"/>
    <w:rsid w:val="00987B70"/>
    <w:rsid w:val="00992AE0"/>
    <w:rsid w:val="00992CBE"/>
    <w:rsid w:val="0099485D"/>
    <w:rsid w:val="00994E66"/>
    <w:rsid w:val="00995451"/>
    <w:rsid w:val="00997A53"/>
    <w:rsid w:val="009A0DEA"/>
    <w:rsid w:val="009A57B2"/>
    <w:rsid w:val="009A6830"/>
    <w:rsid w:val="009B0AE2"/>
    <w:rsid w:val="009B13B9"/>
    <w:rsid w:val="009B21CB"/>
    <w:rsid w:val="009B582C"/>
    <w:rsid w:val="009C36B4"/>
    <w:rsid w:val="009C4298"/>
    <w:rsid w:val="009C6A7F"/>
    <w:rsid w:val="009D5342"/>
    <w:rsid w:val="009D5590"/>
    <w:rsid w:val="009D5866"/>
    <w:rsid w:val="009D7238"/>
    <w:rsid w:val="009D7D66"/>
    <w:rsid w:val="009E1C09"/>
    <w:rsid w:val="009E26D8"/>
    <w:rsid w:val="009F17CF"/>
    <w:rsid w:val="00A01609"/>
    <w:rsid w:val="00A05C39"/>
    <w:rsid w:val="00A115FC"/>
    <w:rsid w:val="00A11D0B"/>
    <w:rsid w:val="00A211E3"/>
    <w:rsid w:val="00A2180D"/>
    <w:rsid w:val="00A24C44"/>
    <w:rsid w:val="00A33978"/>
    <w:rsid w:val="00A344B6"/>
    <w:rsid w:val="00A34B50"/>
    <w:rsid w:val="00A360AF"/>
    <w:rsid w:val="00A3741B"/>
    <w:rsid w:val="00A41347"/>
    <w:rsid w:val="00A47FB6"/>
    <w:rsid w:val="00A565E4"/>
    <w:rsid w:val="00A60111"/>
    <w:rsid w:val="00A74753"/>
    <w:rsid w:val="00A7613D"/>
    <w:rsid w:val="00A773B0"/>
    <w:rsid w:val="00A80C71"/>
    <w:rsid w:val="00A84A7D"/>
    <w:rsid w:val="00A86A39"/>
    <w:rsid w:val="00A877F3"/>
    <w:rsid w:val="00A92AE3"/>
    <w:rsid w:val="00A92FFD"/>
    <w:rsid w:val="00A9306E"/>
    <w:rsid w:val="00A9759C"/>
    <w:rsid w:val="00AA0422"/>
    <w:rsid w:val="00AA0A32"/>
    <w:rsid w:val="00AA1702"/>
    <w:rsid w:val="00AA193D"/>
    <w:rsid w:val="00AA2894"/>
    <w:rsid w:val="00AA452D"/>
    <w:rsid w:val="00AB48A2"/>
    <w:rsid w:val="00AC24C1"/>
    <w:rsid w:val="00AC25AF"/>
    <w:rsid w:val="00AC59C4"/>
    <w:rsid w:val="00AC6CE0"/>
    <w:rsid w:val="00AC749E"/>
    <w:rsid w:val="00AD2B04"/>
    <w:rsid w:val="00AD2D8A"/>
    <w:rsid w:val="00AD2ECC"/>
    <w:rsid w:val="00AD2FEA"/>
    <w:rsid w:val="00AD3A30"/>
    <w:rsid w:val="00AD61B7"/>
    <w:rsid w:val="00AD73C1"/>
    <w:rsid w:val="00AE015A"/>
    <w:rsid w:val="00AE3A5E"/>
    <w:rsid w:val="00AE7F31"/>
    <w:rsid w:val="00AF04C6"/>
    <w:rsid w:val="00AF1834"/>
    <w:rsid w:val="00AF2AC9"/>
    <w:rsid w:val="00B02B33"/>
    <w:rsid w:val="00B103A1"/>
    <w:rsid w:val="00B14AB7"/>
    <w:rsid w:val="00B1659A"/>
    <w:rsid w:val="00B17147"/>
    <w:rsid w:val="00B2369D"/>
    <w:rsid w:val="00B239D3"/>
    <w:rsid w:val="00B245D8"/>
    <w:rsid w:val="00B25BFB"/>
    <w:rsid w:val="00B33DFA"/>
    <w:rsid w:val="00B349D6"/>
    <w:rsid w:val="00B43CAA"/>
    <w:rsid w:val="00B47AD2"/>
    <w:rsid w:val="00B55442"/>
    <w:rsid w:val="00B64E95"/>
    <w:rsid w:val="00B65C3F"/>
    <w:rsid w:val="00B72C10"/>
    <w:rsid w:val="00B73B16"/>
    <w:rsid w:val="00B75DCE"/>
    <w:rsid w:val="00B77261"/>
    <w:rsid w:val="00B80044"/>
    <w:rsid w:val="00B81FB7"/>
    <w:rsid w:val="00B8417B"/>
    <w:rsid w:val="00B85C8E"/>
    <w:rsid w:val="00B86036"/>
    <w:rsid w:val="00B9069D"/>
    <w:rsid w:val="00B9155F"/>
    <w:rsid w:val="00B93B43"/>
    <w:rsid w:val="00B960E7"/>
    <w:rsid w:val="00BA0D38"/>
    <w:rsid w:val="00BA5E18"/>
    <w:rsid w:val="00BA6BD5"/>
    <w:rsid w:val="00BA79B0"/>
    <w:rsid w:val="00BB1845"/>
    <w:rsid w:val="00BB1925"/>
    <w:rsid w:val="00BB6EF8"/>
    <w:rsid w:val="00BB7AB3"/>
    <w:rsid w:val="00BC14AB"/>
    <w:rsid w:val="00BC1DE6"/>
    <w:rsid w:val="00BC61C9"/>
    <w:rsid w:val="00BC75DD"/>
    <w:rsid w:val="00BD15F4"/>
    <w:rsid w:val="00BD449B"/>
    <w:rsid w:val="00BE080B"/>
    <w:rsid w:val="00BE0E32"/>
    <w:rsid w:val="00BE5049"/>
    <w:rsid w:val="00BE534C"/>
    <w:rsid w:val="00BF11B8"/>
    <w:rsid w:val="00BF1B3F"/>
    <w:rsid w:val="00C06FA7"/>
    <w:rsid w:val="00C1347D"/>
    <w:rsid w:val="00C16CC8"/>
    <w:rsid w:val="00C21E4A"/>
    <w:rsid w:val="00C21F70"/>
    <w:rsid w:val="00C22540"/>
    <w:rsid w:val="00C22FC4"/>
    <w:rsid w:val="00C2485C"/>
    <w:rsid w:val="00C26909"/>
    <w:rsid w:val="00C319AA"/>
    <w:rsid w:val="00C37F2D"/>
    <w:rsid w:val="00C406A1"/>
    <w:rsid w:val="00C41085"/>
    <w:rsid w:val="00C43719"/>
    <w:rsid w:val="00C4668D"/>
    <w:rsid w:val="00C542F3"/>
    <w:rsid w:val="00C545A7"/>
    <w:rsid w:val="00C5461F"/>
    <w:rsid w:val="00C554E1"/>
    <w:rsid w:val="00C55E6B"/>
    <w:rsid w:val="00C60576"/>
    <w:rsid w:val="00C608F4"/>
    <w:rsid w:val="00C60D5F"/>
    <w:rsid w:val="00C61B36"/>
    <w:rsid w:val="00C6299F"/>
    <w:rsid w:val="00C63257"/>
    <w:rsid w:val="00C637D0"/>
    <w:rsid w:val="00C75721"/>
    <w:rsid w:val="00C80669"/>
    <w:rsid w:val="00C8198F"/>
    <w:rsid w:val="00C86726"/>
    <w:rsid w:val="00C94685"/>
    <w:rsid w:val="00CA14C2"/>
    <w:rsid w:val="00CA1BD9"/>
    <w:rsid w:val="00CA536A"/>
    <w:rsid w:val="00CA5B50"/>
    <w:rsid w:val="00CB0011"/>
    <w:rsid w:val="00CB0C7E"/>
    <w:rsid w:val="00CB1336"/>
    <w:rsid w:val="00CB14F4"/>
    <w:rsid w:val="00CB1FFC"/>
    <w:rsid w:val="00CB35F2"/>
    <w:rsid w:val="00CB6F62"/>
    <w:rsid w:val="00CB75D7"/>
    <w:rsid w:val="00CC3307"/>
    <w:rsid w:val="00CC3C2C"/>
    <w:rsid w:val="00CC542C"/>
    <w:rsid w:val="00CC7B89"/>
    <w:rsid w:val="00CC7CB0"/>
    <w:rsid w:val="00CD3399"/>
    <w:rsid w:val="00CD3526"/>
    <w:rsid w:val="00CD70A7"/>
    <w:rsid w:val="00CD7191"/>
    <w:rsid w:val="00CE2760"/>
    <w:rsid w:val="00CE58AB"/>
    <w:rsid w:val="00CE7C2E"/>
    <w:rsid w:val="00CF1479"/>
    <w:rsid w:val="00CF594E"/>
    <w:rsid w:val="00D03069"/>
    <w:rsid w:val="00D030A3"/>
    <w:rsid w:val="00D03C91"/>
    <w:rsid w:val="00D103E4"/>
    <w:rsid w:val="00D10B90"/>
    <w:rsid w:val="00D123FD"/>
    <w:rsid w:val="00D12F7F"/>
    <w:rsid w:val="00D24B71"/>
    <w:rsid w:val="00D24DB1"/>
    <w:rsid w:val="00D30923"/>
    <w:rsid w:val="00D31A58"/>
    <w:rsid w:val="00D345C5"/>
    <w:rsid w:val="00D364EE"/>
    <w:rsid w:val="00D36AE8"/>
    <w:rsid w:val="00D42048"/>
    <w:rsid w:val="00D421B4"/>
    <w:rsid w:val="00D42ABA"/>
    <w:rsid w:val="00D43108"/>
    <w:rsid w:val="00D44E05"/>
    <w:rsid w:val="00D50A81"/>
    <w:rsid w:val="00D575B4"/>
    <w:rsid w:val="00D6240D"/>
    <w:rsid w:val="00D62779"/>
    <w:rsid w:val="00D62A42"/>
    <w:rsid w:val="00D7358C"/>
    <w:rsid w:val="00D745ED"/>
    <w:rsid w:val="00D74ADA"/>
    <w:rsid w:val="00D82551"/>
    <w:rsid w:val="00D82CA6"/>
    <w:rsid w:val="00D92547"/>
    <w:rsid w:val="00D92AF8"/>
    <w:rsid w:val="00D93773"/>
    <w:rsid w:val="00D97309"/>
    <w:rsid w:val="00D977AC"/>
    <w:rsid w:val="00DA14B6"/>
    <w:rsid w:val="00DA1912"/>
    <w:rsid w:val="00DA23D1"/>
    <w:rsid w:val="00DB0612"/>
    <w:rsid w:val="00DB2C26"/>
    <w:rsid w:val="00DB5463"/>
    <w:rsid w:val="00DB5483"/>
    <w:rsid w:val="00DB697B"/>
    <w:rsid w:val="00DB7D63"/>
    <w:rsid w:val="00DC02F0"/>
    <w:rsid w:val="00DC243E"/>
    <w:rsid w:val="00DC2B1F"/>
    <w:rsid w:val="00DC70B8"/>
    <w:rsid w:val="00DD0243"/>
    <w:rsid w:val="00DD4956"/>
    <w:rsid w:val="00DD4F81"/>
    <w:rsid w:val="00DD68BE"/>
    <w:rsid w:val="00DD7301"/>
    <w:rsid w:val="00DD7677"/>
    <w:rsid w:val="00DE2DE9"/>
    <w:rsid w:val="00DE4924"/>
    <w:rsid w:val="00DE715A"/>
    <w:rsid w:val="00DE7995"/>
    <w:rsid w:val="00DF01AC"/>
    <w:rsid w:val="00DF366A"/>
    <w:rsid w:val="00DF6069"/>
    <w:rsid w:val="00DF6294"/>
    <w:rsid w:val="00E00636"/>
    <w:rsid w:val="00E00E29"/>
    <w:rsid w:val="00E12577"/>
    <w:rsid w:val="00E15E95"/>
    <w:rsid w:val="00E2128C"/>
    <w:rsid w:val="00E2449D"/>
    <w:rsid w:val="00E24864"/>
    <w:rsid w:val="00E26F61"/>
    <w:rsid w:val="00E27288"/>
    <w:rsid w:val="00E3045E"/>
    <w:rsid w:val="00E35A17"/>
    <w:rsid w:val="00E360F5"/>
    <w:rsid w:val="00E37F7E"/>
    <w:rsid w:val="00E413BA"/>
    <w:rsid w:val="00E4770F"/>
    <w:rsid w:val="00E51DAD"/>
    <w:rsid w:val="00E52023"/>
    <w:rsid w:val="00E530A1"/>
    <w:rsid w:val="00E53BAC"/>
    <w:rsid w:val="00E53E66"/>
    <w:rsid w:val="00E626CB"/>
    <w:rsid w:val="00E71CE3"/>
    <w:rsid w:val="00E8067B"/>
    <w:rsid w:val="00E82809"/>
    <w:rsid w:val="00E83E88"/>
    <w:rsid w:val="00E87612"/>
    <w:rsid w:val="00E914CD"/>
    <w:rsid w:val="00E93FFD"/>
    <w:rsid w:val="00E954C5"/>
    <w:rsid w:val="00E9773E"/>
    <w:rsid w:val="00E97A41"/>
    <w:rsid w:val="00EA1916"/>
    <w:rsid w:val="00EA5046"/>
    <w:rsid w:val="00EA5CBA"/>
    <w:rsid w:val="00EA6F43"/>
    <w:rsid w:val="00EA79DA"/>
    <w:rsid w:val="00EB4994"/>
    <w:rsid w:val="00EB4D46"/>
    <w:rsid w:val="00EB7082"/>
    <w:rsid w:val="00EC0467"/>
    <w:rsid w:val="00EC2805"/>
    <w:rsid w:val="00EC298D"/>
    <w:rsid w:val="00EC39AF"/>
    <w:rsid w:val="00EC4C46"/>
    <w:rsid w:val="00EC4DAF"/>
    <w:rsid w:val="00EC5DB1"/>
    <w:rsid w:val="00EC6934"/>
    <w:rsid w:val="00ED3409"/>
    <w:rsid w:val="00ED4173"/>
    <w:rsid w:val="00ED4946"/>
    <w:rsid w:val="00ED6277"/>
    <w:rsid w:val="00EF0333"/>
    <w:rsid w:val="00EF0C5F"/>
    <w:rsid w:val="00EF1645"/>
    <w:rsid w:val="00EF520B"/>
    <w:rsid w:val="00EF6E66"/>
    <w:rsid w:val="00EF7EBA"/>
    <w:rsid w:val="00F00F74"/>
    <w:rsid w:val="00F01BD1"/>
    <w:rsid w:val="00F044A2"/>
    <w:rsid w:val="00F04FA4"/>
    <w:rsid w:val="00F06DE5"/>
    <w:rsid w:val="00F101D4"/>
    <w:rsid w:val="00F11876"/>
    <w:rsid w:val="00F12615"/>
    <w:rsid w:val="00F13AC4"/>
    <w:rsid w:val="00F151EB"/>
    <w:rsid w:val="00F15D3E"/>
    <w:rsid w:val="00F20E43"/>
    <w:rsid w:val="00F217C2"/>
    <w:rsid w:val="00F31FEC"/>
    <w:rsid w:val="00F3233E"/>
    <w:rsid w:val="00F370D9"/>
    <w:rsid w:val="00F37BA5"/>
    <w:rsid w:val="00F400B8"/>
    <w:rsid w:val="00F43A47"/>
    <w:rsid w:val="00F53CC3"/>
    <w:rsid w:val="00F557FC"/>
    <w:rsid w:val="00F57E5F"/>
    <w:rsid w:val="00F604A2"/>
    <w:rsid w:val="00F605B2"/>
    <w:rsid w:val="00F625A0"/>
    <w:rsid w:val="00F630A7"/>
    <w:rsid w:val="00F67BFD"/>
    <w:rsid w:val="00F7180F"/>
    <w:rsid w:val="00F72CE2"/>
    <w:rsid w:val="00F7710D"/>
    <w:rsid w:val="00F8313D"/>
    <w:rsid w:val="00F87ADA"/>
    <w:rsid w:val="00F90F1D"/>
    <w:rsid w:val="00F94B19"/>
    <w:rsid w:val="00F9560F"/>
    <w:rsid w:val="00F9663E"/>
    <w:rsid w:val="00F97EF8"/>
    <w:rsid w:val="00FA04AF"/>
    <w:rsid w:val="00FA23EA"/>
    <w:rsid w:val="00FA270A"/>
    <w:rsid w:val="00FA2E61"/>
    <w:rsid w:val="00FB4003"/>
    <w:rsid w:val="00FB4542"/>
    <w:rsid w:val="00FB5E3E"/>
    <w:rsid w:val="00FB69C5"/>
    <w:rsid w:val="00FC271E"/>
    <w:rsid w:val="00FC429F"/>
    <w:rsid w:val="00FC4724"/>
    <w:rsid w:val="00FC4F51"/>
    <w:rsid w:val="00FC54A4"/>
    <w:rsid w:val="00FD1E4F"/>
    <w:rsid w:val="00FD3727"/>
    <w:rsid w:val="00FD5E43"/>
    <w:rsid w:val="00FD6D74"/>
    <w:rsid w:val="00FD6DBA"/>
    <w:rsid w:val="00FD745B"/>
    <w:rsid w:val="00FE1CE7"/>
    <w:rsid w:val="00FE6F9F"/>
    <w:rsid w:val="00FF1143"/>
    <w:rsid w:val="00FF252A"/>
    <w:rsid w:val="00FF2E4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151E3747"/>
  <w15:chartTrackingRefBased/>
  <w15:docId w15:val="{00AD5EB5-DB0E-462E-AF99-F7A2AE8981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14D12"/>
    <w:pPr>
      <w:spacing w:after="200" w:line="276" w:lineRule="auto"/>
    </w:pPr>
    <w:rPr>
      <w:rFonts w:eastAsiaTheme="minorEastAsia"/>
      <w:lang w:eastAsia="cs-CZ"/>
    </w:rPr>
  </w:style>
  <w:style w:type="paragraph" w:styleId="Nadpis1">
    <w:name w:val="heading 1"/>
    <w:aliases w:val="1."/>
    <w:basedOn w:val="Normln"/>
    <w:next w:val="Normln"/>
    <w:link w:val="Nadpis1Char"/>
    <w:uiPriority w:val="9"/>
    <w:qFormat/>
    <w:rsid w:val="00EA79DA"/>
    <w:pPr>
      <w:keepNext/>
      <w:keepLines/>
      <w:numPr>
        <w:numId w:val="2"/>
      </w:numPr>
      <w:spacing w:before="240" w:after="0"/>
      <w:outlineLvl w:val="0"/>
    </w:pPr>
    <w:rPr>
      <w:rFonts w:eastAsiaTheme="majorEastAsia" w:cstheme="majorBidi"/>
      <w:color w:val="2F5496" w:themeColor="accent1" w:themeShade="BF"/>
      <w:sz w:val="28"/>
      <w:szCs w:val="32"/>
    </w:rPr>
  </w:style>
  <w:style w:type="paragraph" w:styleId="Nadpis2">
    <w:name w:val="heading 2"/>
    <w:aliases w:val="1.1."/>
    <w:basedOn w:val="Nadpis1"/>
    <w:next w:val="Normln"/>
    <w:link w:val="Nadpis2Char"/>
    <w:uiPriority w:val="9"/>
    <w:unhideWhenUsed/>
    <w:qFormat/>
    <w:rsid w:val="00217B12"/>
    <w:pPr>
      <w:numPr>
        <w:ilvl w:val="1"/>
      </w:numPr>
      <w:spacing w:after="120"/>
      <w:ind w:left="431" w:hanging="431"/>
      <w:outlineLvl w:val="1"/>
    </w:pPr>
    <w:rPr>
      <w:sz w:val="24"/>
    </w:rPr>
  </w:style>
  <w:style w:type="paragraph" w:styleId="Nadpis3">
    <w:name w:val="heading 3"/>
    <w:aliases w:val="1.1.1."/>
    <w:basedOn w:val="Normln"/>
    <w:next w:val="Normln"/>
    <w:link w:val="Nadpis3Char"/>
    <w:uiPriority w:val="9"/>
    <w:unhideWhenUsed/>
    <w:qFormat/>
    <w:rsid w:val="00217B12"/>
    <w:pPr>
      <w:keepNext/>
      <w:keepLines/>
      <w:numPr>
        <w:ilvl w:val="2"/>
        <w:numId w:val="2"/>
      </w:numPr>
      <w:spacing w:before="40" w:after="120"/>
      <w:ind w:left="1225" w:hanging="1225"/>
      <w:outlineLvl w:val="2"/>
    </w:pPr>
    <w:rPr>
      <w:rFonts w:eastAsiaTheme="majorEastAsia" w:cstheme="majorBidi"/>
      <w:color w:val="2F5496" w:themeColor="accent1" w:themeShade="BF"/>
      <w:sz w:val="24"/>
      <w:szCs w:val="24"/>
    </w:rPr>
  </w:style>
  <w:style w:type="paragraph" w:styleId="Nadpis4">
    <w:name w:val="heading 4"/>
    <w:aliases w:val="1.1.1.1."/>
    <w:basedOn w:val="Normln"/>
    <w:next w:val="Normln"/>
    <w:link w:val="Nadpis4Char"/>
    <w:uiPriority w:val="9"/>
    <w:unhideWhenUsed/>
    <w:qFormat/>
    <w:rsid w:val="00883E7C"/>
    <w:pPr>
      <w:keepNext/>
      <w:keepLines/>
      <w:numPr>
        <w:ilvl w:val="3"/>
        <w:numId w:val="2"/>
      </w:numPr>
      <w:spacing w:before="40" w:after="120"/>
      <w:outlineLvl w:val="3"/>
    </w:pPr>
    <w:rPr>
      <w:rFonts w:eastAsiaTheme="majorEastAsia" w:cstheme="majorBidi"/>
      <w:iCs/>
      <w:color w:val="2F5496" w:themeColor="accent1" w:themeShade="BF"/>
    </w:rPr>
  </w:style>
  <w:style w:type="paragraph" w:styleId="Nadpis5">
    <w:name w:val="heading 5"/>
    <w:aliases w:val="bez čísel"/>
    <w:basedOn w:val="Normln"/>
    <w:next w:val="Normln"/>
    <w:link w:val="Nadpis5Char"/>
    <w:uiPriority w:val="9"/>
    <w:unhideWhenUsed/>
    <w:qFormat/>
    <w:rsid w:val="00F01BD1"/>
    <w:pPr>
      <w:keepNext/>
      <w:keepLines/>
      <w:spacing w:before="40" w:after="0"/>
      <w:outlineLvl w:val="4"/>
    </w:pPr>
    <w:rPr>
      <w:rFonts w:eastAsiaTheme="majorEastAsia" w:cstheme="majorBidi"/>
      <w:color w:val="2F5496"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1. Char"/>
    <w:basedOn w:val="Standardnpsmoodstavce"/>
    <w:link w:val="Nadpis1"/>
    <w:uiPriority w:val="9"/>
    <w:rsid w:val="00EA79DA"/>
    <w:rPr>
      <w:rFonts w:eastAsiaTheme="majorEastAsia" w:cstheme="majorBidi"/>
      <w:color w:val="2F5496" w:themeColor="accent1" w:themeShade="BF"/>
      <w:sz w:val="28"/>
      <w:szCs w:val="32"/>
      <w:lang w:eastAsia="cs-CZ"/>
    </w:rPr>
  </w:style>
  <w:style w:type="character" w:customStyle="1" w:styleId="Nadpis2Char">
    <w:name w:val="Nadpis 2 Char"/>
    <w:aliases w:val="1.1. Char"/>
    <w:basedOn w:val="Standardnpsmoodstavce"/>
    <w:link w:val="Nadpis2"/>
    <w:uiPriority w:val="9"/>
    <w:rsid w:val="00217B12"/>
    <w:rPr>
      <w:rFonts w:eastAsiaTheme="majorEastAsia" w:cstheme="majorBidi"/>
      <w:color w:val="2F5496" w:themeColor="accent1" w:themeShade="BF"/>
      <w:sz w:val="24"/>
      <w:szCs w:val="32"/>
      <w:lang w:eastAsia="cs-CZ"/>
    </w:rPr>
  </w:style>
  <w:style w:type="character" w:customStyle="1" w:styleId="Nadpis3Char">
    <w:name w:val="Nadpis 3 Char"/>
    <w:aliases w:val="1.1.1. Char"/>
    <w:basedOn w:val="Standardnpsmoodstavce"/>
    <w:link w:val="Nadpis3"/>
    <w:uiPriority w:val="9"/>
    <w:rsid w:val="00217B12"/>
    <w:rPr>
      <w:rFonts w:eastAsiaTheme="majorEastAsia" w:cstheme="majorBidi"/>
      <w:color w:val="2F5496" w:themeColor="accent1" w:themeShade="BF"/>
      <w:sz w:val="24"/>
      <w:szCs w:val="24"/>
      <w:lang w:eastAsia="cs-CZ"/>
    </w:rPr>
  </w:style>
  <w:style w:type="character" w:customStyle="1" w:styleId="Nadpis4Char">
    <w:name w:val="Nadpis 4 Char"/>
    <w:aliases w:val="1.1.1.1. Char"/>
    <w:basedOn w:val="Standardnpsmoodstavce"/>
    <w:link w:val="Nadpis4"/>
    <w:uiPriority w:val="9"/>
    <w:rsid w:val="00883E7C"/>
    <w:rPr>
      <w:rFonts w:eastAsiaTheme="majorEastAsia" w:cstheme="majorBidi"/>
      <w:iCs/>
      <w:color w:val="2F5496" w:themeColor="accent1" w:themeShade="BF"/>
      <w:lang w:eastAsia="cs-CZ"/>
    </w:rPr>
  </w:style>
  <w:style w:type="character" w:customStyle="1" w:styleId="Nadpis5Char">
    <w:name w:val="Nadpis 5 Char"/>
    <w:aliases w:val="bez čísel Char"/>
    <w:basedOn w:val="Standardnpsmoodstavce"/>
    <w:link w:val="Nadpis5"/>
    <w:uiPriority w:val="9"/>
    <w:rsid w:val="00F01BD1"/>
    <w:rPr>
      <w:rFonts w:eastAsiaTheme="majorEastAsia" w:cstheme="majorBidi"/>
      <w:color w:val="2F5496" w:themeColor="accent1" w:themeShade="BF"/>
      <w:lang w:eastAsia="cs-CZ"/>
    </w:rPr>
  </w:style>
  <w:style w:type="paragraph" w:customStyle="1" w:styleId="StylStyl1dkovn15dku">
    <w:name w:val="Styl Styl1 + Řádkování:  15 řádku"/>
    <w:basedOn w:val="Normln"/>
    <w:rsid w:val="00714D12"/>
    <w:pPr>
      <w:spacing w:after="0" w:line="360" w:lineRule="auto"/>
      <w:jc w:val="both"/>
    </w:pPr>
    <w:rPr>
      <w:rFonts w:ascii="Microsoft Sans Serif" w:eastAsia="Times New Roman" w:hAnsi="Microsoft Sans Serif" w:cs="Times New Roman"/>
      <w:sz w:val="24"/>
      <w:szCs w:val="20"/>
    </w:rPr>
  </w:style>
  <w:style w:type="paragraph" w:styleId="Zhlav">
    <w:name w:val="header"/>
    <w:basedOn w:val="Normln"/>
    <w:link w:val="ZhlavChar"/>
    <w:uiPriority w:val="99"/>
    <w:unhideWhenUsed/>
    <w:rsid w:val="0045050A"/>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5050A"/>
    <w:rPr>
      <w:rFonts w:eastAsiaTheme="minorEastAsia"/>
      <w:lang w:eastAsia="cs-CZ"/>
    </w:rPr>
  </w:style>
  <w:style w:type="paragraph" w:styleId="Zpat">
    <w:name w:val="footer"/>
    <w:basedOn w:val="Normln"/>
    <w:link w:val="ZpatChar"/>
    <w:uiPriority w:val="99"/>
    <w:unhideWhenUsed/>
    <w:rsid w:val="0045050A"/>
    <w:pPr>
      <w:tabs>
        <w:tab w:val="center" w:pos="4536"/>
        <w:tab w:val="right" w:pos="9072"/>
      </w:tabs>
      <w:spacing w:after="0" w:line="240" w:lineRule="auto"/>
    </w:pPr>
  </w:style>
  <w:style w:type="character" w:customStyle="1" w:styleId="ZpatChar">
    <w:name w:val="Zápatí Char"/>
    <w:basedOn w:val="Standardnpsmoodstavce"/>
    <w:link w:val="Zpat"/>
    <w:uiPriority w:val="99"/>
    <w:rsid w:val="0045050A"/>
    <w:rPr>
      <w:rFonts w:eastAsiaTheme="minorEastAsia"/>
      <w:lang w:eastAsia="cs-CZ"/>
    </w:rPr>
  </w:style>
  <w:style w:type="paragraph" w:styleId="Odstavecseseznamem">
    <w:name w:val="List Paragraph"/>
    <w:basedOn w:val="Normln"/>
    <w:uiPriority w:val="34"/>
    <w:qFormat/>
    <w:rsid w:val="0045050A"/>
    <w:pPr>
      <w:ind w:left="720"/>
      <w:contextualSpacing/>
    </w:pPr>
  </w:style>
  <w:style w:type="paragraph" w:customStyle="1" w:styleId="CVNormal">
    <w:name w:val="CV Normal"/>
    <w:basedOn w:val="Normln"/>
    <w:rsid w:val="00804C20"/>
    <w:pPr>
      <w:suppressAutoHyphens/>
      <w:spacing w:after="0" w:line="240" w:lineRule="auto"/>
      <w:ind w:left="113" w:right="113"/>
    </w:pPr>
    <w:rPr>
      <w:rFonts w:ascii="Arial Narrow" w:eastAsia="Times New Roman" w:hAnsi="Arial Narrow" w:cs="Times New Roman"/>
      <w:sz w:val="20"/>
      <w:szCs w:val="20"/>
      <w:lang w:eastAsia="ar-SA"/>
    </w:rPr>
  </w:style>
  <w:style w:type="character" w:styleId="Zdraznn">
    <w:name w:val="Emphasis"/>
    <w:basedOn w:val="Standardnpsmoodstavce"/>
    <w:uiPriority w:val="20"/>
    <w:qFormat/>
    <w:rsid w:val="00804C20"/>
    <w:rPr>
      <w:i/>
      <w:iCs/>
    </w:rPr>
  </w:style>
  <w:style w:type="paragraph" w:styleId="Normlnweb">
    <w:name w:val="Normal (Web)"/>
    <w:basedOn w:val="Normln"/>
    <w:uiPriority w:val="99"/>
    <w:semiHidden/>
    <w:unhideWhenUsed/>
    <w:rsid w:val="00804C20"/>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extbubliny">
    <w:name w:val="Balloon Text"/>
    <w:basedOn w:val="Normln"/>
    <w:link w:val="TextbublinyChar"/>
    <w:uiPriority w:val="99"/>
    <w:semiHidden/>
    <w:unhideWhenUsed/>
    <w:rsid w:val="0080253D"/>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80253D"/>
    <w:rPr>
      <w:rFonts w:ascii="Segoe UI" w:eastAsiaTheme="minorEastAsia" w:hAnsi="Segoe UI" w:cs="Segoe UI"/>
      <w:sz w:val="18"/>
      <w:szCs w:val="18"/>
      <w:lang w:eastAsia="cs-CZ"/>
    </w:rPr>
  </w:style>
  <w:style w:type="character" w:styleId="Odkaznakoment">
    <w:name w:val="annotation reference"/>
    <w:basedOn w:val="Standardnpsmoodstavce"/>
    <w:uiPriority w:val="99"/>
    <w:semiHidden/>
    <w:unhideWhenUsed/>
    <w:rsid w:val="00FB5E3E"/>
    <w:rPr>
      <w:sz w:val="16"/>
      <w:szCs w:val="16"/>
    </w:rPr>
  </w:style>
  <w:style w:type="paragraph" w:styleId="Textkomente">
    <w:name w:val="annotation text"/>
    <w:basedOn w:val="Normln"/>
    <w:link w:val="TextkomenteChar"/>
    <w:uiPriority w:val="99"/>
    <w:unhideWhenUsed/>
    <w:rsid w:val="00FB5E3E"/>
    <w:pPr>
      <w:spacing w:line="240" w:lineRule="auto"/>
    </w:pPr>
    <w:rPr>
      <w:sz w:val="20"/>
      <w:szCs w:val="20"/>
    </w:rPr>
  </w:style>
  <w:style w:type="character" w:customStyle="1" w:styleId="TextkomenteChar">
    <w:name w:val="Text komentáře Char"/>
    <w:basedOn w:val="Standardnpsmoodstavce"/>
    <w:link w:val="Textkomente"/>
    <w:uiPriority w:val="99"/>
    <w:rsid w:val="00FB5E3E"/>
    <w:rPr>
      <w:rFonts w:eastAsiaTheme="minorEastAsia"/>
      <w:sz w:val="20"/>
      <w:szCs w:val="20"/>
      <w:lang w:eastAsia="cs-CZ"/>
    </w:rPr>
  </w:style>
  <w:style w:type="paragraph" w:styleId="Pedmtkomente">
    <w:name w:val="annotation subject"/>
    <w:basedOn w:val="Textkomente"/>
    <w:next w:val="Textkomente"/>
    <w:link w:val="PedmtkomenteChar"/>
    <w:uiPriority w:val="99"/>
    <w:semiHidden/>
    <w:unhideWhenUsed/>
    <w:rsid w:val="00FB5E3E"/>
    <w:rPr>
      <w:b/>
      <w:bCs/>
    </w:rPr>
  </w:style>
  <w:style w:type="character" w:customStyle="1" w:styleId="PedmtkomenteChar">
    <w:name w:val="Předmět komentáře Char"/>
    <w:basedOn w:val="TextkomenteChar"/>
    <w:link w:val="Pedmtkomente"/>
    <w:uiPriority w:val="99"/>
    <w:semiHidden/>
    <w:rsid w:val="00FB5E3E"/>
    <w:rPr>
      <w:rFonts w:eastAsiaTheme="minorEastAsia"/>
      <w:b/>
      <w:bCs/>
      <w:sz w:val="20"/>
      <w:szCs w:val="20"/>
      <w:lang w:eastAsia="cs-CZ"/>
    </w:rPr>
  </w:style>
  <w:style w:type="character" w:styleId="Hypertextovodkaz">
    <w:name w:val="Hyperlink"/>
    <w:basedOn w:val="Standardnpsmoodstavce"/>
    <w:uiPriority w:val="99"/>
    <w:unhideWhenUsed/>
    <w:rsid w:val="000C57A2"/>
    <w:rPr>
      <w:color w:val="0563C1" w:themeColor="hyperlink"/>
      <w:u w:val="single"/>
    </w:rPr>
  </w:style>
  <w:style w:type="character" w:customStyle="1" w:styleId="UnresolvedMention">
    <w:name w:val="Unresolved Mention"/>
    <w:basedOn w:val="Standardnpsmoodstavce"/>
    <w:uiPriority w:val="99"/>
    <w:semiHidden/>
    <w:unhideWhenUsed/>
    <w:rsid w:val="000C57A2"/>
    <w:rPr>
      <w:color w:val="605E5C"/>
      <w:shd w:val="clear" w:color="auto" w:fill="E1DFDD"/>
    </w:rPr>
  </w:style>
  <w:style w:type="paragraph" w:styleId="Nadpisobsahu">
    <w:name w:val="TOC Heading"/>
    <w:basedOn w:val="Nadpis1"/>
    <w:next w:val="Normln"/>
    <w:uiPriority w:val="39"/>
    <w:unhideWhenUsed/>
    <w:qFormat/>
    <w:rsid w:val="00192562"/>
    <w:pPr>
      <w:spacing w:line="259" w:lineRule="auto"/>
      <w:outlineLvl w:val="9"/>
    </w:pPr>
  </w:style>
  <w:style w:type="paragraph" w:styleId="Obsah1">
    <w:name w:val="toc 1"/>
    <w:basedOn w:val="Normln"/>
    <w:next w:val="Normln"/>
    <w:autoRedefine/>
    <w:uiPriority w:val="39"/>
    <w:unhideWhenUsed/>
    <w:rsid w:val="00192562"/>
    <w:pPr>
      <w:spacing w:after="100"/>
    </w:pPr>
  </w:style>
  <w:style w:type="paragraph" w:styleId="Obsah2">
    <w:name w:val="toc 2"/>
    <w:basedOn w:val="Normln"/>
    <w:next w:val="Normln"/>
    <w:autoRedefine/>
    <w:uiPriority w:val="39"/>
    <w:unhideWhenUsed/>
    <w:rsid w:val="00192562"/>
    <w:pPr>
      <w:spacing w:after="100"/>
      <w:ind w:left="220"/>
    </w:pPr>
  </w:style>
  <w:style w:type="paragraph" w:styleId="Obsah3">
    <w:name w:val="toc 3"/>
    <w:basedOn w:val="Normln"/>
    <w:next w:val="Normln"/>
    <w:autoRedefine/>
    <w:uiPriority w:val="39"/>
    <w:unhideWhenUsed/>
    <w:rsid w:val="00CB75D7"/>
    <w:pPr>
      <w:spacing w:after="100" w:line="259" w:lineRule="auto"/>
      <w:ind w:left="440"/>
    </w:pPr>
    <w:rPr>
      <w:rFonts w:cs="Times New Roman"/>
    </w:rPr>
  </w:style>
  <w:style w:type="paragraph" w:styleId="Textpoznpodarou">
    <w:name w:val="footnote text"/>
    <w:basedOn w:val="Normln"/>
    <w:link w:val="TextpoznpodarouChar"/>
    <w:uiPriority w:val="99"/>
    <w:semiHidden/>
    <w:unhideWhenUsed/>
    <w:rsid w:val="00CB75D7"/>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CB75D7"/>
    <w:rPr>
      <w:rFonts w:eastAsiaTheme="minorEastAsia"/>
      <w:sz w:val="20"/>
      <w:szCs w:val="20"/>
      <w:lang w:eastAsia="cs-CZ"/>
    </w:rPr>
  </w:style>
  <w:style w:type="character" w:styleId="Znakapoznpodarou">
    <w:name w:val="footnote reference"/>
    <w:basedOn w:val="Standardnpsmoodstavce"/>
    <w:uiPriority w:val="99"/>
    <w:semiHidden/>
    <w:unhideWhenUsed/>
    <w:rsid w:val="00CB75D7"/>
    <w:rPr>
      <w:vertAlign w:val="superscript"/>
    </w:rPr>
  </w:style>
  <w:style w:type="character" w:customStyle="1" w:styleId="authors-list-item">
    <w:name w:val="authors-list-item"/>
    <w:basedOn w:val="Standardnpsmoodstavce"/>
    <w:rsid w:val="00A01609"/>
  </w:style>
  <w:style w:type="character" w:customStyle="1" w:styleId="author-sup-separator">
    <w:name w:val="author-sup-separator"/>
    <w:basedOn w:val="Standardnpsmoodstavce"/>
    <w:rsid w:val="00A01609"/>
  </w:style>
  <w:style w:type="character" w:customStyle="1" w:styleId="comma">
    <w:name w:val="comma"/>
    <w:basedOn w:val="Standardnpsmoodstavce"/>
    <w:rsid w:val="00A01609"/>
  </w:style>
  <w:style w:type="paragraph" w:styleId="Obsah4">
    <w:name w:val="toc 4"/>
    <w:basedOn w:val="Normln"/>
    <w:next w:val="Normln"/>
    <w:autoRedefine/>
    <w:uiPriority w:val="39"/>
    <w:unhideWhenUsed/>
    <w:rsid w:val="005A1331"/>
    <w:pPr>
      <w:spacing w:after="100"/>
      <w:ind w:left="660"/>
    </w:pPr>
  </w:style>
  <w:style w:type="paragraph" w:styleId="Obsah5">
    <w:name w:val="toc 5"/>
    <w:basedOn w:val="Normln"/>
    <w:next w:val="Normln"/>
    <w:autoRedefine/>
    <w:uiPriority w:val="39"/>
    <w:unhideWhenUsed/>
    <w:rsid w:val="00301FC7"/>
    <w:pPr>
      <w:spacing w:after="100"/>
      <w:ind w:left="880"/>
    </w:pPr>
  </w:style>
  <w:style w:type="paragraph" w:customStyle="1" w:styleId="nova-e-listitem">
    <w:name w:val="nova-e-list__item"/>
    <w:basedOn w:val="Normln"/>
    <w:rsid w:val="005A3FA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n">
    <w:name w:val="Žádný"/>
    <w:rsid w:val="00DE4924"/>
  </w:style>
  <w:style w:type="paragraph" w:styleId="Bezmezer">
    <w:name w:val="No Spacing"/>
    <w:uiPriority w:val="1"/>
    <w:qFormat/>
    <w:rsid w:val="005712FF"/>
    <w:pPr>
      <w:spacing w:after="0" w:line="240" w:lineRule="auto"/>
    </w:pPr>
    <w:rPr>
      <w:rFonts w:eastAsiaTheme="minorEastAsia"/>
      <w:lang w:eastAsia="cs-CZ"/>
    </w:rPr>
  </w:style>
  <w:style w:type="paragraph" w:customStyle="1" w:styleId="MDPI41tablecaption">
    <w:name w:val="MDPI_4.1_table_caption"/>
    <w:qFormat/>
    <w:rsid w:val="00AD2FEA"/>
    <w:pPr>
      <w:adjustRightInd w:val="0"/>
      <w:snapToGrid w:val="0"/>
      <w:spacing w:before="240" w:after="120" w:line="228" w:lineRule="auto"/>
      <w:ind w:left="2608"/>
    </w:pPr>
    <w:rPr>
      <w:rFonts w:ascii="Palatino Linotype" w:eastAsia="Times New Roman" w:hAnsi="Palatino Linotype" w:cs="Cordia New"/>
      <w:color w:val="000000"/>
      <w:sz w:val="18"/>
      <w:lang w:val="en-US" w:eastAsia="de-DE" w:bidi="en-US"/>
    </w:rPr>
  </w:style>
  <w:style w:type="paragraph" w:customStyle="1" w:styleId="MDPI42tablebody">
    <w:name w:val="MDPI_4.2_table_body"/>
    <w:qFormat/>
    <w:rsid w:val="00AD2FEA"/>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21heading1">
    <w:name w:val="MDPI_2.1_heading1"/>
    <w:qFormat/>
    <w:rsid w:val="00160EA4"/>
    <w:pPr>
      <w:adjustRightInd w:val="0"/>
      <w:snapToGrid w:val="0"/>
      <w:spacing w:before="240" w:after="60" w:line="228" w:lineRule="auto"/>
      <w:ind w:left="2608"/>
      <w:outlineLvl w:val="0"/>
    </w:pPr>
    <w:rPr>
      <w:rFonts w:ascii="Palatino Linotype" w:eastAsia="Times New Roman" w:hAnsi="Palatino Linotype" w:cs="Times New Roman"/>
      <w:b/>
      <w:color w:val="000000"/>
      <w:sz w:val="20"/>
      <w:lang w:val="en-US" w:eastAsia="de-DE" w:bidi="en-US"/>
    </w:rPr>
  </w:style>
  <w:style w:type="paragraph" w:customStyle="1" w:styleId="MDPI62BackMatter">
    <w:name w:val="MDPI_6.2_BackMatter"/>
    <w:qFormat/>
    <w:rsid w:val="00160EA4"/>
    <w:pPr>
      <w:adjustRightInd w:val="0"/>
      <w:snapToGrid w:val="0"/>
      <w:spacing w:after="120" w:line="228" w:lineRule="auto"/>
      <w:ind w:left="2608"/>
      <w:jc w:val="both"/>
    </w:pPr>
    <w:rPr>
      <w:rFonts w:ascii="Palatino Linotype" w:eastAsia="Times New Roman" w:hAnsi="Palatino Linotype" w:cs="Times New Roman"/>
      <w:color w:val="000000"/>
      <w:sz w:val="18"/>
      <w:szCs w:val="20"/>
      <w:lang w:val="en-US" w:bidi="en-US"/>
    </w:rPr>
  </w:style>
  <w:style w:type="paragraph" w:customStyle="1" w:styleId="MDPI22heading2">
    <w:name w:val="MDPI_2.2_heading2"/>
    <w:qFormat/>
    <w:rsid w:val="007650B6"/>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table" w:styleId="Mkatabulky">
    <w:name w:val="Table Grid"/>
    <w:basedOn w:val="Normlntabulka"/>
    <w:uiPriority w:val="39"/>
    <w:rsid w:val="001736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306B65"/>
    <w:pPr>
      <w:spacing w:line="240" w:lineRule="auto"/>
    </w:pPr>
    <w:rPr>
      <w:i/>
      <w:iCs/>
      <w:color w:val="44546A" w:themeColor="text2"/>
      <w:sz w:val="18"/>
      <w:szCs w:val="18"/>
    </w:rPr>
  </w:style>
  <w:style w:type="paragraph" w:styleId="Seznamobrzk">
    <w:name w:val="table of figures"/>
    <w:basedOn w:val="Normln"/>
    <w:next w:val="Normln"/>
    <w:uiPriority w:val="99"/>
    <w:unhideWhenUsed/>
    <w:rsid w:val="00306B65"/>
    <w:pPr>
      <w:spacing w:after="0"/>
    </w:pPr>
  </w:style>
  <w:style w:type="character" w:customStyle="1" w:styleId="quote12">
    <w:name w:val="quote12"/>
    <w:rsid w:val="00937254"/>
    <w:rPr>
      <w:color w:val="00468E"/>
    </w:rPr>
  </w:style>
  <w:style w:type="paragraph" w:customStyle="1" w:styleId="headinganchor">
    <w:name w:val="headinganchor"/>
    <w:basedOn w:val="Normln"/>
    <w:rsid w:val="0093725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ln"/>
    <w:rsid w:val="0093725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
    <w:name w:val="para"/>
    <w:basedOn w:val="Normln"/>
    <w:rsid w:val="0093725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ref">
    <w:name w:val="citationref"/>
    <w:basedOn w:val="Standardnpsmoodstavce"/>
    <w:rsid w:val="00937254"/>
  </w:style>
  <w:style w:type="character" w:customStyle="1" w:styleId="internalref">
    <w:name w:val="internalref"/>
    <w:basedOn w:val="Standardnpsmoodstavce"/>
    <w:rsid w:val="00937254"/>
  </w:style>
  <w:style w:type="character" w:styleId="Siln">
    <w:name w:val="Strong"/>
    <w:basedOn w:val="Standardnpsmoodstavce"/>
    <w:uiPriority w:val="22"/>
    <w:qFormat/>
    <w:rsid w:val="00937254"/>
    <w:rPr>
      <w:b/>
      <w:bCs/>
    </w:rPr>
  </w:style>
  <w:style w:type="character" w:customStyle="1" w:styleId="kwd-text">
    <w:name w:val="kwd-text"/>
    <w:basedOn w:val="Standardnpsmoodstavce"/>
    <w:rsid w:val="00937254"/>
  </w:style>
  <w:style w:type="paragraph" w:customStyle="1" w:styleId="Nzev1">
    <w:name w:val="Název1"/>
    <w:basedOn w:val="Normln"/>
    <w:rsid w:val="0093725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sc">
    <w:name w:val="desc"/>
    <w:basedOn w:val="Normln"/>
    <w:rsid w:val="0093725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rnl">
    <w:name w:val="jrnl"/>
    <w:basedOn w:val="Standardnpsmoodstavce"/>
    <w:rsid w:val="00937254"/>
  </w:style>
  <w:style w:type="paragraph" w:customStyle="1" w:styleId="Nzev2">
    <w:name w:val="Název2"/>
    <w:basedOn w:val="Normln"/>
    <w:rsid w:val="0093725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tails">
    <w:name w:val="details"/>
    <w:basedOn w:val="Normln"/>
    <w:rsid w:val="0093725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ne">
    <w:name w:val="None"/>
    <w:rsid w:val="00937254"/>
  </w:style>
  <w:style w:type="paragraph" w:styleId="Obsah6">
    <w:name w:val="toc 6"/>
    <w:basedOn w:val="Normln"/>
    <w:next w:val="Normln"/>
    <w:autoRedefine/>
    <w:uiPriority w:val="39"/>
    <w:unhideWhenUsed/>
    <w:rsid w:val="00925C31"/>
    <w:pPr>
      <w:spacing w:after="100" w:line="259" w:lineRule="auto"/>
      <w:ind w:left="1100"/>
    </w:pPr>
  </w:style>
  <w:style w:type="paragraph" w:styleId="Obsah7">
    <w:name w:val="toc 7"/>
    <w:basedOn w:val="Normln"/>
    <w:next w:val="Normln"/>
    <w:autoRedefine/>
    <w:uiPriority w:val="39"/>
    <w:unhideWhenUsed/>
    <w:rsid w:val="00925C31"/>
    <w:pPr>
      <w:spacing w:after="100" w:line="259" w:lineRule="auto"/>
      <w:ind w:left="1320"/>
    </w:pPr>
  </w:style>
  <w:style w:type="paragraph" w:styleId="Obsah8">
    <w:name w:val="toc 8"/>
    <w:basedOn w:val="Normln"/>
    <w:next w:val="Normln"/>
    <w:autoRedefine/>
    <w:uiPriority w:val="39"/>
    <w:unhideWhenUsed/>
    <w:rsid w:val="00925C31"/>
    <w:pPr>
      <w:spacing w:after="100" w:line="259" w:lineRule="auto"/>
      <w:ind w:left="1540"/>
    </w:pPr>
  </w:style>
  <w:style w:type="paragraph" w:styleId="Obsah9">
    <w:name w:val="toc 9"/>
    <w:basedOn w:val="Normln"/>
    <w:next w:val="Normln"/>
    <w:autoRedefine/>
    <w:uiPriority w:val="39"/>
    <w:unhideWhenUsed/>
    <w:rsid w:val="00925C31"/>
    <w:pPr>
      <w:spacing w:after="100" w:line="259" w:lineRule="auto"/>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8510">
      <w:bodyDiv w:val="1"/>
      <w:marLeft w:val="0"/>
      <w:marRight w:val="0"/>
      <w:marTop w:val="0"/>
      <w:marBottom w:val="0"/>
      <w:divBdr>
        <w:top w:val="none" w:sz="0" w:space="0" w:color="auto"/>
        <w:left w:val="none" w:sz="0" w:space="0" w:color="auto"/>
        <w:bottom w:val="none" w:sz="0" w:space="0" w:color="auto"/>
        <w:right w:val="none" w:sz="0" w:space="0" w:color="auto"/>
      </w:divBdr>
    </w:div>
    <w:div w:id="36206014">
      <w:bodyDiv w:val="1"/>
      <w:marLeft w:val="0"/>
      <w:marRight w:val="0"/>
      <w:marTop w:val="0"/>
      <w:marBottom w:val="0"/>
      <w:divBdr>
        <w:top w:val="none" w:sz="0" w:space="0" w:color="auto"/>
        <w:left w:val="none" w:sz="0" w:space="0" w:color="auto"/>
        <w:bottom w:val="none" w:sz="0" w:space="0" w:color="auto"/>
        <w:right w:val="none" w:sz="0" w:space="0" w:color="auto"/>
      </w:divBdr>
    </w:div>
    <w:div w:id="100734855">
      <w:bodyDiv w:val="1"/>
      <w:marLeft w:val="0"/>
      <w:marRight w:val="0"/>
      <w:marTop w:val="0"/>
      <w:marBottom w:val="0"/>
      <w:divBdr>
        <w:top w:val="none" w:sz="0" w:space="0" w:color="auto"/>
        <w:left w:val="none" w:sz="0" w:space="0" w:color="auto"/>
        <w:bottom w:val="none" w:sz="0" w:space="0" w:color="auto"/>
        <w:right w:val="none" w:sz="0" w:space="0" w:color="auto"/>
      </w:divBdr>
    </w:div>
    <w:div w:id="119803581">
      <w:bodyDiv w:val="1"/>
      <w:marLeft w:val="0"/>
      <w:marRight w:val="0"/>
      <w:marTop w:val="0"/>
      <w:marBottom w:val="0"/>
      <w:divBdr>
        <w:top w:val="none" w:sz="0" w:space="0" w:color="auto"/>
        <w:left w:val="none" w:sz="0" w:space="0" w:color="auto"/>
        <w:bottom w:val="none" w:sz="0" w:space="0" w:color="auto"/>
        <w:right w:val="none" w:sz="0" w:space="0" w:color="auto"/>
      </w:divBdr>
    </w:div>
    <w:div w:id="149638927">
      <w:bodyDiv w:val="1"/>
      <w:marLeft w:val="0"/>
      <w:marRight w:val="0"/>
      <w:marTop w:val="0"/>
      <w:marBottom w:val="0"/>
      <w:divBdr>
        <w:top w:val="none" w:sz="0" w:space="0" w:color="auto"/>
        <w:left w:val="none" w:sz="0" w:space="0" w:color="auto"/>
        <w:bottom w:val="none" w:sz="0" w:space="0" w:color="auto"/>
        <w:right w:val="none" w:sz="0" w:space="0" w:color="auto"/>
      </w:divBdr>
    </w:div>
    <w:div w:id="194733255">
      <w:bodyDiv w:val="1"/>
      <w:marLeft w:val="0"/>
      <w:marRight w:val="0"/>
      <w:marTop w:val="0"/>
      <w:marBottom w:val="0"/>
      <w:divBdr>
        <w:top w:val="none" w:sz="0" w:space="0" w:color="auto"/>
        <w:left w:val="none" w:sz="0" w:space="0" w:color="auto"/>
        <w:bottom w:val="none" w:sz="0" w:space="0" w:color="auto"/>
        <w:right w:val="none" w:sz="0" w:space="0" w:color="auto"/>
      </w:divBdr>
      <w:divsChild>
        <w:div w:id="1875193832">
          <w:marLeft w:val="0"/>
          <w:marRight w:val="0"/>
          <w:marTop w:val="0"/>
          <w:marBottom w:val="0"/>
          <w:divBdr>
            <w:top w:val="none" w:sz="0" w:space="0" w:color="auto"/>
            <w:left w:val="none" w:sz="0" w:space="0" w:color="auto"/>
            <w:bottom w:val="none" w:sz="0" w:space="0" w:color="auto"/>
            <w:right w:val="none" w:sz="0" w:space="0" w:color="auto"/>
          </w:divBdr>
        </w:div>
        <w:div w:id="1122382501">
          <w:marLeft w:val="0"/>
          <w:marRight w:val="0"/>
          <w:marTop w:val="0"/>
          <w:marBottom w:val="0"/>
          <w:divBdr>
            <w:top w:val="none" w:sz="0" w:space="0" w:color="auto"/>
            <w:left w:val="none" w:sz="0" w:space="0" w:color="auto"/>
            <w:bottom w:val="none" w:sz="0" w:space="0" w:color="auto"/>
            <w:right w:val="none" w:sz="0" w:space="0" w:color="auto"/>
          </w:divBdr>
          <w:divsChild>
            <w:div w:id="2097818068">
              <w:marLeft w:val="0"/>
              <w:marRight w:val="0"/>
              <w:marTop w:val="0"/>
              <w:marBottom w:val="0"/>
              <w:divBdr>
                <w:top w:val="single" w:sz="6" w:space="0" w:color="5B616B"/>
                <w:left w:val="single" w:sz="6" w:space="0" w:color="5B616B"/>
                <w:bottom w:val="single" w:sz="6" w:space="0" w:color="5B616B"/>
                <w:right w:val="single" w:sz="6" w:space="0" w:color="5B616B"/>
              </w:divBdr>
            </w:div>
          </w:divsChild>
        </w:div>
      </w:divsChild>
    </w:div>
    <w:div w:id="251594127">
      <w:bodyDiv w:val="1"/>
      <w:marLeft w:val="0"/>
      <w:marRight w:val="0"/>
      <w:marTop w:val="0"/>
      <w:marBottom w:val="0"/>
      <w:divBdr>
        <w:top w:val="none" w:sz="0" w:space="0" w:color="auto"/>
        <w:left w:val="none" w:sz="0" w:space="0" w:color="auto"/>
        <w:bottom w:val="none" w:sz="0" w:space="0" w:color="auto"/>
        <w:right w:val="none" w:sz="0" w:space="0" w:color="auto"/>
      </w:divBdr>
    </w:div>
    <w:div w:id="263341806">
      <w:bodyDiv w:val="1"/>
      <w:marLeft w:val="0"/>
      <w:marRight w:val="0"/>
      <w:marTop w:val="0"/>
      <w:marBottom w:val="0"/>
      <w:divBdr>
        <w:top w:val="none" w:sz="0" w:space="0" w:color="auto"/>
        <w:left w:val="none" w:sz="0" w:space="0" w:color="auto"/>
        <w:bottom w:val="none" w:sz="0" w:space="0" w:color="auto"/>
        <w:right w:val="none" w:sz="0" w:space="0" w:color="auto"/>
      </w:divBdr>
    </w:div>
    <w:div w:id="344750762">
      <w:bodyDiv w:val="1"/>
      <w:marLeft w:val="0"/>
      <w:marRight w:val="0"/>
      <w:marTop w:val="0"/>
      <w:marBottom w:val="0"/>
      <w:divBdr>
        <w:top w:val="none" w:sz="0" w:space="0" w:color="auto"/>
        <w:left w:val="none" w:sz="0" w:space="0" w:color="auto"/>
        <w:bottom w:val="none" w:sz="0" w:space="0" w:color="auto"/>
        <w:right w:val="none" w:sz="0" w:space="0" w:color="auto"/>
      </w:divBdr>
    </w:div>
    <w:div w:id="424767940">
      <w:bodyDiv w:val="1"/>
      <w:marLeft w:val="0"/>
      <w:marRight w:val="0"/>
      <w:marTop w:val="0"/>
      <w:marBottom w:val="0"/>
      <w:divBdr>
        <w:top w:val="none" w:sz="0" w:space="0" w:color="auto"/>
        <w:left w:val="none" w:sz="0" w:space="0" w:color="auto"/>
        <w:bottom w:val="none" w:sz="0" w:space="0" w:color="auto"/>
        <w:right w:val="none" w:sz="0" w:space="0" w:color="auto"/>
      </w:divBdr>
    </w:div>
    <w:div w:id="431516966">
      <w:bodyDiv w:val="1"/>
      <w:marLeft w:val="0"/>
      <w:marRight w:val="0"/>
      <w:marTop w:val="0"/>
      <w:marBottom w:val="0"/>
      <w:divBdr>
        <w:top w:val="none" w:sz="0" w:space="0" w:color="auto"/>
        <w:left w:val="none" w:sz="0" w:space="0" w:color="auto"/>
        <w:bottom w:val="none" w:sz="0" w:space="0" w:color="auto"/>
        <w:right w:val="none" w:sz="0" w:space="0" w:color="auto"/>
      </w:divBdr>
    </w:div>
    <w:div w:id="492529517">
      <w:bodyDiv w:val="1"/>
      <w:marLeft w:val="0"/>
      <w:marRight w:val="0"/>
      <w:marTop w:val="0"/>
      <w:marBottom w:val="0"/>
      <w:divBdr>
        <w:top w:val="none" w:sz="0" w:space="0" w:color="auto"/>
        <w:left w:val="none" w:sz="0" w:space="0" w:color="auto"/>
        <w:bottom w:val="none" w:sz="0" w:space="0" w:color="auto"/>
        <w:right w:val="none" w:sz="0" w:space="0" w:color="auto"/>
      </w:divBdr>
    </w:div>
    <w:div w:id="672689097">
      <w:bodyDiv w:val="1"/>
      <w:marLeft w:val="0"/>
      <w:marRight w:val="0"/>
      <w:marTop w:val="0"/>
      <w:marBottom w:val="0"/>
      <w:divBdr>
        <w:top w:val="none" w:sz="0" w:space="0" w:color="auto"/>
        <w:left w:val="none" w:sz="0" w:space="0" w:color="auto"/>
        <w:bottom w:val="none" w:sz="0" w:space="0" w:color="auto"/>
        <w:right w:val="none" w:sz="0" w:space="0" w:color="auto"/>
      </w:divBdr>
    </w:div>
    <w:div w:id="755054112">
      <w:bodyDiv w:val="1"/>
      <w:marLeft w:val="0"/>
      <w:marRight w:val="0"/>
      <w:marTop w:val="0"/>
      <w:marBottom w:val="0"/>
      <w:divBdr>
        <w:top w:val="none" w:sz="0" w:space="0" w:color="auto"/>
        <w:left w:val="none" w:sz="0" w:space="0" w:color="auto"/>
        <w:bottom w:val="none" w:sz="0" w:space="0" w:color="auto"/>
        <w:right w:val="none" w:sz="0" w:space="0" w:color="auto"/>
      </w:divBdr>
    </w:div>
    <w:div w:id="874776775">
      <w:bodyDiv w:val="1"/>
      <w:marLeft w:val="0"/>
      <w:marRight w:val="0"/>
      <w:marTop w:val="0"/>
      <w:marBottom w:val="0"/>
      <w:divBdr>
        <w:top w:val="none" w:sz="0" w:space="0" w:color="auto"/>
        <w:left w:val="none" w:sz="0" w:space="0" w:color="auto"/>
        <w:bottom w:val="none" w:sz="0" w:space="0" w:color="auto"/>
        <w:right w:val="none" w:sz="0" w:space="0" w:color="auto"/>
      </w:divBdr>
    </w:div>
    <w:div w:id="909197614">
      <w:bodyDiv w:val="1"/>
      <w:marLeft w:val="0"/>
      <w:marRight w:val="0"/>
      <w:marTop w:val="0"/>
      <w:marBottom w:val="0"/>
      <w:divBdr>
        <w:top w:val="none" w:sz="0" w:space="0" w:color="auto"/>
        <w:left w:val="none" w:sz="0" w:space="0" w:color="auto"/>
        <w:bottom w:val="none" w:sz="0" w:space="0" w:color="auto"/>
        <w:right w:val="none" w:sz="0" w:space="0" w:color="auto"/>
      </w:divBdr>
    </w:div>
    <w:div w:id="982584158">
      <w:bodyDiv w:val="1"/>
      <w:marLeft w:val="0"/>
      <w:marRight w:val="0"/>
      <w:marTop w:val="0"/>
      <w:marBottom w:val="0"/>
      <w:divBdr>
        <w:top w:val="none" w:sz="0" w:space="0" w:color="auto"/>
        <w:left w:val="none" w:sz="0" w:space="0" w:color="auto"/>
        <w:bottom w:val="none" w:sz="0" w:space="0" w:color="auto"/>
        <w:right w:val="none" w:sz="0" w:space="0" w:color="auto"/>
      </w:divBdr>
    </w:div>
    <w:div w:id="999192386">
      <w:bodyDiv w:val="1"/>
      <w:marLeft w:val="0"/>
      <w:marRight w:val="0"/>
      <w:marTop w:val="0"/>
      <w:marBottom w:val="0"/>
      <w:divBdr>
        <w:top w:val="none" w:sz="0" w:space="0" w:color="auto"/>
        <w:left w:val="none" w:sz="0" w:space="0" w:color="auto"/>
        <w:bottom w:val="none" w:sz="0" w:space="0" w:color="auto"/>
        <w:right w:val="none" w:sz="0" w:space="0" w:color="auto"/>
      </w:divBdr>
      <w:divsChild>
        <w:div w:id="638727061">
          <w:marLeft w:val="0"/>
          <w:marRight w:val="0"/>
          <w:marTop w:val="0"/>
          <w:marBottom w:val="0"/>
          <w:divBdr>
            <w:top w:val="none" w:sz="0" w:space="0" w:color="auto"/>
            <w:left w:val="none" w:sz="0" w:space="0" w:color="auto"/>
            <w:bottom w:val="none" w:sz="0" w:space="0" w:color="auto"/>
            <w:right w:val="none" w:sz="0" w:space="0" w:color="auto"/>
          </w:divBdr>
        </w:div>
        <w:div w:id="2035690721">
          <w:marLeft w:val="0"/>
          <w:marRight w:val="0"/>
          <w:marTop w:val="0"/>
          <w:marBottom w:val="0"/>
          <w:divBdr>
            <w:top w:val="none" w:sz="0" w:space="0" w:color="auto"/>
            <w:left w:val="none" w:sz="0" w:space="0" w:color="auto"/>
            <w:bottom w:val="none" w:sz="0" w:space="0" w:color="auto"/>
            <w:right w:val="none" w:sz="0" w:space="0" w:color="auto"/>
          </w:divBdr>
          <w:divsChild>
            <w:div w:id="1766808068">
              <w:marLeft w:val="0"/>
              <w:marRight w:val="0"/>
              <w:marTop w:val="0"/>
              <w:marBottom w:val="0"/>
              <w:divBdr>
                <w:top w:val="single" w:sz="6" w:space="0" w:color="5B616B"/>
                <w:left w:val="single" w:sz="6" w:space="0" w:color="5B616B"/>
                <w:bottom w:val="single" w:sz="6" w:space="0" w:color="5B616B"/>
                <w:right w:val="single" w:sz="6" w:space="0" w:color="5B616B"/>
              </w:divBdr>
            </w:div>
          </w:divsChild>
        </w:div>
      </w:divsChild>
    </w:div>
    <w:div w:id="1009722843">
      <w:bodyDiv w:val="1"/>
      <w:marLeft w:val="0"/>
      <w:marRight w:val="0"/>
      <w:marTop w:val="0"/>
      <w:marBottom w:val="0"/>
      <w:divBdr>
        <w:top w:val="none" w:sz="0" w:space="0" w:color="auto"/>
        <w:left w:val="none" w:sz="0" w:space="0" w:color="auto"/>
        <w:bottom w:val="none" w:sz="0" w:space="0" w:color="auto"/>
        <w:right w:val="none" w:sz="0" w:space="0" w:color="auto"/>
      </w:divBdr>
    </w:div>
    <w:div w:id="1034035840">
      <w:bodyDiv w:val="1"/>
      <w:marLeft w:val="0"/>
      <w:marRight w:val="0"/>
      <w:marTop w:val="0"/>
      <w:marBottom w:val="0"/>
      <w:divBdr>
        <w:top w:val="none" w:sz="0" w:space="0" w:color="auto"/>
        <w:left w:val="none" w:sz="0" w:space="0" w:color="auto"/>
        <w:bottom w:val="none" w:sz="0" w:space="0" w:color="auto"/>
        <w:right w:val="none" w:sz="0" w:space="0" w:color="auto"/>
      </w:divBdr>
    </w:div>
    <w:div w:id="1292177121">
      <w:bodyDiv w:val="1"/>
      <w:marLeft w:val="0"/>
      <w:marRight w:val="0"/>
      <w:marTop w:val="0"/>
      <w:marBottom w:val="0"/>
      <w:divBdr>
        <w:top w:val="none" w:sz="0" w:space="0" w:color="auto"/>
        <w:left w:val="none" w:sz="0" w:space="0" w:color="auto"/>
        <w:bottom w:val="none" w:sz="0" w:space="0" w:color="auto"/>
        <w:right w:val="none" w:sz="0" w:space="0" w:color="auto"/>
      </w:divBdr>
      <w:divsChild>
        <w:div w:id="1054036773">
          <w:marLeft w:val="0"/>
          <w:marRight w:val="0"/>
          <w:marTop w:val="0"/>
          <w:marBottom w:val="75"/>
          <w:divBdr>
            <w:top w:val="none" w:sz="0" w:space="0" w:color="auto"/>
            <w:left w:val="none" w:sz="0" w:space="0" w:color="auto"/>
            <w:bottom w:val="none" w:sz="0" w:space="0" w:color="auto"/>
            <w:right w:val="none" w:sz="0" w:space="0" w:color="auto"/>
          </w:divBdr>
        </w:div>
        <w:div w:id="1156342466">
          <w:marLeft w:val="0"/>
          <w:marRight w:val="0"/>
          <w:marTop w:val="0"/>
          <w:marBottom w:val="75"/>
          <w:divBdr>
            <w:top w:val="none" w:sz="0" w:space="0" w:color="auto"/>
            <w:left w:val="none" w:sz="0" w:space="0" w:color="auto"/>
            <w:bottom w:val="none" w:sz="0" w:space="0" w:color="auto"/>
            <w:right w:val="none" w:sz="0" w:space="0" w:color="auto"/>
          </w:divBdr>
        </w:div>
      </w:divsChild>
    </w:div>
    <w:div w:id="1350255894">
      <w:bodyDiv w:val="1"/>
      <w:marLeft w:val="0"/>
      <w:marRight w:val="0"/>
      <w:marTop w:val="0"/>
      <w:marBottom w:val="0"/>
      <w:divBdr>
        <w:top w:val="none" w:sz="0" w:space="0" w:color="auto"/>
        <w:left w:val="none" w:sz="0" w:space="0" w:color="auto"/>
        <w:bottom w:val="none" w:sz="0" w:space="0" w:color="auto"/>
        <w:right w:val="none" w:sz="0" w:space="0" w:color="auto"/>
      </w:divBdr>
    </w:div>
    <w:div w:id="1380594637">
      <w:bodyDiv w:val="1"/>
      <w:marLeft w:val="0"/>
      <w:marRight w:val="0"/>
      <w:marTop w:val="0"/>
      <w:marBottom w:val="0"/>
      <w:divBdr>
        <w:top w:val="none" w:sz="0" w:space="0" w:color="auto"/>
        <w:left w:val="none" w:sz="0" w:space="0" w:color="auto"/>
        <w:bottom w:val="none" w:sz="0" w:space="0" w:color="auto"/>
        <w:right w:val="none" w:sz="0" w:space="0" w:color="auto"/>
      </w:divBdr>
    </w:div>
    <w:div w:id="1388148135">
      <w:bodyDiv w:val="1"/>
      <w:marLeft w:val="0"/>
      <w:marRight w:val="0"/>
      <w:marTop w:val="0"/>
      <w:marBottom w:val="0"/>
      <w:divBdr>
        <w:top w:val="none" w:sz="0" w:space="0" w:color="auto"/>
        <w:left w:val="none" w:sz="0" w:space="0" w:color="auto"/>
        <w:bottom w:val="none" w:sz="0" w:space="0" w:color="auto"/>
        <w:right w:val="none" w:sz="0" w:space="0" w:color="auto"/>
      </w:divBdr>
    </w:div>
    <w:div w:id="1389958740">
      <w:bodyDiv w:val="1"/>
      <w:marLeft w:val="0"/>
      <w:marRight w:val="0"/>
      <w:marTop w:val="0"/>
      <w:marBottom w:val="0"/>
      <w:divBdr>
        <w:top w:val="none" w:sz="0" w:space="0" w:color="auto"/>
        <w:left w:val="none" w:sz="0" w:space="0" w:color="auto"/>
        <w:bottom w:val="none" w:sz="0" w:space="0" w:color="auto"/>
        <w:right w:val="none" w:sz="0" w:space="0" w:color="auto"/>
      </w:divBdr>
    </w:div>
    <w:div w:id="1411581682">
      <w:bodyDiv w:val="1"/>
      <w:marLeft w:val="0"/>
      <w:marRight w:val="0"/>
      <w:marTop w:val="0"/>
      <w:marBottom w:val="0"/>
      <w:divBdr>
        <w:top w:val="none" w:sz="0" w:space="0" w:color="auto"/>
        <w:left w:val="none" w:sz="0" w:space="0" w:color="auto"/>
        <w:bottom w:val="none" w:sz="0" w:space="0" w:color="auto"/>
        <w:right w:val="none" w:sz="0" w:space="0" w:color="auto"/>
      </w:divBdr>
    </w:div>
    <w:div w:id="1419325434">
      <w:bodyDiv w:val="1"/>
      <w:marLeft w:val="0"/>
      <w:marRight w:val="0"/>
      <w:marTop w:val="0"/>
      <w:marBottom w:val="0"/>
      <w:divBdr>
        <w:top w:val="none" w:sz="0" w:space="0" w:color="auto"/>
        <w:left w:val="none" w:sz="0" w:space="0" w:color="auto"/>
        <w:bottom w:val="none" w:sz="0" w:space="0" w:color="auto"/>
        <w:right w:val="none" w:sz="0" w:space="0" w:color="auto"/>
      </w:divBdr>
      <w:divsChild>
        <w:div w:id="615210329">
          <w:marLeft w:val="0"/>
          <w:marRight w:val="0"/>
          <w:marTop w:val="166"/>
          <w:marBottom w:val="166"/>
          <w:divBdr>
            <w:top w:val="none" w:sz="0" w:space="0" w:color="auto"/>
            <w:left w:val="none" w:sz="0" w:space="0" w:color="auto"/>
            <w:bottom w:val="none" w:sz="0" w:space="0" w:color="auto"/>
            <w:right w:val="none" w:sz="0" w:space="0" w:color="auto"/>
          </w:divBdr>
          <w:divsChild>
            <w:div w:id="109736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415742">
      <w:bodyDiv w:val="1"/>
      <w:marLeft w:val="0"/>
      <w:marRight w:val="0"/>
      <w:marTop w:val="0"/>
      <w:marBottom w:val="0"/>
      <w:divBdr>
        <w:top w:val="none" w:sz="0" w:space="0" w:color="auto"/>
        <w:left w:val="none" w:sz="0" w:space="0" w:color="auto"/>
        <w:bottom w:val="none" w:sz="0" w:space="0" w:color="auto"/>
        <w:right w:val="none" w:sz="0" w:space="0" w:color="auto"/>
      </w:divBdr>
    </w:div>
    <w:div w:id="1490947341">
      <w:bodyDiv w:val="1"/>
      <w:marLeft w:val="0"/>
      <w:marRight w:val="0"/>
      <w:marTop w:val="0"/>
      <w:marBottom w:val="0"/>
      <w:divBdr>
        <w:top w:val="none" w:sz="0" w:space="0" w:color="auto"/>
        <w:left w:val="none" w:sz="0" w:space="0" w:color="auto"/>
        <w:bottom w:val="none" w:sz="0" w:space="0" w:color="auto"/>
        <w:right w:val="none" w:sz="0" w:space="0" w:color="auto"/>
      </w:divBdr>
    </w:div>
    <w:div w:id="1512062711">
      <w:bodyDiv w:val="1"/>
      <w:marLeft w:val="0"/>
      <w:marRight w:val="0"/>
      <w:marTop w:val="0"/>
      <w:marBottom w:val="0"/>
      <w:divBdr>
        <w:top w:val="none" w:sz="0" w:space="0" w:color="auto"/>
        <w:left w:val="none" w:sz="0" w:space="0" w:color="auto"/>
        <w:bottom w:val="none" w:sz="0" w:space="0" w:color="auto"/>
        <w:right w:val="none" w:sz="0" w:space="0" w:color="auto"/>
      </w:divBdr>
    </w:div>
    <w:div w:id="1569457579">
      <w:bodyDiv w:val="1"/>
      <w:marLeft w:val="0"/>
      <w:marRight w:val="0"/>
      <w:marTop w:val="0"/>
      <w:marBottom w:val="0"/>
      <w:divBdr>
        <w:top w:val="none" w:sz="0" w:space="0" w:color="auto"/>
        <w:left w:val="none" w:sz="0" w:space="0" w:color="auto"/>
        <w:bottom w:val="none" w:sz="0" w:space="0" w:color="auto"/>
        <w:right w:val="none" w:sz="0" w:space="0" w:color="auto"/>
      </w:divBdr>
    </w:div>
    <w:div w:id="1641377353">
      <w:bodyDiv w:val="1"/>
      <w:marLeft w:val="0"/>
      <w:marRight w:val="0"/>
      <w:marTop w:val="0"/>
      <w:marBottom w:val="0"/>
      <w:divBdr>
        <w:top w:val="none" w:sz="0" w:space="0" w:color="auto"/>
        <w:left w:val="none" w:sz="0" w:space="0" w:color="auto"/>
        <w:bottom w:val="none" w:sz="0" w:space="0" w:color="auto"/>
        <w:right w:val="none" w:sz="0" w:space="0" w:color="auto"/>
      </w:divBdr>
    </w:div>
    <w:div w:id="1706517771">
      <w:bodyDiv w:val="1"/>
      <w:marLeft w:val="0"/>
      <w:marRight w:val="0"/>
      <w:marTop w:val="0"/>
      <w:marBottom w:val="0"/>
      <w:divBdr>
        <w:top w:val="none" w:sz="0" w:space="0" w:color="auto"/>
        <w:left w:val="none" w:sz="0" w:space="0" w:color="auto"/>
        <w:bottom w:val="none" w:sz="0" w:space="0" w:color="auto"/>
        <w:right w:val="none" w:sz="0" w:space="0" w:color="auto"/>
      </w:divBdr>
      <w:divsChild>
        <w:div w:id="1529024199">
          <w:marLeft w:val="0"/>
          <w:marRight w:val="0"/>
          <w:marTop w:val="0"/>
          <w:marBottom w:val="0"/>
          <w:divBdr>
            <w:top w:val="none" w:sz="0" w:space="0" w:color="auto"/>
            <w:left w:val="none" w:sz="0" w:space="0" w:color="auto"/>
            <w:bottom w:val="none" w:sz="0" w:space="0" w:color="auto"/>
            <w:right w:val="none" w:sz="0" w:space="0" w:color="auto"/>
          </w:divBdr>
          <w:divsChild>
            <w:div w:id="417019046">
              <w:marLeft w:val="0"/>
              <w:marRight w:val="0"/>
              <w:marTop w:val="0"/>
              <w:marBottom w:val="0"/>
              <w:divBdr>
                <w:top w:val="none" w:sz="0" w:space="0" w:color="auto"/>
                <w:left w:val="none" w:sz="0" w:space="0" w:color="auto"/>
                <w:bottom w:val="none" w:sz="0" w:space="0" w:color="auto"/>
                <w:right w:val="none" w:sz="0" w:space="0" w:color="auto"/>
              </w:divBdr>
              <w:divsChild>
                <w:div w:id="185468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8703">
      <w:bodyDiv w:val="1"/>
      <w:marLeft w:val="0"/>
      <w:marRight w:val="0"/>
      <w:marTop w:val="0"/>
      <w:marBottom w:val="0"/>
      <w:divBdr>
        <w:top w:val="none" w:sz="0" w:space="0" w:color="auto"/>
        <w:left w:val="none" w:sz="0" w:space="0" w:color="auto"/>
        <w:bottom w:val="none" w:sz="0" w:space="0" w:color="auto"/>
        <w:right w:val="none" w:sz="0" w:space="0" w:color="auto"/>
      </w:divBdr>
    </w:div>
    <w:div w:id="1801532104">
      <w:bodyDiv w:val="1"/>
      <w:marLeft w:val="0"/>
      <w:marRight w:val="0"/>
      <w:marTop w:val="0"/>
      <w:marBottom w:val="0"/>
      <w:divBdr>
        <w:top w:val="none" w:sz="0" w:space="0" w:color="auto"/>
        <w:left w:val="none" w:sz="0" w:space="0" w:color="auto"/>
        <w:bottom w:val="none" w:sz="0" w:space="0" w:color="auto"/>
        <w:right w:val="none" w:sz="0" w:space="0" w:color="auto"/>
      </w:divBdr>
    </w:div>
    <w:div w:id="1809204824">
      <w:bodyDiv w:val="1"/>
      <w:marLeft w:val="0"/>
      <w:marRight w:val="0"/>
      <w:marTop w:val="0"/>
      <w:marBottom w:val="0"/>
      <w:divBdr>
        <w:top w:val="none" w:sz="0" w:space="0" w:color="auto"/>
        <w:left w:val="none" w:sz="0" w:space="0" w:color="auto"/>
        <w:bottom w:val="none" w:sz="0" w:space="0" w:color="auto"/>
        <w:right w:val="none" w:sz="0" w:space="0" w:color="auto"/>
      </w:divBdr>
    </w:div>
    <w:div w:id="1971862537">
      <w:bodyDiv w:val="1"/>
      <w:marLeft w:val="0"/>
      <w:marRight w:val="0"/>
      <w:marTop w:val="0"/>
      <w:marBottom w:val="0"/>
      <w:divBdr>
        <w:top w:val="none" w:sz="0" w:space="0" w:color="auto"/>
        <w:left w:val="none" w:sz="0" w:space="0" w:color="auto"/>
        <w:bottom w:val="none" w:sz="0" w:space="0" w:color="auto"/>
        <w:right w:val="none" w:sz="0" w:space="0" w:color="auto"/>
      </w:divBdr>
    </w:div>
    <w:div w:id="2054428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11.tiff"/><Relationship Id="rId42" Type="http://schemas.openxmlformats.org/officeDocument/2006/relationships/image" Target="media/image29.jpeg"/><Relationship Id="rId47" Type="http://schemas.openxmlformats.org/officeDocument/2006/relationships/image" Target="media/image34.jpg"/><Relationship Id="rId63" Type="http://schemas.openxmlformats.org/officeDocument/2006/relationships/image" Target="media/image50.jpeg"/><Relationship Id="rId68" Type="http://schemas.openxmlformats.org/officeDocument/2006/relationships/fontTable" Target="fontTable.xml"/><Relationship Id="rId7" Type="http://schemas.openxmlformats.org/officeDocument/2006/relationships/endnotes" Target="endnotes.xml"/><Relationship Id="rId71"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jpg"/><Relationship Id="rId11" Type="http://schemas.openxmlformats.org/officeDocument/2006/relationships/image" Target="media/image2.png"/><Relationship Id="rId24" Type="http://schemas.openxmlformats.org/officeDocument/2006/relationships/hyperlink" Target="file:///C:\Users\spori\Desktop\dizerta&#269;ka\Z&#352;%20dizertace_20_03_2021_V.docx"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tiff"/><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38.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hyperlink" Target="https://onkologickarevue.cz/cs/prognosticke-a-prediktivni-faktory-u-pacientu-s-karcinomem-prsu" TargetMode="Externa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0.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file:///C:\Users\spori\Desktop\dizerta&#269;ka\Z&#352;%20dizertace_20_03_2021_V.docx" TargetMode="External"/><Relationship Id="rId28" Type="http://schemas.openxmlformats.org/officeDocument/2006/relationships/image" Target="media/image15.jpg"/><Relationship Id="rId36" Type="http://schemas.openxmlformats.org/officeDocument/2006/relationships/image" Target="media/image23.jpeg"/><Relationship Id="rId49" Type="http://schemas.openxmlformats.org/officeDocument/2006/relationships/image" Target="media/image36.jpg"/><Relationship Id="rId57" Type="http://schemas.openxmlformats.org/officeDocument/2006/relationships/image" Target="media/image44.jpeg"/><Relationship Id="rId10" Type="http://schemas.openxmlformats.org/officeDocument/2006/relationships/footer" Target="footer2.xml"/><Relationship Id="rId31" Type="http://schemas.openxmlformats.org/officeDocument/2006/relationships/image" Target="media/image18.jp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8.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g"/><Relationship Id="rId55" Type="http://schemas.openxmlformats.org/officeDocument/2006/relationships/image" Target="media/image42.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C837CE-B7B2-40E8-972A-87D72F134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122</Pages>
  <Words>220057</Words>
  <Characters>1298340</Characters>
  <Application>Microsoft Office Word</Application>
  <DocSecurity>0</DocSecurity>
  <Lines>10819</Lines>
  <Paragraphs>3030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1515367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dc:creator>
  <cp:keywords/>
  <dc:description/>
  <cp:lastModifiedBy>Zuzana Šporiková</cp:lastModifiedBy>
  <cp:revision>4</cp:revision>
  <cp:lastPrinted>2021-12-14T09:56:00Z</cp:lastPrinted>
  <dcterms:created xsi:type="dcterms:W3CDTF">2021-11-25T13:05:00Z</dcterms:created>
  <dcterms:modified xsi:type="dcterms:W3CDTF">2021-12-14T09:56:00Z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http://www.zotero.org/styles/sage-vancouver</vt:lpwstr>
  </property>
  <property fmtid="{D5CDD505-2E9C-101B-9397-08002B2CF9AE}" pid="4" name="Mendeley Unique User Id_1">
    <vt:lpwstr>d50f32cc-a05a-310f-8a62-1647274a9f8d</vt:lpwstr>
  </property>
  <property fmtid="{D5CDD505-2E9C-101B-9397-08002B2CF9AE}" pid="5" name="Mendeley Recent Style Id 0_1">
    <vt:lpwstr>http://www.zotero.org/styles/harvard-cite-them-right</vt:lpwstr>
  </property>
  <property fmtid="{D5CDD505-2E9C-101B-9397-08002B2CF9AE}" pid="6" name="Mendeley Recent Style Name 0_1">
    <vt:lpwstr>Cite Them Right 10th edition - Harvard</vt:lpwstr>
  </property>
  <property fmtid="{D5CDD505-2E9C-101B-9397-08002B2CF9AE}" pid="7" name="Mendeley Recent Style Id 1_1">
    <vt:lpwstr>http://www.zotero.org/styles/diagnostics</vt:lpwstr>
  </property>
  <property fmtid="{D5CDD505-2E9C-101B-9397-08002B2CF9AE}" pid="8" name="Mendeley Recent Style Name 1_1">
    <vt:lpwstr>Diagnostics</vt:lpwstr>
  </property>
  <property fmtid="{D5CDD505-2E9C-101B-9397-08002B2CF9AE}" pid="9" name="Mendeley Recent Style Id 2_1">
    <vt:lpwstr>http://www.zotero.org/styles/experimental-and-molecular-pathology</vt:lpwstr>
  </property>
  <property fmtid="{D5CDD505-2E9C-101B-9397-08002B2CF9AE}" pid="10" name="Mendeley Recent Style Name 2_1">
    <vt:lpwstr>Experimental and Molecular Pathology</vt:lpwstr>
  </property>
  <property fmtid="{D5CDD505-2E9C-101B-9397-08002B2CF9AE}" pid="11" name="Mendeley Recent Style Id 3_1">
    <vt:lpwstr>http://www.zotero.org/styles/ieee</vt:lpwstr>
  </property>
  <property fmtid="{D5CDD505-2E9C-101B-9397-08002B2CF9AE}" pid="12" name="Mendeley Recent Style Name 3_1">
    <vt:lpwstr>IEEE</vt:lpwstr>
  </property>
  <property fmtid="{D5CDD505-2E9C-101B-9397-08002B2CF9AE}" pid="13" name="Mendeley Recent Style Id 4_1">
    <vt:lpwstr>http://www.zotero.org/styles/journal-of-applied-biomedicine</vt:lpwstr>
  </property>
  <property fmtid="{D5CDD505-2E9C-101B-9397-08002B2CF9AE}" pid="14" name="Mendeley Recent Style Name 4_1">
    <vt:lpwstr>Journal of Applied Biomedicine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http://www.zotero.org/styles/sage-vancouver</vt:lpwstr>
  </property>
  <property fmtid="{D5CDD505-2E9C-101B-9397-08002B2CF9AE}" pid="20" name="Mendeley Recent Style Name 7_1">
    <vt:lpwstr>SAGE - Vancouver</vt:lpwstr>
  </property>
  <property fmtid="{D5CDD505-2E9C-101B-9397-08002B2CF9AE}" pid="21" name="Mendeley Recent Style Id 8_1">
    <vt:lpwstr>http://www.zotero.org/styles/springer-vancouver</vt:lpwstr>
  </property>
  <property fmtid="{D5CDD505-2E9C-101B-9397-08002B2CF9AE}" pid="22" name="Mendeley Recent Style Name 8_1">
    <vt:lpwstr>Springer - Vancouver</vt:lpwstr>
  </property>
  <property fmtid="{D5CDD505-2E9C-101B-9397-08002B2CF9AE}" pid="23" name="Mendeley Recent Style Id 9_1">
    <vt:lpwstr>http://csl.mendeley.com/styles/489709341/vancouver</vt:lpwstr>
  </property>
  <property fmtid="{D5CDD505-2E9C-101B-9397-08002B2CF9AE}" pid="24" name="Mendeley Recent Style Name 9_1">
    <vt:lpwstr>Vancouver - current oncol</vt:lpwstr>
  </property>
</Properties>
</file>