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AA" w:rsidRDefault="004E4BAA" w:rsidP="002E5D4E">
      <w:pPr>
        <w:pStyle w:val="Bezmezer"/>
        <w:jc w:val="center"/>
        <w:rPr>
          <w:b w:val="0"/>
          <w:sz w:val="28"/>
          <w:szCs w:val="28"/>
        </w:rPr>
      </w:pPr>
    </w:p>
    <w:p w:rsidR="002E5D4E" w:rsidRPr="00C13EF0" w:rsidRDefault="002E5D4E" w:rsidP="00C13EF0">
      <w:pPr>
        <w:pStyle w:val="Bezmezer"/>
        <w:jc w:val="center"/>
        <w:rPr>
          <w:sz w:val="28"/>
          <w:szCs w:val="28"/>
        </w:rPr>
      </w:pPr>
      <w:r w:rsidRPr="00C13EF0">
        <w:rPr>
          <w:sz w:val="28"/>
          <w:szCs w:val="28"/>
        </w:rPr>
        <w:t>Univerzita Palackého v Olomouci</w:t>
      </w:r>
    </w:p>
    <w:p w:rsidR="002E5D4E" w:rsidRPr="00C13EF0" w:rsidRDefault="002E5D4E" w:rsidP="00C13EF0">
      <w:pPr>
        <w:pStyle w:val="Bezmezer"/>
        <w:jc w:val="center"/>
        <w:rPr>
          <w:sz w:val="28"/>
          <w:szCs w:val="28"/>
        </w:rPr>
      </w:pPr>
      <w:r w:rsidRPr="00C13EF0">
        <w:rPr>
          <w:sz w:val="28"/>
          <w:szCs w:val="28"/>
        </w:rPr>
        <w:t>Právnická fakulta</w:t>
      </w:r>
    </w:p>
    <w:p w:rsidR="002E5D4E" w:rsidRPr="00E87F88" w:rsidRDefault="002E5D4E" w:rsidP="002E5D4E">
      <w:pPr>
        <w:jc w:val="center"/>
        <w:rPr>
          <w:szCs w:val="24"/>
        </w:rPr>
      </w:pPr>
    </w:p>
    <w:p w:rsidR="002E5D4E" w:rsidRPr="00E87F88" w:rsidRDefault="002E5D4E" w:rsidP="002E5D4E">
      <w:pPr>
        <w:jc w:val="center"/>
        <w:rPr>
          <w:szCs w:val="24"/>
        </w:rPr>
      </w:pPr>
    </w:p>
    <w:p w:rsidR="002E5D4E" w:rsidRPr="00E87F88" w:rsidRDefault="002E5D4E" w:rsidP="002E5D4E">
      <w:pPr>
        <w:rPr>
          <w:szCs w:val="24"/>
        </w:rPr>
      </w:pPr>
    </w:p>
    <w:p w:rsidR="002E5D4E" w:rsidRPr="00E87F88" w:rsidRDefault="002E5D4E" w:rsidP="002E5D4E">
      <w:pPr>
        <w:jc w:val="center"/>
        <w:rPr>
          <w:szCs w:val="24"/>
        </w:rPr>
      </w:pPr>
    </w:p>
    <w:p w:rsidR="002E5D4E" w:rsidRPr="00625B2F" w:rsidRDefault="002E5D4E" w:rsidP="002E5D4E">
      <w:pPr>
        <w:pStyle w:val="Nadpis3"/>
        <w:jc w:val="center"/>
        <w:rPr>
          <w:b w:val="0"/>
        </w:rPr>
      </w:pPr>
    </w:p>
    <w:p w:rsidR="002E5D4E" w:rsidRPr="000C41E0" w:rsidRDefault="00424A24" w:rsidP="000C41E0">
      <w:pPr>
        <w:jc w:val="center"/>
        <w:rPr>
          <w:b/>
          <w:sz w:val="28"/>
        </w:rPr>
      </w:pPr>
      <w:r w:rsidRPr="000C41E0">
        <w:rPr>
          <w:b/>
          <w:sz w:val="28"/>
        </w:rPr>
        <w:t>Michal Polák</w:t>
      </w:r>
    </w:p>
    <w:p w:rsidR="002E5D4E" w:rsidRPr="004E4BAA" w:rsidRDefault="002E5D4E" w:rsidP="002E5D4E">
      <w:pPr>
        <w:autoSpaceDE w:val="0"/>
        <w:autoSpaceDN w:val="0"/>
        <w:adjustRightInd w:val="0"/>
        <w:spacing w:after="0" w:line="240" w:lineRule="auto"/>
        <w:jc w:val="center"/>
        <w:rPr>
          <w:sz w:val="28"/>
          <w:szCs w:val="28"/>
        </w:rPr>
      </w:pPr>
    </w:p>
    <w:p w:rsidR="002E5D4E" w:rsidRPr="00C13EF0" w:rsidRDefault="00424A24" w:rsidP="002E5D4E">
      <w:pPr>
        <w:pStyle w:val="Bezmezer"/>
        <w:jc w:val="center"/>
        <w:rPr>
          <w:sz w:val="36"/>
          <w:szCs w:val="36"/>
        </w:rPr>
      </w:pPr>
      <w:r w:rsidRPr="00C13EF0">
        <w:rPr>
          <w:sz w:val="36"/>
          <w:szCs w:val="36"/>
        </w:rPr>
        <w:t>Problematické aspekty dědění ze závěti</w:t>
      </w:r>
    </w:p>
    <w:p w:rsidR="004E4BAA" w:rsidRPr="004E4BAA" w:rsidRDefault="004E4BAA" w:rsidP="00CD0DD7">
      <w:pPr>
        <w:pStyle w:val="Nadpis1"/>
      </w:pPr>
    </w:p>
    <w:p w:rsidR="002E5D4E" w:rsidRPr="000C41E0" w:rsidRDefault="002E5D4E" w:rsidP="000C41E0">
      <w:pPr>
        <w:spacing w:after="0"/>
        <w:jc w:val="center"/>
        <w:rPr>
          <w:b/>
          <w:sz w:val="28"/>
          <w:szCs w:val="28"/>
        </w:rPr>
      </w:pPr>
      <w:r w:rsidRPr="000C41E0">
        <w:rPr>
          <w:b/>
          <w:sz w:val="28"/>
          <w:szCs w:val="28"/>
        </w:rPr>
        <w:t>Diplomová práce</w:t>
      </w:r>
    </w:p>
    <w:p w:rsidR="002E5D4E" w:rsidRPr="00E87F88" w:rsidRDefault="002E5D4E" w:rsidP="002E5D4E">
      <w:pPr>
        <w:jc w:val="center"/>
        <w:rPr>
          <w:szCs w:val="24"/>
        </w:rPr>
      </w:pPr>
    </w:p>
    <w:p w:rsidR="002E5D4E" w:rsidRPr="00E87F88" w:rsidRDefault="002E5D4E" w:rsidP="002E5D4E">
      <w:pPr>
        <w:jc w:val="center"/>
        <w:rPr>
          <w:szCs w:val="24"/>
        </w:rPr>
      </w:pPr>
    </w:p>
    <w:p w:rsidR="002E5D4E" w:rsidRPr="00E87F88" w:rsidRDefault="002E5D4E" w:rsidP="002E5D4E">
      <w:pPr>
        <w:jc w:val="center"/>
        <w:rPr>
          <w:szCs w:val="24"/>
        </w:rPr>
      </w:pPr>
    </w:p>
    <w:p w:rsidR="002E5D4E" w:rsidRPr="00E87F88" w:rsidRDefault="002E5D4E" w:rsidP="002E5D4E">
      <w:pPr>
        <w:jc w:val="center"/>
        <w:rPr>
          <w:szCs w:val="24"/>
        </w:rPr>
      </w:pPr>
    </w:p>
    <w:p w:rsidR="002E5D4E" w:rsidRPr="00E87F88" w:rsidRDefault="002E5D4E" w:rsidP="002E5D4E">
      <w:pPr>
        <w:jc w:val="center"/>
        <w:rPr>
          <w:szCs w:val="24"/>
        </w:rPr>
      </w:pPr>
    </w:p>
    <w:p w:rsidR="002E5D4E" w:rsidRPr="00E87F88" w:rsidRDefault="002E5D4E" w:rsidP="002E5D4E">
      <w:pPr>
        <w:jc w:val="center"/>
        <w:rPr>
          <w:szCs w:val="24"/>
        </w:rPr>
      </w:pPr>
    </w:p>
    <w:p w:rsidR="002E5D4E" w:rsidRDefault="002E5D4E" w:rsidP="002E5D4E">
      <w:pPr>
        <w:jc w:val="center"/>
        <w:rPr>
          <w:szCs w:val="24"/>
        </w:rPr>
      </w:pPr>
    </w:p>
    <w:p w:rsidR="002E5D4E" w:rsidRDefault="002E5D4E" w:rsidP="002E5D4E">
      <w:pPr>
        <w:jc w:val="center"/>
        <w:rPr>
          <w:szCs w:val="24"/>
        </w:rPr>
      </w:pPr>
    </w:p>
    <w:p w:rsidR="002E5D4E" w:rsidRPr="00E87F88" w:rsidRDefault="002E5D4E" w:rsidP="002E5D4E">
      <w:pPr>
        <w:jc w:val="center"/>
        <w:rPr>
          <w:szCs w:val="24"/>
        </w:rPr>
      </w:pPr>
    </w:p>
    <w:p w:rsidR="002E5D4E" w:rsidRPr="004E4BAA" w:rsidRDefault="009E5D78" w:rsidP="002E5D4E">
      <w:pPr>
        <w:pStyle w:val="Bezmezer"/>
        <w:jc w:val="center"/>
        <w:rPr>
          <w:sz w:val="28"/>
          <w:szCs w:val="28"/>
        </w:rPr>
      </w:pPr>
      <w:r w:rsidRPr="004E4BAA">
        <w:rPr>
          <w:sz w:val="28"/>
          <w:szCs w:val="28"/>
        </w:rPr>
        <w:t>Olomouc 2015</w:t>
      </w: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2E5D4E" w:rsidRDefault="002E5D4E" w:rsidP="005E1F48">
      <w:pPr>
        <w:spacing w:after="0"/>
        <w:rPr>
          <w:b/>
          <w:sz w:val="32"/>
          <w:szCs w:val="32"/>
        </w:rPr>
      </w:pPr>
    </w:p>
    <w:p w:rsidR="00424A24" w:rsidRDefault="00424A24" w:rsidP="005E1F48">
      <w:pPr>
        <w:spacing w:after="0"/>
        <w:rPr>
          <w:b/>
          <w:sz w:val="32"/>
          <w:szCs w:val="32"/>
        </w:rPr>
      </w:pPr>
    </w:p>
    <w:p w:rsidR="004E4BAA" w:rsidRDefault="004E4BAA" w:rsidP="00AB66EF">
      <w:pPr>
        <w:spacing w:after="0"/>
        <w:ind w:firstLine="708"/>
        <w:rPr>
          <w:szCs w:val="24"/>
        </w:rPr>
      </w:pPr>
    </w:p>
    <w:p w:rsidR="004E4BAA" w:rsidRDefault="004E4BAA" w:rsidP="00AB66EF">
      <w:pPr>
        <w:spacing w:after="0"/>
        <w:ind w:firstLine="708"/>
        <w:rPr>
          <w:szCs w:val="24"/>
        </w:rPr>
      </w:pPr>
    </w:p>
    <w:p w:rsidR="00424A24" w:rsidRPr="00575393" w:rsidRDefault="00424A24" w:rsidP="004E4BAA">
      <w:pPr>
        <w:spacing w:after="0"/>
        <w:ind w:firstLine="567"/>
        <w:rPr>
          <w:b/>
          <w:szCs w:val="24"/>
        </w:rPr>
      </w:pPr>
      <w:r w:rsidRPr="00575393">
        <w:rPr>
          <w:szCs w:val="24"/>
        </w:rPr>
        <w:t>Prohlašuji, že jsem diplomovou práci na téma „</w:t>
      </w:r>
      <w:r>
        <w:rPr>
          <w:i/>
          <w:szCs w:val="24"/>
        </w:rPr>
        <w:t>Problematické aspekty dědění ze závěti</w:t>
      </w:r>
      <w:r>
        <w:rPr>
          <w:szCs w:val="24"/>
        </w:rPr>
        <w:t>“ vypracoval</w:t>
      </w:r>
      <w:r w:rsidR="0048160E">
        <w:rPr>
          <w:szCs w:val="24"/>
        </w:rPr>
        <w:t xml:space="preserve"> samostatně a citoval</w:t>
      </w:r>
      <w:r w:rsidRPr="00575393">
        <w:rPr>
          <w:szCs w:val="24"/>
        </w:rPr>
        <w:t xml:space="preserve"> jsem všechny použité zdroje.</w:t>
      </w:r>
    </w:p>
    <w:p w:rsidR="005A2D18" w:rsidRDefault="005A2D18" w:rsidP="00AB66EF">
      <w:pPr>
        <w:spacing w:after="0"/>
        <w:rPr>
          <w:szCs w:val="24"/>
        </w:rPr>
      </w:pPr>
    </w:p>
    <w:p w:rsidR="00424A24" w:rsidRPr="00575393" w:rsidRDefault="00D32419" w:rsidP="003A3A3C">
      <w:pPr>
        <w:tabs>
          <w:tab w:val="center" w:pos="6804"/>
        </w:tabs>
        <w:spacing w:after="0"/>
        <w:rPr>
          <w:b/>
          <w:szCs w:val="24"/>
        </w:rPr>
      </w:pPr>
      <w:r>
        <w:rPr>
          <w:szCs w:val="24"/>
        </w:rPr>
        <w:t xml:space="preserve">V Ostravě dne </w:t>
      </w:r>
      <w:proofErr w:type="gramStart"/>
      <w:r w:rsidR="00031DDD">
        <w:rPr>
          <w:szCs w:val="24"/>
        </w:rPr>
        <w:t>30.11.2015</w:t>
      </w:r>
      <w:proofErr w:type="gramEnd"/>
      <w:r w:rsidR="003A3A3C">
        <w:rPr>
          <w:szCs w:val="24"/>
        </w:rPr>
        <w:tab/>
      </w:r>
      <w:r w:rsidR="00E12EB3">
        <w:rPr>
          <w:szCs w:val="24"/>
        </w:rPr>
        <w:t>Michal Polák</w:t>
      </w:r>
      <w:r w:rsidR="005A2D18">
        <w:rPr>
          <w:szCs w:val="24"/>
        </w:rPr>
        <w:t xml:space="preserve"> </w:t>
      </w:r>
      <w:r w:rsidR="00E12EB3">
        <w:rPr>
          <w:szCs w:val="24"/>
        </w:rPr>
        <w:t>…………………</w:t>
      </w:r>
      <w:r w:rsidR="00A235BF">
        <w:rPr>
          <w:szCs w:val="24"/>
        </w:rPr>
        <w:t>..</w:t>
      </w:r>
    </w:p>
    <w:p w:rsidR="00424A24" w:rsidRDefault="00424A24" w:rsidP="00AB66EF">
      <w:pPr>
        <w:pStyle w:val="bodytext"/>
        <w:spacing w:after="0" w:afterAutospacing="0"/>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785A65" w:rsidRDefault="00785A65"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424A24" w:rsidRDefault="00424A24" w:rsidP="00424A24">
      <w:pPr>
        <w:ind w:firstLine="708"/>
        <w:rPr>
          <w:szCs w:val="24"/>
        </w:rPr>
      </w:pPr>
    </w:p>
    <w:p w:rsidR="00A4172C" w:rsidRDefault="00A4172C" w:rsidP="00424A24">
      <w:pPr>
        <w:ind w:firstLine="708"/>
        <w:rPr>
          <w:szCs w:val="24"/>
        </w:rPr>
      </w:pPr>
    </w:p>
    <w:p w:rsidR="00603B5C" w:rsidRDefault="00603B5C" w:rsidP="00424A24">
      <w:pPr>
        <w:ind w:firstLine="708"/>
        <w:rPr>
          <w:szCs w:val="24"/>
        </w:rPr>
      </w:pPr>
    </w:p>
    <w:p w:rsidR="00BA0DC9" w:rsidRDefault="00BA0DC9" w:rsidP="003D7EBE">
      <w:pPr>
        <w:pStyle w:val="DiplTEXT"/>
      </w:pPr>
    </w:p>
    <w:p w:rsidR="00D4237E" w:rsidRDefault="00D4237E" w:rsidP="00D4237E">
      <w:pPr>
        <w:spacing w:after="0"/>
        <w:ind w:firstLine="567"/>
        <w:rPr>
          <w:szCs w:val="24"/>
        </w:rPr>
      </w:pPr>
    </w:p>
    <w:p w:rsidR="00D4237E" w:rsidRDefault="00D4237E" w:rsidP="00D4237E">
      <w:pPr>
        <w:spacing w:after="0"/>
        <w:ind w:firstLine="567"/>
        <w:rPr>
          <w:szCs w:val="24"/>
        </w:rPr>
      </w:pPr>
    </w:p>
    <w:p w:rsidR="003D7EBE" w:rsidRDefault="003D7EBE" w:rsidP="00D4237E">
      <w:pPr>
        <w:spacing w:after="0"/>
        <w:ind w:firstLine="567"/>
        <w:rPr>
          <w:szCs w:val="24"/>
        </w:rPr>
      </w:pPr>
      <w:r w:rsidRPr="003D7EBE">
        <w:rPr>
          <w:szCs w:val="24"/>
        </w:rPr>
        <w:t xml:space="preserve">Děkuji vedoucí mé diplomové práce JUDr. Blance Vítové, Ph.D., </w:t>
      </w:r>
      <w:proofErr w:type="gramStart"/>
      <w:r w:rsidR="00D4237E" w:rsidRPr="00D4237E">
        <w:rPr>
          <w:szCs w:val="24"/>
        </w:rPr>
        <w:t xml:space="preserve">LL.M, </w:t>
      </w:r>
      <w:r w:rsidR="00D4237E">
        <w:rPr>
          <w:szCs w:val="24"/>
        </w:rPr>
        <w:t>za</w:t>
      </w:r>
      <w:proofErr w:type="gramEnd"/>
      <w:r w:rsidR="00D4237E">
        <w:rPr>
          <w:szCs w:val="24"/>
        </w:rPr>
        <w:t xml:space="preserve"> odborné vedení, shovívavost a čas věnovaný v rámci konzultací</w:t>
      </w:r>
      <w:r w:rsidR="000378D6">
        <w:rPr>
          <w:szCs w:val="24"/>
        </w:rPr>
        <w:t>.</w:t>
      </w:r>
    </w:p>
    <w:p w:rsidR="00785A65" w:rsidRDefault="00785A65">
      <w:pPr>
        <w:spacing w:after="0" w:line="240" w:lineRule="auto"/>
        <w:jc w:val="left"/>
        <w:rPr>
          <w:b/>
          <w:sz w:val="32"/>
        </w:rPr>
      </w:pPr>
      <w:bookmarkStart w:id="0" w:name="_Toc436779455"/>
      <w:r>
        <w:rPr>
          <w:b/>
          <w:sz w:val="32"/>
        </w:rPr>
        <w:br w:type="page"/>
      </w:r>
    </w:p>
    <w:p w:rsidR="000378D6" w:rsidRPr="00B977F5" w:rsidRDefault="000378D6" w:rsidP="007C61AE">
      <w:pPr>
        <w:spacing w:after="0"/>
        <w:rPr>
          <w:b/>
          <w:sz w:val="48"/>
          <w:szCs w:val="32"/>
        </w:rPr>
      </w:pPr>
      <w:r w:rsidRPr="00B977F5">
        <w:rPr>
          <w:b/>
          <w:sz w:val="32"/>
        </w:rPr>
        <w:lastRenderedPageBreak/>
        <w:t>Obsah</w:t>
      </w:r>
      <w:bookmarkEnd w:id="0"/>
    </w:p>
    <w:bookmarkStart w:id="1" w:name="_Toc436779456"/>
    <w:p w:rsidR="0010104E" w:rsidRDefault="00A308B8">
      <w:pPr>
        <w:pStyle w:val="Obsah1"/>
        <w:rPr>
          <w:rFonts w:asciiTheme="minorHAnsi" w:eastAsiaTheme="minorEastAsia" w:hAnsiTheme="minorHAnsi" w:cstheme="minorBidi"/>
          <w:b w:val="0"/>
          <w:sz w:val="22"/>
          <w:lang w:eastAsia="cs-CZ"/>
        </w:rPr>
      </w:pPr>
      <w:r>
        <w:rPr>
          <w:b w:val="0"/>
          <w:bCs/>
        </w:rPr>
        <w:fldChar w:fldCharType="begin"/>
      </w:r>
      <w:r>
        <w:rPr>
          <w:b w:val="0"/>
          <w:bCs/>
        </w:rPr>
        <w:instrText xml:space="preserve"> TOC \o "1-3" \h \z \u </w:instrText>
      </w:r>
      <w:r>
        <w:rPr>
          <w:b w:val="0"/>
          <w:bCs/>
        </w:rPr>
        <w:fldChar w:fldCharType="separate"/>
      </w:r>
      <w:hyperlink w:anchor="_Toc437225050" w:history="1">
        <w:r w:rsidR="0010104E" w:rsidRPr="00F24C2F">
          <w:rPr>
            <w:rStyle w:val="Hypertextovodkaz"/>
          </w:rPr>
          <w:t>Seznam zkratek</w:t>
        </w:r>
        <w:r w:rsidR="0010104E">
          <w:rPr>
            <w:webHidden/>
          </w:rPr>
          <w:tab/>
        </w:r>
        <w:r w:rsidR="0010104E">
          <w:rPr>
            <w:webHidden/>
          </w:rPr>
          <w:fldChar w:fldCharType="begin"/>
        </w:r>
        <w:r w:rsidR="0010104E">
          <w:rPr>
            <w:webHidden/>
          </w:rPr>
          <w:instrText xml:space="preserve"> PAGEREF _Toc437225050 \h </w:instrText>
        </w:r>
        <w:r w:rsidR="0010104E">
          <w:rPr>
            <w:webHidden/>
          </w:rPr>
        </w:r>
        <w:r w:rsidR="0010104E">
          <w:rPr>
            <w:webHidden/>
          </w:rPr>
          <w:fldChar w:fldCharType="separate"/>
        </w:r>
        <w:r w:rsidR="006E0076">
          <w:rPr>
            <w:webHidden/>
          </w:rPr>
          <w:t>6</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51" w:history="1">
        <w:r w:rsidR="0010104E" w:rsidRPr="00F24C2F">
          <w:rPr>
            <w:rStyle w:val="Hypertextovodkaz"/>
          </w:rPr>
          <w:t>Úvod</w:t>
        </w:r>
        <w:r w:rsidR="0010104E">
          <w:rPr>
            <w:webHidden/>
          </w:rPr>
          <w:tab/>
        </w:r>
        <w:r w:rsidR="0010104E">
          <w:rPr>
            <w:webHidden/>
          </w:rPr>
          <w:fldChar w:fldCharType="begin"/>
        </w:r>
        <w:r w:rsidR="0010104E">
          <w:rPr>
            <w:webHidden/>
          </w:rPr>
          <w:instrText xml:space="preserve"> PAGEREF _Toc437225051 \h </w:instrText>
        </w:r>
        <w:r w:rsidR="0010104E">
          <w:rPr>
            <w:webHidden/>
          </w:rPr>
        </w:r>
        <w:r w:rsidR="0010104E">
          <w:rPr>
            <w:webHidden/>
          </w:rPr>
          <w:fldChar w:fldCharType="separate"/>
        </w:r>
        <w:r w:rsidR="006E0076">
          <w:rPr>
            <w:webHidden/>
          </w:rPr>
          <w:t>8</w:t>
        </w:r>
        <w:r w:rsidR="0010104E">
          <w:rPr>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52" w:history="1">
        <w:r w:rsidR="0010104E" w:rsidRPr="00F24C2F">
          <w:rPr>
            <w:rStyle w:val="Hypertextovodkaz"/>
          </w:rPr>
          <w:t>1</w:t>
        </w:r>
        <w:r w:rsidR="0010104E">
          <w:rPr>
            <w:rFonts w:asciiTheme="minorHAnsi" w:eastAsiaTheme="minorEastAsia" w:hAnsiTheme="minorHAnsi" w:cstheme="minorBidi"/>
            <w:b w:val="0"/>
            <w:sz w:val="22"/>
            <w:lang w:eastAsia="cs-CZ"/>
          </w:rPr>
          <w:tab/>
        </w:r>
        <w:r w:rsidR="0010104E" w:rsidRPr="00F24C2F">
          <w:rPr>
            <w:rStyle w:val="Hypertextovodkaz"/>
          </w:rPr>
          <w:t>Obecné vymezení dědění ze závěti</w:t>
        </w:r>
        <w:r w:rsidR="0010104E">
          <w:rPr>
            <w:webHidden/>
          </w:rPr>
          <w:tab/>
        </w:r>
        <w:r w:rsidR="0010104E">
          <w:rPr>
            <w:webHidden/>
          </w:rPr>
          <w:fldChar w:fldCharType="begin"/>
        </w:r>
        <w:r w:rsidR="0010104E">
          <w:rPr>
            <w:webHidden/>
          </w:rPr>
          <w:instrText xml:space="preserve"> PAGEREF _Toc437225052 \h </w:instrText>
        </w:r>
        <w:r w:rsidR="0010104E">
          <w:rPr>
            <w:webHidden/>
          </w:rPr>
        </w:r>
        <w:r w:rsidR="0010104E">
          <w:rPr>
            <w:webHidden/>
          </w:rPr>
          <w:fldChar w:fldCharType="separate"/>
        </w:r>
        <w:r w:rsidR="006E0076">
          <w:rPr>
            <w:webHidden/>
          </w:rPr>
          <w:t>11</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53" w:history="1">
        <w:r w:rsidR="0010104E" w:rsidRPr="00F24C2F">
          <w:rPr>
            <w:rStyle w:val="Hypertextovodkaz"/>
            <w:noProof/>
          </w:rPr>
          <w:t>1.1</w:t>
        </w:r>
        <w:r w:rsidR="0010104E">
          <w:rPr>
            <w:rFonts w:asciiTheme="minorHAnsi" w:eastAsiaTheme="minorEastAsia" w:hAnsiTheme="minorHAnsi" w:cstheme="minorBidi"/>
            <w:noProof/>
            <w:sz w:val="22"/>
            <w:lang w:eastAsia="cs-CZ"/>
          </w:rPr>
          <w:tab/>
        </w:r>
        <w:r w:rsidR="0010104E" w:rsidRPr="00F24C2F">
          <w:rPr>
            <w:rStyle w:val="Hypertextovodkaz"/>
            <w:noProof/>
          </w:rPr>
          <w:t>Pojem závěti</w:t>
        </w:r>
        <w:r w:rsidR="0010104E">
          <w:rPr>
            <w:noProof/>
            <w:webHidden/>
          </w:rPr>
          <w:tab/>
        </w:r>
        <w:r w:rsidR="0010104E">
          <w:rPr>
            <w:noProof/>
            <w:webHidden/>
          </w:rPr>
          <w:fldChar w:fldCharType="begin"/>
        </w:r>
        <w:r w:rsidR="0010104E">
          <w:rPr>
            <w:noProof/>
            <w:webHidden/>
          </w:rPr>
          <w:instrText xml:space="preserve"> PAGEREF _Toc437225053 \h </w:instrText>
        </w:r>
        <w:r w:rsidR="0010104E">
          <w:rPr>
            <w:noProof/>
            <w:webHidden/>
          </w:rPr>
        </w:r>
        <w:r w:rsidR="0010104E">
          <w:rPr>
            <w:noProof/>
            <w:webHidden/>
          </w:rPr>
          <w:fldChar w:fldCharType="separate"/>
        </w:r>
        <w:r w:rsidR="006E0076">
          <w:rPr>
            <w:noProof/>
            <w:webHidden/>
          </w:rPr>
          <w:t>11</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54" w:history="1">
        <w:r w:rsidR="0010104E" w:rsidRPr="00F24C2F">
          <w:rPr>
            <w:rStyle w:val="Hypertextovodkaz"/>
            <w:noProof/>
          </w:rPr>
          <w:t>1.2</w:t>
        </w:r>
        <w:r w:rsidR="0010104E">
          <w:rPr>
            <w:rFonts w:asciiTheme="minorHAnsi" w:eastAsiaTheme="minorEastAsia" w:hAnsiTheme="minorHAnsi" w:cstheme="minorBidi"/>
            <w:noProof/>
            <w:sz w:val="22"/>
            <w:lang w:eastAsia="cs-CZ"/>
          </w:rPr>
          <w:tab/>
        </w:r>
        <w:r w:rsidR="0010104E" w:rsidRPr="00F24C2F">
          <w:rPr>
            <w:rStyle w:val="Hypertextovodkaz"/>
            <w:noProof/>
          </w:rPr>
          <w:t>Podmínky testamentární dědické posloupnosti</w:t>
        </w:r>
        <w:r w:rsidR="0010104E">
          <w:rPr>
            <w:noProof/>
            <w:webHidden/>
          </w:rPr>
          <w:tab/>
        </w:r>
        <w:r w:rsidR="0010104E">
          <w:rPr>
            <w:noProof/>
            <w:webHidden/>
          </w:rPr>
          <w:fldChar w:fldCharType="begin"/>
        </w:r>
        <w:r w:rsidR="0010104E">
          <w:rPr>
            <w:noProof/>
            <w:webHidden/>
          </w:rPr>
          <w:instrText xml:space="preserve"> PAGEREF _Toc437225054 \h </w:instrText>
        </w:r>
        <w:r w:rsidR="0010104E">
          <w:rPr>
            <w:noProof/>
            <w:webHidden/>
          </w:rPr>
        </w:r>
        <w:r w:rsidR="0010104E">
          <w:rPr>
            <w:noProof/>
            <w:webHidden/>
          </w:rPr>
          <w:fldChar w:fldCharType="separate"/>
        </w:r>
        <w:r w:rsidR="006E0076">
          <w:rPr>
            <w:noProof/>
            <w:webHidden/>
          </w:rPr>
          <w:t>12</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55" w:history="1">
        <w:r w:rsidR="0010104E" w:rsidRPr="00F24C2F">
          <w:rPr>
            <w:rStyle w:val="Hypertextovodkaz"/>
            <w:noProof/>
          </w:rPr>
          <w:t>1.3</w:t>
        </w:r>
        <w:r w:rsidR="0010104E">
          <w:rPr>
            <w:rFonts w:asciiTheme="minorHAnsi" w:eastAsiaTheme="minorEastAsia" w:hAnsiTheme="minorHAnsi" w:cstheme="minorBidi"/>
            <w:noProof/>
            <w:sz w:val="22"/>
            <w:lang w:eastAsia="cs-CZ"/>
          </w:rPr>
          <w:tab/>
        </w:r>
        <w:r w:rsidR="0010104E" w:rsidRPr="00F24C2F">
          <w:rPr>
            <w:rStyle w:val="Hypertextovodkaz"/>
            <w:noProof/>
          </w:rPr>
          <w:t>Interpretace závěti</w:t>
        </w:r>
        <w:r w:rsidR="0010104E">
          <w:rPr>
            <w:noProof/>
            <w:webHidden/>
          </w:rPr>
          <w:tab/>
        </w:r>
        <w:r w:rsidR="0010104E">
          <w:rPr>
            <w:noProof/>
            <w:webHidden/>
          </w:rPr>
          <w:fldChar w:fldCharType="begin"/>
        </w:r>
        <w:r w:rsidR="0010104E">
          <w:rPr>
            <w:noProof/>
            <w:webHidden/>
          </w:rPr>
          <w:instrText xml:space="preserve"> PAGEREF _Toc437225055 \h </w:instrText>
        </w:r>
        <w:r w:rsidR="0010104E">
          <w:rPr>
            <w:noProof/>
            <w:webHidden/>
          </w:rPr>
        </w:r>
        <w:r w:rsidR="0010104E">
          <w:rPr>
            <w:noProof/>
            <w:webHidden/>
          </w:rPr>
          <w:fldChar w:fldCharType="separate"/>
        </w:r>
        <w:r w:rsidR="006E0076">
          <w:rPr>
            <w:noProof/>
            <w:webHidden/>
          </w:rPr>
          <w:t>13</w:t>
        </w:r>
        <w:r w:rsidR="0010104E">
          <w:rPr>
            <w:noProof/>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56" w:history="1">
        <w:r w:rsidR="0010104E" w:rsidRPr="00F24C2F">
          <w:rPr>
            <w:rStyle w:val="Hypertextovodkaz"/>
          </w:rPr>
          <w:t>2</w:t>
        </w:r>
        <w:r w:rsidR="0010104E">
          <w:rPr>
            <w:rFonts w:asciiTheme="minorHAnsi" w:eastAsiaTheme="minorEastAsia" w:hAnsiTheme="minorHAnsi" w:cstheme="minorBidi"/>
            <w:b w:val="0"/>
            <w:sz w:val="22"/>
            <w:lang w:eastAsia="cs-CZ"/>
          </w:rPr>
          <w:tab/>
        </w:r>
        <w:r w:rsidR="0010104E" w:rsidRPr="00F24C2F">
          <w:rPr>
            <w:rStyle w:val="Hypertextovodkaz"/>
          </w:rPr>
          <w:t>Vztah závěti k dalším pořízením pro případ smrti</w:t>
        </w:r>
        <w:r w:rsidR="0010104E">
          <w:rPr>
            <w:webHidden/>
          </w:rPr>
          <w:tab/>
        </w:r>
        <w:r w:rsidR="0010104E">
          <w:rPr>
            <w:webHidden/>
          </w:rPr>
          <w:fldChar w:fldCharType="begin"/>
        </w:r>
        <w:r w:rsidR="0010104E">
          <w:rPr>
            <w:webHidden/>
          </w:rPr>
          <w:instrText xml:space="preserve"> PAGEREF _Toc437225056 \h </w:instrText>
        </w:r>
        <w:r w:rsidR="0010104E">
          <w:rPr>
            <w:webHidden/>
          </w:rPr>
        </w:r>
        <w:r w:rsidR="0010104E">
          <w:rPr>
            <w:webHidden/>
          </w:rPr>
          <w:fldChar w:fldCharType="separate"/>
        </w:r>
        <w:r w:rsidR="006E0076">
          <w:rPr>
            <w:webHidden/>
          </w:rPr>
          <w:t>15</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57" w:history="1">
        <w:r w:rsidR="0010104E" w:rsidRPr="00F24C2F">
          <w:rPr>
            <w:rStyle w:val="Hypertextovodkaz"/>
            <w:noProof/>
          </w:rPr>
          <w:t>2.1</w:t>
        </w:r>
        <w:r w:rsidR="0010104E">
          <w:rPr>
            <w:rFonts w:asciiTheme="minorHAnsi" w:eastAsiaTheme="minorEastAsia" w:hAnsiTheme="minorHAnsi" w:cstheme="minorBidi"/>
            <w:noProof/>
            <w:sz w:val="22"/>
            <w:lang w:eastAsia="cs-CZ"/>
          </w:rPr>
          <w:tab/>
        </w:r>
        <w:r w:rsidR="0010104E" w:rsidRPr="00F24C2F">
          <w:rPr>
            <w:rStyle w:val="Hypertextovodkaz"/>
            <w:noProof/>
          </w:rPr>
          <w:t>Vztah závěti a dědické smlouvy</w:t>
        </w:r>
        <w:r w:rsidR="0010104E">
          <w:rPr>
            <w:noProof/>
            <w:webHidden/>
          </w:rPr>
          <w:tab/>
        </w:r>
        <w:r w:rsidR="0010104E">
          <w:rPr>
            <w:noProof/>
            <w:webHidden/>
          </w:rPr>
          <w:fldChar w:fldCharType="begin"/>
        </w:r>
        <w:r w:rsidR="0010104E">
          <w:rPr>
            <w:noProof/>
            <w:webHidden/>
          </w:rPr>
          <w:instrText xml:space="preserve"> PAGEREF _Toc437225057 \h </w:instrText>
        </w:r>
        <w:r w:rsidR="0010104E">
          <w:rPr>
            <w:noProof/>
            <w:webHidden/>
          </w:rPr>
        </w:r>
        <w:r w:rsidR="0010104E">
          <w:rPr>
            <w:noProof/>
            <w:webHidden/>
          </w:rPr>
          <w:fldChar w:fldCharType="separate"/>
        </w:r>
        <w:r w:rsidR="006E0076">
          <w:rPr>
            <w:noProof/>
            <w:webHidden/>
          </w:rPr>
          <w:t>15</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58" w:history="1">
        <w:r w:rsidR="0010104E" w:rsidRPr="00F24C2F">
          <w:rPr>
            <w:rStyle w:val="Hypertextovodkaz"/>
            <w:noProof/>
          </w:rPr>
          <w:t>2.2</w:t>
        </w:r>
        <w:r w:rsidR="0010104E">
          <w:rPr>
            <w:rFonts w:asciiTheme="minorHAnsi" w:eastAsiaTheme="minorEastAsia" w:hAnsiTheme="minorHAnsi" w:cstheme="minorBidi"/>
            <w:noProof/>
            <w:sz w:val="22"/>
            <w:lang w:eastAsia="cs-CZ"/>
          </w:rPr>
          <w:tab/>
        </w:r>
        <w:r w:rsidR="0010104E" w:rsidRPr="00F24C2F">
          <w:rPr>
            <w:rStyle w:val="Hypertextovodkaz"/>
            <w:noProof/>
          </w:rPr>
          <w:t>Vztah závěti a dovětku</w:t>
        </w:r>
        <w:r w:rsidR="0010104E">
          <w:rPr>
            <w:noProof/>
            <w:webHidden/>
          </w:rPr>
          <w:tab/>
        </w:r>
        <w:r w:rsidR="0010104E">
          <w:rPr>
            <w:noProof/>
            <w:webHidden/>
          </w:rPr>
          <w:fldChar w:fldCharType="begin"/>
        </w:r>
        <w:r w:rsidR="0010104E">
          <w:rPr>
            <w:noProof/>
            <w:webHidden/>
          </w:rPr>
          <w:instrText xml:space="preserve"> PAGEREF _Toc437225058 \h </w:instrText>
        </w:r>
        <w:r w:rsidR="0010104E">
          <w:rPr>
            <w:noProof/>
            <w:webHidden/>
          </w:rPr>
        </w:r>
        <w:r w:rsidR="0010104E">
          <w:rPr>
            <w:noProof/>
            <w:webHidden/>
          </w:rPr>
          <w:fldChar w:fldCharType="separate"/>
        </w:r>
        <w:r w:rsidR="006E0076">
          <w:rPr>
            <w:noProof/>
            <w:webHidden/>
          </w:rPr>
          <w:t>16</w:t>
        </w:r>
        <w:r w:rsidR="0010104E">
          <w:rPr>
            <w:noProof/>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59" w:history="1">
        <w:r w:rsidR="0010104E" w:rsidRPr="00F24C2F">
          <w:rPr>
            <w:rStyle w:val="Hypertextovodkaz"/>
          </w:rPr>
          <w:t>3</w:t>
        </w:r>
        <w:r w:rsidR="0010104E">
          <w:rPr>
            <w:rFonts w:asciiTheme="minorHAnsi" w:eastAsiaTheme="minorEastAsia" w:hAnsiTheme="minorHAnsi" w:cstheme="minorBidi"/>
            <w:b w:val="0"/>
            <w:sz w:val="22"/>
            <w:lang w:eastAsia="cs-CZ"/>
          </w:rPr>
          <w:tab/>
        </w:r>
        <w:r w:rsidR="0010104E" w:rsidRPr="00F24C2F">
          <w:rPr>
            <w:rStyle w:val="Hypertextovodkaz"/>
          </w:rPr>
          <w:t>Druhy závětí a jejich problematické aspekty</w:t>
        </w:r>
        <w:r w:rsidR="0010104E">
          <w:rPr>
            <w:webHidden/>
          </w:rPr>
          <w:tab/>
        </w:r>
        <w:r w:rsidR="0010104E">
          <w:rPr>
            <w:webHidden/>
          </w:rPr>
          <w:fldChar w:fldCharType="begin"/>
        </w:r>
        <w:r w:rsidR="0010104E">
          <w:rPr>
            <w:webHidden/>
          </w:rPr>
          <w:instrText xml:space="preserve"> PAGEREF _Toc437225059 \h </w:instrText>
        </w:r>
        <w:r w:rsidR="0010104E">
          <w:rPr>
            <w:webHidden/>
          </w:rPr>
        </w:r>
        <w:r w:rsidR="0010104E">
          <w:rPr>
            <w:webHidden/>
          </w:rPr>
          <w:fldChar w:fldCharType="separate"/>
        </w:r>
        <w:r w:rsidR="006E0076">
          <w:rPr>
            <w:webHidden/>
          </w:rPr>
          <w:t>19</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60" w:history="1">
        <w:r w:rsidR="0010104E" w:rsidRPr="00F24C2F">
          <w:rPr>
            <w:rStyle w:val="Hypertextovodkaz"/>
            <w:noProof/>
          </w:rPr>
          <w:t>3.1</w:t>
        </w:r>
        <w:r w:rsidR="0010104E">
          <w:rPr>
            <w:rFonts w:asciiTheme="minorHAnsi" w:eastAsiaTheme="minorEastAsia" w:hAnsiTheme="minorHAnsi" w:cstheme="minorBidi"/>
            <w:noProof/>
            <w:sz w:val="22"/>
            <w:lang w:eastAsia="cs-CZ"/>
          </w:rPr>
          <w:tab/>
        </w:r>
        <w:r w:rsidR="0010104E" w:rsidRPr="00F24C2F">
          <w:rPr>
            <w:rStyle w:val="Hypertextovodkaz"/>
            <w:noProof/>
          </w:rPr>
          <w:t>Holografní závěť</w:t>
        </w:r>
        <w:r w:rsidR="0010104E">
          <w:rPr>
            <w:noProof/>
            <w:webHidden/>
          </w:rPr>
          <w:tab/>
        </w:r>
        <w:r w:rsidR="0010104E">
          <w:rPr>
            <w:noProof/>
            <w:webHidden/>
          </w:rPr>
          <w:fldChar w:fldCharType="begin"/>
        </w:r>
        <w:r w:rsidR="0010104E">
          <w:rPr>
            <w:noProof/>
            <w:webHidden/>
          </w:rPr>
          <w:instrText xml:space="preserve"> PAGEREF _Toc437225060 \h </w:instrText>
        </w:r>
        <w:r w:rsidR="0010104E">
          <w:rPr>
            <w:noProof/>
            <w:webHidden/>
          </w:rPr>
        </w:r>
        <w:r w:rsidR="0010104E">
          <w:rPr>
            <w:noProof/>
            <w:webHidden/>
          </w:rPr>
          <w:fldChar w:fldCharType="separate"/>
        </w:r>
        <w:r w:rsidR="006E0076">
          <w:rPr>
            <w:noProof/>
            <w:webHidden/>
          </w:rPr>
          <w:t>19</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1" w:history="1">
        <w:r w:rsidR="0010104E" w:rsidRPr="00F24C2F">
          <w:rPr>
            <w:rStyle w:val="Hypertextovodkaz"/>
            <w:noProof/>
          </w:rPr>
          <w:t>3.1.1</w:t>
        </w:r>
        <w:r w:rsidR="0010104E">
          <w:rPr>
            <w:rFonts w:asciiTheme="minorHAnsi" w:eastAsiaTheme="minorEastAsia" w:hAnsiTheme="minorHAnsi" w:cstheme="minorBidi"/>
            <w:noProof/>
            <w:sz w:val="22"/>
            <w:lang w:eastAsia="cs-CZ"/>
          </w:rPr>
          <w:tab/>
        </w:r>
        <w:r w:rsidR="0010104E" w:rsidRPr="00F24C2F">
          <w:rPr>
            <w:rStyle w:val="Hypertextovodkaz"/>
            <w:noProof/>
          </w:rPr>
          <w:t>Vlastnoruční způsob vyhotovení závěti</w:t>
        </w:r>
        <w:r w:rsidR="0010104E">
          <w:rPr>
            <w:noProof/>
            <w:webHidden/>
          </w:rPr>
          <w:tab/>
        </w:r>
        <w:r w:rsidR="0010104E">
          <w:rPr>
            <w:noProof/>
            <w:webHidden/>
          </w:rPr>
          <w:fldChar w:fldCharType="begin"/>
        </w:r>
        <w:r w:rsidR="0010104E">
          <w:rPr>
            <w:noProof/>
            <w:webHidden/>
          </w:rPr>
          <w:instrText xml:space="preserve"> PAGEREF _Toc437225061 \h </w:instrText>
        </w:r>
        <w:r w:rsidR="0010104E">
          <w:rPr>
            <w:noProof/>
            <w:webHidden/>
          </w:rPr>
        </w:r>
        <w:r w:rsidR="0010104E">
          <w:rPr>
            <w:noProof/>
            <w:webHidden/>
          </w:rPr>
          <w:fldChar w:fldCharType="separate"/>
        </w:r>
        <w:r w:rsidR="006E0076">
          <w:rPr>
            <w:noProof/>
            <w:webHidden/>
          </w:rPr>
          <w:t>19</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2" w:history="1">
        <w:r w:rsidR="0010104E" w:rsidRPr="00F24C2F">
          <w:rPr>
            <w:rStyle w:val="Hypertextovodkaz"/>
            <w:noProof/>
          </w:rPr>
          <w:t>3.1.2</w:t>
        </w:r>
        <w:r w:rsidR="0010104E">
          <w:rPr>
            <w:rFonts w:asciiTheme="minorHAnsi" w:eastAsiaTheme="minorEastAsia" w:hAnsiTheme="minorHAnsi" w:cstheme="minorBidi"/>
            <w:noProof/>
            <w:sz w:val="22"/>
            <w:lang w:eastAsia="cs-CZ"/>
          </w:rPr>
          <w:tab/>
        </w:r>
        <w:r w:rsidR="0010104E" w:rsidRPr="00F24C2F">
          <w:rPr>
            <w:rStyle w:val="Hypertextovodkaz"/>
            <w:noProof/>
          </w:rPr>
          <w:t>Podpis závěti</w:t>
        </w:r>
        <w:r w:rsidR="0010104E">
          <w:rPr>
            <w:noProof/>
            <w:webHidden/>
          </w:rPr>
          <w:tab/>
        </w:r>
        <w:r w:rsidR="0010104E">
          <w:rPr>
            <w:noProof/>
            <w:webHidden/>
          </w:rPr>
          <w:fldChar w:fldCharType="begin"/>
        </w:r>
        <w:r w:rsidR="0010104E">
          <w:rPr>
            <w:noProof/>
            <w:webHidden/>
          </w:rPr>
          <w:instrText xml:space="preserve"> PAGEREF _Toc437225062 \h </w:instrText>
        </w:r>
        <w:r w:rsidR="0010104E">
          <w:rPr>
            <w:noProof/>
            <w:webHidden/>
          </w:rPr>
        </w:r>
        <w:r w:rsidR="0010104E">
          <w:rPr>
            <w:noProof/>
            <w:webHidden/>
          </w:rPr>
          <w:fldChar w:fldCharType="separate"/>
        </w:r>
        <w:r w:rsidR="006E0076">
          <w:rPr>
            <w:noProof/>
            <w:webHidden/>
          </w:rPr>
          <w:t>20</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3" w:history="1">
        <w:r w:rsidR="0010104E" w:rsidRPr="00F24C2F">
          <w:rPr>
            <w:rStyle w:val="Hypertextovodkaz"/>
            <w:noProof/>
          </w:rPr>
          <w:t>3.1.3</w:t>
        </w:r>
        <w:r w:rsidR="0010104E">
          <w:rPr>
            <w:rFonts w:asciiTheme="minorHAnsi" w:eastAsiaTheme="minorEastAsia" w:hAnsiTheme="minorHAnsi" w:cstheme="minorBidi"/>
            <w:noProof/>
            <w:sz w:val="22"/>
            <w:lang w:eastAsia="cs-CZ"/>
          </w:rPr>
          <w:tab/>
        </w:r>
        <w:r w:rsidR="0010104E" w:rsidRPr="00F24C2F">
          <w:rPr>
            <w:rStyle w:val="Hypertextovodkaz"/>
            <w:noProof/>
          </w:rPr>
          <w:t>Datace závěti</w:t>
        </w:r>
        <w:r w:rsidR="0010104E">
          <w:rPr>
            <w:noProof/>
            <w:webHidden/>
          </w:rPr>
          <w:tab/>
        </w:r>
        <w:r w:rsidR="0010104E">
          <w:rPr>
            <w:noProof/>
            <w:webHidden/>
          </w:rPr>
          <w:fldChar w:fldCharType="begin"/>
        </w:r>
        <w:r w:rsidR="0010104E">
          <w:rPr>
            <w:noProof/>
            <w:webHidden/>
          </w:rPr>
          <w:instrText xml:space="preserve"> PAGEREF _Toc437225063 \h </w:instrText>
        </w:r>
        <w:r w:rsidR="0010104E">
          <w:rPr>
            <w:noProof/>
            <w:webHidden/>
          </w:rPr>
        </w:r>
        <w:r w:rsidR="0010104E">
          <w:rPr>
            <w:noProof/>
            <w:webHidden/>
          </w:rPr>
          <w:fldChar w:fldCharType="separate"/>
        </w:r>
        <w:r w:rsidR="006E0076">
          <w:rPr>
            <w:noProof/>
            <w:webHidden/>
          </w:rPr>
          <w:t>22</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64" w:history="1">
        <w:r w:rsidR="0010104E" w:rsidRPr="00F24C2F">
          <w:rPr>
            <w:rStyle w:val="Hypertextovodkaz"/>
            <w:noProof/>
          </w:rPr>
          <w:t>3.2</w:t>
        </w:r>
        <w:r w:rsidR="0010104E">
          <w:rPr>
            <w:rFonts w:asciiTheme="minorHAnsi" w:eastAsiaTheme="minorEastAsia" w:hAnsiTheme="minorHAnsi" w:cstheme="minorBidi"/>
            <w:noProof/>
            <w:sz w:val="22"/>
            <w:lang w:eastAsia="cs-CZ"/>
          </w:rPr>
          <w:tab/>
        </w:r>
        <w:r w:rsidR="0010104E" w:rsidRPr="00F24C2F">
          <w:rPr>
            <w:rStyle w:val="Hypertextovodkaz"/>
            <w:noProof/>
          </w:rPr>
          <w:t>Allografní závěť</w:t>
        </w:r>
        <w:r w:rsidR="0010104E">
          <w:rPr>
            <w:noProof/>
            <w:webHidden/>
          </w:rPr>
          <w:tab/>
        </w:r>
        <w:r w:rsidR="0010104E">
          <w:rPr>
            <w:noProof/>
            <w:webHidden/>
          </w:rPr>
          <w:fldChar w:fldCharType="begin"/>
        </w:r>
        <w:r w:rsidR="0010104E">
          <w:rPr>
            <w:noProof/>
            <w:webHidden/>
          </w:rPr>
          <w:instrText xml:space="preserve"> PAGEREF _Toc437225064 \h </w:instrText>
        </w:r>
        <w:r w:rsidR="0010104E">
          <w:rPr>
            <w:noProof/>
            <w:webHidden/>
          </w:rPr>
        </w:r>
        <w:r w:rsidR="0010104E">
          <w:rPr>
            <w:noProof/>
            <w:webHidden/>
          </w:rPr>
          <w:fldChar w:fldCharType="separate"/>
        </w:r>
        <w:r w:rsidR="006E0076">
          <w:rPr>
            <w:noProof/>
            <w:webHidden/>
          </w:rPr>
          <w:t>23</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5" w:history="1">
        <w:r w:rsidR="0010104E" w:rsidRPr="00F24C2F">
          <w:rPr>
            <w:rStyle w:val="Hypertextovodkaz"/>
            <w:noProof/>
          </w:rPr>
          <w:t>3.2.1</w:t>
        </w:r>
        <w:r w:rsidR="0010104E">
          <w:rPr>
            <w:rFonts w:asciiTheme="minorHAnsi" w:eastAsiaTheme="minorEastAsia" w:hAnsiTheme="minorHAnsi" w:cstheme="minorBidi"/>
            <w:noProof/>
            <w:sz w:val="22"/>
            <w:lang w:eastAsia="cs-CZ"/>
          </w:rPr>
          <w:tab/>
        </w:r>
        <w:r w:rsidR="0010104E" w:rsidRPr="00F24C2F">
          <w:rPr>
            <w:rStyle w:val="Hypertextovodkaz"/>
            <w:noProof/>
          </w:rPr>
          <w:t>Prostá allografní závěť</w:t>
        </w:r>
        <w:r w:rsidR="0010104E">
          <w:rPr>
            <w:noProof/>
            <w:webHidden/>
          </w:rPr>
          <w:tab/>
        </w:r>
        <w:r w:rsidR="0010104E">
          <w:rPr>
            <w:noProof/>
            <w:webHidden/>
          </w:rPr>
          <w:fldChar w:fldCharType="begin"/>
        </w:r>
        <w:r w:rsidR="0010104E">
          <w:rPr>
            <w:noProof/>
            <w:webHidden/>
          </w:rPr>
          <w:instrText xml:space="preserve"> PAGEREF _Toc437225065 \h </w:instrText>
        </w:r>
        <w:r w:rsidR="0010104E">
          <w:rPr>
            <w:noProof/>
            <w:webHidden/>
          </w:rPr>
        </w:r>
        <w:r w:rsidR="0010104E">
          <w:rPr>
            <w:noProof/>
            <w:webHidden/>
          </w:rPr>
          <w:fldChar w:fldCharType="separate"/>
        </w:r>
        <w:r w:rsidR="006E0076">
          <w:rPr>
            <w:noProof/>
            <w:webHidden/>
          </w:rPr>
          <w:t>23</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6" w:history="1">
        <w:r w:rsidR="0010104E" w:rsidRPr="00F24C2F">
          <w:rPr>
            <w:rStyle w:val="Hypertextovodkaz"/>
            <w:noProof/>
          </w:rPr>
          <w:t>3.2.2</w:t>
        </w:r>
        <w:r w:rsidR="0010104E">
          <w:rPr>
            <w:rFonts w:asciiTheme="minorHAnsi" w:eastAsiaTheme="minorEastAsia" w:hAnsiTheme="minorHAnsi" w:cstheme="minorBidi"/>
            <w:noProof/>
            <w:sz w:val="22"/>
            <w:lang w:eastAsia="cs-CZ"/>
          </w:rPr>
          <w:tab/>
        </w:r>
        <w:r w:rsidR="0010104E" w:rsidRPr="00F24C2F">
          <w:rPr>
            <w:rStyle w:val="Hypertextovodkaz"/>
            <w:noProof/>
          </w:rPr>
          <w:t>Allografní závěť speciální</w:t>
        </w:r>
        <w:r w:rsidR="0010104E">
          <w:rPr>
            <w:noProof/>
            <w:webHidden/>
          </w:rPr>
          <w:tab/>
        </w:r>
        <w:r w:rsidR="0010104E">
          <w:rPr>
            <w:noProof/>
            <w:webHidden/>
          </w:rPr>
          <w:fldChar w:fldCharType="begin"/>
        </w:r>
        <w:r w:rsidR="0010104E">
          <w:rPr>
            <w:noProof/>
            <w:webHidden/>
          </w:rPr>
          <w:instrText xml:space="preserve"> PAGEREF _Toc437225066 \h </w:instrText>
        </w:r>
        <w:r w:rsidR="0010104E">
          <w:rPr>
            <w:noProof/>
            <w:webHidden/>
          </w:rPr>
        </w:r>
        <w:r w:rsidR="0010104E">
          <w:rPr>
            <w:noProof/>
            <w:webHidden/>
          </w:rPr>
          <w:fldChar w:fldCharType="separate"/>
        </w:r>
        <w:r w:rsidR="006E0076">
          <w:rPr>
            <w:noProof/>
            <w:webHidden/>
          </w:rPr>
          <w:t>25</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7" w:history="1">
        <w:r w:rsidR="0010104E" w:rsidRPr="00F24C2F">
          <w:rPr>
            <w:rStyle w:val="Hypertextovodkaz"/>
            <w:noProof/>
          </w:rPr>
          <w:t>3.2.3</w:t>
        </w:r>
        <w:r w:rsidR="0010104E">
          <w:rPr>
            <w:rFonts w:asciiTheme="minorHAnsi" w:eastAsiaTheme="minorEastAsia" w:hAnsiTheme="minorHAnsi" w:cstheme="minorBidi"/>
            <w:noProof/>
            <w:sz w:val="22"/>
            <w:lang w:eastAsia="cs-CZ"/>
          </w:rPr>
          <w:tab/>
        </w:r>
        <w:r w:rsidR="0010104E" w:rsidRPr="00F24C2F">
          <w:rPr>
            <w:rStyle w:val="Hypertextovodkaz"/>
            <w:noProof/>
          </w:rPr>
          <w:t>Svědci allografních závětí</w:t>
        </w:r>
        <w:r w:rsidR="0010104E">
          <w:rPr>
            <w:noProof/>
            <w:webHidden/>
          </w:rPr>
          <w:tab/>
        </w:r>
        <w:r w:rsidR="0010104E">
          <w:rPr>
            <w:noProof/>
            <w:webHidden/>
          </w:rPr>
          <w:fldChar w:fldCharType="begin"/>
        </w:r>
        <w:r w:rsidR="0010104E">
          <w:rPr>
            <w:noProof/>
            <w:webHidden/>
          </w:rPr>
          <w:instrText xml:space="preserve"> PAGEREF _Toc437225067 \h </w:instrText>
        </w:r>
        <w:r w:rsidR="0010104E">
          <w:rPr>
            <w:noProof/>
            <w:webHidden/>
          </w:rPr>
        </w:r>
        <w:r w:rsidR="0010104E">
          <w:rPr>
            <w:noProof/>
            <w:webHidden/>
          </w:rPr>
          <w:fldChar w:fldCharType="separate"/>
        </w:r>
        <w:r w:rsidR="006E0076">
          <w:rPr>
            <w:noProof/>
            <w:webHidden/>
          </w:rPr>
          <w:t>26</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68" w:history="1">
        <w:r w:rsidR="0010104E" w:rsidRPr="00F24C2F">
          <w:rPr>
            <w:rStyle w:val="Hypertextovodkaz"/>
            <w:noProof/>
          </w:rPr>
          <w:t>3. 3</w:t>
        </w:r>
        <w:r w:rsidR="0010104E">
          <w:rPr>
            <w:rFonts w:asciiTheme="minorHAnsi" w:eastAsiaTheme="minorEastAsia" w:hAnsiTheme="minorHAnsi" w:cstheme="minorBidi"/>
            <w:noProof/>
            <w:sz w:val="22"/>
            <w:lang w:eastAsia="cs-CZ"/>
          </w:rPr>
          <w:tab/>
        </w:r>
        <w:r w:rsidR="0010104E" w:rsidRPr="00F24C2F">
          <w:rPr>
            <w:rStyle w:val="Hypertextovodkaz"/>
            <w:noProof/>
          </w:rPr>
          <w:t>Veřejné pořízení notářským zápisem</w:t>
        </w:r>
        <w:r w:rsidR="0010104E">
          <w:rPr>
            <w:noProof/>
            <w:webHidden/>
          </w:rPr>
          <w:tab/>
        </w:r>
        <w:r w:rsidR="0010104E">
          <w:rPr>
            <w:noProof/>
            <w:webHidden/>
          </w:rPr>
          <w:fldChar w:fldCharType="begin"/>
        </w:r>
        <w:r w:rsidR="0010104E">
          <w:rPr>
            <w:noProof/>
            <w:webHidden/>
          </w:rPr>
          <w:instrText xml:space="preserve"> PAGEREF _Toc437225068 \h </w:instrText>
        </w:r>
        <w:r w:rsidR="0010104E">
          <w:rPr>
            <w:noProof/>
            <w:webHidden/>
          </w:rPr>
        </w:r>
        <w:r w:rsidR="0010104E">
          <w:rPr>
            <w:noProof/>
            <w:webHidden/>
          </w:rPr>
          <w:fldChar w:fldCharType="separate"/>
        </w:r>
        <w:r w:rsidR="006E0076">
          <w:rPr>
            <w:noProof/>
            <w:webHidden/>
          </w:rPr>
          <w:t>28</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69" w:history="1">
        <w:r w:rsidR="0010104E" w:rsidRPr="00F24C2F">
          <w:rPr>
            <w:rStyle w:val="Hypertextovodkaz"/>
            <w:noProof/>
          </w:rPr>
          <w:t>3.3.1</w:t>
        </w:r>
        <w:r w:rsidR="0010104E">
          <w:rPr>
            <w:rFonts w:asciiTheme="minorHAnsi" w:eastAsiaTheme="minorEastAsia" w:hAnsiTheme="minorHAnsi" w:cstheme="minorBidi"/>
            <w:noProof/>
            <w:sz w:val="22"/>
            <w:lang w:eastAsia="cs-CZ"/>
          </w:rPr>
          <w:tab/>
        </w:r>
        <w:r w:rsidR="0010104E" w:rsidRPr="00F24C2F">
          <w:rPr>
            <w:rStyle w:val="Hypertextovodkaz"/>
            <w:noProof/>
          </w:rPr>
          <w:t>Závěť nezletilé osoby</w:t>
        </w:r>
        <w:r w:rsidR="0010104E">
          <w:rPr>
            <w:noProof/>
            <w:webHidden/>
          </w:rPr>
          <w:tab/>
        </w:r>
        <w:r w:rsidR="0010104E">
          <w:rPr>
            <w:noProof/>
            <w:webHidden/>
          </w:rPr>
          <w:fldChar w:fldCharType="begin"/>
        </w:r>
        <w:r w:rsidR="0010104E">
          <w:rPr>
            <w:noProof/>
            <w:webHidden/>
          </w:rPr>
          <w:instrText xml:space="preserve"> PAGEREF _Toc437225069 \h </w:instrText>
        </w:r>
        <w:r w:rsidR="0010104E">
          <w:rPr>
            <w:noProof/>
            <w:webHidden/>
          </w:rPr>
        </w:r>
        <w:r w:rsidR="0010104E">
          <w:rPr>
            <w:noProof/>
            <w:webHidden/>
          </w:rPr>
          <w:fldChar w:fldCharType="separate"/>
        </w:r>
        <w:r w:rsidR="006E0076">
          <w:rPr>
            <w:noProof/>
            <w:webHidden/>
          </w:rPr>
          <w:t>28</w:t>
        </w:r>
        <w:r w:rsidR="0010104E">
          <w:rPr>
            <w:noProof/>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70" w:history="1">
        <w:r w:rsidR="0010104E" w:rsidRPr="00F24C2F">
          <w:rPr>
            <w:rStyle w:val="Hypertextovodkaz"/>
          </w:rPr>
          <w:t>4</w:t>
        </w:r>
        <w:r w:rsidR="0010104E">
          <w:rPr>
            <w:rFonts w:asciiTheme="minorHAnsi" w:eastAsiaTheme="minorEastAsia" w:hAnsiTheme="minorHAnsi" w:cstheme="minorBidi"/>
            <w:b w:val="0"/>
            <w:sz w:val="22"/>
            <w:lang w:eastAsia="cs-CZ"/>
          </w:rPr>
          <w:tab/>
        </w:r>
        <w:r w:rsidR="0010104E" w:rsidRPr="00F24C2F">
          <w:rPr>
            <w:rStyle w:val="Hypertextovodkaz"/>
          </w:rPr>
          <w:t>Závěti pořízené s úlevami a jejich problematické aspekty</w:t>
        </w:r>
        <w:r w:rsidR="0010104E">
          <w:rPr>
            <w:webHidden/>
          </w:rPr>
          <w:tab/>
        </w:r>
        <w:r w:rsidR="0010104E">
          <w:rPr>
            <w:webHidden/>
          </w:rPr>
          <w:fldChar w:fldCharType="begin"/>
        </w:r>
        <w:r w:rsidR="0010104E">
          <w:rPr>
            <w:webHidden/>
          </w:rPr>
          <w:instrText xml:space="preserve"> PAGEREF _Toc437225070 \h </w:instrText>
        </w:r>
        <w:r w:rsidR="0010104E">
          <w:rPr>
            <w:webHidden/>
          </w:rPr>
        </w:r>
        <w:r w:rsidR="0010104E">
          <w:rPr>
            <w:webHidden/>
          </w:rPr>
          <w:fldChar w:fldCharType="separate"/>
        </w:r>
        <w:r w:rsidR="006E0076">
          <w:rPr>
            <w:webHidden/>
          </w:rPr>
          <w:t>31</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1" w:history="1">
        <w:r w:rsidR="0010104E" w:rsidRPr="00F24C2F">
          <w:rPr>
            <w:rStyle w:val="Hypertextovodkaz"/>
            <w:noProof/>
          </w:rPr>
          <w:t>4.1</w:t>
        </w:r>
        <w:r w:rsidR="0010104E">
          <w:rPr>
            <w:rFonts w:asciiTheme="minorHAnsi" w:eastAsiaTheme="minorEastAsia" w:hAnsiTheme="minorHAnsi" w:cstheme="minorBidi"/>
            <w:noProof/>
            <w:sz w:val="22"/>
            <w:lang w:eastAsia="cs-CZ"/>
          </w:rPr>
          <w:tab/>
        </w:r>
        <w:r w:rsidR="0010104E" w:rsidRPr="00F24C2F">
          <w:rPr>
            <w:rStyle w:val="Hypertextovodkaz"/>
            <w:noProof/>
          </w:rPr>
          <w:t>Závěť pořízená při nenadálé události</w:t>
        </w:r>
        <w:r w:rsidR="0010104E">
          <w:rPr>
            <w:noProof/>
            <w:webHidden/>
          </w:rPr>
          <w:tab/>
        </w:r>
        <w:r w:rsidR="0010104E">
          <w:rPr>
            <w:noProof/>
            <w:webHidden/>
          </w:rPr>
          <w:fldChar w:fldCharType="begin"/>
        </w:r>
        <w:r w:rsidR="0010104E">
          <w:rPr>
            <w:noProof/>
            <w:webHidden/>
          </w:rPr>
          <w:instrText xml:space="preserve"> PAGEREF _Toc437225071 \h </w:instrText>
        </w:r>
        <w:r w:rsidR="0010104E">
          <w:rPr>
            <w:noProof/>
            <w:webHidden/>
          </w:rPr>
        </w:r>
        <w:r w:rsidR="0010104E">
          <w:rPr>
            <w:noProof/>
            <w:webHidden/>
          </w:rPr>
          <w:fldChar w:fldCharType="separate"/>
        </w:r>
        <w:r w:rsidR="006E0076">
          <w:rPr>
            <w:noProof/>
            <w:webHidden/>
          </w:rPr>
          <w:t>31</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2" w:history="1">
        <w:r w:rsidR="0010104E" w:rsidRPr="00F24C2F">
          <w:rPr>
            <w:rStyle w:val="Hypertextovodkaz"/>
            <w:noProof/>
          </w:rPr>
          <w:t>4.2</w:t>
        </w:r>
        <w:r w:rsidR="0010104E">
          <w:rPr>
            <w:rFonts w:asciiTheme="minorHAnsi" w:eastAsiaTheme="minorEastAsia" w:hAnsiTheme="minorHAnsi" w:cstheme="minorBidi"/>
            <w:noProof/>
            <w:sz w:val="22"/>
            <w:lang w:eastAsia="cs-CZ"/>
          </w:rPr>
          <w:tab/>
        </w:r>
        <w:r w:rsidR="0010104E" w:rsidRPr="00F24C2F">
          <w:rPr>
            <w:rStyle w:val="Hypertextovodkaz"/>
            <w:noProof/>
          </w:rPr>
          <w:t>Závěť pořízena při bezprostředním ohrožení života starostou obce</w:t>
        </w:r>
        <w:r w:rsidR="0010104E">
          <w:rPr>
            <w:noProof/>
            <w:webHidden/>
          </w:rPr>
          <w:tab/>
        </w:r>
        <w:r w:rsidR="0010104E">
          <w:rPr>
            <w:noProof/>
            <w:webHidden/>
          </w:rPr>
          <w:fldChar w:fldCharType="begin"/>
        </w:r>
        <w:r w:rsidR="0010104E">
          <w:rPr>
            <w:noProof/>
            <w:webHidden/>
          </w:rPr>
          <w:instrText xml:space="preserve"> PAGEREF _Toc437225072 \h </w:instrText>
        </w:r>
        <w:r w:rsidR="0010104E">
          <w:rPr>
            <w:noProof/>
            <w:webHidden/>
          </w:rPr>
        </w:r>
        <w:r w:rsidR="0010104E">
          <w:rPr>
            <w:noProof/>
            <w:webHidden/>
          </w:rPr>
          <w:fldChar w:fldCharType="separate"/>
        </w:r>
        <w:r w:rsidR="006E0076">
          <w:rPr>
            <w:noProof/>
            <w:webHidden/>
          </w:rPr>
          <w:t>33</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3" w:history="1">
        <w:r w:rsidR="0010104E" w:rsidRPr="00F24C2F">
          <w:rPr>
            <w:rStyle w:val="Hypertextovodkaz"/>
            <w:noProof/>
          </w:rPr>
          <w:t>4.3</w:t>
        </w:r>
        <w:r w:rsidR="0010104E">
          <w:rPr>
            <w:rFonts w:asciiTheme="minorHAnsi" w:eastAsiaTheme="minorEastAsia" w:hAnsiTheme="minorHAnsi" w:cstheme="minorBidi"/>
            <w:noProof/>
            <w:sz w:val="22"/>
            <w:lang w:eastAsia="cs-CZ"/>
          </w:rPr>
          <w:tab/>
        </w:r>
        <w:r w:rsidR="0010104E" w:rsidRPr="00F24C2F">
          <w:rPr>
            <w:rStyle w:val="Hypertextovodkaz"/>
            <w:noProof/>
          </w:rPr>
          <w:t>Závěť pořízená na palubě námořního plavidla nebo letadla</w:t>
        </w:r>
        <w:r w:rsidR="0010104E">
          <w:rPr>
            <w:noProof/>
            <w:webHidden/>
          </w:rPr>
          <w:tab/>
        </w:r>
        <w:r w:rsidR="0010104E">
          <w:rPr>
            <w:noProof/>
            <w:webHidden/>
          </w:rPr>
          <w:fldChar w:fldCharType="begin"/>
        </w:r>
        <w:r w:rsidR="0010104E">
          <w:rPr>
            <w:noProof/>
            <w:webHidden/>
          </w:rPr>
          <w:instrText xml:space="preserve"> PAGEREF _Toc437225073 \h </w:instrText>
        </w:r>
        <w:r w:rsidR="0010104E">
          <w:rPr>
            <w:noProof/>
            <w:webHidden/>
          </w:rPr>
        </w:r>
        <w:r w:rsidR="0010104E">
          <w:rPr>
            <w:noProof/>
            <w:webHidden/>
          </w:rPr>
          <w:fldChar w:fldCharType="separate"/>
        </w:r>
        <w:r w:rsidR="006E0076">
          <w:rPr>
            <w:noProof/>
            <w:webHidden/>
          </w:rPr>
          <w:t>34</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4" w:history="1">
        <w:r w:rsidR="0010104E" w:rsidRPr="00F24C2F">
          <w:rPr>
            <w:rStyle w:val="Hypertextovodkaz"/>
            <w:noProof/>
          </w:rPr>
          <w:t>4.4</w:t>
        </w:r>
        <w:r w:rsidR="0010104E">
          <w:rPr>
            <w:rFonts w:asciiTheme="minorHAnsi" w:eastAsiaTheme="minorEastAsia" w:hAnsiTheme="minorHAnsi" w:cstheme="minorBidi"/>
            <w:noProof/>
            <w:sz w:val="22"/>
            <w:lang w:eastAsia="cs-CZ"/>
          </w:rPr>
          <w:tab/>
        </w:r>
        <w:r w:rsidR="0010104E" w:rsidRPr="00F24C2F">
          <w:rPr>
            <w:rStyle w:val="Hypertextovodkaz"/>
            <w:noProof/>
          </w:rPr>
          <w:t>Vojenská závěť</w:t>
        </w:r>
        <w:r w:rsidR="0010104E">
          <w:rPr>
            <w:noProof/>
            <w:webHidden/>
          </w:rPr>
          <w:tab/>
        </w:r>
        <w:r w:rsidR="0010104E">
          <w:rPr>
            <w:noProof/>
            <w:webHidden/>
          </w:rPr>
          <w:fldChar w:fldCharType="begin"/>
        </w:r>
        <w:r w:rsidR="0010104E">
          <w:rPr>
            <w:noProof/>
            <w:webHidden/>
          </w:rPr>
          <w:instrText xml:space="preserve"> PAGEREF _Toc437225074 \h </w:instrText>
        </w:r>
        <w:r w:rsidR="0010104E">
          <w:rPr>
            <w:noProof/>
            <w:webHidden/>
          </w:rPr>
        </w:r>
        <w:r w:rsidR="0010104E">
          <w:rPr>
            <w:noProof/>
            <w:webHidden/>
          </w:rPr>
          <w:fldChar w:fldCharType="separate"/>
        </w:r>
        <w:r w:rsidR="006E0076">
          <w:rPr>
            <w:noProof/>
            <w:webHidden/>
          </w:rPr>
          <w:t>35</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5" w:history="1">
        <w:r w:rsidR="0010104E" w:rsidRPr="00F24C2F">
          <w:rPr>
            <w:rStyle w:val="Hypertextovodkaz"/>
            <w:noProof/>
          </w:rPr>
          <w:t>4.5</w:t>
        </w:r>
        <w:r w:rsidR="0010104E">
          <w:rPr>
            <w:rFonts w:asciiTheme="minorHAnsi" w:eastAsiaTheme="minorEastAsia" w:hAnsiTheme="minorHAnsi" w:cstheme="minorBidi"/>
            <w:noProof/>
            <w:sz w:val="22"/>
            <w:lang w:eastAsia="cs-CZ"/>
          </w:rPr>
          <w:tab/>
        </w:r>
        <w:r w:rsidR="0010104E" w:rsidRPr="00F24C2F">
          <w:rPr>
            <w:rStyle w:val="Hypertextovodkaz"/>
            <w:noProof/>
          </w:rPr>
          <w:t>Předepsané formality a jejich porušení</w:t>
        </w:r>
        <w:r w:rsidR="0010104E">
          <w:rPr>
            <w:noProof/>
            <w:webHidden/>
          </w:rPr>
          <w:tab/>
        </w:r>
        <w:r w:rsidR="0010104E">
          <w:rPr>
            <w:noProof/>
            <w:webHidden/>
          </w:rPr>
          <w:fldChar w:fldCharType="begin"/>
        </w:r>
        <w:r w:rsidR="0010104E">
          <w:rPr>
            <w:noProof/>
            <w:webHidden/>
          </w:rPr>
          <w:instrText xml:space="preserve"> PAGEREF _Toc437225075 \h </w:instrText>
        </w:r>
        <w:r w:rsidR="0010104E">
          <w:rPr>
            <w:noProof/>
            <w:webHidden/>
          </w:rPr>
        </w:r>
        <w:r w:rsidR="0010104E">
          <w:rPr>
            <w:noProof/>
            <w:webHidden/>
          </w:rPr>
          <w:fldChar w:fldCharType="separate"/>
        </w:r>
        <w:r w:rsidR="006E0076">
          <w:rPr>
            <w:noProof/>
            <w:webHidden/>
          </w:rPr>
          <w:t>36</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6" w:history="1">
        <w:r w:rsidR="0010104E" w:rsidRPr="00F24C2F">
          <w:rPr>
            <w:rStyle w:val="Hypertextovodkaz"/>
            <w:noProof/>
          </w:rPr>
          <w:t>4.6</w:t>
        </w:r>
        <w:r w:rsidR="0010104E">
          <w:rPr>
            <w:rFonts w:asciiTheme="minorHAnsi" w:eastAsiaTheme="minorEastAsia" w:hAnsiTheme="minorHAnsi" w:cstheme="minorBidi"/>
            <w:noProof/>
            <w:sz w:val="22"/>
            <w:lang w:eastAsia="cs-CZ"/>
          </w:rPr>
          <w:tab/>
        </w:r>
        <w:r w:rsidR="0010104E" w:rsidRPr="00F24C2F">
          <w:rPr>
            <w:rStyle w:val="Hypertextovodkaz"/>
            <w:noProof/>
          </w:rPr>
          <w:t>Svědkové závěti s úlevami</w:t>
        </w:r>
        <w:r w:rsidR="0010104E">
          <w:rPr>
            <w:noProof/>
            <w:webHidden/>
          </w:rPr>
          <w:tab/>
        </w:r>
        <w:r w:rsidR="0010104E">
          <w:rPr>
            <w:noProof/>
            <w:webHidden/>
          </w:rPr>
          <w:fldChar w:fldCharType="begin"/>
        </w:r>
        <w:r w:rsidR="0010104E">
          <w:rPr>
            <w:noProof/>
            <w:webHidden/>
          </w:rPr>
          <w:instrText xml:space="preserve"> PAGEREF _Toc437225076 \h </w:instrText>
        </w:r>
        <w:r w:rsidR="0010104E">
          <w:rPr>
            <w:noProof/>
            <w:webHidden/>
          </w:rPr>
        </w:r>
        <w:r w:rsidR="0010104E">
          <w:rPr>
            <w:noProof/>
            <w:webHidden/>
          </w:rPr>
          <w:fldChar w:fldCharType="separate"/>
        </w:r>
        <w:r w:rsidR="006E0076">
          <w:rPr>
            <w:noProof/>
            <w:webHidden/>
          </w:rPr>
          <w:t>37</w:t>
        </w:r>
        <w:r w:rsidR="0010104E">
          <w:rPr>
            <w:noProof/>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77" w:history="1">
        <w:r w:rsidR="0010104E" w:rsidRPr="00F24C2F">
          <w:rPr>
            <w:rStyle w:val="Hypertextovodkaz"/>
          </w:rPr>
          <w:t>5</w:t>
        </w:r>
        <w:r w:rsidR="0010104E">
          <w:rPr>
            <w:rFonts w:asciiTheme="minorHAnsi" w:eastAsiaTheme="minorEastAsia" w:hAnsiTheme="minorHAnsi" w:cstheme="minorBidi"/>
            <w:b w:val="0"/>
            <w:sz w:val="22"/>
            <w:lang w:eastAsia="cs-CZ"/>
          </w:rPr>
          <w:tab/>
        </w:r>
        <w:r w:rsidR="0010104E" w:rsidRPr="00F24C2F">
          <w:rPr>
            <w:rStyle w:val="Hypertextovodkaz"/>
          </w:rPr>
          <w:t>Vybrané obsahové náležitosti závěti a jejich problematické aspekty</w:t>
        </w:r>
        <w:r w:rsidR="0010104E">
          <w:rPr>
            <w:webHidden/>
          </w:rPr>
          <w:tab/>
        </w:r>
        <w:r w:rsidR="0010104E">
          <w:rPr>
            <w:webHidden/>
          </w:rPr>
          <w:fldChar w:fldCharType="begin"/>
        </w:r>
        <w:r w:rsidR="0010104E">
          <w:rPr>
            <w:webHidden/>
          </w:rPr>
          <w:instrText xml:space="preserve"> PAGEREF _Toc437225077 \h </w:instrText>
        </w:r>
        <w:r w:rsidR="0010104E">
          <w:rPr>
            <w:webHidden/>
          </w:rPr>
        </w:r>
        <w:r w:rsidR="0010104E">
          <w:rPr>
            <w:webHidden/>
          </w:rPr>
          <w:fldChar w:fldCharType="separate"/>
        </w:r>
        <w:r w:rsidR="006E0076">
          <w:rPr>
            <w:webHidden/>
          </w:rPr>
          <w:t>39</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8" w:history="1">
        <w:r w:rsidR="0010104E" w:rsidRPr="00F24C2F">
          <w:rPr>
            <w:rStyle w:val="Hypertextovodkaz"/>
            <w:noProof/>
          </w:rPr>
          <w:t>5.1</w:t>
        </w:r>
        <w:r w:rsidR="0010104E">
          <w:rPr>
            <w:rFonts w:asciiTheme="minorHAnsi" w:eastAsiaTheme="minorEastAsia" w:hAnsiTheme="minorHAnsi" w:cstheme="minorBidi"/>
            <w:noProof/>
            <w:sz w:val="22"/>
            <w:lang w:eastAsia="cs-CZ"/>
          </w:rPr>
          <w:tab/>
        </w:r>
        <w:r w:rsidR="0010104E" w:rsidRPr="00F24C2F">
          <w:rPr>
            <w:rStyle w:val="Hypertextovodkaz"/>
            <w:noProof/>
          </w:rPr>
          <w:t>Rozlišení dědice a odkazovníka</w:t>
        </w:r>
        <w:r w:rsidR="0010104E">
          <w:rPr>
            <w:noProof/>
            <w:webHidden/>
          </w:rPr>
          <w:tab/>
        </w:r>
        <w:r w:rsidR="0010104E">
          <w:rPr>
            <w:noProof/>
            <w:webHidden/>
          </w:rPr>
          <w:fldChar w:fldCharType="begin"/>
        </w:r>
        <w:r w:rsidR="0010104E">
          <w:rPr>
            <w:noProof/>
            <w:webHidden/>
          </w:rPr>
          <w:instrText xml:space="preserve"> PAGEREF _Toc437225078 \h </w:instrText>
        </w:r>
        <w:r w:rsidR="0010104E">
          <w:rPr>
            <w:noProof/>
            <w:webHidden/>
          </w:rPr>
        </w:r>
        <w:r w:rsidR="0010104E">
          <w:rPr>
            <w:noProof/>
            <w:webHidden/>
          </w:rPr>
          <w:fldChar w:fldCharType="separate"/>
        </w:r>
        <w:r w:rsidR="006E0076">
          <w:rPr>
            <w:noProof/>
            <w:webHidden/>
          </w:rPr>
          <w:t>39</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79" w:history="1">
        <w:r w:rsidR="0010104E" w:rsidRPr="00F24C2F">
          <w:rPr>
            <w:rStyle w:val="Hypertextovodkaz"/>
            <w:noProof/>
          </w:rPr>
          <w:t>5.2</w:t>
        </w:r>
        <w:r w:rsidR="0010104E">
          <w:rPr>
            <w:rFonts w:asciiTheme="minorHAnsi" w:eastAsiaTheme="minorEastAsia" w:hAnsiTheme="minorHAnsi" w:cstheme="minorBidi"/>
            <w:noProof/>
            <w:sz w:val="22"/>
            <w:lang w:eastAsia="cs-CZ"/>
          </w:rPr>
          <w:tab/>
        </w:r>
        <w:r w:rsidR="0010104E" w:rsidRPr="00F24C2F">
          <w:rPr>
            <w:rStyle w:val="Hypertextovodkaz"/>
            <w:noProof/>
          </w:rPr>
          <w:t>Nepominutelný dědic a jeho ochrana</w:t>
        </w:r>
        <w:r w:rsidR="0010104E">
          <w:rPr>
            <w:noProof/>
            <w:webHidden/>
          </w:rPr>
          <w:tab/>
        </w:r>
        <w:r w:rsidR="0010104E">
          <w:rPr>
            <w:noProof/>
            <w:webHidden/>
          </w:rPr>
          <w:fldChar w:fldCharType="begin"/>
        </w:r>
        <w:r w:rsidR="0010104E">
          <w:rPr>
            <w:noProof/>
            <w:webHidden/>
          </w:rPr>
          <w:instrText xml:space="preserve"> PAGEREF _Toc437225079 \h </w:instrText>
        </w:r>
        <w:r w:rsidR="0010104E">
          <w:rPr>
            <w:noProof/>
            <w:webHidden/>
          </w:rPr>
        </w:r>
        <w:r w:rsidR="0010104E">
          <w:rPr>
            <w:noProof/>
            <w:webHidden/>
          </w:rPr>
          <w:fldChar w:fldCharType="separate"/>
        </w:r>
        <w:r w:rsidR="006E0076">
          <w:rPr>
            <w:noProof/>
            <w:webHidden/>
          </w:rPr>
          <w:t>41</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0" w:history="1">
        <w:r w:rsidR="0010104E" w:rsidRPr="00F24C2F">
          <w:rPr>
            <w:rStyle w:val="Hypertextovodkaz"/>
            <w:noProof/>
          </w:rPr>
          <w:t>5.2.1</w:t>
        </w:r>
        <w:r w:rsidR="0010104E">
          <w:rPr>
            <w:rFonts w:asciiTheme="minorHAnsi" w:eastAsiaTheme="minorEastAsia" w:hAnsiTheme="minorHAnsi" w:cstheme="minorBidi"/>
            <w:noProof/>
            <w:sz w:val="22"/>
            <w:lang w:eastAsia="cs-CZ"/>
          </w:rPr>
          <w:tab/>
        </w:r>
        <w:r w:rsidR="0010104E" w:rsidRPr="00F24C2F">
          <w:rPr>
            <w:rStyle w:val="Hypertextovodkaz"/>
            <w:noProof/>
          </w:rPr>
          <w:t>Právo na povinný díl</w:t>
        </w:r>
        <w:r w:rsidR="0010104E">
          <w:rPr>
            <w:noProof/>
            <w:webHidden/>
          </w:rPr>
          <w:tab/>
        </w:r>
        <w:r w:rsidR="0010104E">
          <w:rPr>
            <w:noProof/>
            <w:webHidden/>
          </w:rPr>
          <w:fldChar w:fldCharType="begin"/>
        </w:r>
        <w:r w:rsidR="0010104E">
          <w:rPr>
            <w:noProof/>
            <w:webHidden/>
          </w:rPr>
          <w:instrText xml:space="preserve"> PAGEREF _Toc437225080 \h </w:instrText>
        </w:r>
        <w:r w:rsidR="0010104E">
          <w:rPr>
            <w:noProof/>
            <w:webHidden/>
          </w:rPr>
        </w:r>
        <w:r w:rsidR="0010104E">
          <w:rPr>
            <w:noProof/>
            <w:webHidden/>
          </w:rPr>
          <w:fldChar w:fldCharType="separate"/>
        </w:r>
        <w:r w:rsidR="006E0076">
          <w:rPr>
            <w:noProof/>
            <w:webHidden/>
          </w:rPr>
          <w:t>41</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1" w:history="1">
        <w:r w:rsidR="0010104E" w:rsidRPr="00F24C2F">
          <w:rPr>
            <w:rStyle w:val="Hypertextovodkaz"/>
            <w:noProof/>
          </w:rPr>
          <w:t>5.2.2</w:t>
        </w:r>
        <w:r w:rsidR="0010104E">
          <w:rPr>
            <w:rFonts w:asciiTheme="minorHAnsi" w:eastAsiaTheme="minorEastAsia" w:hAnsiTheme="minorHAnsi" w:cstheme="minorBidi"/>
            <w:noProof/>
            <w:sz w:val="22"/>
            <w:lang w:eastAsia="cs-CZ"/>
          </w:rPr>
          <w:tab/>
        </w:r>
        <w:r w:rsidR="0010104E" w:rsidRPr="00F24C2F">
          <w:rPr>
            <w:rStyle w:val="Hypertextovodkaz"/>
            <w:noProof/>
          </w:rPr>
          <w:t>Zkrácení povinného dílu darováním pro případ smrti</w:t>
        </w:r>
        <w:r w:rsidR="0010104E">
          <w:rPr>
            <w:noProof/>
            <w:webHidden/>
          </w:rPr>
          <w:tab/>
        </w:r>
        <w:r w:rsidR="0010104E">
          <w:rPr>
            <w:noProof/>
            <w:webHidden/>
          </w:rPr>
          <w:fldChar w:fldCharType="begin"/>
        </w:r>
        <w:r w:rsidR="0010104E">
          <w:rPr>
            <w:noProof/>
            <w:webHidden/>
          </w:rPr>
          <w:instrText xml:space="preserve"> PAGEREF _Toc437225081 \h </w:instrText>
        </w:r>
        <w:r w:rsidR="0010104E">
          <w:rPr>
            <w:noProof/>
            <w:webHidden/>
          </w:rPr>
        </w:r>
        <w:r w:rsidR="0010104E">
          <w:rPr>
            <w:noProof/>
            <w:webHidden/>
          </w:rPr>
          <w:fldChar w:fldCharType="separate"/>
        </w:r>
        <w:r w:rsidR="006E0076">
          <w:rPr>
            <w:noProof/>
            <w:webHidden/>
          </w:rPr>
          <w:t>43</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2" w:history="1">
        <w:r w:rsidR="0010104E" w:rsidRPr="00F24C2F">
          <w:rPr>
            <w:rStyle w:val="Hypertextovodkaz"/>
            <w:noProof/>
          </w:rPr>
          <w:t>5.2.3</w:t>
        </w:r>
        <w:r w:rsidR="0010104E">
          <w:rPr>
            <w:rFonts w:asciiTheme="minorHAnsi" w:eastAsiaTheme="minorEastAsia" w:hAnsiTheme="minorHAnsi" w:cstheme="minorBidi"/>
            <w:noProof/>
            <w:sz w:val="22"/>
            <w:lang w:eastAsia="cs-CZ"/>
          </w:rPr>
          <w:tab/>
        </w:r>
        <w:r w:rsidR="0010104E" w:rsidRPr="00F24C2F">
          <w:rPr>
            <w:rStyle w:val="Hypertextovodkaz"/>
            <w:noProof/>
          </w:rPr>
          <w:t>Odvolání daru pro zkrácení povinného dílu</w:t>
        </w:r>
        <w:r w:rsidR="0010104E">
          <w:rPr>
            <w:noProof/>
            <w:webHidden/>
          </w:rPr>
          <w:tab/>
        </w:r>
        <w:r w:rsidR="0010104E">
          <w:rPr>
            <w:noProof/>
            <w:webHidden/>
          </w:rPr>
          <w:fldChar w:fldCharType="begin"/>
        </w:r>
        <w:r w:rsidR="0010104E">
          <w:rPr>
            <w:noProof/>
            <w:webHidden/>
          </w:rPr>
          <w:instrText xml:space="preserve"> PAGEREF _Toc437225082 \h </w:instrText>
        </w:r>
        <w:r w:rsidR="0010104E">
          <w:rPr>
            <w:noProof/>
            <w:webHidden/>
          </w:rPr>
        </w:r>
        <w:r w:rsidR="0010104E">
          <w:rPr>
            <w:noProof/>
            <w:webHidden/>
          </w:rPr>
          <w:fldChar w:fldCharType="separate"/>
        </w:r>
        <w:r w:rsidR="006E0076">
          <w:rPr>
            <w:noProof/>
            <w:webHidden/>
          </w:rPr>
          <w:t>44</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83" w:history="1">
        <w:r w:rsidR="0010104E" w:rsidRPr="00F24C2F">
          <w:rPr>
            <w:rStyle w:val="Hypertextovodkaz"/>
            <w:noProof/>
          </w:rPr>
          <w:t>5.3</w:t>
        </w:r>
        <w:r w:rsidR="0010104E">
          <w:rPr>
            <w:rFonts w:asciiTheme="minorHAnsi" w:eastAsiaTheme="minorEastAsia" w:hAnsiTheme="minorHAnsi" w:cstheme="minorBidi"/>
            <w:noProof/>
            <w:sz w:val="22"/>
            <w:lang w:eastAsia="cs-CZ"/>
          </w:rPr>
          <w:tab/>
        </w:r>
        <w:r w:rsidR="0010104E" w:rsidRPr="00F24C2F">
          <w:rPr>
            <w:rStyle w:val="Hypertextovodkaz"/>
            <w:noProof/>
          </w:rPr>
          <w:t>Vedlejší doložky v závěti</w:t>
        </w:r>
        <w:r w:rsidR="0010104E">
          <w:rPr>
            <w:noProof/>
            <w:webHidden/>
          </w:rPr>
          <w:tab/>
        </w:r>
        <w:r w:rsidR="0010104E">
          <w:rPr>
            <w:noProof/>
            <w:webHidden/>
          </w:rPr>
          <w:fldChar w:fldCharType="begin"/>
        </w:r>
        <w:r w:rsidR="0010104E">
          <w:rPr>
            <w:noProof/>
            <w:webHidden/>
          </w:rPr>
          <w:instrText xml:space="preserve"> PAGEREF _Toc437225083 \h </w:instrText>
        </w:r>
        <w:r w:rsidR="0010104E">
          <w:rPr>
            <w:noProof/>
            <w:webHidden/>
          </w:rPr>
        </w:r>
        <w:r w:rsidR="0010104E">
          <w:rPr>
            <w:noProof/>
            <w:webHidden/>
          </w:rPr>
          <w:fldChar w:fldCharType="separate"/>
        </w:r>
        <w:r w:rsidR="006E0076">
          <w:rPr>
            <w:noProof/>
            <w:webHidden/>
          </w:rPr>
          <w:t>46</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4" w:history="1">
        <w:r w:rsidR="0010104E" w:rsidRPr="00F24C2F">
          <w:rPr>
            <w:rStyle w:val="Hypertextovodkaz"/>
            <w:noProof/>
          </w:rPr>
          <w:t>5.3.1</w:t>
        </w:r>
        <w:r w:rsidR="0010104E">
          <w:rPr>
            <w:rFonts w:asciiTheme="minorHAnsi" w:eastAsiaTheme="minorEastAsia" w:hAnsiTheme="minorHAnsi" w:cstheme="minorBidi"/>
            <w:noProof/>
            <w:sz w:val="22"/>
            <w:lang w:eastAsia="cs-CZ"/>
          </w:rPr>
          <w:tab/>
        </w:r>
        <w:r w:rsidR="0010104E" w:rsidRPr="00F24C2F">
          <w:rPr>
            <w:rStyle w:val="Hypertextovodkaz"/>
            <w:noProof/>
          </w:rPr>
          <w:t>Vykonavatel závěti</w:t>
        </w:r>
        <w:r w:rsidR="0010104E">
          <w:rPr>
            <w:noProof/>
            <w:webHidden/>
          </w:rPr>
          <w:tab/>
        </w:r>
        <w:r w:rsidR="0010104E">
          <w:rPr>
            <w:noProof/>
            <w:webHidden/>
          </w:rPr>
          <w:fldChar w:fldCharType="begin"/>
        </w:r>
        <w:r w:rsidR="0010104E">
          <w:rPr>
            <w:noProof/>
            <w:webHidden/>
          </w:rPr>
          <w:instrText xml:space="preserve"> PAGEREF _Toc437225084 \h </w:instrText>
        </w:r>
        <w:r w:rsidR="0010104E">
          <w:rPr>
            <w:noProof/>
            <w:webHidden/>
          </w:rPr>
        </w:r>
        <w:r w:rsidR="0010104E">
          <w:rPr>
            <w:noProof/>
            <w:webHidden/>
          </w:rPr>
          <w:fldChar w:fldCharType="separate"/>
        </w:r>
        <w:r w:rsidR="006E0076">
          <w:rPr>
            <w:noProof/>
            <w:webHidden/>
          </w:rPr>
          <w:t>46</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5" w:history="1">
        <w:r w:rsidR="0010104E" w:rsidRPr="00F24C2F">
          <w:rPr>
            <w:rStyle w:val="Hypertextovodkaz"/>
            <w:noProof/>
          </w:rPr>
          <w:t>5.3.2</w:t>
        </w:r>
        <w:r w:rsidR="0010104E">
          <w:rPr>
            <w:rFonts w:asciiTheme="minorHAnsi" w:eastAsiaTheme="minorEastAsia" w:hAnsiTheme="minorHAnsi" w:cstheme="minorBidi"/>
            <w:noProof/>
            <w:sz w:val="22"/>
            <w:lang w:eastAsia="cs-CZ"/>
          </w:rPr>
          <w:tab/>
        </w:r>
        <w:r w:rsidR="0010104E" w:rsidRPr="00F24C2F">
          <w:rPr>
            <w:rStyle w:val="Hypertextovodkaz"/>
            <w:noProof/>
          </w:rPr>
          <w:t>Příkaz a odkaz</w:t>
        </w:r>
        <w:r w:rsidR="0010104E">
          <w:rPr>
            <w:noProof/>
            <w:webHidden/>
          </w:rPr>
          <w:tab/>
        </w:r>
        <w:r w:rsidR="0010104E">
          <w:rPr>
            <w:noProof/>
            <w:webHidden/>
          </w:rPr>
          <w:fldChar w:fldCharType="begin"/>
        </w:r>
        <w:r w:rsidR="0010104E">
          <w:rPr>
            <w:noProof/>
            <w:webHidden/>
          </w:rPr>
          <w:instrText xml:space="preserve"> PAGEREF _Toc437225085 \h </w:instrText>
        </w:r>
        <w:r w:rsidR="0010104E">
          <w:rPr>
            <w:noProof/>
            <w:webHidden/>
          </w:rPr>
        </w:r>
        <w:r w:rsidR="0010104E">
          <w:rPr>
            <w:noProof/>
            <w:webHidden/>
          </w:rPr>
          <w:fldChar w:fldCharType="separate"/>
        </w:r>
        <w:r w:rsidR="006E0076">
          <w:rPr>
            <w:noProof/>
            <w:webHidden/>
          </w:rPr>
          <w:t>47</w:t>
        </w:r>
        <w:r w:rsidR="0010104E">
          <w:rPr>
            <w:noProof/>
            <w:webHidden/>
          </w:rPr>
          <w:fldChar w:fldCharType="end"/>
        </w:r>
      </w:hyperlink>
    </w:p>
    <w:p w:rsidR="0010104E" w:rsidRDefault="00967270">
      <w:pPr>
        <w:pStyle w:val="Obsah3"/>
        <w:tabs>
          <w:tab w:val="left" w:pos="1320"/>
          <w:tab w:val="right" w:leader="dot" w:pos="9061"/>
        </w:tabs>
        <w:rPr>
          <w:rFonts w:asciiTheme="minorHAnsi" w:eastAsiaTheme="minorEastAsia" w:hAnsiTheme="minorHAnsi" w:cstheme="minorBidi"/>
          <w:noProof/>
          <w:sz w:val="22"/>
          <w:lang w:eastAsia="cs-CZ"/>
        </w:rPr>
      </w:pPr>
      <w:hyperlink w:anchor="_Toc437225086" w:history="1">
        <w:r w:rsidR="0010104E" w:rsidRPr="00F24C2F">
          <w:rPr>
            <w:rStyle w:val="Hypertextovodkaz"/>
            <w:noProof/>
          </w:rPr>
          <w:t>5.3.3</w:t>
        </w:r>
        <w:r w:rsidR="0010104E">
          <w:rPr>
            <w:rFonts w:asciiTheme="minorHAnsi" w:eastAsiaTheme="minorEastAsia" w:hAnsiTheme="minorHAnsi" w:cstheme="minorBidi"/>
            <w:noProof/>
            <w:sz w:val="22"/>
            <w:lang w:eastAsia="cs-CZ"/>
          </w:rPr>
          <w:tab/>
        </w:r>
        <w:r w:rsidR="0010104E" w:rsidRPr="00F24C2F">
          <w:rPr>
            <w:rStyle w:val="Hypertextovodkaz"/>
            <w:noProof/>
          </w:rPr>
          <w:t>Podmínka a doložení času</w:t>
        </w:r>
        <w:r w:rsidR="0010104E">
          <w:rPr>
            <w:noProof/>
            <w:webHidden/>
          </w:rPr>
          <w:tab/>
        </w:r>
        <w:r w:rsidR="0010104E">
          <w:rPr>
            <w:noProof/>
            <w:webHidden/>
          </w:rPr>
          <w:fldChar w:fldCharType="begin"/>
        </w:r>
        <w:r w:rsidR="0010104E">
          <w:rPr>
            <w:noProof/>
            <w:webHidden/>
          </w:rPr>
          <w:instrText xml:space="preserve"> PAGEREF _Toc437225086 \h </w:instrText>
        </w:r>
        <w:r w:rsidR="0010104E">
          <w:rPr>
            <w:noProof/>
            <w:webHidden/>
          </w:rPr>
        </w:r>
        <w:r w:rsidR="0010104E">
          <w:rPr>
            <w:noProof/>
            <w:webHidden/>
          </w:rPr>
          <w:fldChar w:fldCharType="separate"/>
        </w:r>
        <w:r w:rsidR="006E0076">
          <w:rPr>
            <w:noProof/>
            <w:webHidden/>
          </w:rPr>
          <w:t>48</w:t>
        </w:r>
        <w:r w:rsidR="0010104E">
          <w:rPr>
            <w:noProof/>
            <w:webHidden/>
          </w:rPr>
          <w:fldChar w:fldCharType="end"/>
        </w:r>
      </w:hyperlink>
    </w:p>
    <w:p w:rsidR="0010104E" w:rsidRDefault="00967270">
      <w:pPr>
        <w:pStyle w:val="Obsah1"/>
        <w:tabs>
          <w:tab w:val="left" w:pos="480"/>
        </w:tabs>
        <w:rPr>
          <w:rFonts w:asciiTheme="minorHAnsi" w:eastAsiaTheme="minorEastAsia" w:hAnsiTheme="minorHAnsi" w:cstheme="minorBidi"/>
          <w:b w:val="0"/>
          <w:sz w:val="22"/>
          <w:lang w:eastAsia="cs-CZ"/>
        </w:rPr>
      </w:pPr>
      <w:hyperlink w:anchor="_Toc437225087" w:history="1">
        <w:r w:rsidR="0010104E" w:rsidRPr="00F24C2F">
          <w:rPr>
            <w:rStyle w:val="Hypertextovodkaz"/>
          </w:rPr>
          <w:t>6</w:t>
        </w:r>
        <w:r w:rsidR="0010104E">
          <w:rPr>
            <w:rFonts w:asciiTheme="minorHAnsi" w:eastAsiaTheme="minorEastAsia" w:hAnsiTheme="minorHAnsi" w:cstheme="minorBidi"/>
            <w:b w:val="0"/>
            <w:sz w:val="22"/>
            <w:lang w:eastAsia="cs-CZ"/>
          </w:rPr>
          <w:tab/>
        </w:r>
        <w:r w:rsidR="0010104E" w:rsidRPr="00F24C2F">
          <w:rPr>
            <w:rStyle w:val="Hypertextovodkaz"/>
          </w:rPr>
          <w:t>Problematické aspekty zrušení závěti</w:t>
        </w:r>
        <w:r w:rsidR="0010104E">
          <w:rPr>
            <w:webHidden/>
          </w:rPr>
          <w:tab/>
        </w:r>
        <w:r w:rsidR="0010104E">
          <w:rPr>
            <w:webHidden/>
          </w:rPr>
          <w:fldChar w:fldCharType="begin"/>
        </w:r>
        <w:r w:rsidR="0010104E">
          <w:rPr>
            <w:webHidden/>
          </w:rPr>
          <w:instrText xml:space="preserve"> PAGEREF _Toc437225087 \h </w:instrText>
        </w:r>
        <w:r w:rsidR="0010104E">
          <w:rPr>
            <w:webHidden/>
          </w:rPr>
        </w:r>
        <w:r w:rsidR="0010104E">
          <w:rPr>
            <w:webHidden/>
          </w:rPr>
          <w:fldChar w:fldCharType="separate"/>
        </w:r>
        <w:r w:rsidR="006E0076">
          <w:rPr>
            <w:webHidden/>
          </w:rPr>
          <w:t>50</w:t>
        </w:r>
        <w:r w:rsidR="0010104E">
          <w:rPr>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88" w:history="1">
        <w:r w:rsidR="0010104E" w:rsidRPr="00F24C2F">
          <w:rPr>
            <w:rStyle w:val="Hypertextovodkaz"/>
            <w:noProof/>
          </w:rPr>
          <w:t>6.1</w:t>
        </w:r>
        <w:r w:rsidR="0010104E">
          <w:rPr>
            <w:rFonts w:asciiTheme="minorHAnsi" w:eastAsiaTheme="minorEastAsia" w:hAnsiTheme="minorHAnsi" w:cstheme="minorBidi"/>
            <w:noProof/>
            <w:sz w:val="22"/>
            <w:lang w:eastAsia="cs-CZ"/>
          </w:rPr>
          <w:tab/>
        </w:r>
        <w:r w:rsidR="0010104E" w:rsidRPr="00F24C2F">
          <w:rPr>
            <w:rStyle w:val="Hypertextovodkaz"/>
            <w:noProof/>
          </w:rPr>
          <w:t>Culpa in testando</w:t>
        </w:r>
        <w:r w:rsidR="0010104E">
          <w:rPr>
            <w:noProof/>
            <w:webHidden/>
          </w:rPr>
          <w:tab/>
        </w:r>
        <w:r w:rsidR="0010104E">
          <w:rPr>
            <w:noProof/>
            <w:webHidden/>
          </w:rPr>
          <w:fldChar w:fldCharType="begin"/>
        </w:r>
        <w:r w:rsidR="0010104E">
          <w:rPr>
            <w:noProof/>
            <w:webHidden/>
          </w:rPr>
          <w:instrText xml:space="preserve"> PAGEREF _Toc437225088 \h </w:instrText>
        </w:r>
        <w:r w:rsidR="0010104E">
          <w:rPr>
            <w:noProof/>
            <w:webHidden/>
          </w:rPr>
        </w:r>
        <w:r w:rsidR="0010104E">
          <w:rPr>
            <w:noProof/>
            <w:webHidden/>
          </w:rPr>
          <w:fldChar w:fldCharType="separate"/>
        </w:r>
        <w:r w:rsidR="006E0076">
          <w:rPr>
            <w:noProof/>
            <w:webHidden/>
          </w:rPr>
          <w:t>50</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89" w:history="1">
        <w:r w:rsidR="0010104E" w:rsidRPr="00F24C2F">
          <w:rPr>
            <w:rStyle w:val="Hypertextovodkaz"/>
            <w:noProof/>
          </w:rPr>
          <w:t>6.2</w:t>
        </w:r>
        <w:r w:rsidR="0010104E">
          <w:rPr>
            <w:rFonts w:asciiTheme="minorHAnsi" w:eastAsiaTheme="minorEastAsia" w:hAnsiTheme="minorHAnsi" w:cstheme="minorBidi"/>
            <w:noProof/>
            <w:sz w:val="22"/>
            <w:lang w:eastAsia="cs-CZ"/>
          </w:rPr>
          <w:tab/>
        </w:r>
        <w:r w:rsidR="0010104E" w:rsidRPr="00F24C2F">
          <w:rPr>
            <w:rStyle w:val="Hypertextovodkaz"/>
            <w:noProof/>
          </w:rPr>
          <w:t>Zrušení závěti pořízením platné závěti novější</w:t>
        </w:r>
        <w:r w:rsidR="0010104E">
          <w:rPr>
            <w:noProof/>
            <w:webHidden/>
          </w:rPr>
          <w:tab/>
        </w:r>
        <w:r w:rsidR="0010104E">
          <w:rPr>
            <w:noProof/>
            <w:webHidden/>
          </w:rPr>
          <w:fldChar w:fldCharType="begin"/>
        </w:r>
        <w:r w:rsidR="0010104E">
          <w:rPr>
            <w:noProof/>
            <w:webHidden/>
          </w:rPr>
          <w:instrText xml:space="preserve"> PAGEREF _Toc437225089 \h </w:instrText>
        </w:r>
        <w:r w:rsidR="0010104E">
          <w:rPr>
            <w:noProof/>
            <w:webHidden/>
          </w:rPr>
        </w:r>
        <w:r w:rsidR="0010104E">
          <w:rPr>
            <w:noProof/>
            <w:webHidden/>
          </w:rPr>
          <w:fldChar w:fldCharType="separate"/>
        </w:r>
        <w:r w:rsidR="006E0076">
          <w:rPr>
            <w:noProof/>
            <w:webHidden/>
          </w:rPr>
          <w:t>50</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90" w:history="1">
        <w:r w:rsidR="0010104E" w:rsidRPr="00F24C2F">
          <w:rPr>
            <w:rStyle w:val="Hypertextovodkaz"/>
            <w:noProof/>
          </w:rPr>
          <w:t>6.3</w:t>
        </w:r>
        <w:r w:rsidR="0010104E">
          <w:rPr>
            <w:rFonts w:asciiTheme="minorHAnsi" w:eastAsiaTheme="minorEastAsia" w:hAnsiTheme="minorHAnsi" w:cstheme="minorBidi"/>
            <w:noProof/>
            <w:sz w:val="22"/>
            <w:lang w:eastAsia="cs-CZ"/>
          </w:rPr>
          <w:tab/>
        </w:r>
        <w:r w:rsidR="0010104E" w:rsidRPr="00F24C2F">
          <w:rPr>
            <w:rStyle w:val="Hypertextovodkaz"/>
            <w:noProof/>
          </w:rPr>
          <w:t>Odvolání závěti jejím zničením</w:t>
        </w:r>
        <w:r w:rsidR="0010104E">
          <w:rPr>
            <w:noProof/>
            <w:webHidden/>
          </w:rPr>
          <w:tab/>
        </w:r>
        <w:r w:rsidR="0010104E">
          <w:rPr>
            <w:noProof/>
            <w:webHidden/>
          </w:rPr>
          <w:fldChar w:fldCharType="begin"/>
        </w:r>
        <w:r w:rsidR="0010104E">
          <w:rPr>
            <w:noProof/>
            <w:webHidden/>
          </w:rPr>
          <w:instrText xml:space="preserve"> PAGEREF _Toc437225090 \h </w:instrText>
        </w:r>
        <w:r w:rsidR="0010104E">
          <w:rPr>
            <w:noProof/>
            <w:webHidden/>
          </w:rPr>
        </w:r>
        <w:r w:rsidR="0010104E">
          <w:rPr>
            <w:noProof/>
            <w:webHidden/>
          </w:rPr>
          <w:fldChar w:fldCharType="separate"/>
        </w:r>
        <w:r w:rsidR="006E0076">
          <w:rPr>
            <w:noProof/>
            <w:webHidden/>
          </w:rPr>
          <w:t>51</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91" w:history="1">
        <w:r w:rsidR="0010104E" w:rsidRPr="00F24C2F">
          <w:rPr>
            <w:rStyle w:val="Hypertextovodkaz"/>
            <w:noProof/>
          </w:rPr>
          <w:t>6.4</w:t>
        </w:r>
        <w:r w:rsidR="0010104E">
          <w:rPr>
            <w:rFonts w:asciiTheme="minorHAnsi" w:eastAsiaTheme="minorEastAsia" w:hAnsiTheme="minorHAnsi" w:cstheme="minorBidi"/>
            <w:noProof/>
            <w:sz w:val="22"/>
            <w:lang w:eastAsia="cs-CZ"/>
          </w:rPr>
          <w:tab/>
        </w:r>
        <w:r w:rsidR="0010104E" w:rsidRPr="00F24C2F">
          <w:rPr>
            <w:rStyle w:val="Hypertextovodkaz"/>
            <w:noProof/>
          </w:rPr>
          <w:t>Obnova dřívější závěti</w:t>
        </w:r>
        <w:r w:rsidR="0010104E">
          <w:rPr>
            <w:noProof/>
            <w:webHidden/>
          </w:rPr>
          <w:tab/>
        </w:r>
        <w:r w:rsidR="0010104E">
          <w:rPr>
            <w:noProof/>
            <w:webHidden/>
          </w:rPr>
          <w:fldChar w:fldCharType="begin"/>
        </w:r>
        <w:r w:rsidR="0010104E">
          <w:rPr>
            <w:noProof/>
            <w:webHidden/>
          </w:rPr>
          <w:instrText xml:space="preserve"> PAGEREF _Toc437225091 \h </w:instrText>
        </w:r>
        <w:r w:rsidR="0010104E">
          <w:rPr>
            <w:noProof/>
            <w:webHidden/>
          </w:rPr>
        </w:r>
        <w:r w:rsidR="0010104E">
          <w:rPr>
            <w:noProof/>
            <w:webHidden/>
          </w:rPr>
          <w:fldChar w:fldCharType="separate"/>
        </w:r>
        <w:r w:rsidR="006E0076">
          <w:rPr>
            <w:noProof/>
            <w:webHidden/>
          </w:rPr>
          <w:t>52</w:t>
        </w:r>
        <w:r w:rsidR="0010104E">
          <w:rPr>
            <w:noProof/>
            <w:webHidden/>
          </w:rPr>
          <w:fldChar w:fldCharType="end"/>
        </w:r>
      </w:hyperlink>
    </w:p>
    <w:p w:rsidR="0010104E" w:rsidRDefault="00967270">
      <w:pPr>
        <w:pStyle w:val="Obsah2"/>
        <w:tabs>
          <w:tab w:val="left" w:pos="880"/>
          <w:tab w:val="right" w:leader="dot" w:pos="9061"/>
        </w:tabs>
        <w:rPr>
          <w:rFonts w:asciiTheme="minorHAnsi" w:eastAsiaTheme="minorEastAsia" w:hAnsiTheme="minorHAnsi" w:cstheme="minorBidi"/>
          <w:noProof/>
          <w:sz w:val="22"/>
          <w:lang w:eastAsia="cs-CZ"/>
        </w:rPr>
      </w:pPr>
      <w:hyperlink w:anchor="_Toc437225092" w:history="1">
        <w:r w:rsidR="0010104E" w:rsidRPr="00F24C2F">
          <w:rPr>
            <w:rStyle w:val="Hypertextovodkaz"/>
            <w:noProof/>
          </w:rPr>
          <w:t>6.5</w:t>
        </w:r>
        <w:r w:rsidR="0010104E">
          <w:rPr>
            <w:rFonts w:asciiTheme="minorHAnsi" w:eastAsiaTheme="minorEastAsia" w:hAnsiTheme="minorHAnsi" w:cstheme="minorBidi"/>
            <w:noProof/>
            <w:sz w:val="22"/>
            <w:lang w:eastAsia="cs-CZ"/>
          </w:rPr>
          <w:tab/>
        </w:r>
        <w:r w:rsidR="0010104E" w:rsidRPr="00F24C2F">
          <w:rPr>
            <w:rStyle w:val="Hypertextovodkaz"/>
            <w:noProof/>
          </w:rPr>
          <w:t>Zrušovací doložka</w:t>
        </w:r>
        <w:r w:rsidR="0010104E">
          <w:rPr>
            <w:noProof/>
            <w:webHidden/>
          </w:rPr>
          <w:tab/>
        </w:r>
        <w:r w:rsidR="0010104E">
          <w:rPr>
            <w:noProof/>
            <w:webHidden/>
          </w:rPr>
          <w:fldChar w:fldCharType="begin"/>
        </w:r>
        <w:r w:rsidR="0010104E">
          <w:rPr>
            <w:noProof/>
            <w:webHidden/>
          </w:rPr>
          <w:instrText xml:space="preserve"> PAGEREF _Toc437225092 \h </w:instrText>
        </w:r>
        <w:r w:rsidR="0010104E">
          <w:rPr>
            <w:noProof/>
            <w:webHidden/>
          </w:rPr>
        </w:r>
        <w:r w:rsidR="0010104E">
          <w:rPr>
            <w:noProof/>
            <w:webHidden/>
          </w:rPr>
          <w:fldChar w:fldCharType="separate"/>
        </w:r>
        <w:r w:rsidR="006E0076">
          <w:rPr>
            <w:noProof/>
            <w:webHidden/>
          </w:rPr>
          <w:t>54</w:t>
        </w:r>
        <w:r w:rsidR="0010104E">
          <w:rPr>
            <w:noProof/>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3" w:history="1">
        <w:r w:rsidR="0010104E" w:rsidRPr="00F24C2F">
          <w:rPr>
            <w:rStyle w:val="Hypertextovodkaz"/>
          </w:rPr>
          <w:t>Závěr</w:t>
        </w:r>
        <w:r w:rsidR="0010104E">
          <w:rPr>
            <w:webHidden/>
          </w:rPr>
          <w:tab/>
        </w:r>
        <w:r w:rsidR="0010104E">
          <w:rPr>
            <w:webHidden/>
          </w:rPr>
          <w:fldChar w:fldCharType="begin"/>
        </w:r>
        <w:r w:rsidR="0010104E">
          <w:rPr>
            <w:webHidden/>
          </w:rPr>
          <w:instrText xml:space="preserve"> PAGEREF _Toc437225093 \h </w:instrText>
        </w:r>
        <w:r w:rsidR="0010104E">
          <w:rPr>
            <w:webHidden/>
          </w:rPr>
        </w:r>
        <w:r w:rsidR="0010104E">
          <w:rPr>
            <w:webHidden/>
          </w:rPr>
          <w:fldChar w:fldCharType="separate"/>
        </w:r>
        <w:r w:rsidR="006E0076">
          <w:rPr>
            <w:webHidden/>
          </w:rPr>
          <w:t>55</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4" w:history="1">
        <w:r w:rsidR="0010104E" w:rsidRPr="00F24C2F">
          <w:rPr>
            <w:rStyle w:val="Hypertextovodkaz"/>
          </w:rPr>
          <w:t>Bibliografie</w:t>
        </w:r>
        <w:r w:rsidR="0010104E">
          <w:rPr>
            <w:webHidden/>
          </w:rPr>
          <w:tab/>
        </w:r>
        <w:r w:rsidR="0010104E">
          <w:rPr>
            <w:webHidden/>
          </w:rPr>
          <w:fldChar w:fldCharType="begin"/>
        </w:r>
        <w:r w:rsidR="0010104E">
          <w:rPr>
            <w:webHidden/>
          </w:rPr>
          <w:instrText xml:space="preserve"> PAGEREF _Toc437225094 \h </w:instrText>
        </w:r>
        <w:r w:rsidR="0010104E">
          <w:rPr>
            <w:webHidden/>
          </w:rPr>
        </w:r>
        <w:r w:rsidR="0010104E">
          <w:rPr>
            <w:webHidden/>
          </w:rPr>
          <w:fldChar w:fldCharType="separate"/>
        </w:r>
        <w:r w:rsidR="006E0076">
          <w:rPr>
            <w:webHidden/>
          </w:rPr>
          <w:t>58</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5" w:history="1">
        <w:r w:rsidR="0010104E" w:rsidRPr="00F24C2F">
          <w:rPr>
            <w:rStyle w:val="Hypertextovodkaz"/>
          </w:rPr>
          <w:t>Shrnutí</w:t>
        </w:r>
        <w:r w:rsidR="0010104E">
          <w:rPr>
            <w:webHidden/>
          </w:rPr>
          <w:tab/>
        </w:r>
        <w:r w:rsidR="0010104E">
          <w:rPr>
            <w:webHidden/>
          </w:rPr>
          <w:fldChar w:fldCharType="begin"/>
        </w:r>
        <w:r w:rsidR="0010104E">
          <w:rPr>
            <w:webHidden/>
          </w:rPr>
          <w:instrText xml:space="preserve"> PAGEREF _Toc437225095 \h </w:instrText>
        </w:r>
        <w:r w:rsidR="0010104E">
          <w:rPr>
            <w:webHidden/>
          </w:rPr>
        </w:r>
        <w:r w:rsidR="0010104E">
          <w:rPr>
            <w:webHidden/>
          </w:rPr>
          <w:fldChar w:fldCharType="separate"/>
        </w:r>
        <w:r w:rsidR="006E0076">
          <w:rPr>
            <w:webHidden/>
          </w:rPr>
          <w:t>64</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6" w:history="1">
        <w:r w:rsidR="0010104E" w:rsidRPr="00F24C2F">
          <w:rPr>
            <w:rStyle w:val="Hypertextovodkaz"/>
          </w:rPr>
          <w:t>Summary</w:t>
        </w:r>
        <w:r w:rsidR="0010104E">
          <w:rPr>
            <w:webHidden/>
          </w:rPr>
          <w:tab/>
        </w:r>
        <w:r w:rsidR="0010104E">
          <w:rPr>
            <w:webHidden/>
          </w:rPr>
          <w:fldChar w:fldCharType="begin"/>
        </w:r>
        <w:r w:rsidR="0010104E">
          <w:rPr>
            <w:webHidden/>
          </w:rPr>
          <w:instrText xml:space="preserve"> PAGEREF _Toc437225096 \h </w:instrText>
        </w:r>
        <w:r w:rsidR="0010104E">
          <w:rPr>
            <w:webHidden/>
          </w:rPr>
        </w:r>
        <w:r w:rsidR="0010104E">
          <w:rPr>
            <w:webHidden/>
          </w:rPr>
          <w:fldChar w:fldCharType="separate"/>
        </w:r>
        <w:r w:rsidR="006E0076">
          <w:rPr>
            <w:webHidden/>
          </w:rPr>
          <w:t>65</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7" w:history="1">
        <w:r w:rsidR="0010104E" w:rsidRPr="00F24C2F">
          <w:rPr>
            <w:rStyle w:val="Hypertextovodkaz"/>
          </w:rPr>
          <w:t>Klíčová slova</w:t>
        </w:r>
        <w:r w:rsidR="0010104E">
          <w:rPr>
            <w:webHidden/>
          </w:rPr>
          <w:tab/>
        </w:r>
        <w:r w:rsidR="0010104E">
          <w:rPr>
            <w:webHidden/>
          </w:rPr>
          <w:fldChar w:fldCharType="begin"/>
        </w:r>
        <w:r w:rsidR="0010104E">
          <w:rPr>
            <w:webHidden/>
          </w:rPr>
          <w:instrText xml:space="preserve"> PAGEREF _Toc437225097 \h </w:instrText>
        </w:r>
        <w:r w:rsidR="0010104E">
          <w:rPr>
            <w:webHidden/>
          </w:rPr>
        </w:r>
        <w:r w:rsidR="0010104E">
          <w:rPr>
            <w:webHidden/>
          </w:rPr>
          <w:fldChar w:fldCharType="separate"/>
        </w:r>
        <w:r w:rsidR="006E0076">
          <w:rPr>
            <w:webHidden/>
          </w:rPr>
          <w:t>66</w:t>
        </w:r>
        <w:r w:rsidR="0010104E">
          <w:rPr>
            <w:webHidden/>
          </w:rPr>
          <w:fldChar w:fldCharType="end"/>
        </w:r>
      </w:hyperlink>
    </w:p>
    <w:p w:rsidR="0010104E" w:rsidRDefault="00967270">
      <w:pPr>
        <w:pStyle w:val="Obsah1"/>
        <w:rPr>
          <w:rFonts w:asciiTheme="minorHAnsi" w:eastAsiaTheme="minorEastAsia" w:hAnsiTheme="minorHAnsi" w:cstheme="minorBidi"/>
          <w:b w:val="0"/>
          <w:sz w:val="22"/>
          <w:lang w:eastAsia="cs-CZ"/>
        </w:rPr>
      </w:pPr>
      <w:hyperlink w:anchor="_Toc437225098" w:history="1">
        <w:r w:rsidR="0010104E" w:rsidRPr="00F24C2F">
          <w:rPr>
            <w:rStyle w:val="Hypertextovodkaz"/>
          </w:rPr>
          <w:t>Key words</w:t>
        </w:r>
        <w:r w:rsidR="0010104E">
          <w:rPr>
            <w:webHidden/>
          </w:rPr>
          <w:tab/>
        </w:r>
        <w:r w:rsidR="0010104E">
          <w:rPr>
            <w:webHidden/>
          </w:rPr>
          <w:fldChar w:fldCharType="begin"/>
        </w:r>
        <w:r w:rsidR="0010104E">
          <w:rPr>
            <w:webHidden/>
          </w:rPr>
          <w:instrText xml:space="preserve"> PAGEREF _Toc437225098 \h </w:instrText>
        </w:r>
        <w:r w:rsidR="0010104E">
          <w:rPr>
            <w:webHidden/>
          </w:rPr>
        </w:r>
        <w:r w:rsidR="0010104E">
          <w:rPr>
            <w:webHidden/>
          </w:rPr>
          <w:fldChar w:fldCharType="separate"/>
        </w:r>
        <w:r w:rsidR="006E0076">
          <w:rPr>
            <w:webHidden/>
          </w:rPr>
          <w:t>66</w:t>
        </w:r>
        <w:r w:rsidR="0010104E">
          <w:rPr>
            <w:webHidden/>
          </w:rPr>
          <w:fldChar w:fldCharType="end"/>
        </w:r>
      </w:hyperlink>
    </w:p>
    <w:p w:rsidR="004B3FD5" w:rsidRDefault="00A308B8">
      <w:pPr>
        <w:spacing w:after="0" w:line="240" w:lineRule="auto"/>
        <w:jc w:val="left"/>
        <w:rPr>
          <w:bCs/>
        </w:rPr>
      </w:pPr>
      <w:r>
        <w:rPr>
          <w:b/>
          <w:bCs/>
          <w:noProof/>
        </w:rPr>
        <w:fldChar w:fldCharType="end"/>
      </w:r>
      <w:r w:rsidR="004B3FD5">
        <w:rPr>
          <w:bCs/>
        </w:rPr>
        <w:br w:type="page"/>
      </w:r>
    </w:p>
    <w:p w:rsidR="007F0F01" w:rsidRDefault="00A4172C" w:rsidP="00785A65">
      <w:pPr>
        <w:pStyle w:val="Nadpis1"/>
      </w:pPr>
      <w:bookmarkStart w:id="2" w:name="_Toc437225050"/>
      <w:r w:rsidRPr="00785A65">
        <w:lastRenderedPageBreak/>
        <w:t>S</w:t>
      </w:r>
      <w:r w:rsidR="007F0F01" w:rsidRPr="00785A65">
        <w:t>eznam zkratek</w:t>
      </w:r>
      <w:bookmarkEnd w:id="1"/>
      <w:bookmarkEnd w:id="2"/>
    </w:p>
    <w:p w:rsidR="00D07F53" w:rsidRPr="00D07F53" w:rsidRDefault="00D07F53" w:rsidP="00772DB8">
      <w:pPr>
        <w:spacing w:after="0"/>
      </w:pPr>
    </w:p>
    <w:tbl>
      <w:tblPr>
        <w:tblW w:w="9245" w:type="dxa"/>
        <w:tblCellMar>
          <w:left w:w="70" w:type="dxa"/>
          <w:right w:w="70" w:type="dxa"/>
        </w:tblCellMar>
        <w:tblLook w:val="04A0" w:firstRow="1" w:lastRow="0" w:firstColumn="1" w:lastColumn="0" w:noHBand="0" w:noVBand="1"/>
      </w:tblPr>
      <w:tblGrid>
        <w:gridCol w:w="2905"/>
        <w:gridCol w:w="6340"/>
      </w:tblGrid>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ABGB</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val="de-DE" w:eastAsia="cs-CZ"/>
              </w:rPr>
              <w:t xml:space="preserve">Allgemeines bürgerliches Gesetzbuch </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BGB</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proofErr w:type="spellStart"/>
            <w:r w:rsidRPr="004923CC">
              <w:rPr>
                <w:rFonts w:eastAsia="Times New Roman"/>
                <w:color w:val="000000"/>
                <w:szCs w:val="24"/>
                <w:lang w:eastAsia="cs-CZ"/>
              </w:rPr>
              <w:t>Bürgerliches</w:t>
            </w:r>
            <w:proofErr w:type="spellEnd"/>
            <w:r w:rsidRPr="004923CC">
              <w:rPr>
                <w:rFonts w:eastAsia="Times New Roman"/>
                <w:color w:val="000000"/>
                <w:szCs w:val="24"/>
                <w:lang w:eastAsia="cs-CZ"/>
              </w:rPr>
              <w:t xml:space="preserve"> </w:t>
            </w:r>
            <w:proofErr w:type="spellStart"/>
            <w:r w:rsidRPr="004923CC">
              <w:rPr>
                <w:rFonts w:eastAsia="Times New Roman"/>
                <w:color w:val="000000"/>
                <w:szCs w:val="24"/>
                <w:lang w:eastAsia="cs-CZ"/>
              </w:rPr>
              <w:t>Gesetzbuch</w:t>
            </w:r>
            <w:proofErr w:type="spellEnd"/>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ČR</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Česká republika</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ČSR</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Československá republika</w:t>
            </w:r>
          </w:p>
        </w:tc>
      </w:tr>
      <w:tr w:rsidR="004755F9" w:rsidRPr="004923CC" w:rsidTr="00AB3277">
        <w:trPr>
          <w:trHeight w:val="315"/>
        </w:trPr>
        <w:tc>
          <w:tcPr>
            <w:tcW w:w="2905" w:type="dxa"/>
            <w:tcBorders>
              <w:top w:val="nil"/>
              <w:left w:val="nil"/>
              <w:bottom w:val="nil"/>
              <w:right w:val="nil"/>
            </w:tcBorders>
            <w:shd w:val="clear" w:color="auto" w:fill="auto"/>
            <w:noWrap/>
          </w:tcPr>
          <w:p w:rsidR="004755F9" w:rsidRPr="00AA2E03" w:rsidRDefault="004755F9" w:rsidP="004923CC">
            <w:pPr>
              <w:spacing w:after="0"/>
              <w:jc w:val="left"/>
              <w:rPr>
                <w:rFonts w:eastAsia="Times New Roman"/>
                <w:color w:val="FF0000"/>
                <w:szCs w:val="24"/>
                <w:lang w:eastAsia="cs-CZ"/>
              </w:rPr>
            </w:pPr>
            <w:r w:rsidRPr="00171736">
              <w:rPr>
                <w:rFonts w:eastAsia="Times New Roman"/>
                <w:szCs w:val="24"/>
                <w:lang w:eastAsia="cs-CZ"/>
              </w:rPr>
              <w:t>Důvodová zpráva k NOZ</w:t>
            </w:r>
          </w:p>
        </w:tc>
        <w:tc>
          <w:tcPr>
            <w:tcW w:w="6340" w:type="dxa"/>
            <w:tcBorders>
              <w:top w:val="nil"/>
              <w:left w:val="nil"/>
              <w:bottom w:val="nil"/>
              <w:right w:val="nil"/>
            </w:tcBorders>
            <w:shd w:val="clear" w:color="auto" w:fill="auto"/>
          </w:tcPr>
          <w:p w:rsidR="004755F9" w:rsidRPr="004923CC" w:rsidRDefault="004755F9" w:rsidP="00AB3277">
            <w:pPr>
              <w:spacing w:after="0"/>
              <w:jc w:val="left"/>
              <w:rPr>
                <w:rFonts w:eastAsia="Times New Roman"/>
                <w:color w:val="000000"/>
                <w:szCs w:val="24"/>
                <w:lang w:eastAsia="cs-CZ"/>
              </w:rPr>
            </w:pPr>
            <w:r w:rsidRPr="00D07F53">
              <w:rPr>
                <w:rFonts w:eastAsia="Times New Roman"/>
                <w:color w:val="000000"/>
                <w:szCs w:val="24"/>
                <w:lang w:eastAsia="cs-CZ"/>
              </w:rPr>
              <w:t>Důvodová zpráva k</w:t>
            </w:r>
            <w:r>
              <w:rPr>
                <w:rFonts w:eastAsia="Times New Roman"/>
                <w:color w:val="000000"/>
                <w:szCs w:val="24"/>
                <w:lang w:eastAsia="cs-CZ"/>
              </w:rPr>
              <w:t> novému občanskému zákoníku (konsolidovaná verze)</w:t>
            </w:r>
          </w:p>
        </w:tc>
      </w:tr>
      <w:tr w:rsidR="004755F9" w:rsidRPr="004923CC" w:rsidTr="00AB3277">
        <w:trPr>
          <w:trHeight w:val="315"/>
        </w:trPr>
        <w:tc>
          <w:tcPr>
            <w:tcW w:w="2905" w:type="dxa"/>
            <w:tcBorders>
              <w:top w:val="nil"/>
              <w:left w:val="nil"/>
              <w:bottom w:val="nil"/>
              <w:right w:val="nil"/>
            </w:tcBorders>
            <w:shd w:val="clear" w:color="auto" w:fill="auto"/>
            <w:noWrap/>
          </w:tcPr>
          <w:p w:rsidR="004755F9" w:rsidRPr="00AA2E03" w:rsidRDefault="004755F9" w:rsidP="004923CC">
            <w:pPr>
              <w:spacing w:after="0"/>
              <w:jc w:val="left"/>
              <w:rPr>
                <w:rFonts w:eastAsia="Times New Roman"/>
                <w:color w:val="FF0000"/>
                <w:szCs w:val="24"/>
                <w:lang w:eastAsia="cs-CZ"/>
              </w:rPr>
            </w:pPr>
            <w:r w:rsidRPr="00171736">
              <w:rPr>
                <w:rFonts w:eastAsia="Times New Roman"/>
                <w:szCs w:val="24"/>
                <w:lang w:eastAsia="cs-CZ"/>
              </w:rPr>
              <w:t>Důvodová zpráva k NOZ05</w:t>
            </w:r>
          </w:p>
        </w:tc>
        <w:tc>
          <w:tcPr>
            <w:tcW w:w="6340" w:type="dxa"/>
            <w:tcBorders>
              <w:top w:val="nil"/>
              <w:left w:val="nil"/>
              <w:bottom w:val="nil"/>
              <w:right w:val="nil"/>
            </w:tcBorders>
            <w:shd w:val="clear" w:color="auto" w:fill="auto"/>
          </w:tcPr>
          <w:p w:rsidR="004755F9" w:rsidRPr="004923CC" w:rsidRDefault="004755F9" w:rsidP="00AB3277">
            <w:pPr>
              <w:spacing w:after="0"/>
              <w:jc w:val="left"/>
              <w:rPr>
                <w:rFonts w:eastAsia="Times New Roman"/>
                <w:color w:val="000000"/>
                <w:szCs w:val="24"/>
                <w:lang w:eastAsia="cs-CZ"/>
              </w:rPr>
            </w:pPr>
            <w:r w:rsidRPr="00D07F53">
              <w:rPr>
                <w:rFonts w:eastAsia="Times New Roman"/>
                <w:color w:val="000000"/>
                <w:szCs w:val="24"/>
                <w:lang w:eastAsia="cs-CZ"/>
              </w:rPr>
              <w:t>Důvodová zpráva k</w:t>
            </w:r>
            <w:r>
              <w:rPr>
                <w:rFonts w:eastAsia="Times New Roman"/>
                <w:color w:val="000000"/>
                <w:szCs w:val="24"/>
                <w:lang w:eastAsia="cs-CZ"/>
              </w:rPr>
              <w:t xml:space="preserve"> novému občanskému zákoníku z roku 2005 </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proofErr w:type="spellStart"/>
            <w:r w:rsidRPr="004923CC">
              <w:rPr>
                <w:rFonts w:eastAsia="Times New Roman"/>
                <w:color w:val="000000"/>
                <w:szCs w:val="24"/>
                <w:lang w:eastAsia="cs-CZ"/>
              </w:rPr>
              <w:t>Gl</w:t>
            </w:r>
            <w:proofErr w:type="spellEnd"/>
            <w:r w:rsidRPr="004923CC">
              <w:rPr>
                <w:rFonts w:eastAsia="Times New Roman"/>
                <w:color w:val="000000"/>
                <w:szCs w:val="24"/>
                <w:lang w:eastAsia="cs-CZ"/>
              </w:rPr>
              <w:t>.</w:t>
            </w:r>
            <w:r w:rsidR="004E15D3">
              <w:rPr>
                <w:rFonts w:eastAsia="Times New Roman"/>
                <w:color w:val="000000"/>
                <w:szCs w:val="24"/>
                <w:lang w:eastAsia="cs-CZ"/>
              </w:rPr>
              <w:t xml:space="preserve"> </w:t>
            </w:r>
            <w:r w:rsidRPr="004923CC">
              <w:rPr>
                <w:rFonts w:eastAsia="Times New Roman"/>
                <w:color w:val="000000"/>
                <w:szCs w:val="24"/>
                <w:lang w:eastAsia="cs-CZ"/>
              </w:rPr>
              <w:t>U.</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Sbírka soudních</w:t>
            </w:r>
            <w:r w:rsidRPr="004923CC">
              <w:rPr>
                <w:rFonts w:eastAsia="Times New Roman"/>
                <w:color w:val="000000"/>
                <w:szCs w:val="24"/>
                <w:lang w:eastAsia="cs-CZ"/>
              </w:rPr>
              <w:t xml:space="preserve"> rozhodnutí Glaser a Unger</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proofErr w:type="spellStart"/>
            <w:r w:rsidRPr="004923CC">
              <w:rPr>
                <w:rFonts w:eastAsia="Times New Roman"/>
                <w:color w:val="000000"/>
                <w:szCs w:val="24"/>
                <w:lang w:eastAsia="cs-CZ"/>
              </w:rPr>
              <w:t>Gl</w:t>
            </w:r>
            <w:proofErr w:type="spellEnd"/>
            <w:r w:rsidRPr="004923CC">
              <w:rPr>
                <w:rFonts w:eastAsia="Times New Roman"/>
                <w:color w:val="000000"/>
                <w:szCs w:val="24"/>
                <w:lang w:eastAsia="cs-CZ"/>
              </w:rPr>
              <w:t>.</w:t>
            </w:r>
            <w:r w:rsidR="004E15D3">
              <w:rPr>
                <w:rFonts w:eastAsia="Times New Roman"/>
                <w:color w:val="000000"/>
                <w:szCs w:val="24"/>
                <w:lang w:eastAsia="cs-CZ"/>
              </w:rPr>
              <w:t xml:space="preserve"> </w:t>
            </w:r>
            <w:proofErr w:type="spellStart"/>
            <w:proofErr w:type="gramStart"/>
            <w:r w:rsidRPr="004923CC">
              <w:rPr>
                <w:rFonts w:eastAsia="Times New Roman"/>
                <w:color w:val="000000"/>
                <w:szCs w:val="24"/>
                <w:lang w:eastAsia="cs-CZ"/>
              </w:rPr>
              <w:t>U.n</w:t>
            </w:r>
            <w:proofErr w:type="spellEnd"/>
            <w:r w:rsidRPr="004923CC">
              <w:rPr>
                <w:rFonts w:eastAsia="Times New Roman"/>
                <w:color w:val="000000"/>
                <w:szCs w:val="24"/>
                <w:lang w:eastAsia="cs-CZ"/>
              </w:rPr>
              <w:t>.</w:t>
            </w:r>
            <w:proofErr w:type="gramEnd"/>
            <w:r w:rsidR="004E15D3">
              <w:rPr>
                <w:rFonts w:eastAsia="Times New Roman"/>
                <w:color w:val="000000"/>
                <w:szCs w:val="24"/>
                <w:lang w:eastAsia="cs-CZ"/>
              </w:rPr>
              <w:t xml:space="preserve"> </w:t>
            </w:r>
            <w:r w:rsidRPr="004923CC">
              <w:rPr>
                <w:rFonts w:eastAsia="Times New Roman"/>
                <w:color w:val="000000"/>
                <w:szCs w:val="24"/>
                <w:lang w:eastAsia="cs-CZ"/>
              </w:rPr>
              <w:t>f</w:t>
            </w:r>
            <w:r w:rsidR="004E15D3">
              <w:rPr>
                <w:rFonts w:eastAsia="Times New Roman"/>
                <w:color w:val="000000"/>
                <w:szCs w:val="24"/>
                <w:lang w:eastAsia="cs-CZ"/>
              </w:rPr>
              <w:t>.</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S</w:t>
            </w:r>
            <w:r w:rsidRPr="004923CC">
              <w:rPr>
                <w:rFonts w:eastAsia="Times New Roman"/>
                <w:color w:val="000000"/>
                <w:szCs w:val="24"/>
                <w:lang w:eastAsia="cs-CZ"/>
              </w:rPr>
              <w:t xml:space="preserve">bírka </w:t>
            </w:r>
            <w:r>
              <w:rPr>
                <w:rFonts w:eastAsia="Times New Roman"/>
                <w:color w:val="000000"/>
                <w:szCs w:val="24"/>
                <w:lang w:eastAsia="cs-CZ"/>
              </w:rPr>
              <w:t xml:space="preserve">soudních </w:t>
            </w:r>
            <w:r w:rsidRPr="004923CC">
              <w:rPr>
                <w:rFonts w:eastAsia="Times New Roman"/>
                <w:color w:val="000000"/>
                <w:szCs w:val="24"/>
                <w:lang w:eastAsia="cs-CZ"/>
              </w:rPr>
              <w:t>rozhodnutí</w:t>
            </w:r>
            <w:r>
              <w:rPr>
                <w:rFonts w:eastAsia="Times New Roman"/>
                <w:color w:val="000000"/>
                <w:szCs w:val="24"/>
                <w:lang w:eastAsia="cs-CZ"/>
              </w:rPr>
              <w:t xml:space="preserve"> </w:t>
            </w:r>
            <w:proofErr w:type="spellStart"/>
            <w:r>
              <w:rPr>
                <w:rFonts w:eastAsia="Times New Roman"/>
                <w:color w:val="000000"/>
                <w:szCs w:val="24"/>
                <w:lang w:eastAsia="cs-CZ"/>
              </w:rPr>
              <w:t>Neue</w:t>
            </w:r>
            <w:proofErr w:type="spellEnd"/>
            <w:r>
              <w:rPr>
                <w:rFonts w:eastAsia="Times New Roman"/>
                <w:color w:val="000000"/>
                <w:szCs w:val="24"/>
                <w:lang w:eastAsia="cs-CZ"/>
              </w:rPr>
              <w:t xml:space="preserve"> </w:t>
            </w:r>
            <w:proofErr w:type="spellStart"/>
            <w:r>
              <w:rPr>
                <w:rFonts w:eastAsia="Times New Roman"/>
                <w:color w:val="000000"/>
                <w:szCs w:val="24"/>
                <w:lang w:eastAsia="cs-CZ"/>
              </w:rPr>
              <w:t>Folge</w:t>
            </w:r>
            <w:proofErr w:type="spellEnd"/>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KC</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 xml:space="preserve">Kodex </w:t>
            </w:r>
            <w:proofErr w:type="spellStart"/>
            <w:r w:rsidRPr="004923CC">
              <w:rPr>
                <w:rFonts w:eastAsia="Times New Roman"/>
                <w:color w:val="000000"/>
                <w:szCs w:val="24"/>
                <w:lang w:eastAsia="cs-CZ"/>
              </w:rPr>
              <w:t>cywilny</w:t>
            </w:r>
            <w:proofErr w:type="spellEnd"/>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KS</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k</w:t>
            </w:r>
            <w:r w:rsidRPr="004923CC">
              <w:rPr>
                <w:rFonts w:eastAsia="Times New Roman"/>
                <w:color w:val="000000"/>
                <w:szCs w:val="24"/>
                <w:lang w:eastAsia="cs-CZ"/>
              </w:rPr>
              <w:t>rajský soud</w:t>
            </w:r>
          </w:p>
        </w:tc>
      </w:tr>
      <w:tr w:rsidR="004755F9" w:rsidRPr="004923CC" w:rsidTr="00AB3277">
        <w:trPr>
          <w:trHeight w:val="63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LZPS</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 xml:space="preserve">Usnesení předsednictva ČNR č. 2/1993 Sb., o vyhlášení Listiny základních práv a svobod </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MS</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m</w:t>
            </w:r>
            <w:r w:rsidRPr="004923CC">
              <w:rPr>
                <w:rFonts w:eastAsia="Times New Roman"/>
                <w:color w:val="000000"/>
                <w:szCs w:val="24"/>
                <w:lang w:eastAsia="cs-CZ"/>
              </w:rPr>
              <w:t>ěstský soud</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NOZ</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Zákon č</w:t>
            </w:r>
            <w:r>
              <w:rPr>
                <w:rFonts w:eastAsia="Times New Roman"/>
                <w:color w:val="000000"/>
                <w:szCs w:val="24"/>
                <w:lang w:eastAsia="cs-CZ"/>
              </w:rPr>
              <w:t>. 89/2012 Sb., občanský zákoník</w:t>
            </w:r>
          </w:p>
        </w:tc>
      </w:tr>
      <w:tr w:rsidR="004755F9" w:rsidRPr="004923CC" w:rsidTr="00AB3277">
        <w:trPr>
          <w:trHeight w:val="315"/>
        </w:trPr>
        <w:tc>
          <w:tcPr>
            <w:tcW w:w="2905" w:type="dxa"/>
            <w:tcBorders>
              <w:top w:val="nil"/>
              <w:left w:val="nil"/>
              <w:bottom w:val="nil"/>
              <w:right w:val="nil"/>
            </w:tcBorders>
            <w:shd w:val="clear" w:color="auto" w:fill="auto"/>
            <w:noWrap/>
          </w:tcPr>
          <w:p w:rsidR="004755F9" w:rsidRPr="00FE2A57" w:rsidRDefault="004755F9" w:rsidP="004923CC">
            <w:pPr>
              <w:spacing w:after="0"/>
              <w:jc w:val="left"/>
              <w:rPr>
                <w:rFonts w:eastAsia="Times New Roman"/>
                <w:szCs w:val="24"/>
                <w:lang w:eastAsia="cs-CZ"/>
              </w:rPr>
            </w:pPr>
            <w:r w:rsidRPr="00FE2A57">
              <w:rPr>
                <w:rFonts w:eastAsia="Times New Roman"/>
                <w:szCs w:val="24"/>
                <w:lang w:eastAsia="cs-CZ"/>
              </w:rPr>
              <w:t>NOZ05</w:t>
            </w:r>
          </w:p>
        </w:tc>
        <w:tc>
          <w:tcPr>
            <w:tcW w:w="6340" w:type="dxa"/>
            <w:tcBorders>
              <w:top w:val="nil"/>
              <w:left w:val="nil"/>
              <w:bottom w:val="nil"/>
              <w:right w:val="nil"/>
            </w:tcBorders>
            <w:shd w:val="clear" w:color="auto" w:fill="auto"/>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Návrh nového občanského zákoníku z roku 2005</w:t>
            </w:r>
          </w:p>
        </w:tc>
      </w:tr>
      <w:tr w:rsidR="004755F9" w:rsidRPr="004923CC" w:rsidTr="00AB3277">
        <w:trPr>
          <w:trHeight w:val="63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NŘ</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Zákon č. 358/1992 Sb., o notářích a jejich činnosti (notářský řád), ve znění pozdějších předpisů</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NS</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Nejvyšší soud</w:t>
            </w:r>
          </w:p>
        </w:tc>
      </w:tr>
      <w:tr w:rsidR="004755F9" w:rsidRPr="004923CC" w:rsidTr="00AB3277">
        <w:trPr>
          <w:trHeight w:val="63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OZ50</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Zákon č. 141/1950 Sb., občanský zákoník, ve znění pozdějších předpisů</w:t>
            </w:r>
          </w:p>
        </w:tc>
      </w:tr>
      <w:tr w:rsidR="004755F9" w:rsidRPr="004923CC" w:rsidTr="00AB3277">
        <w:trPr>
          <w:trHeight w:val="63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OZ64</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Zákon č. 40/1964 Sb., občanský zákoník</w:t>
            </w:r>
            <w:r>
              <w:rPr>
                <w:rFonts w:eastAsia="Times New Roman"/>
                <w:color w:val="000000"/>
                <w:szCs w:val="24"/>
                <w:lang w:eastAsia="cs-CZ"/>
              </w:rPr>
              <w:t xml:space="preserve">, ve znění pozdějších předpisů </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OZO</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Pr>
                <w:rFonts w:eastAsia="Times New Roman"/>
                <w:color w:val="000000"/>
                <w:szCs w:val="24"/>
                <w:lang w:eastAsia="cs-CZ"/>
              </w:rPr>
              <w:t xml:space="preserve">Císařský patent č. </w:t>
            </w:r>
            <w:proofErr w:type="gramStart"/>
            <w:r>
              <w:rPr>
                <w:rFonts w:eastAsia="Times New Roman"/>
                <w:color w:val="000000"/>
                <w:szCs w:val="24"/>
                <w:lang w:eastAsia="cs-CZ"/>
              </w:rPr>
              <w:t xml:space="preserve">946/1811 </w:t>
            </w:r>
            <w:proofErr w:type="spellStart"/>
            <w:r w:rsidRPr="004923CC">
              <w:rPr>
                <w:rFonts w:eastAsia="Times New Roman"/>
                <w:color w:val="000000"/>
                <w:szCs w:val="24"/>
                <w:lang w:eastAsia="cs-CZ"/>
              </w:rPr>
              <w:t>z.s</w:t>
            </w:r>
            <w:proofErr w:type="spellEnd"/>
            <w:r w:rsidRPr="004923CC">
              <w:rPr>
                <w:rFonts w:eastAsia="Times New Roman"/>
                <w:color w:val="000000"/>
                <w:szCs w:val="24"/>
                <w:lang w:eastAsia="cs-CZ"/>
              </w:rPr>
              <w:t>.</w:t>
            </w:r>
            <w:proofErr w:type="gramEnd"/>
            <w:r w:rsidRPr="004923CC">
              <w:rPr>
                <w:rFonts w:eastAsia="Times New Roman"/>
                <w:color w:val="000000"/>
                <w:szCs w:val="24"/>
                <w:lang w:eastAsia="cs-CZ"/>
              </w:rPr>
              <w:t>, všeobecný občanský zákoník</w:t>
            </w:r>
          </w:p>
        </w:tc>
      </w:tr>
      <w:tr w:rsidR="004755F9" w:rsidRPr="004923CC" w:rsidTr="004755F9">
        <w:trPr>
          <w:trHeight w:val="315"/>
        </w:trPr>
        <w:tc>
          <w:tcPr>
            <w:tcW w:w="2905" w:type="dxa"/>
            <w:tcBorders>
              <w:top w:val="nil"/>
              <w:left w:val="nil"/>
              <w:bottom w:val="nil"/>
              <w:right w:val="nil"/>
            </w:tcBorders>
            <w:shd w:val="clear" w:color="auto" w:fill="auto"/>
            <w:noWrap/>
          </w:tcPr>
          <w:p w:rsidR="004755F9" w:rsidRPr="004923CC" w:rsidRDefault="004755F9" w:rsidP="004923CC">
            <w:pPr>
              <w:spacing w:after="0"/>
              <w:jc w:val="left"/>
              <w:rPr>
                <w:rFonts w:eastAsia="Times New Roman"/>
                <w:color w:val="000000"/>
                <w:szCs w:val="24"/>
                <w:lang w:eastAsia="cs-CZ"/>
              </w:rPr>
            </w:pPr>
            <w:r>
              <w:rPr>
                <w:rFonts w:eastAsia="Times New Roman"/>
                <w:color w:val="000000"/>
                <w:szCs w:val="24"/>
                <w:lang w:eastAsia="cs-CZ"/>
              </w:rPr>
              <w:t>RS</w:t>
            </w:r>
          </w:p>
        </w:tc>
        <w:tc>
          <w:tcPr>
            <w:tcW w:w="6340" w:type="dxa"/>
            <w:tcBorders>
              <w:top w:val="nil"/>
              <w:left w:val="nil"/>
              <w:bottom w:val="nil"/>
              <w:right w:val="nil"/>
            </w:tcBorders>
            <w:shd w:val="clear" w:color="auto" w:fill="auto"/>
          </w:tcPr>
          <w:p w:rsidR="004755F9" w:rsidRPr="004923CC" w:rsidRDefault="004755F9" w:rsidP="00AB3277">
            <w:pPr>
              <w:spacing w:after="0"/>
              <w:jc w:val="left"/>
              <w:rPr>
                <w:rFonts w:eastAsia="Times New Roman"/>
                <w:color w:val="000000"/>
                <w:szCs w:val="24"/>
                <w:lang w:eastAsia="cs-CZ"/>
              </w:rPr>
            </w:pPr>
            <w:r w:rsidRPr="004755F9">
              <w:rPr>
                <w:rFonts w:eastAsia="Times New Roman"/>
                <w:color w:val="000000"/>
                <w:szCs w:val="24"/>
                <w:lang w:eastAsia="cs-CZ"/>
              </w:rPr>
              <w:t>Rozhodnutí nejvyššího soudu v civilních a justičních správních věcech</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SJM</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Společné jmění manželů</w:t>
            </w:r>
          </w:p>
        </w:tc>
      </w:tr>
      <w:tr w:rsidR="004755F9" w:rsidRPr="004923CC" w:rsidTr="00AB3277">
        <w:trPr>
          <w:trHeight w:val="63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Vážný</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Sbírka rozhodnutí Nejvyššího soudu Českoslo</w:t>
            </w:r>
            <w:r>
              <w:rPr>
                <w:rFonts w:eastAsia="Times New Roman"/>
                <w:color w:val="000000"/>
                <w:szCs w:val="24"/>
                <w:lang w:eastAsia="cs-CZ"/>
              </w:rPr>
              <w:t>venské republiky (Vážného sbírka)</w:t>
            </w:r>
          </w:p>
        </w:tc>
      </w:tr>
      <w:tr w:rsidR="004755F9" w:rsidRPr="004923CC" w:rsidTr="00AB3277">
        <w:trPr>
          <w:trHeight w:val="315"/>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t>VN37</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Vládní návrh obč</w:t>
            </w:r>
            <w:r>
              <w:rPr>
                <w:rFonts w:eastAsia="Times New Roman"/>
                <w:color w:val="000000"/>
                <w:szCs w:val="24"/>
                <w:lang w:eastAsia="cs-CZ"/>
              </w:rPr>
              <w:t>anského zákoníku z roku 1937</w:t>
            </w:r>
          </w:p>
        </w:tc>
      </w:tr>
      <w:tr w:rsidR="004755F9" w:rsidRPr="004923CC" w:rsidTr="004755F9">
        <w:trPr>
          <w:trHeight w:val="315"/>
        </w:trPr>
        <w:tc>
          <w:tcPr>
            <w:tcW w:w="2905" w:type="dxa"/>
            <w:tcBorders>
              <w:top w:val="nil"/>
              <w:left w:val="nil"/>
              <w:bottom w:val="nil"/>
              <w:right w:val="nil"/>
            </w:tcBorders>
            <w:shd w:val="clear" w:color="auto" w:fill="auto"/>
            <w:noWrap/>
          </w:tcPr>
          <w:p w:rsidR="004755F9" w:rsidRPr="004923CC" w:rsidRDefault="004755F9" w:rsidP="004923CC">
            <w:pPr>
              <w:spacing w:after="0"/>
              <w:jc w:val="left"/>
              <w:rPr>
                <w:rFonts w:eastAsia="Times New Roman"/>
                <w:color w:val="000000"/>
                <w:szCs w:val="24"/>
                <w:lang w:eastAsia="cs-CZ"/>
              </w:rPr>
            </w:pPr>
            <w:proofErr w:type="spellStart"/>
            <w:r>
              <w:rPr>
                <w:rFonts w:eastAsia="Times New Roman"/>
                <w:color w:val="000000"/>
                <w:szCs w:val="24"/>
                <w:lang w:eastAsia="cs-CZ"/>
              </w:rPr>
              <w:t>Zbl</w:t>
            </w:r>
            <w:proofErr w:type="spellEnd"/>
          </w:p>
        </w:tc>
        <w:tc>
          <w:tcPr>
            <w:tcW w:w="6340" w:type="dxa"/>
            <w:tcBorders>
              <w:top w:val="nil"/>
              <w:left w:val="nil"/>
              <w:bottom w:val="nil"/>
              <w:right w:val="nil"/>
            </w:tcBorders>
            <w:shd w:val="clear" w:color="auto" w:fill="auto"/>
          </w:tcPr>
          <w:p w:rsidR="004755F9" w:rsidRPr="004923CC" w:rsidRDefault="004755F9" w:rsidP="00C13EF0">
            <w:pPr>
              <w:spacing w:after="0"/>
              <w:jc w:val="left"/>
              <w:rPr>
                <w:rFonts w:eastAsia="Times New Roman"/>
                <w:color w:val="000000"/>
                <w:szCs w:val="24"/>
                <w:lang w:eastAsia="cs-CZ"/>
              </w:rPr>
            </w:pPr>
            <w:proofErr w:type="spellStart"/>
            <w:r w:rsidRPr="004755F9">
              <w:rPr>
                <w:rFonts w:eastAsia="Times New Roman"/>
                <w:color w:val="000000"/>
                <w:szCs w:val="24"/>
                <w:lang w:eastAsia="cs-CZ"/>
              </w:rPr>
              <w:t>Oesterreichisches</w:t>
            </w:r>
            <w:proofErr w:type="spellEnd"/>
            <w:r w:rsidRPr="004755F9">
              <w:rPr>
                <w:rFonts w:eastAsia="Times New Roman"/>
                <w:color w:val="000000"/>
                <w:szCs w:val="24"/>
                <w:lang w:eastAsia="cs-CZ"/>
              </w:rPr>
              <w:t xml:space="preserve"> </w:t>
            </w:r>
            <w:proofErr w:type="spellStart"/>
            <w:r w:rsidRPr="004755F9">
              <w:rPr>
                <w:rFonts w:eastAsia="Times New Roman"/>
                <w:color w:val="000000"/>
                <w:szCs w:val="24"/>
                <w:lang w:eastAsia="cs-CZ"/>
              </w:rPr>
              <w:t>Zentrallblatt</w:t>
            </w:r>
            <w:proofErr w:type="spellEnd"/>
            <w:r w:rsidRPr="004755F9">
              <w:rPr>
                <w:rFonts w:eastAsia="Times New Roman"/>
                <w:color w:val="000000"/>
                <w:szCs w:val="24"/>
                <w:lang w:eastAsia="cs-CZ"/>
              </w:rPr>
              <w:t xml:space="preserve"> </w:t>
            </w:r>
            <w:proofErr w:type="spellStart"/>
            <w:r w:rsidRPr="004755F9">
              <w:rPr>
                <w:rFonts w:eastAsia="Times New Roman"/>
                <w:color w:val="000000"/>
                <w:szCs w:val="24"/>
                <w:lang w:eastAsia="cs-CZ"/>
              </w:rPr>
              <w:t>für</w:t>
            </w:r>
            <w:proofErr w:type="spellEnd"/>
            <w:r w:rsidRPr="004755F9">
              <w:rPr>
                <w:rFonts w:eastAsia="Times New Roman"/>
                <w:color w:val="000000"/>
                <w:szCs w:val="24"/>
                <w:lang w:eastAsia="cs-CZ"/>
              </w:rPr>
              <w:t xml:space="preserve"> </w:t>
            </w:r>
            <w:proofErr w:type="spellStart"/>
            <w:r w:rsidRPr="004755F9">
              <w:rPr>
                <w:rFonts w:eastAsia="Times New Roman"/>
                <w:color w:val="000000"/>
                <w:szCs w:val="24"/>
                <w:lang w:eastAsia="cs-CZ"/>
              </w:rPr>
              <w:t>die</w:t>
            </w:r>
            <w:proofErr w:type="spellEnd"/>
            <w:r w:rsidRPr="004755F9">
              <w:rPr>
                <w:rFonts w:eastAsia="Times New Roman"/>
                <w:color w:val="000000"/>
                <w:szCs w:val="24"/>
                <w:lang w:eastAsia="cs-CZ"/>
              </w:rPr>
              <w:t xml:space="preserve"> </w:t>
            </w:r>
            <w:proofErr w:type="spellStart"/>
            <w:r w:rsidRPr="004755F9">
              <w:rPr>
                <w:rFonts w:eastAsia="Times New Roman"/>
                <w:color w:val="000000"/>
                <w:szCs w:val="24"/>
                <w:lang w:eastAsia="cs-CZ"/>
              </w:rPr>
              <w:t>jurististische</w:t>
            </w:r>
            <w:proofErr w:type="spellEnd"/>
            <w:r w:rsidRPr="004755F9">
              <w:rPr>
                <w:rFonts w:eastAsia="Times New Roman"/>
                <w:color w:val="000000"/>
                <w:szCs w:val="24"/>
                <w:lang w:eastAsia="cs-CZ"/>
              </w:rPr>
              <w:t xml:space="preserve"> </w:t>
            </w:r>
            <w:proofErr w:type="spellStart"/>
            <w:r w:rsidRPr="004755F9">
              <w:rPr>
                <w:rFonts w:eastAsia="Times New Roman"/>
                <w:color w:val="000000"/>
                <w:szCs w:val="24"/>
                <w:lang w:eastAsia="cs-CZ"/>
              </w:rPr>
              <w:t>Praxis</w:t>
            </w:r>
            <w:proofErr w:type="spellEnd"/>
          </w:p>
        </w:tc>
      </w:tr>
      <w:tr w:rsidR="004755F9" w:rsidRPr="004923CC" w:rsidTr="00AB3277">
        <w:trPr>
          <w:trHeight w:val="780"/>
        </w:trPr>
        <w:tc>
          <w:tcPr>
            <w:tcW w:w="2905" w:type="dxa"/>
            <w:tcBorders>
              <w:top w:val="nil"/>
              <w:left w:val="nil"/>
              <w:bottom w:val="nil"/>
              <w:right w:val="nil"/>
            </w:tcBorders>
            <w:shd w:val="clear" w:color="auto" w:fill="auto"/>
            <w:noWrap/>
            <w:hideMark/>
          </w:tcPr>
          <w:p w:rsidR="004755F9" w:rsidRPr="004923CC" w:rsidRDefault="004755F9" w:rsidP="004923CC">
            <w:pPr>
              <w:spacing w:after="0"/>
              <w:jc w:val="left"/>
              <w:rPr>
                <w:rFonts w:eastAsia="Times New Roman"/>
                <w:color w:val="000000"/>
                <w:szCs w:val="24"/>
                <w:lang w:eastAsia="cs-CZ"/>
              </w:rPr>
            </w:pPr>
            <w:r w:rsidRPr="004923CC">
              <w:rPr>
                <w:rFonts w:eastAsia="Times New Roman"/>
                <w:color w:val="000000"/>
                <w:szCs w:val="24"/>
                <w:lang w:eastAsia="cs-CZ"/>
              </w:rPr>
              <w:lastRenderedPageBreak/>
              <w:t>ZNP</w:t>
            </w:r>
          </w:p>
        </w:tc>
        <w:tc>
          <w:tcPr>
            <w:tcW w:w="6340" w:type="dxa"/>
            <w:tcBorders>
              <w:top w:val="nil"/>
              <w:left w:val="nil"/>
              <w:bottom w:val="nil"/>
              <w:right w:val="nil"/>
            </w:tcBorders>
            <w:shd w:val="clear" w:color="auto" w:fill="auto"/>
            <w:hideMark/>
          </w:tcPr>
          <w:p w:rsidR="004755F9" w:rsidRPr="004923CC" w:rsidRDefault="004755F9" w:rsidP="00AB3277">
            <w:pPr>
              <w:spacing w:after="0"/>
              <w:jc w:val="left"/>
              <w:rPr>
                <w:rFonts w:eastAsia="Times New Roman"/>
                <w:color w:val="000000"/>
                <w:szCs w:val="24"/>
                <w:lang w:eastAsia="cs-CZ"/>
              </w:rPr>
            </w:pPr>
            <w:r w:rsidRPr="004923CC">
              <w:rPr>
                <w:rFonts w:eastAsia="Times New Roman"/>
                <w:color w:val="000000"/>
                <w:szCs w:val="24"/>
                <w:lang w:eastAsia="cs-CZ"/>
              </w:rPr>
              <w:t>Zákon č. 61/2000 Sb., o námořní plavbě, ve znění pozdějších předpisů</w:t>
            </w:r>
          </w:p>
        </w:tc>
      </w:tr>
    </w:tbl>
    <w:p w:rsidR="00785A65" w:rsidRDefault="00785A65" w:rsidP="00CD0DD7">
      <w:pPr>
        <w:pStyle w:val="Nadpis1"/>
        <w:sectPr w:rsidR="00785A65" w:rsidSect="002B0D71">
          <w:footerReference w:type="default" r:id="rId9"/>
          <w:pgSz w:w="11906" w:h="16838"/>
          <w:pgMar w:top="1418" w:right="1134" w:bottom="1418" w:left="1701" w:header="709" w:footer="709" w:gutter="0"/>
          <w:pgNumType w:start="1"/>
          <w:cols w:space="708"/>
          <w:docGrid w:linePitch="360"/>
        </w:sectPr>
      </w:pPr>
      <w:bookmarkStart w:id="3" w:name="_Toc436779457"/>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5441A9" w:rsidRDefault="005441A9" w:rsidP="00785A65">
      <w:pPr>
        <w:pStyle w:val="Nadpis1"/>
      </w:pPr>
    </w:p>
    <w:p w:rsidR="004755F9" w:rsidRDefault="004755F9" w:rsidP="00785A65">
      <w:pPr>
        <w:pStyle w:val="Nadpis1"/>
      </w:pPr>
    </w:p>
    <w:p w:rsidR="004755F9" w:rsidRDefault="004755F9" w:rsidP="00785A65">
      <w:pPr>
        <w:pStyle w:val="Nadpis1"/>
      </w:pPr>
    </w:p>
    <w:p w:rsidR="00FC340D" w:rsidRDefault="00BD42D2" w:rsidP="00785A65">
      <w:pPr>
        <w:pStyle w:val="Nadpis1"/>
      </w:pPr>
      <w:bookmarkStart w:id="4" w:name="_Toc437225051"/>
      <w:r w:rsidRPr="00785A65">
        <w:lastRenderedPageBreak/>
        <w:t>Ú</w:t>
      </w:r>
      <w:r w:rsidR="00FC340D" w:rsidRPr="00785A65">
        <w:t>vod</w:t>
      </w:r>
      <w:bookmarkEnd w:id="3"/>
      <w:bookmarkEnd w:id="4"/>
    </w:p>
    <w:p w:rsidR="00EC51E8" w:rsidRPr="007A507C" w:rsidRDefault="00895582" w:rsidP="007A507C">
      <w:pPr>
        <w:spacing w:after="0"/>
        <w:ind w:firstLine="567"/>
      </w:pPr>
      <w:r w:rsidRPr="00AF6C42">
        <w:rPr>
          <w:i/>
        </w:rPr>
        <w:t>„</w:t>
      </w:r>
      <w:r w:rsidR="00EC51E8" w:rsidRPr="00AF6C42">
        <w:rPr>
          <w:i/>
        </w:rPr>
        <w:t xml:space="preserve">Podstata a taje dědického práva přitahují k literárnímu </w:t>
      </w:r>
      <w:r w:rsidR="00AE7198" w:rsidRPr="00AF6C42">
        <w:rPr>
          <w:i/>
        </w:rPr>
        <w:t>ztvárně</w:t>
      </w:r>
      <w:r w:rsidR="00EC51E8" w:rsidRPr="00AF6C42">
        <w:rPr>
          <w:i/>
        </w:rPr>
        <w:t>ni téměř každého civilistu; a to i s vědomím, že lehkost dědického práva jej jen zdánlivá</w:t>
      </w:r>
      <w:r w:rsidR="00C151AF">
        <w:rPr>
          <w:i/>
        </w:rPr>
        <w:t>. V které jiné části občanského práva se tak vyhroceně střetávají práva majetková s právem rodinným a s právem smluvním</w:t>
      </w:r>
      <w:r w:rsidR="002D3426">
        <w:rPr>
          <w:i/>
        </w:rPr>
        <w:t>?</w:t>
      </w:r>
      <w:r w:rsidR="00C151AF">
        <w:rPr>
          <w:i/>
        </w:rPr>
        <w:t>“.</w:t>
      </w:r>
      <w:r w:rsidR="002D3426" w:rsidRPr="007A507C">
        <w:rPr>
          <w:rStyle w:val="Znakapoznpodarou"/>
        </w:rPr>
        <w:footnoteReference w:id="1"/>
      </w:r>
    </w:p>
    <w:p w:rsidR="00C151AF" w:rsidRDefault="00C151AF" w:rsidP="00C151AF">
      <w:pPr>
        <w:spacing w:after="0"/>
        <w:ind w:firstLine="567"/>
      </w:pPr>
      <w:r>
        <w:t xml:space="preserve">Občanský zákoník upravuje právní skutečnosti, které provází občana během celého </w:t>
      </w:r>
      <w:r w:rsidR="00E87051">
        <w:t>jeho života. Jedinou skutečností</w:t>
      </w:r>
      <w:r>
        <w:t>, kterou má člověk jistou, je jeho smrt. Problematika dědění se dříve nebo pozděj</w:t>
      </w:r>
      <w:r w:rsidR="005E493C">
        <w:t>i dotkne každého z nás. Je</w:t>
      </w:r>
      <w:r>
        <w:t xml:space="preserve"> důležité, aby právní </w:t>
      </w:r>
      <w:r w:rsidR="00E87051">
        <w:t xml:space="preserve">úprava tohoto institutu garantovala co nejsvobodnější možnost </w:t>
      </w:r>
      <w:r w:rsidR="005E493C">
        <w:t>nakládá</w:t>
      </w:r>
      <w:r w:rsidR="00E87051">
        <w:t>ní s majetkem vytvořeným za života a je</w:t>
      </w:r>
      <w:r w:rsidR="005E493C">
        <w:t>ho</w:t>
      </w:r>
      <w:r w:rsidR="00E87051">
        <w:t xml:space="preserve"> přechod na další generace</w:t>
      </w:r>
      <w:r w:rsidR="005E493C">
        <w:t xml:space="preserve">. Proto </w:t>
      </w:r>
      <w:r w:rsidR="00A60011">
        <w:t>by mělo</w:t>
      </w:r>
      <w:r w:rsidR="005E493C">
        <w:t xml:space="preserve"> být dědické právo jasné</w:t>
      </w:r>
      <w:r>
        <w:t xml:space="preserve">, </w:t>
      </w:r>
      <w:r w:rsidR="005E493C">
        <w:t xml:space="preserve">srozumitelné </w:t>
      </w:r>
      <w:r>
        <w:t xml:space="preserve">a </w:t>
      </w:r>
      <w:r w:rsidR="005E493C">
        <w:t>vést k</w:t>
      </w:r>
      <w:r>
        <w:t> právní jistotě v občanskoprávních vztazích.</w:t>
      </w:r>
    </w:p>
    <w:p w:rsidR="0071794C" w:rsidRDefault="00BA7ABD" w:rsidP="00C151AF">
      <w:pPr>
        <w:spacing w:after="0"/>
        <w:ind w:firstLine="567"/>
        <w:rPr>
          <w:color w:val="FF0000"/>
        </w:rPr>
      </w:pPr>
      <w:r w:rsidRPr="0057441F">
        <w:t xml:space="preserve">Vlivem </w:t>
      </w:r>
      <w:r w:rsidR="00CE17DE" w:rsidRPr="0057441F">
        <w:t>ideologie</w:t>
      </w:r>
      <w:r w:rsidR="00B30EB2" w:rsidRPr="0057441F">
        <w:t xml:space="preserve"> minulého</w:t>
      </w:r>
      <w:r w:rsidR="00F00E55" w:rsidRPr="0057441F">
        <w:t xml:space="preserve"> režimu</w:t>
      </w:r>
      <w:r w:rsidR="00B30EB2" w:rsidRPr="0057441F">
        <w:t xml:space="preserve"> došlo k potlačení významu soukromého vlastnictví, což se odrazilo v</w:t>
      </w:r>
      <w:r w:rsidR="00F00E55" w:rsidRPr="0057441F">
        <w:t> </w:t>
      </w:r>
      <w:r w:rsidR="005C7DC3">
        <w:t>pojetí</w:t>
      </w:r>
      <w:r w:rsidR="00F00E55" w:rsidRPr="0057441F">
        <w:t xml:space="preserve"> dědického práva, které bylo</w:t>
      </w:r>
      <w:r w:rsidR="00405495" w:rsidRPr="0057441F">
        <w:t xml:space="preserve"> </w:t>
      </w:r>
      <w:r w:rsidR="00F00E55" w:rsidRPr="0057441F">
        <w:t xml:space="preserve">postupně zatlačováno do pozadí. Zatímco </w:t>
      </w:r>
      <w:r w:rsidR="00CA1A93" w:rsidRPr="0057441F">
        <w:t>OZ50 ještě zachoval některé tradiční instituty zajišťující jistou svobodu v nakládání s majetkem pro případ smrti</w:t>
      </w:r>
      <w:r w:rsidR="00CE17DE" w:rsidRPr="0057441F">
        <w:t xml:space="preserve"> (např. </w:t>
      </w:r>
      <w:r w:rsidR="001D6731">
        <w:t>formou odkazů</w:t>
      </w:r>
      <w:r w:rsidR="00CE17DE" w:rsidRPr="0057441F">
        <w:t>)</w:t>
      </w:r>
      <w:r w:rsidR="00CA1A93" w:rsidRPr="0057441F">
        <w:t xml:space="preserve">, OZ64 již znamenal </w:t>
      </w:r>
      <w:r w:rsidR="00CE17DE" w:rsidRPr="0057441F">
        <w:t>v podstatě devastaci</w:t>
      </w:r>
      <w:r w:rsidR="00A24E1F" w:rsidRPr="0057441F">
        <w:t xml:space="preserve"> dědického práva jak v kontextu </w:t>
      </w:r>
      <w:r w:rsidR="00712196">
        <w:t xml:space="preserve">jeho </w:t>
      </w:r>
      <w:r w:rsidR="0057441F">
        <w:t>tradičníh</w:t>
      </w:r>
      <w:r w:rsidR="00712196">
        <w:t>o</w:t>
      </w:r>
      <w:r w:rsidR="0057441F">
        <w:t xml:space="preserve"> kontinentálníh</w:t>
      </w:r>
      <w:r w:rsidR="00712196">
        <w:t>o pojetí</w:t>
      </w:r>
      <w:r w:rsidR="00C30C9F" w:rsidRPr="0057441F">
        <w:t>, tak i v</w:t>
      </w:r>
      <w:r w:rsidR="0057441F">
        <w:t> porovnání s úpravami</w:t>
      </w:r>
      <w:r w:rsidR="00C30C9F" w:rsidRPr="0057441F">
        <w:t xml:space="preserve"> </w:t>
      </w:r>
      <w:r w:rsidR="00712196">
        <w:t xml:space="preserve">zemí </w:t>
      </w:r>
      <w:r w:rsidR="00A24E1F" w:rsidRPr="0057441F">
        <w:t>socialistického bloku</w:t>
      </w:r>
      <w:r w:rsidR="00C30C9F" w:rsidRPr="0057441F">
        <w:t>.</w:t>
      </w:r>
      <w:r w:rsidR="00F51797">
        <w:rPr>
          <w:rStyle w:val="Znakapoznpodarou"/>
        </w:rPr>
        <w:footnoteReference w:id="2"/>
      </w:r>
    </w:p>
    <w:p w:rsidR="00C151AF" w:rsidRPr="00E5578B" w:rsidRDefault="0057441F" w:rsidP="00C151AF">
      <w:pPr>
        <w:spacing w:after="0"/>
        <w:ind w:firstLine="567"/>
      </w:pPr>
      <w:r>
        <w:t>Změna</w:t>
      </w:r>
      <w:r w:rsidR="00A24E1F">
        <w:t xml:space="preserve"> společensko</w:t>
      </w:r>
      <w:r>
        <w:t>-</w:t>
      </w:r>
      <w:r w:rsidR="00A24E1F">
        <w:t>ekonomických poměrů</w:t>
      </w:r>
      <w:r w:rsidR="005C7DC3">
        <w:t xml:space="preserve"> po roce 1989 </w:t>
      </w:r>
      <w:r w:rsidR="00F5668C">
        <w:t xml:space="preserve">vyvolala </w:t>
      </w:r>
      <w:r w:rsidR="001D6731">
        <w:t>nutnost disk</w:t>
      </w:r>
      <w:r w:rsidR="00F5668C">
        <w:t>ont</w:t>
      </w:r>
      <w:r w:rsidR="001D6731">
        <w:t>in</w:t>
      </w:r>
      <w:r w:rsidR="00F5668C">
        <w:t>uity</w:t>
      </w:r>
      <w:r w:rsidR="005C7DC3">
        <w:t xml:space="preserve"> </w:t>
      </w:r>
      <w:r w:rsidR="00F5668C">
        <w:t>od ideových základů</w:t>
      </w:r>
      <w:r w:rsidR="0071794C" w:rsidRPr="00F5668C">
        <w:t xml:space="preserve"> socialistického práva</w:t>
      </w:r>
      <w:r w:rsidR="00FC205A">
        <w:t>, která vyústila v</w:t>
      </w:r>
      <w:r w:rsidR="007F36A7">
        <w:t> </w:t>
      </w:r>
      <w:r w:rsidR="00FC205A">
        <w:t>rozsáhlou</w:t>
      </w:r>
      <w:r w:rsidR="007F36A7">
        <w:t xml:space="preserve"> rekodifikaci </w:t>
      </w:r>
      <w:r w:rsidR="00FC205A">
        <w:t xml:space="preserve">našeho </w:t>
      </w:r>
      <w:r w:rsidR="007F36A7">
        <w:t xml:space="preserve">soukromého práva. </w:t>
      </w:r>
      <w:r w:rsidR="00FC205A">
        <w:t xml:space="preserve">Přijetím </w:t>
      </w:r>
      <w:r w:rsidR="007F36A7">
        <w:t xml:space="preserve">NOZ </w:t>
      </w:r>
      <w:r w:rsidR="00550809">
        <w:t xml:space="preserve">byla </w:t>
      </w:r>
      <w:r w:rsidR="00F823B8">
        <w:t xml:space="preserve">výrazně </w:t>
      </w:r>
      <w:r w:rsidR="00550809">
        <w:t xml:space="preserve">posílena </w:t>
      </w:r>
      <w:r w:rsidR="000C47D0">
        <w:t xml:space="preserve">testamentární dědická posloupnost a </w:t>
      </w:r>
      <w:r w:rsidR="00550809">
        <w:t xml:space="preserve">autonomie vůle zůstavitele jako </w:t>
      </w:r>
      <w:r w:rsidR="00E5578B">
        <w:t xml:space="preserve">její </w:t>
      </w:r>
      <w:r w:rsidR="00550809">
        <w:t xml:space="preserve">vůdčí princip, čímž se </w:t>
      </w:r>
      <w:r w:rsidR="00FC205A">
        <w:t xml:space="preserve">otevřely nové možnosti pro nakládání s majetkem </w:t>
      </w:r>
      <w:proofErr w:type="spellStart"/>
      <w:r w:rsidR="00FC205A">
        <w:t>mortis</w:t>
      </w:r>
      <w:proofErr w:type="spellEnd"/>
      <w:r w:rsidR="00FC205A">
        <w:t xml:space="preserve"> causa</w:t>
      </w:r>
      <w:r w:rsidR="00550809">
        <w:t>.</w:t>
      </w:r>
      <w:r w:rsidR="00E5578B">
        <w:rPr>
          <w:color w:val="FF0000"/>
        </w:rPr>
        <w:t xml:space="preserve"> </w:t>
      </w:r>
      <w:r w:rsidR="00F823B8" w:rsidRPr="00F823B8">
        <w:t xml:space="preserve">Inspirací pro zákonodárce byla </w:t>
      </w:r>
      <w:r w:rsidR="00A60011">
        <w:t xml:space="preserve">především </w:t>
      </w:r>
      <w:r w:rsidR="00F823B8" w:rsidRPr="00F823B8">
        <w:t xml:space="preserve">prvorepubliková úprava </w:t>
      </w:r>
      <w:r w:rsidR="00405495" w:rsidRPr="00F823B8">
        <w:t>dědického</w:t>
      </w:r>
      <w:r w:rsidR="007F36A7" w:rsidRPr="00F823B8">
        <w:t xml:space="preserve"> práva</w:t>
      </w:r>
      <w:r w:rsidR="00F823B8" w:rsidRPr="00F823B8">
        <w:t>, jakož i některé zahraniční kodexy</w:t>
      </w:r>
      <w:r w:rsidR="007F36A7" w:rsidRPr="00F823B8">
        <w:t xml:space="preserve">. </w:t>
      </w:r>
      <w:r w:rsidR="00A60011">
        <w:t>R</w:t>
      </w:r>
      <w:r w:rsidR="00405495">
        <w:t xml:space="preserve">ekodifikace </w:t>
      </w:r>
      <w:r w:rsidR="0019043D">
        <w:t>dědického práva vyvolala širokou výměnu názorů napříč odbornou veřejností</w:t>
      </w:r>
      <w:r w:rsidR="00131FA7">
        <w:t>,</w:t>
      </w:r>
      <w:r w:rsidR="00BF0D53">
        <w:t xml:space="preserve"> </w:t>
      </w:r>
      <w:r w:rsidR="00B23818" w:rsidRPr="00E5578B">
        <w:t>přičemž diskuse o řešení některých sporných otázek přetrvává</w:t>
      </w:r>
      <w:r w:rsidR="00E5578B" w:rsidRPr="00E5578B">
        <w:t xml:space="preserve"> doposud</w:t>
      </w:r>
      <w:r w:rsidR="00842D11" w:rsidRPr="00E5578B">
        <w:t>.</w:t>
      </w:r>
      <w:r w:rsidR="00F51797" w:rsidRPr="00E5578B">
        <w:rPr>
          <w:rStyle w:val="Znakapoznpodarou"/>
        </w:rPr>
        <w:footnoteReference w:id="3"/>
      </w:r>
      <w:r w:rsidR="00842D11" w:rsidRPr="00E5578B">
        <w:t xml:space="preserve"> </w:t>
      </w:r>
    </w:p>
    <w:p w:rsidR="00D42C17" w:rsidRDefault="00D42C17" w:rsidP="00C151AF">
      <w:pPr>
        <w:spacing w:after="0"/>
        <w:ind w:firstLine="567"/>
      </w:pPr>
      <w:r>
        <w:t>Cílem této diplomové práce je analyzovat</w:t>
      </w:r>
      <w:r w:rsidR="00131FA7">
        <w:t xml:space="preserve"> </w:t>
      </w:r>
      <w:r>
        <w:t>problematické</w:t>
      </w:r>
      <w:r w:rsidR="00131FA7">
        <w:t xml:space="preserve"> </w:t>
      </w:r>
      <w:r>
        <w:t>aspekty</w:t>
      </w:r>
      <w:r w:rsidR="007A2FE2">
        <w:t xml:space="preserve"> dědění ze závěti podle </w:t>
      </w:r>
      <w:r>
        <w:t>platné právní úpravy obsažené v NOZ, poukázat na</w:t>
      </w:r>
      <w:r w:rsidR="00131FA7">
        <w:t xml:space="preserve"> její </w:t>
      </w:r>
      <w:r>
        <w:t>mezery</w:t>
      </w:r>
      <w:r w:rsidR="000C47D0">
        <w:t xml:space="preserve">, </w:t>
      </w:r>
      <w:r>
        <w:t xml:space="preserve">nedostatky </w:t>
      </w:r>
      <w:r w:rsidR="00583150">
        <w:t xml:space="preserve">a </w:t>
      </w:r>
      <w:r w:rsidRPr="00583150">
        <w:t>z nich vyplývající výkladové problémy</w:t>
      </w:r>
      <w:r w:rsidR="00583150" w:rsidRPr="00583150">
        <w:t>.</w:t>
      </w:r>
      <w:r w:rsidR="00583150">
        <w:t xml:space="preserve"> Autor diplomové práce se současně pokusí nastínit </w:t>
      </w:r>
      <w:r>
        <w:t>jejich možná řešení</w:t>
      </w:r>
      <w:r w:rsidR="00583150">
        <w:t xml:space="preserve"> s přihlédnutím k použitelné judikatuře a</w:t>
      </w:r>
      <w:r w:rsidR="004B793F">
        <w:t xml:space="preserve"> eventuá</w:t>
      </w:r>
      <w:r w:rsidR="00E5578B">
        <w:t>lně</w:t>
      </w:r>
      <w:r w:rsidR="00583150">
        <w:t xml:space="preserve"> k jiným právním úpravám</w:t>
      </w:r>
      <w:r>
        <w:t xml:space="preserve">. </w:t>
      </w:r>
      <w:r>
        <w:lastRenderedPageBreak/>
        <w:t>Z hlediska metodologie</w:t>
      </w:r>
      <w:r w:rsidR="001621EB">
        <w:t xml:space="preserve"> k dosažení vytýčeného cíle</w:t>
      </w:r>
      <w:r w:rsidR="00293413">
        <w:t xml:space="preserve"> byla použita metoda logická (abstrakc</w:t>
      </w:r>
      <w:r w:rsidR="007A507C">
        <w:t>e</w:t>
      </w:r>
      <w:r w:rsidR="00293413">
        <w:t>, indukce, analýza, dedukce) a metoda srovnávací</w:t>
      </w:r>
      <w:r w:rsidR="007A507C">
        <w:t>.</w:t>
      </w:r>
      <w:r w:rsidR="007A507C">
        <w:rPr>
          <w:rStyle w:val="Znakapoznpodarou"/>
        </w:rPr>
        <w:footnoteReference w:id="4"/>
      </w:r>
      <w:r w:rsidR="007A507C">
        <w:t xml:space="preserve"> </w:t>
      </w:r>
    </w:p>
    <w:p w:rsidR="00F82BDD" w:rsidRPr="00784F3F" w:rsidRDefault="00293413" w:rsidP="00C151AF">
      <w:pPr>
        <w:spacing w:after="0"/>
        <w:ind w:firstLine="567"/>
      </w:pPr>
      <w:r>
        <w:t xml:space="preserve">V počátcích zpracovávání tohoto tématu </w:t>
      </w:r>
      <w:r w:rsidR="008F67A8">
        <w:t xml:space="preserve">se autor práce </w:t>
      </w:r>
      <w:r>
        <w:t>potýkal s nedostatkem relevantních podkla</w:t>
      </w:r>
      <w:r w:rsidR="0012161F">
        <w:t>dů, zejména odborné literatury</w:t>
      </w:r>
      <w:r w:rsidR="00FB4BA7">
        <w:t xml:space="preserve">. </w:t>
      </w:r>
      <w:r w:rsidRPr="00784F3F">
        <w:t>Teprve v průběhu účinnosti NOZ byly postupně publikovány komentáře</w:t>
      </w:r>
      <w:r w:rsidR="00923450" w:rsidRPr="00784F3F">
        <w:t xml:space="preserve">, monografie </w:t>
      </w:r>
      <w:r w:rsidRPr="00784F3F">
        <w:t>a</w:t>
      </w:r>
      <w:r w:rsidR="00E5578B" w:rsidRPr="00784F3F">
        <w:t xml:space="preserve"> některé</w:t>
      </w:r>
      <w:r w:rsidRPr="00784F3F">
        <w:t xml:space="preserve"> odborné články</w:t>
      </w:r>
      <w:r w:rsidR="00FB4BA7" w:rsidRPr="00784F3F">
        <w:t xml:space="preserve"> s komplexnějšími názory</w:t>
      </w:r>
      <w:r w:rsidRPr="00784F3F">
        <w:t>, jejichž autoři se nezdráhali vyjádřit také kriticky a poukázat na nejasnosti a výkladové problémy nové úpravy</w:t>
      </w:r>
      <w:r w:rsidR="0012161F" w:rsidRPr="00784F3F">
        <w:t xml:space="preserve"> dědického práva, třebaže stanoviska </w:t>
      </w:r>
      <w:r w:rsidR="00F82BDD" w:rsidRPr="00784F3F">
        <w:t xml:space="preserve">k jejich </w:t>
      </w:r>
      <w:r w:rsidR="0012161F" w:rsidRPr="00784F3F">
        <w:t>řešení</w:t>
      </w:r>
      <w:r w:rsidR="00F82BDD" w:rsidRPr="00784F3F">
        <w:t xml:space="preserve"> byla a jsou často protichůdná</w:t>
      </w:r>
      <w:r w:rsidRPr="00784F3F">
        <w:t>.</w:t>
      </w:r>
    </w:p>
    <w:p w:rsidR="00293413" w:rsidRDefault="002F5A9C" w:rsidP="00C151AF">
      <w:pPr>
        <w:spacing w:after="0"/>
        <w:ind w:firstLine="567"/>
      </w:pPr>
      <w:r>
        <w:t>Autor</w:t>
      </w:r>
      <w:r w:rsidR="00672801">
        <w:t xml:space="preserve"> diplomové práce </w:t>
      </w:r>
      <w:r w:rsidR="00106AF8">
        <w:t>převážně</w:t>
      </w:r>
      <w:r w:rsidR="00F82BDD">
        <w:t xml:space="preserve"> vycházel z</w:t>
      </w:r>
      <w:r w:rsidR="00523887">
        <w:t> </w:t>
      </w:r>
      <w:r w:rsidR="005141F6">
        <w:t>komentář</w:t>
      </w:r>
      <w:r w:rsidR="00665123">
        <w:t>e</w:t>
      </w:r>
      <w:r w:rsidR="00523887">
        <w:t xml:space="preserve"> k</w:t>
      </w:r>
      <w:r w:rsidR="00A95DE0">
        <w:t xml:space="preserve"> novému </w:t>
      </w:r>
      <w:r w:rsidR="00523887">
        <w:t>dědick</w:t>
      </w:r>
      <w:r w:rsidR="004B622A">
        <w:t>é</w:t>
      </w:r>
      <w:r w:rsidR="00665123">
        <w:t xml:space="preserve">mu právu </w:t>
      </w:r>
      <w:r w:rsidR="000A1785">
        <w:t xml:space="preserve">autorského kolektivu </w:t>
      </w:r>
      <w:r w:rsidR="00665123">
        <w:t xml:space="preserve">pod vedením </w:t>
      </w:r>
      <w:r w:rsidR="004B622A">
        <w:t>J.</w:t>
      </w:r>
      <w:r w:rsidR="009C5B66">
        <w:t xml:space="preserve"> Dvořáka</w:t>
      </w:r>
      <w:r w:rsidR="004B793F">
        <w:rPr>
          <w:rStyle w:val="Znakapoznpodarou"/>
        </w:rPr>
        <w:footnoteReference w:id="5"/>
      </w:r>
      <w:r w:rsidR="00665123">
        <w:t xml:space="preserve"> a komentáře </w:t>
      </w:r>
      <w:r w:rsidR="00F65257">
        <w:t>autorského kolektivu pod vedením R. Fialy a R. Drápala</w:t>
      </w:r>
      <w:r w:rsidR="00523887" w:rsidRPr="00A95DE0">
        <w:t>.</w:t>
      </w:r>
      <w:r w:rsidR="004B793F">
        <w:rPr>
          <w:rStyle w:val="Znakapoznpodarou"/>
        </w:rPr>
        <w:footnoteReference w:id="6"/>
      </w:r>
      <w:r w:rsidR="00523887" w:rsidRPr="00A95DE0">
        <w:t xml:space="preserve"> Velmi kladně lze h</w:t>
      </w:r>
      <w:r w:rsidR="004B622A">
        <w:t>odnotit monografii autorů J. Svobody a O.</w:t>
      </w:r>
      <w:r w:rsidR="00523887" w:rsidRPr="00A95DE0">
        <w:t xml:space="preserve"> Kličky</w:t>
      </w:r>
      <w:r w:rsidR="00AA7BF7">
        <w:t xml:space="preserve"> </w:t>
      </w:r>
      <w:r w:rsidR="00523887" w:rsidRPr="00A95DE0">
        <w:t>Dědické právo v</w:t>
      </w:r>
      <w:r w:rsidR="004368F3">
        <w:t> </w:t>
      </w:r>
      <w:r w:rsidR="00523887" w:rsidRPr="00A95DE0">
        <w:t>praxi</w:t>
      </w:r>
      <w:r w:rsidR="004368F3">
        <w:t>.</w:t>
      </w:r>
      <w:r w:rsidR="00DD1B52">
        <w:rPr>
          <w:rStyle w:val="Znakapoznpodarou"/>
        </w:rPr>
        <w:footnoteReference w:id="7"/>
      </w:r>
      <w:r w:rsidR="00550191">
        <w:t xml:space="preserve"> </w:t>
      </w:r>
      <w:r w:rsidR="00672801">
        <w:t>Pro možnost vysvětlení některých právních otázek a srovnání právní</w:t>
      </w:r>
      <w:r w:rsidR="00F82BDD">
        <w:t xml:space="preserve">ch úprav byl </w:t>
      </w:r>
      <w:r w:rsidR="00671FEE">
        <w:t>velmi podně</w:t>
      </w:r>
      <w:r w:rsidR="00672801">
        <w:t xml:space="preserve">tný </w:t>
      </w:r>
      <w:r w:rsidR="00AA7BF7">
        <w:t xml:space="preserve">komentář F. </w:t>
      </w:r>
      <w:r w:rsidR="004368F3">
        <w:t>Rouč</w:t>
      </w:r>
      <w:r w:rsidR="00672801">
        <w:t>k</w:t>
      </w:r>
      <w:r w:rsidR="004368F3">
        <w:t>a</w:t>
      </w:r>
      <w:r w:rsidR="00672801">
        <w:t xml:space="preserve"> </w:t>
      </w:r>
      <w:r w:rsidR="004368F3">
        <w:t>a J. Sedláč</w:t>
      </w:r>
      <w:r w:rsidR="00672801">
        <w:t>k</w:t>
      </w:r>
      <w:r w:rsidR="004368F3">
        <w:t>a</w:t>
      </w:r>
      <w:r w:rsidR="00DD1B52">
        <w:rPr>
          <w:rStyle w:val="Znakapoznpodarou"/>
        </w:rPr>
        <w:footnoteReference w:id="8"/>
      </w:r>
      <w:r w:rsidR="00672801">
        <w:t xml:space="preserve"> včetně prvorepublikové judikatury</w:t>
      </w:r>
      <w:r w:rsidR="0037372C">
        <w:t>,</w:t>
      </w:r>
      <w:r w:rsidR="00672801">
        <w:t xml:space="preserve"> na níž bude možno při řešení stejných nebo obdobných otázek nav</w:t>
      </w:r>
      <w:r w:rsidR="006E2E25">
        <w:t>ázat. Inspirujícím vodítkem byly</w:t>
      </w:r>
      <w:r w:rsidR="00672801">
        <w:t xml:space="preserve"> autorovi diplomové práce rovněž </w:t>
      </w:r>
      <w:r w:rsidR="005E7356">
        <w:t>odborné články</w:t>
      </w:r>
      <w:r w:rsidR="005C5722">
        <w:rPr>
          <w:rStyle w:val="Znakapoznpodarou"/>
        </w:rPr>
        <w:footnoteReference w:id="9"/>
      </w:r>
      <w:r w:rsidR="005E7356">
        <w:t xml:space="preserve"> a přínosné </w:t>
      </w:r>
      <w:r w:rsidR="00672801">
        <w:t>diskuze na dané téma s </w:t>
      </w:r>
      <w:r w:rsidR="00DE75CA">
        <w:t xml:space="preserve">odborníky z akademické půdy i </w:t>
      </w:r>
      <w:r w:rsidR="00672801">
        <w:t>odborné praxe.</w:t>
      </w:r>
    </w:p>
    <w:p w:rsidR="00672801" w:rsidRDefault="00672801" w:rsidP="00C151AF">
      <w:pPr>
        <w:spacing w:after="0"/>
        <w:ind w:firstLine="567"/>
      </w:pPr>
      <w:r>
        <w:t>Diplomová práce je členěna do šesti kapitol, přičemž není sledován cíl pojednat o</w:t>
      </w:r>
      <w:r w:rsidR="004F0574">
        <w:t> </w:t>
      </w:r>
      <w:r>
        <w:t>testamentární dědické posloupnosti</w:t>
      </w:r>
      <w:r w:rsidR="0037372C">
        <w:t xml:space="preserve"> a jejích</w:t>
      </w:r>
      <w:r w:rsidR="0020486C">
        <w:t xml:space="preserve"> problematických aspektech</w:t>
      </w:r>
      <w:r w:rsidR="0037372C">
        <w:t xml:space="preserve"> </w:t>
      </w:r>
      <w:r>
        <w:t>komplexně. U</w:t>
      </w:r>
      <w:r w:rsidR="00C1368D">
        <w:t xml:space="preserve"> některých institutů je zapracováno srovnání s předchozí právní úpravou naší nebo zahraniční, kde je to </w:t>
      </w:r>
      <w:r w:rsidR="009C5B66">
        <w:t xml:space="preserve">možné nebo </w:t>
      </w:r>
      <w:r w:rsidR="00C1368D">
        <w:t xml:space="preserve">účelné na ni poukázat. První kapitola obecně vymezuje institut </w:t>
      </w:r>
      <w:r w:rsidR="006026B9">
        <w:t>dědění ze závěti</w:t>
      </w:r>
      <w:r w:rsidR="00C1368D">
        <w:t xml:space="preserve">. Druhá kapitola se zabývá vztahem závěti k dalším novým formám pořízení pro případ smrti, a to k dědické smlouvě a k dovětku, se zaměřením na jejich problematické aspekty. Třetí kapitola je věnována jednotlivým druhům závěti a jejich problematickým aspektům. U holografní závěti je rozebrána problematika vlastnoručního vyhotovení, datace a podpisu závěti, u </w:t>
      </w:r>
      <w:proofErr w:type="spellStart"/>
      <w:r w:rsidR="00C1368D">
        <w:t>allografních</w:t>
      </w:r>
      <w:proofErr w:type="spellEnd"/>
      <w:r w:rsidR="00C1368D">
        <w:t xml:space="preserve"> závětí (prosté i speciální)</w:t>
      </w:r>
      <w:r w:rsidR="00482574">
        <w:t xml:space="preserve"> otázky týkající se svědků. Z veřejných pořízení formou notářského zápisu je analyzována pouze závěť pořízená nezletilou osobou. Úlevy při pořizování závěti jsou zařazeny do samostatné čtvrté kapitoly. </w:t>
      </w:r>
      <w:r w:rsidR="00482574">
        <w:lastRenderedPageBreak/>
        <w:t xml:space="preserve">Pátá kapitola se zabývá problematickými aspekty vybraných </w:t>
      </w:r>
      <w:r w:rsidR="006026B9">
        <w:t xml:space="preserve">obsahových </w:t>
      </w:r>
      <w:r w:rsidR="009C5B66">
        <w:t>náležitostí závěti</w:t>
      </w:r>
      <w:r w:rsidR="00482574">
        <w:t xml:space="preserve">. </w:t>
      </w:r>
      <w:r w:rsidR="0020486C">
        <w:t>Z</w:t>
      </w:r>
      <w:r w:rsidR="00482574">
        <w:t>ávěrečné šest</w:t>
      </w:r>
      <w:r w:rsidR="0020486C">
        <w:t>á</w:t>
      </w:r>
      <w:r w:rsidR="00482574">
        <w:t xml:space="preserve"> kapitol</w:t>
      </w:r>
      <w:r w:rsidR="0020486C">
        <w:t>a</w:t>
      </w:r>
      <w:r w:rsidR="00482574">
        <w:t xml:space="preserve"> </w:t>
      </w:r>
      <w:r w:rsidR="0020486C">
        <w:t>je věnována</w:t>
      </w:r>
      <w:r w:rsidR="00482574">
        <w:t xml:space="preserve"> problematick</w:t>
      </w:r>
      <w:r w:rsidR="0020486C">
        <w:t>ým</w:t>
      </w:r>
      <w:r w:rsidR="00482574">
        <w:t xml:space="preserve"> aspekt</w:t>
      </w:r>
      <w:r w:rsidR="0020486C">
        <w:t>ům</w:t>
      </w:r>
      <w:r w:rsidR="00482574">
        <w:t xml:space="preserve"> zrušení závěti.</w:t>
      </w:r>
    </w:p>
    <w:p w:rsidR="00BA7ABD" w:rsidRDefault="00482574" w:rsidP="00C151AF">
      <w:pPr>
        <w:spacing w:after="0"/>
        <w:ind w:firstLine="567"/>
      </w:pPr>
      <w:r>
        <w:t>Tato práce nemůže postihnout všechny problematické aspekty testamentární dědické posloupnosti, minimálně z důvodu značné šíře této problematiky, rozsahu rekodifikace</w:t>
      </w:r>
      <w:r w:rsidR="009C5B66">
        <w:t>, chybějící judikatury</w:t>
      </w:r>
      <w:r>
        <w:t xml:space="preserve"> a dosud prakticky žádné odezvy z aplikační </w:t>
      </w:r>
      <w:r w:rsidR="006026B9">
        <w:t>praxe</w:t>
      </w:r>
      <w:r>
        <w:t>. Uvedené téma by si jistě zasloužilo širší analýzu, nap</w:t>
      </w:r>
      <w:r w:rsidR="00FC4CD7">
        <w:t>ř. problematiky odkazu</w:t>
      </w:r>
      <w:r>
        <w:t>, dopadu tradičně sporného institutu darování pro případ smrti do dědického práva</w:t>
      </w:r>
      <w:r w:rsidR="006026B9">
        <w:t xml:space="preserve"> a hlubší </w:t>
      </w:r>
      <w:r w:rsidR="00FC4CD7">
        <w:t>komparaci</w:t>
      </w:r>
      <w:r w:rsidR="00ED4C1C">
        <w:t xml:space="preserve"> se zahraničními kodexy </w:t>
      </w:r>
      <w:r w:rsidR="00784F3F">
        <w:t>včetně</w:t>
      </w:r>
      <w:r w:rsidR="00ED4C1C">
        <w:t xml:space="preserve"> judikatur</w:t>
      </w:r>
      <w:r w:rsidR="00784F3F">
        <w:t>y k ni</w:t>
      </w:r>
      <w:r w:rsidR="00ED4C1C">
        <w:t>m.</w:t>
      </w:r>
    </w:p>
    <w:p w:rsidR="00482574" w:rsidRDefault="00482574" w:rsidP="00C151AF">
      <w:pPr>
        <w:spacing w:after="0"/>
        <w:ind w:firstLine="567"/>
      </w:pPr>
    </w:p>
    <w:p w:rsidR="00FC4CD7" w:rsidRDefault="00FC4CD7"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784F3F" w:rsidRDefault="00784F3F" w:rsidP="00C151AF">
      <w:pPr>
        <w:spacing w:after="0"/>
        <w:ind w:firstLine="567"/>
      </w:pPr>
    </w:p>
    <w:p w:rsidR="00FD2B4E" w:rsidRDefault="007B3243" w:rsidP="007B3243">
      <w:pPr>
        <w:pStyle w:val="Nadpis1"/>
      </w:pPr>
      <w:bookmarkStart w:id="5" w:name="_Toc436779458"/>
      <w:bookmarkStart w:id="6" w:name="_Toc437225052"/>
      <w:r w:rsidRPr="007B3243">
        <w:lastRenderedPageBreak/>
        <w:t>1</w:t>
      </w:r>
      <w:r>
        <w:tab/>
      </w:r>
      <w:r w:rsidR="00A2496C" w:rsidRPr="00870286">
        <w:t>Obecné vymezení dědění ze závěti</w:t>
      </w:r>
      <w:bookmarkEnd w:id="5"/>
      <w:bookmarkEnd w:id="6"/>
    </w:p>
    <w:p w:rsidR="007B3243" w:rsidRDefault="007B3243" w:rsidP="007B3243">
      <w:pPr>
        <w:pStyle w:val="DiplTEXT"/>
        <w:spacing w:after="0"/>
        <w:ind w:firstLine="567"/>
      </w:pPr>
      <w:r>
        <w:t>Závěť je tradičním institutem dědického práva, jehož kořeny sahají hluboko do období antického Říma, kde se zcela samostatně vyvinul vedle intestátní dědické posloupnosti.</w:t>
      </w:r>
      <w:r>
        <w:rPr>
          <w:rStyle w:val="Znakapoznpodarou"/>
        </w:rPr>
        <w:footnoteReference w:id="10"/>
      </w:r>
      <w:r>
        <w:t xml:space="preserve"> Význam závěti jako druhého nejsilnějšího dědického titulu</w:t>
      </w:r>
      <w:r>
        <w:rPr>
          <w:rStyle w:val="Znakapoznpodarou"/>
        </w:rPr>
        <w:footnoteReference w:id="11"/>
      </w:r>
      <w:r>
        <w:t xml:space="preserve"> spočívá v tom, že na jejím základě dochází k přechodu jmění zůstavitele na jeho právního nástupce </w:t>
      </w:r>
      <w:proofErr w:type="spellStart"/>
      <w:r>
        <w:t>mortis</w:t>
      </w:r>
      <w:proofErr w:type="spellEnd"/>
      <w:r>
        <w:t xml:space="preserve"> causa a tím i k naplnění zásady zachování hodnot</w:t>
      </w:r>
      <w:r>
        <w:rPr>
          <w:rStyle w:val="Znakapoznpodarou"/>
        </w:rPr>
        <w:footnoteReference w:id="12"/>
      </w:r>
      <w:r>
        <w:t>. Právo vlastnit majetek a jeho dědění je ústavně garantováno v čl. 11 odst. 1 LZPS. Současně je závěť podle § 1491 NOZ považována za pořízení pro případ smrti společně s dědickou smlouvou a dovětkem. Účelem závěti je uspořádat majetkové poměry pro případ smrti jinak než podle zákonné dědické posloupnosti nebo efektivně vypořádat dědictví mezi zákonnými dědici na základě určení jejich dědických podílů.</w:t>
      </w:r>
      <w:r>
        <w:rPr>
          <w:rStyle w:val="Znakapoznpodarou"/>
        </w:rPr>
        <w:footnoteReference w:id="13"/>
      </w:r>
    </w:p>
    <w:p w:rsidR="007B3243" w:rsidRPr="007B3243" w:rsidRDefault="007B3243" w:rsidP="007B3243">
      <w:pPr>
        <w:spacing w:after="0"/>
      </w:pPr>
    </w:p>
    <w:p w:rsidR="00286980" w:rsidRPr="00AF458A" w:rsidRDefault="00AF458A" w:rsidP="009C5B66">
      <w:pPr>
        <w:pStyle w:val="Nadpis2"/>
        <w:spacing w:before="0"/>
      </w:pPr>
      <w:bookmarkStart w:id="7" w:name="_Toc436779459"/>
      <w:bookmarkStart w:id="8" w:name="_Toc437225053"/>
      <w:r w:rsidRPr="00AF458A">
        <w:t>1.1</w:t>
      </w:r>
      <w:r w:rsidR="00167E1D">
        <w:tab/>
      </w:r>
      <w:r w:rsidR="00286980" w:rsidRPr="00252361">
        <w:t>Pojem</w:t>
      </w:r>
      <w:r w:rsidR="00286980" w:rsidRPr="00AF458A">
        <w:t xml:space="preserve"> záv</w:t>
      </w:r>
      <w:r w:rsidR="00286980" w:rsidRPr="00252361">
        <w:t>ě</w:t>
      </w:r>
      <w:r w:rsidR="00286980" w:rsidRPr="00AF458A">
        <w:t>ti</w:t>
      </w:r>
      <w:bookmarkEnd w:id="7"/>
      <w:bookmarkEnd w:id="8"/>
    </w:p>
    <w:p w:rsidR="009F439A" w:rsidRDefault="001E0955" w:rsidP="00286980">
      <w:pPr>
        <w:pStyle w:val="DiplTEXT"/>
        <w:spacing w:after="0"/>
        <w:ind w:firstLine="567"/>
      </w:pPr>
      <w:r>
        <w:t xml:space="preserve">NOZ </w:t>
      </w:r>
      <w:r w:rsidR="00C12810">
        <w:t xml:space="preserve">nově </w:t>
      </w:r>
      <w:r>
        <w:t>legálně definuje závěť</w:t>
      </w:r>
      <w:r w:rsidR="00015F6E">
        <w:rPr>
          <w:rStyle w:val="Znakapoznpodarou"/>
        </w:rPr>
        <w:footnoteReference w:id="14"/>
      </w:r>
      <w:r>
        <w:t xml:space="preserve"> v § 1494 NOZ</w:t>
      </w:r>
      <w:r w:rsidR="00015F6E">
        <w:t>, podle které</w:t>
      </w:r>
      <w:r>
        <w:t xml:space="preserve">ho je závěť: </w:t>
      </w:r>
      <w:r w:rsidRPr="0034672C">
        <w:rPr>
          <w:i/>
        </w:rPr>
        <w:t>„odvolatelný projev vůle, kterým zůstavitel pro případ své smrti osobně zůstavuje</w:t>
      </w:r>
      <w:r w:rsidR="00BF1C57" w:rsidRPr="0034672C">
        <w:rPr>
          <w:i/>
        </w:rPr>
        <w:t xml:space="preserve"> jedné či více osobám alespoň podíl na pozůstalosti, případně i odkaz“</w:t>
      </w:r>
      <w:r w:rsidR="00BF1C57">
        <w:t xml:space="preserve">. </w:t>
      </w:r>
      <w:r w:rsidR="00C12373">
        <w:t xml:space="preserve">Z uvedené definice vyplývá, že obligatorní náležitosti každé závěti je ustanovení dědice alespoň k podílu </w:t>
      </w:r>
      <w:r w:rsidR="00E02638">
        <w:t>na pozůstalosti, zatímco f</w:t>
      </w:r>
      <w:r w:rsidR="00C12373">
        <w:t xml:space="preserve">akultativní </w:t>
      </w:r>
      <w:r w:rsidR="00E02638">
        <w:t>náležitostí je především zřízení odkazu.</w:t>
      </w:r>
      <w:r w:rsidR="00106D09">
        <w:rPr>
          <w:rStyle w:val="Znakapoznpodarou"/>
        </w:rPr>
        <w:footnoteReference w:id="15"/>
      </w:r>
      <w:r w:rsidR="00E02638">
        <w:t xml:space="preserve"> </w:t>
      </w:r>
      <w:r w:rsidR="00A62DDE">
        <w:t>V</w:t>
      </w:r>
      <w:r w:rsidR="00D76B86">
        <w:t xml:space="preserve"> </w:t>
      </w:r>
      <w:r w:rsidR="00BF1C57">
        <w:t>navazujícím</w:t>
      </w:r>
      <w:r w:rsidR="009F439A" w:rsidRPr="009F439A">
        <w:t xml:space="preserve"> ustanovení</w:t>
      </w:r>
      <w:r w:rsidR="00BF1C57">
        <w:t xml:space="preserve"> § 1496 NOZ </w:t>
      </w:r>
      <w:r w:rsidR="00A62DDE">
        <w:t>je zdůrazněna specifická povaha závěti, spočíva</w:t>
      </w:r>
      <w:r w:rsidR="00BF1C57">
        <w:t>jící v její ryze osobní povaze</w:t>
      </w:r>
      <w:r w:rsidR="00A62DDE">
        <w:t>,</w:t>
      </w:r>
      <w:r w:rsidR="00A62DDE" w:rsidRPr="00A62DDE">
        <w:t xml:space="preserve"> </w:t>
      </w:r>
      <w:r w:rsidR="00A62DDE">
        <w:t>takže je vyloučeno, aby ji za zůstavitele nebo jeho jménem pořídi</w:t>
      </w:r>
      <w:r w:rsidR="00DD19F5">
        <w:t>l zákonný nebo smluvní zástupce.</w:t>
      </w:r>
      <w:r w:rsidR="00A62DDE">
        <w:rPr>
          <w:rStyle w:val="Znakapoznpodarou"/>
        </w:rPr>
        <w:footnoteReference w:id="16"/>
      </w:r>
      <w:r w:rsidR="00DD19F5">
        <w:t xml:space="preserve"> </w:t>
      </w:r>
      <w:r w:rsidR="008A0D28">
        <w:t xml:space="preserve">Jednostranná povaha závěti je </w:t>
      </w:r>
      <w:r w:rsidR="00C12810">
        <w:t xml:space="preserve">dále </w:t>
      </w:r>
      <w:r w:rsidR="008A0D28">
        <w:t xml:space="preserve">vyjádřena </w:t>
      </w:r>
      <w:r w:rsidR="00D16C8C">
        <w:t>zákazem</w:t>
      </w:r>
      <w:r w:rsidR="00CB1596">
        <w:t xml:space="preserve"> </w:t>
      </w:r>
      <w:r w:rsidR="00015F6E">
        <w:t>pořídit společnou závěť s jinou osobou. Zůstavitel musí podle § 1497 NOZ projevit svou vůli natolik určitě, že nepostačí</w:t>
      </w:r>
      <w:r w:rsidR="006A7DA5">
        <w:t xml:space="preserve">, aby jen přisvědčil návrhu, který mu byl učiněn. </w:t>
      </w:r>
      <w:r w:rsidR="006A7DA5" w:rsidRPr="006A7DA5">
        <w:t xml:space="preserve">Dalším charakteristickým znakem </w:t>
      </w:r>
      <w:r w:rsidR="006A7DA5">
        <w:t xml:space="preserve">závěti </w:t>
      </w:r>
      <w:r w:rsidR="00A24F79">
        <w:t>je to</w:t>
      </w:r>
      <w:r w:rsidR="006A7DA5" w:rsidRPr="006A7DA5">
        <w:t>, že se jedná o</w:t>
      </w:r>
      <w:r w:rsidR="004F0574">
        <w:t> </w:t>
      </w:r>
      <w:r w:rsidR="006A7DA5" w:rsidRPr="006A7DA5">
        <w:t xml:space="preserve">neadresované právní jednání, které způsobuje právní následky již samotným projevem vůle zůstavitele, aniž by se </w:t>
      </w:r>
      <w:r w:rsidR="00A24F79">
        <w:t xml:space="preserve">k jeho </w:t>
      </w:r>
      <w:proofErr w:type="spellStart"/>
      <w:r w:rsidR="00A24F79">
        <w:t>perfekci</w:t>
      </w:r>
      <w:proofErr w:type="spellEnd"/>
      <w:r w:rsidR="00A24F79">
        <w:t xml:space="preserve"> vyžadovalo doručení jiné osobě</w:t>
      </w:r>
      <w:r w:rsidR="006A7DA5" w:rsidRPr="006A7DA5">
        <w:t>.</w:t>
      </w:r>
      <w:r w:rsidR="004D11C5">
        <w:rPr>
          <w:rStyle w:val="Znakapoznpodarou"/>
        </w:rPr>
        <w:footnoteReference w:id="17"/>
      </w:r>
    </w:p>
    <w:p w:rsidR="0034672C" w:rsidRDefault="00EC660B" w:rsidP="00324363">
      <w:pPr>
        <w:pStyle w:val="DiplTEXT"/>
        <w:spacing w:after="0"/>
        <w:ind w:firstLine="567"/>
      </w:pPr>
      <w:r>
        <w:lastRenderedPageBreak/>
        <w:t>Projevem rozšíření testovací volnosti zůstavitele je zařazení tzv. negativní závěti</w:t>
      </w:r>
      <w:r w:rsidR="002F5FB5">
        <w:t xml:space="preserve"> v</w:t>
      </w:r>
      <w:r w:rsidR="00167E1D">
        <w:t> </w:t>
      </w:r>
      <w:r w:rsidR="002F5FB5">
        <w:t>§</w:t>
      </w:r>
      <w:r w:rsidR="00167E1D">
        <w:t> </w:t>
      </w:r>
      <w:r w:rsidR="002F5FB5">
        <w:t>1649 odst. 2 NOZ, jíž zůstavitel může vyloučit z dědického práva některého z možných zákonných dědiců, přičemž ale nesmí jít o dědi</w:t>
      </w:r>
      <w:r w:rsidR="00E347A8">
        <w:t>ce nepominutelného.</w:t>
      </w:r>
    </w:p>
    <w:p w:rsidR="00B47D56" w:rsidRPr="00870286" w:rsidRDefault="00B47D56" w:rsidP="00252361">
      <w:pPr>
        <w:pStyle w:val="Nadpis2"/>
      </w:pPr>
      <w:bookmarkStart w:id="9" w:name="_Toc436779460"/>
      <w:bookmarkStart w:id="10" w:name="_Toc437225054"/>
      <w:r w:rsidRPr="00870286">
        <w:t>1.2</w:t>
      </w:r>
      <w:r w:rsidR="00167E1D">
        <w:tab/>
      </w:r>
      <w:r w:rsidR="00C13EF0">
        <w:t>P</w:t>
      </w:r>
      <w:r w:rsidRPr="00252361">
        <w:t>odmínky</w:t>
      </w:r>
      <w:r w:rsidRPr="00870286">
        <w:t xml:space="preserve"> </w:t>
      </w:r>
      <w:r w:rsidRPr="00252361">
        <w:t>testamentární</w:t>
      </w:r>
      <w:r w:rsidRPr="00870286">
        <w:t xml:space="preserve"> dědické posloupnosti</w:t>
      </w:r>
      <w:bookmarkEnd w:id="9"/>
      <w:bookmarkEnd w:id="10"/>
    </w:p>
    <w:p w:rsidR="00CC336E" w:rsidRDefault="00CC336E" w:rsidP="00B47D56">
      <w:pPr>
        <w:pStyle w:val="DiplTEXT"/>
        <w:spacing w:after="0"/>
        <w:ind w:firstLine="567"/>
      </w:pPr>
      <w:r>
        <w:t xml:space="preserve">Testamentární dědická posloupnost je taková dědická posloupnost, ke které dochází na základě poslední vůle </w:t>
      </w:r>
      <w:r w:rsidR="007B1998">
        <w:t xml:space="preserve">zůstavitele </w:t>
      </w:r>
      <w:r>
        <w:t>vyjádřené v</w:t>
      </w:r>
      <w:r w:rsidR="007B1998">
        <w:t xml:space="preserve"> platném </w:t>
      </w:r>
      <w:r>
        <w:t xml:space="preserve">testamentu okamžikem </w:t>
      </w:r>
      <w:r w:rsidR="007B1998">
        <w:t>jeho smrti</w:t>
      </w:r>
      <w:r>
        <w:t xml:space="preserve">. </w:t>
      </w:r>
      <w:r w:rsidR="007B1998">
        <w:t xml:space="preserve">K dalším předpokladům patří existence pozůstalosti ve smyslu § 1475 odst. 2 NOZ, </w:t>
      </w:r>
      <w:r w:rsidR="007B1998" w:rsidRPr="007B1998">
        <w:t>způsobilost zůstavitele pořídit závěť, testamentárně způsobilý dědic a náležitosti projevu a vůle zůstavitele.</w:t>
      </w:r>
    </w:p>
    <w:p w:rsidR="000826C8" w:rsidRDefault="000826C8" w:rsidP="00B47D56">
      <w:pPr>
        <w:pStyle w:val="DiplTEXT"/>
        <w:spacing w:after="0"/>
        <w:ind w:firstLine="567"/>
      </w:pPr>
      <w:r>
        <w:t>Testamentární způsobilost je způsobilost potřebná ke zřízení nebo zrušení posledního pořízení</w:t>
      </w:r>
      <w:r w:rsidR="00F60DA2">
        <w:t>.</w:t>
      </w:r>
      <w:r w:rsidR="00F60DA2">
        <w:rPr>
          <w:rStyle w:val="Znakapoznpodarou"/>
        </w:rPr>
        <w:footnoteReference w:id="18"/>
      </w:r>
      <w:r w:rsidR="007B2C65">
        <w:t xml:space="preserve"> </w:t>
      </w:r>
      <w:r>
        <w:t xml:space="preserve">Způsobilost zůstavitele pořídit závěť NOZ pozitivně neupravuje, definuje pouze pořizovací nezpůsobilost. Aplikována </w:t>
      </w:r>
      <w:r w:rsidR="007B1998">
        <w:t>proto budou obecná ustanovení NOZ uvedená v § 15 a</w:t>
      </w:r>
      <w:r w:rsidR="004F0574">
        <w:t> </w:t>
      </w:r>
      <w:r w:rsidR="007B1998">
        <w:t xml:space="preserve"> násl.</w:t>
      </w:r>
      <w:r>
        <w:t xml:space="preserve">, dle nichž může sepsat závěť kterákoliv plně svéprávná osoba. Absence plné svéprávnosti je důvodem pro vznik pořizovací nezpůsobilosti podle § 1525 NOZ, </w:t>
      </w:r>
      <w:r w:rsidR="00EE2474">
        <w:t>přičemž osoby nesvéprávné pro nízký věk nebo ve svéprávnosti omezené mohou pořídit podle §§ 1526-1528 NOZ.</w:t>
      </w:r>
    </w:p>
    <w:p w:rsidR="00EE2474" w:rsidRDefault="00D30EA2" w:rsidP="00B47D56">
      <w:pPr>
        <w:pStyle w:val="DiplTEXT"/>
        <w:spacing w:after="0"/>
        <w:ind w:firstLine="567"/>
        <w:rPr>
          <w:color w:val="FF0000"/>
        </w:rPr>
      </w:pPr>
      <w:r>
        <w:t>Testamentárně způsobilým dědicem</w:t>
      </w:r>
      <w:r w:rsidR="006A66D0">
        <w:t xml:space="preserve"> </w:t>
      </w:r>
      <w:r w:rsidR="000D3D2F">
        <w:t xml:space="preserve">je osoba, které svědčí závěť jako dědický titul </w:t>
      </w:r>
      <w:r w:rsidR="00EE2474">
        <w:t>a které náleží podle § 1475 odst. 3 NOZ dědické právo, jestliže není dědicky nezpůsobilá ve smyslu §</w:t>
      </w:r>
      <w:r w:rsidR="008F5915">
        <w:t> </w:t>
      </w:r>
      <w:r w:rsidR="00EE2474">
        <w:t xml:space="preserve"> 1481 a násl. NOZ, nebyla vyděděna, nezřekla se předem dědického práva </w:t>
      </w:r>
      <w:r w:rsidR="00E478E9">
        <w:t xml:space="preserve">podle § 1484 NOZ </w:t>
      </w:r>
      <w:r w:rsidR="00EE2474">
        <w:t>a</w:t>
      </w:r>
      <w:r w:rsidR="004F0574">
        <w:t> </w:t>
      </w:r>
      <w:r w:rsidR="00E478E9">
        <w:t xml:space="preserve"> dědictví neodmítla</w:t>
      </w:r>
      <w:r w:rsidR="00DA12C4">
        <w:t>.</w:t>
      </w:r>
      <w:r w:rsidR="007B2C65">
        <w:rPr>
          <w:rStyle w:val="Znakapoznpodarou"/>
        </w:rPr>
        <w:footnoteReference w:id="19"/>
      </w:r>
    </w:p>
    <w:p w:rsidR="00292192" w:rsidRPr="00E955A0" w:rsidRDefault="00292192" w:rsidP="004F290A">
      <w:pPr>
        <w:ind w:firstLine="567"/>
        <w:rPr>
          <w:strike/>
          <w:color w:val="FF0000"/>
        </w:rPr>
      </w:pPr>
      <w:r w:rsidRPr="00292192">
        <w:t>Aby závěť</w:t>
      </w:r>
      <w:r>
        <w:t xml:space="preserve"> byla platným právním jednáním, musí vůle zůstavitele splňovat náležitosti kladené </w:t>
      </w:r>
      <w:r w:rsidR="00240D9D" w:rsidRPr="00666732">
        <w:t>obecně</w:t>
      </w:r>
      <w:r w:rsidR="00240D9D">
        <w:t xml:space="preserve"> </w:t>
      </w:r>
      <w:r>
        <w:t xml:space="preserve">na všechna </w:t>
      </w:r>
      <w:r w:rsidRPr="00666732">
        <w:t>právní jednání</w:t>
      </w:r>
      <w:r w:rsidR="00324CB3">
        <w:rPr>
          <w:rStyle w:val="Znakapoznpodarou"/>
        </w:rPr>
        <w:footnoteReference w:id="20"/>
      </w:r>
      <w:r>
        <w:t>, tj. musí být svobodná, skutečná, vážná, prostá omylu</w:t>
      </w:r>
      <w:r w:rsidR="007B2C65">
        <w:rPr>
          <w:rStyle w:val="Znakapoznpodarou"/>
        </w:rPr>
        <w:footnoteReference w:id="21"/>
      </w:r>
      <w:r>
        <w:t xml:space="preserve"> a musí být p</w:t>
      </w:r>
      <w:r w:rsidR="00666732">
        <w:t>rojevena určitě a srozumitelně.</w:t>
      </w:r>
    </w:p>
    <w:p w:rsidR="00167E1D" w:rsidRDefault="00167E1D">
      <w:pPr>
        <w:spacing w:after="0" w:line="240" w:lineRule="auto"/>
        <w:jc w:val="left"/>
        <w:rPr>
          <w:rFonts w:eastAsiaTheme="majorEastAsia" w:cstheme="majorBidi"/>
          <w:b/>
          <w:bCs/>
          <w:sz w:val="28"/>
          <w:szCs w:val="26"/>
        </w:rPr>
      </w:pPr>
      <w:bookmarkStart w:id="11" w:name="_Toc436779461"/>
      <w:r>
        <w:br w:type="page"/>
      </w:r>
    </w:p>
    <w:p w:rsidR="008A6CFF" w:rsidRPr="00870286" w:rsidRDefault="00635B0D" w:rsidP="00252361">
      <w:pPr>
        <w:pStyle w:val="Nadpis2"/>
      </w:pPr>
      <w:bookmarkStart w:id="12" w:name="_Toc437225055"/>
      <w:r>
        <w:lastRenderedPageBreak/>
        <w:t>1.</w:t>
      </w:r>
      <w:r w:rsidR="00286980" w:rsidRPr="00870286">
        <w:t>3</w:t>
      </w:r>
      <w:r w:rsidR="00167E1D">
        <w:tab/>
      </w:r>
      <w:r w:rsidR="006966EA" w:rsidRPr="00252361">
        <w:t>I</w:t>
      </w:r>
      <w:r w:rsidR="00286980" w:rsidRPr="00252361">
        <w:t>nterpretace</w:t>
      </w:r>
      <w:r w:rsidR="00286980" w:rsidRPr="00870286">
        <w:t xml:space="preserve"> závěti</w:t>
      </w:r>
      <w:bookmarkEnd w:id="11"/>
      <w:bookmarkEnd w:id="12"/>
    </w:p>
    <w:p w:rsidR="003129E4" w:rsidRPr="007D2F03" w:rsidRDefault="003129E4" w:rsidP="0006563A">
      <w:pPr>
        <w:pStyle w:val="DiplTEXT"/>
        <w:spacing w:after="0"/>
        <w:ind w:firstLine="567"/>
        <w:rPr>
          <w:color w:val="FF0000"/>
        </w:rPr>
      </w:pPr>
      <w:r>
        <w:t>Z</w:t>
      </w:r>
      <w:r w:rsidRPr="00C41D48">
        <w:t xml:space="preserve">ávěť </w:t>
      </w:r>
      <w:r>
        <w:t xml:space="preserve">je </w:t>
      </w:r>
      <w:r w:rsidRPr="00C41D48">
        <w:t xml:space="preserve">specifickým právním jednáním </w:t>
      </w:r>
      <w:proofErr w:type="spellStart"/>
      <w:r w:rsidRPr="00C41D48">
        <w:t>mortis</w:t>
      </w:r>
      <w:proofErr w:type="spellEnd"/>
      <w:r w:rsidRPr="00C41D48">
        <w:t xml:space="preserve"> causa</w:t>
      </w:r>
      <w:r w:rsidR="004F290A">
        <w:t xml:space="preserve">, k jejímuž </w:t>
      </w:r>
      <w:r w:rsidR="00406F69">
        <w:t>výkladu dochází až po smrti zůstavitele</w:t>
      </w:r>
      <w:r w:rsidR="001A166D">
        <w:t xml:space="preserve"> v pozůstalostním řízení</w:t>
      </w:r>
      <w:r w:rsidR="004F290A">
        <w:t xml:space="preserve">. </w:t>
      </w:r>
      <w:r w:rsidR="00244FF2">
        <w:t xml:space="preserve">Pro výklad závěti </w:t>
      </w:r>
      <w:r w:rsidR="00244FF2" w:rsidRPr="00C41D48">
        <w:t xml:space="preserve">zákonodárce zavedl </w:t>
      </w:r>
      <w:r w:rsidR="001A166D">
        <w:t>speciální</w:t>
      </w:r>
      <w:r w:rsidR="00244FF2" w:rsidRPr="00C41D48">
        <w:t xml:space="preserve"> pravidlo obsažené v § 1494 odst. 2 NOZ, které ve své větě první stanoví stěžejní zásadu dědického práva</w:t>
      </w:r>
      <w:r w:rsidR="00EB29C1">
        <w:t>,</w:t>
      </w:r>
      <w:r w:rsidR="00244FF2" w:rsidRPr="00C41D48">
        <w:t xml:space="preserve"> spočívající v povinnosti co nejvíce vyhovět vůli zůstavitele</w:t>
      </w:r>
      <w:r w:rsidR="00244FF2">
        <w:t xml:space="preserve">. </w:t>
      </w:r>
      <w:r w:rsidR="00C27663">
        <w:t xml:space="preserve">Plně se </w:t>
      </w:r>
      <w:r w:rsidR="00C27663" w:rsidRPr="00C41D48">
        <w:t>zde odráží tzv. teorie vůle, která vych</w:t>
      </w:r>
      <w:r w:rsidR="00C27663">
        <w:t xml:space="preserve">ází z toho, že </w:t>
      </w:r>
      <w:r w:rsidR="00C27663" w:rsidRPr="00C41D48">
        <w:t xml:space="preserve">závěť je prostředkem k uskutečnění autonomie vůle zůstavitele a </w:t>
      </w:r>
      <w:r w:rsidR="00EB29C1">
        <w:t xml:space="preserve">je </w:t>
      </w:r>
      <w:r w:rsidR="00C27663" w:rsidRPr="00C41D48">
        <w:t>jediným důvodem její existence.</w:t>
      </w:r>
      <w:r w:rsidR="00C27663" w:rsidRPr="00C41D48">
        <w:rPr>
          <w:rStyle w:val="Znakapoznpodarou"/>
        </w:rPr>
        <w:footnoteReference w:id="22"/>
      </w:r>
    </w:p>
    <w:p w:rsidR="001A166D" w:rsidRPr="004A2A17" w:rsidRDefault="00E859EF" w:rsidP="00E859EF">
      <w:pPr>
        <w:pStyle w:val="DiplTEXT"/>
        <w:spacing w:after="0"/>
        <w:ind w:firstLine="567"/>
      </w:pPr>
      <w:r>
        <w:t>K posílení závazno</w:t>
      </w:r>
      <w:r w:rsidR="002F70D7">
        <w:t xml:space="preserve">sti vůle zůstavitele přispívá </w:t>
      </w:r>
      <w:r>
        <w:t>obecná zásada uvedená</w:t>
      </w:r>
      <w:r w:rsidRPr="00E0300B">
        <w:t xml:space="preserve"> v § 574 NOZ, která stanoví přednost platného právního jednání před neplatným.</w:t>
      </w:r>
      <w:r>
        <w:rPr>
          <w:rStyle w:val="Znakapoznpodarou"/>
        </w:rPr>
        <w:footnoteReference w:id="23"/>
      </w:r>
      <w:r>
        <w:t xml:space="preserve"> </w:t>
      </w:r>
      <w:r w:rsidR="00330FF9">
        <w:t>Respekt</w:t>
      </w:r>
      <w:r w:rsidR="009E502A" w:rsidRPr="00E0300B">
        <w:t xml:space="preserve"> </w:t>
      </w:r>
      <w:r w:rsidR="00330FF9">
        <w:t>ke skutečné</w:t>
      </w:r>
      <w:r w:rsidR="009E502A" w:rsidRPr="00E0300B">
        <w:t xml:space="preserve"> vůli zůstavitele </w:t>
      </w:r>
      <w:r w:rsidR="003C2698">
        <w:t xml:space="preserve">se odráží i </w:t>
      </w:r>
      <w:r w:rsidR="00E55BFC">
        <w:t xml:space="preserve">v jejím upřednostnění </w:t>
      </w:r>
      <w:r w:rsidR="009E502A" w:rsidRPr="00E0300B">
        <w:t>před použití</w:t>
      </w:r>
      <w:r w:rsidR="009E502A">
        <w:t xml:space="preserve">m </w:t>
      </w:r>
      <w:r w:rsidR="000B58F5">
        <w:t xml:space="preserve">výlučně </w:t>
      </w:r>
      <w:r w:rsidR="009E502A">
        <w:t xml:space="preserve">gramatického výkladu </w:t>
      </w:r>
      <w:r w:rsidR="009E502A" w:rsidRPr="009E502A">
        <w:t>obsahu</w:t>
      </w:r>
      <w:r w:rsidR="009E502A" w:rsidRPr="002D4A7A">
        <w:rPr>
          <w:color w:val="00B0F0"/>
        </w:rPr>
        <w:t xml:space="preserve"> </w:t>
      </w:r>
      <w:r w:rsidR="00E55BFC">
        <w:t>závěti</w:t>
      </w:r>
      <w:r w:rsidR="009E502A" w:rsidRPr="00E0300B">
        <w:t>.</w:t>
      </w:r>
      <w:r w:rsidR="009E502A" w:rsidRPr="00E0300B">
        <w:rPr>
          <w:rStyle w:val="Znakapoznpodarou"/>
        </w:rPr>
        <w:footnoteReference w:id="24"/>
      </w:r>
      <w:r w:rsidR="00E55BFC">
        <w:t xml:space="preserve"> </w:t>
      </w:r>
      <w:r w:rsidR="00C47C62">
        <w:t xml:space="preserve">Výkladem </w:t>
      </w:r>
      <w:r w:rsidR="0094428F">
        <w:t xml:space="preserve">závěti </w:t>
      </w:r>
      <w:r w:rsidR="00014273">
        <w:t>však nesmí být</w:t>
      </w:r>
      <w:r w:rsidR="00C47C62">
        <w:t xml:space="preserve"> vůle zůstavitele, kterou neměl nebo neprojevil, doplňována </w:t>
      </w:r>
      <w:r w:rsidR="00D73DBD">
        <w:t xml:space="preserve">nebo </w:t>
      </w:r>
      <w:r w:rsidR="000C29ED">
        <w:t>dokonce nahrazována.</w:t>
      </w:r>
      <w:r w:rsidR="000C29ED" w:rsidRPr="00E859EF">
        <w:rPr>
          <w:rStyle w:val="Znakapoznpodarou"/>
        </w:rPr>
        <w:footnoteReference w:id="25"/>
      </w:r>
      <w:r w:rsidR="000C29ED">
        <w:t xml:space="preserve"> </w:t>
      </w:r>
      <w:r w:rsidR="004A2A17" w:rsidRPr="004A2A17">
        <w:t>K vysvětlení zůstavitelovy vůle může sloužit i obsah listiny, na kterou zůstavitel poukáže (§ 1495 NOZ)</w:t>
      </w:r>
      <w:r w:rsidR="00D73DBD">
        <w:t>.</w:t>
      </w:r>
      <w:r w:rsidR="00932A83">
        <w:t xml:space="preserve"> </w:t>
      </w:r>
    </w:p>
    <w:p w:rsidR="004965DE" w:rsidRDefault="003C2698" w:rsidP="00E859EF">
      <w:pPr>
        <w:pStyle w:val="DiplTEXT"/>
        <w:spacing w:after="0"/>
        <w:ind w:firstLine="567"/>
      </w:pPr>
      <w:r>
        <w:t>Při výkladu závěti je nutné zohlednit osobu zůstavitele, způsob</w:t>
      </w:r>
      <w:r w:rsidR="009023D3">
        <w:t xml:space="preserve"> pořízení záv</w:t>
      </w:r>
      <w:r w:rsidR="00EB29C1">
        <w:t xml:space="preserve">ěti a význam některých </w:t>
      </w:r>
      <w:r w:rsidR="009023D3">
        <w:t xml:space="preserve">výrazů nebo formulací </w:t>
      </w:r>
      <w:r w:rsidR="00EB29C1">
        <w:t xml:space="preserve">používaných laickou </w:t>
      </w:r>
      <w:r w:rsidR="009023D3">
        <w:t xml:space="preserve">veřejnosti. Výkladové problémy se mohou týkat </w:t>
      </w:r>
      <w:r w:rsidR="000B58F5">
        <w:t>určitosti ustanovení dědice</w:t>
      </w:r>
      <w:r w:rsidR="00811586">
        <w:t xml:space="preserve"> nebo </w:t>
      </w:r>
      <w:proofErr w:type="spellStart"/>
      <w:r w:rsidR="00811586">
        <w:t>odkazovníka</w:t>
      </w:r>
      <w:proofErr w:type="spellEnd"/>
      <w:r w:rsidR="00811586">
        <w:t>.</w:t>
      </w:r>
      <w:r w:rsidR="00811586">
        <w:rPr>
          <w:rStyle w:val="Znakapoznpodarou"/>
        </w:rPr>
        <w:footnoteReference w:id="26"/>
      </w:r>
      <w:r w:rsidR="000B58F5">
        <w:t xml:space="preserve"> </w:t>
      </w:r>
      <w:r w:rsidR="001C1397">
        <w:t>Vzhledem k tomu, že NOZ nestanoví žádné explicitní pravidlo pro označení dědice v</w:t>
      </w:r>
      <w:r w:rsidR="00EA7201">
        <w:t> </w:t>
      </w:r>
      <w:r w:rsidR="001C1397">
        <w:t>závěti</w:t>
      </w:r>
      <w:r w:rsidR="00EA7201">
        <w:t xml:space="preserve">, </w:t>
      </w:r>
      <w:r w:rsidR="006D1FA0">
        <w:t>vyhoví vůli zůstavitele</w:t>
      </w:r>
      <w:r w:rsidR="00296832">
        <w:t xml:space="preserve"> </w:t>
      </w:r>
      <w:r w:rsidR="00EA7201">
        <w:t xml:space="preserve">identifikace dědice </w:t>
      </w:r>
      <w:r w:rsidR="00DA798E">
        <w:t xml:space="preserve">v závěti </w:t>
      </w:r>
      <w:r w:rsidR="00296832">
        <w:t>pouhým</w:t>
      </w:r>
      <w:r w:rsidR="00EA7201">
        <w:t xml:space="preserve"> příjmením</w:t>
      </w:r>
      <w:r w:rsidR="00DA798E">
        <w:rPr>
          <w:rStyle w:val="Znakapoznpodarou"/>
        </w:rPr>
        <w:footnoteReference w:id="27"/>
      </w:r>
      <w:r w:rsidR="00EA7201">
        <w:t>, příbuzenským vztahem k pořizovateli (např. „neteř“)</w:t>
      </w:r>
      <w:r w:rsidR="00DA798E">
        <w:rPr>
          <w:rStyle w:val="Znakapoznpodarou"/>
        </w:rPr>
        <w:footnoteReference w:id="28"/>
      </w:r>
      <w:r w:rsidR="00296832">
        <w:t xml:space="preserve"> nebo </w:t>
      </w:r>
      <w:r w:rsidR="00EA7201">
        <w:t>nepochybné vytvoření předpokladu</w:t>
      </w:r>
      <w:r w:rsidR="001C1397">
        <w:t xml:space="preserve"> </w:t>
      </w:r>
      <w:r w:rsidR="00932A83">
        <w:t>pro zjištění, o jakou konkrétní osobu se jedná.</w:t>
      </w:r>
      <w:r w:rsidR="00DA798E">
        <w:rPr>
          <w:rStyle w:val="Znakapoznpodarou"/>
        </w:rPr>
        <w:footnoteReference w:id="29"/>
      </w:r>
    </w:p>
    <w:p w:rsidR="00DD1996" w:rsidRDefault="00F33721" w:rsidP="00E859EF">
      <w:pPr>
        <w:pStyle w:val="DiplTEXT"/>
        <w:spacing w:after="0"/>
        <w:ind w:firstLine="567"/>
      </w:pPr>
      <w:r>
        <w:t>Výkladové potíže se mohou vztahovat i k určení majetku, který mají dědici</w:t>
      </w:r>
      <w:r w:rsidR="003C2698">
        <w:t xml:space="preserve"> </w:t>
      </w:r>
      <w:r>
        <w:t xml:space="preserve">nebo </w:t>
      </w:r>
      <w:proofErr w:type="spellStart"/>
      <w:r>
        <w:t>odkazovníci</w:t>
      </w:r>
      <w:proofErr w:type="spellEnd"/>
      <w:r>
        <w:t xml:space="preserve"> nabýt</w:t>
      </w:r>
      <w:r w:rsidR="00863529">
        <w:t>. Nepřesné výrazy zůstavitele v závěti je třeba vyložit ve smyslu věty druhé § 1494 odst. 2 NOZ podle obvyklého významu</w:t>
      </w:r>
      <w:r w:rsidR="006D1FA0">
        <w:t xml:space="preserve">, jaký měl zůstavitel na mysli. Pokud </w:t>
      </w:r>
      <w:r w:rsidR="000C29ED">
        <w:t>zůstavitel např. ustanovil dědice „všech svých nemovitostí“ a bude</w:t>
      </w:r>
      <w:r w:rsidR="00D71171">
        <w:t>-li</w:t>
      </w:r>
      <w:r w:rsidR="000C29ED">
        <w:t xml:space="preserve"> prokázáno, že</w:t>
      </w:r>
      <w:r w:rsidR="00D71171">
        <w:t xml:space="preserve"> nevlastnil žádné z nich, bude nutné vyložit závěť tak, že ustanovil dědice k </w:t>
      </w:r>
      <w:r w:rsidR="000210B4">
        <w:t>veškerému</w:t>
      </w:r>
      <w:r w:rsidR="00D71171">
        <w:t xml:space="preserve"> svému majetku</w:t>
      </w:r>
      <w:r w:rsidR="000210B4">
        <w:t>.</w:t>
      </w:r>
      <w:r w:rsidR="00DD1996">
        <w:rPr>
          <w:rStyle w:val="Znakapoznpodarou"/>
        </w:rPr>
        <w:footnoteReference w:id="30"/>
      </w:r>
    </w:p>
    <w:p w:rsidR="00AC08FD" w:rsidRDefault="00B53A22" w:rsidP="00E859EF">
      <w:pPr>
        <w:pStyle w:val="DiplTEXT"/>
        <w:spacing w:after="0"/>
        <w:ind w:firstLine="567"/>
      </w:pPr>
      <w:r>
        <w:lastRenderedPageBreak/>
        <w:t xml:space="preserve">Konkrétní výkladová pravidla </w:t>
      </w:r>
      <w:r w:rsidR="00847BC8">
        <w:t xml:space="preserve">vyjadřující nadřazenost </w:t>
      </w:r>
      <w:r w:rsidR="002A43AA">
        <w:t>testamentá</w:t>
      </w:r>
      <w:r w:rsidR="00ED355C">
        <w:t>rní dědické posloupnosti</w:t>
      </w:r>
      <w:r w:rsidR="00652D11">
        <w:t xml:space="preserve"> nad </w:t>
      </w:r>
      <w:r w:rsidR="00E738A6">
        <w:t xml:space="preserve">posloupností </w:t>
      </w:r>
      <w:r w:rsidR="00652D11">
        <w:t>zákonnou</w:t>
      </w:r>
      <w:r w:rsidR="006405ED">
        <w:t xml:space="preserve"> </w:t>
      </w:r>
      <w:r w:rsidR="00E738A6">
        <w:t xml:space="preserve">řeší §§ 1500-1504 NOZ. </w:t>
      </w:r>
      <w:r w:rsidR="0095023A">
        <w:t xml:space="preserve">V </w:t>
      </w:r>
      <w:r w:rsidR="00E738A6">
        <w:t>případ</w:t>
      </w:r>
      <w:r w:rsidR="0095023A">
        <w:t>ech</w:t>
      </w:r>
      <w:r w:rsidR="006405ED">
        <w:t xml:space="preserve">, kdy zůstavitel nevyčerpá určením podílů celou pozůstalost z důvodu přehlédnutí, </w:t>
      </w:r>
      <w:r w:rsidR="0095023A">
        <w:t xml:space="preserve">neurčitě </w:t>
      </w:r>
      <w:r w:rsidR="00F04F46">
        <w:t>označ</w:t>
      </w:r>
      <w:r w:rsidR="00905D28">
        <w:t>í</w:t>
      </w:r>
      <w:r w:rsidR="00F04F46">
        <w:t xml:space="preserve"> dědic</w:t>
      </w:r>
      <w:r w:rsidR="00905D28">
        <w:t>e</w:t>
      </w:r>
      <w:r w:rsidR="00F04F46">
        <w:t xml:space="preserve"> </w:t>
      </w:r>
      <w:r w:rsidR="0095023A">
        <w:t xml:space="preserve">v závěti </w:t>
      </w:r>
      <w:r w:rsidR="00F04F46">
        <w:t>nebo</w:t>
      </w:r>
      <w:r w:rsidR="0095023A">
        <w:t xml:space="preserve"> </w:t>
      </w:r>
      <w:r w:rsidR="00600DB2">
        <w:t>pořídí o celé pozůstalosti, ale některý z povolaných dědiců odpadne</w:t>
      </w:r>
      <w:r w:rsidR="0095023A">
        <w:t>, připadne pozůstalost dědicům podle závěti.</w:t>
      </w:r>
    </w:p>
    <w:p w:rsidR="00E859EF" w:rsidRDefault="00E859EF" w:rsidP="00E859EF">
      <w:pPr>
        <w:pStyle w:val="DiplTEXT"/>
        <w:spacing w:after="0"/>
        <w:ind w:firstLine="567"/>
      </w:pPr>
    </w:p>
    <w:p w:rsidR="00252361" w:rsidRDefault="00252361">
      <w:pPr>
        <w:spacing w:after="0" w:line="240" w:lineRule="auto"/>
        <w:jc w:val="left"/>
      </w:pPr>
      <w:bookmarkStart w:id="13" w:name="_Toc436779462"/>
      <w:r>
        <w:br w:type="page"/>
      </w:r>
    </w:p>
    <w:p w:rsidR="00786B50" w:rsidRPr="007D6173" w:rsidRDefault="000378D6" w:rsidP="008074AB">
      <w:pPr>
        <w:pStyle w:val="Nadpis1"/>
      </w:pPr>
      <w:bookmarkStart w:id="14" w:name="_Toc437225056"/>
      <w:r>
        <w:lastRenderedPageBreak/>
        <w:t>2</w:t>
      </w:r>
      <w:r w:rsidR="00167E1D">
        <w:tab/>
      </w:r>
      <w:r w:rsidR="00286980" w:rsidRPr="007D6173">
        <w:t xml:space="preserve">Vztah </w:t>
      </w:r>
      <w:r w:rsidR="00286980" w:rsidRPr="008074AB">
        <w:t>závěti</w:t>
      </w:r>
      <w:r w:rsidR="00286980" w:rsidRPr="007D6173">
        <w:t xml:space="preserve"> k dalším pořízením pro </w:t>
      </w:r>
      <w:r w:rsidR="00286980" w:rsidRPr="00252361">
        <w:t>případ</w:t>
      </w:r>
      <w:r w:rsidR="00286980" w:rsidRPr="007D6173">
        <w:t xml:space="preserve"> smrti</w:t>
      </w:r>
      <w:bookmarkEnd w:id="13"/>
      <w:bookmarkEnd w:id="14"/>
    </w:p>
    <w:p w:rsidR="003E0B11" w:rsidRPr="00DA4CB1" w:rsidRDefault="003E0B11" w:rsidP="00352446">
      <w:pPr>
        <w:pStyle w:val="DiplTEXT"/>
        <w:spacing w:after="0"/>
        <w:ind w:firstLine="567"/>
        <w:rPr>
          <w:strike/>
        </w:rPr>
      </w:pPr>
      <w:r w:rsidRPr="001E6AA9">
        <w:t xml:space="preserve">Termín </w:t>
      </w:r>
      <w:r w:rsidRPr="0006563A">
        <w:t>„pořízení pro případ smrti“</w:t>
      </w:r>
      <w:r w:rsidRPr="001E6AA9">
        <w:t xml:space="preserve"> se v</w:t>
      </w:r>
      <w:r w:rsidR="001E66E3">
        <w:t> naší</w:t>
      </w:r>
      <w:r w:rsidR="00322F37" w:rsidRPr="001E6AA9">
        <w:t xml:space="preserve"> </w:t>
      </w:r>
      <w:r w:rsidRPr="001E6AA9">
        <w:t>právní úpravě d</w:t>
      </w:r>
      <w:r w:rsidR="00255969" w:rsidRPr="001E6AA9">
        <w:t>ě</w:t>
      </w:r>
      <w:r w:rsidR="00352446" w:rsidRPr="001E6AA9">
        <w:t>dického práva objevuje poprvé, jelikož s</w:t>
      </w:r>
      <w:r w:rsidR="00322F37" w:rsidRPr="001E6AA9">
        <w:t xml:space="preserve">ocialistické zákoníky </w:t>
      </w:r>
      <w:r w:rsidR="00352446" w:rsidRPr="001E6AA9">
        <w:t>znaly pouze jediný druh pořízení pro případ smrti, což byla závěť. Zákonodárce v § 1491 NOZ uvádí taxativní</w:t>
      </w:r>
      <w:r w:rsidRPr="001E6AA9">
        <w:t xml:space="preserve"> výč</w:t>
      </w:r>
      <w:r w:rsidR="00352446" w:rsidRPr="001E6AA9">
        <w:t>et</w:t>
      </w:r>
      <w:r w:rsidRPr="001E6AA9">
        <w:t xml:space="preserve"> </w:t>
      </w:r>
      <w:r w:rsidR="00CF3307" w:rsidRPr="001E6AA9">
        <w:t xml:space="preserve">jednotlivých </w:t>
      </w:r>
      <w:r w:rsidR="00352446" w:rsidRPr="001E6AA9">
        <w:t>druhů</w:t>
      </w:r>
      <w:r w:rsidRPr="001E6AA9">
        <w:rPr>
          <w:i/>
          <w:sz w:val="16"/>
          <w:szCs w:val="16"/>
        </w:rPr>
        <w:t xml:space="preserve"> </w:t>
      </w:r>
      <w:r w:rsidR="00352446" w:rsidRPr="001E6AA9">
        <w:t xml:space="preserve">pořízení pro případ smrti, aniž by tento pojem </w:t>
      </w:r>
      <w:r w:rsidR="001E6AA9" w:rsidRPr="001E6AA9">
        <w:t xml:space="preserve">blíže definoval. Vedle tradičního institutu závěti </w:t>
      </w:r>
      <w:r w:rsidRPr="001E6AA9">
        <w:t xml:space="preserve">rozšiřuje </w:t>
      </w:r>
      <w:r w:rsidR="001E6AA9" w:rsidRPr="001E6AA9">
        <w:t xml:space="preserve">nově </w:t>
      </w:r>
      <w:r w:rsidRPr="001E6AA9">
        <w:t xml:space="preserve">pořizovací možnosti zůstavitele </w:t>
      </w:r>
      <w:r w:rsidR="001E6AA9" w:rsidRPr="001E6AA9">
        <w:t>o dědickou smlouvu</w:t>
      </w:r>
      <w:r w:rsidRPr="001E6AA9">
        <w:t xml:space="preserve"> a dovět</w:t>
      </w:r>
      <w:r w:rsidR="001E6AA9" w:rsidRPr="001E6AA9">
        <w:t>ek, čímž se vrací k prvorepublikové úpravě</w:t>
      </w:r>
      <w:r w:rsidR="00FF21D4">
        <w:t>.</w:t>
      </w:r>
    </w:p>
    <w:p w:rsidR="008C5CD7" w:rsidRPr="007D6173" w:rsidRDefault="007D6173" w:rsidP="008074AB">
      <w:pPr>
        <w:pStyle w:val="Nadpis2"/>
      </w:pPr>
      <w:bookmarkStart w:id="15" w:name="_Toc436779463"/>
      <w:bookmarkStart w:id="16" w:name="_Toc437225057"/>
      <w:r>
        <w:t>2.1</w:t>
      </w:r>
      <w:r w:rsidR="00167E1D">
        <w:tab/>
      </w:r>
      <w:r w:rsidR="00286980" w:rsidRPr="007D6173">
        <w:t>Vztah závěti a dědické smlouvy</w:t>
      </w:r>
      <w:bookmarkEnd w:id="15"/>
      <w:bookmarkEnd w:id="16"/>
    </w:p>
    <w:p w:rsidR="003E48D3" w:rsidRPr="00CF2DB4" w:rsidRDefault="005B6A40" w:rsidP="00CF2DB4">
      <w:pPr>
        <w:pStyle w:val="DiplTEXT"/>
        <w:spacing w:after="0"/>
        <w:ind w:firstLine="567"/>
        <w:rPr>
          <w:strike/>
          <w:szCs w:val="20"/>
        </w:rPr>
      </w:pPr>
      <w:r>
        <w:rPr>
          <w:szCs w:val="20"/>
        </w:rPr>
        <w:t xml:space="preserve">Dědická smlouva </w:t>
      </w:r>
      <w:r w:rsidR="003A5528">
        <w:rPr>
          <w:szCs w:val="20"/>
        </w:rPr>
        <w:t xml:space="preserve">patří mezi pořízení pro případ smrti, které má </w:t>
      </w:r>
      <w:r w:rsidR="00E0493F">
        <w:rPr>
          <w:szCs w:val="20"/>
        </w:rPr>
        <w:t>smíšenou právní povahu</w:t>
      </w:r>
      <w:r w:rsidR="005F29D8">
        <w:rPr>
          <w:szCs w:val="20"/>
        </w:rPr>
        <w:t>.</w:t>
      </w:r>
      <w:r w:rsidR="00AB3445">
        <w:rPr>
          <w:rStyle w:val="Znakapoznpodarou"/>
          <w:szCs w:val="20"/>
        </w:rPr>
        <w:footnoteReference w:id="31"/>
      </w:r>
      <w:r w:rsidR="005F29D8">
        <w:rPr>
          <w:szCs w:val="20"/>
        </w:rPr>
        <w:t xml:space="preserve"> Jedná </w:t>
      </w:r>
      <w:r w:rsidR="00E0493F">
        <w:rPr>
          <w:szCs w:val="20"/>
        </w:rPr>
        <w:t xml:space="preserve">se o dvoustranné právní jednání, kterým se ustanovuje dědic, takže se na ni vztahují jak ustanovení o smlouvě, tak i o závěti. </w:t>
      </w:r>
      <w:r w:rsidR="00921B85">
        <w:rPr>
          <w:szCs w:val="20"/>
        </w:rPr>
        <w:t>V</w:t>
      </w:r>
      <w:r w:rsidR="00096EA1">
        <w:rPr>
          <w:szCs w:val="20"/>
        </w:rPr>
        <w:t xml:space="preserve"> rámci výčtu jednotlivých dědických titulů v </w:t>
      </w:r>
      <w:r w:rsidR="00921B85">
        <w:rPr>
          <w:szCs w:val="20"/>
        </w:rPr>
        <w:t xml:space="preserve">§ 1476 NOZ </w:t>
      </w:r>
      <w:r w:rsidR="00096EA1">
        <w:rPr>
          <w:szCs w:val="20"/>
        </w:rPr>
        <w:t xml:space="preserve">je </w:t>
      </w:r>
      <w:r w:rsidR="000679F3">
        <w:rPr>
          <w:szCs w:val="20"/>
        </w:rPr>
        <w:t xml:space="preserve">dědická smlouva </w:t>
      </w:r>
      <w:r w:rsidR="00096EA1">
        <w:rPr>
          <w:szCs w:val="20"/>
        </w:rPr>
        <w:t xml:space="preserve">řazena na </w:t>
      </w:r>
      <w:r w:rsidR="000679F3">
        <w:rPr>
          <w:szCs w:val="20"/>
        </w:rPr>
        <w:t xml:space="preserve">první místo </w:t>
      </w:r>
      <w:r w:rsidR="00096EA1">
        <w:rPr>
          <w:szCs w:val="20"/>
        </w:rPr>
        <w:t>před závěť</w:t>
      </w:r>
      <w:r w:rsidR="008C5CD7">
        <w:rPr>
          <w:szCs w:val="20"/>
        </w:rPr>
        <w:t xml:space="preserve">, z čehož </w:t>
      </w:r>
      <w:r w:rsidR="0067454C">
        <w:rPr>
          <w:szCs w:val="20"/>
        </w:rPr>
        <w:t xml:space="preserve">lze </w:t>
      </w:r>
      <w:r w:rsidR="007C0F0A">
        <w:rPr>
          <w:szCs w:val="20"/>
        </w:rPr>
        <w:t xml:space="preserve">mimo jiné </w:t>
      </w:r>
      <w:r w:rsidR="0067454C">
        <w:rPr>
          <w:szCs w:val="20"/>
        </w:rPr>
        <w:t xml:space="preserve">dovodit </w:t>
      </w:r>
      <w:r w:rsidR="008C5CD7">
        <w:rPr>
          <w:szCs w:val="20"/>
        </w:rPr>
        <w:t>její vyšší právní sílu opr</w:t>
      </w:r>
      <w:r w:rsidR="00890BFD">
        <w:rPr>
          <w:szCs w:val="20"/>
        </w:rPr>
        <w:t>oti závěti.</w:t>
      </w:r>
      <w:r w:rsidR="000A5470">
        <w:rPr>
          <w:rStyle w:val="Znakapoznpodarou"/>
          <w:szCs w:val="20"/>
        </w:rPr>
        <w:footnoteReference w:id="32"/>
      </w:r>
    </w:p>
    <w:p w:rsidR="00B75A38" w:rsidRDefault="0043464C" w:rsidP="00EE6398">
      <w:pPr>
        <w:pStyle w:val="Textpoznpodarou"/>
        <w:spacing w:after="0"/>
        <w:ind w:firstLine="567"/>
        <w:rPr>
          <w:sz w:val="24"/>
        </w:rPr>
      </w:pPr>
      <w:r>
        <w:rPr>
          <w:sz w:val="24"/>
        </w:rPr>
        <w:t>L.</w:t>
      </w:r>
      <w:r w:rsidR="007D0BB1">
        <w:rPr>
          <w:sz w:val="24"/>
        </w:rPr>
        <w:t xml:space="preserve"> Dobešová uvádí, že </w:t>
      </w:r>
      <w:r w:rsidR="00114EB5" w:rsidRPr="00BB7ED7">
        <w:rPr>
          <w:sz w:val="24"/>
        </w:rPr>
        <w:t xml:space="preserve">cílem institutu dědické smlouvy je především rozšíření autonomie vůle zůstavitele a dále, </w:t>
      </w:r>
      <w:proofErr w:type="gramStart"/>
      <w:r w:rsidR="00114EB5" w:rsidRPr="00BB7ED7">
        <w:rPr>
          <w:sz w:val="24"/>
        </w:rPr>
        <w:t xml:space="preserve">že: </w:t>
      </w:r>
      <w:r w:rsidR="00114EB5" w:rsidRPr="00AF458A">
        <w:rPr>
          <w:i/>
          <w:sz w:val="24"/>
        </w:rPr>
        <w:t>,,dědická</w:t>
      </w:r>
      <w:proofErr w:type="gramEnd"/>
      <w:r w:rsidR="00114EB5" w:rsidRPr="00AF458A">
        <w:rPr>
          <w:i/>
          <w:sz w:val="24"/>
        </w:rPr>
        <w:t xml:space="preserve"> smlouva je velmi silným dědickým titulem, v</w:t>
      </w:r>
      <w:r w:rsidR="004F0574">
        <w:t> </w:t>
      </w:r>
      <w:r w:rsidR="00114EB5" w:rsidRPr="00AF458A">
        <w:rPr>
          <w:i/>
          <w:sz w:val="24"/>
        </w:rPr>
        <w:t xml:space="preserve"> němž je dána širok</w:t>
      </w:r>
      <w:r w:rsidR="00890BFD" w:rsidRPr="00AF458A">
        <w:rPr>
          <w:i/>
          <w:sz w:val="24"/>
        </w:rPr>
        <w:t>á autonomie vůle zůstavitelům“</w:t>
      </w:r>
      <w:r w:rsidR="00890BFD">
        <w:rPr>
          <w:sz w:val="24"/>
        </w:rPr>
        <w:t>.</w:t>
      </w:r>
      <w:r w:rsidR="00114EB5" w:rsidRPr="00BB7ED7">
        <w:rPr>
          <w:rStyle w:val="Znakapoznpodarou"/>
          <w:sz w:val="24"/>
        </w:rPr>
        <w:footnoteReference w:id="33"/>
      </w:r>
      <w:r w:rsidR="00114EB5" w:rsidRPr="00BB7ED7">
        <w:rPr>
          <w:sz w:val="24"/>
        </w:rPr>
        <w:t xml:space="preserve"> </w:t>
      </w:r>
      <w:r w:rsidR="001164EF" w:rsidRPr="00BB7ED7">
        <w:rPr>
          <w:sz w:val="24"/>
        </w:rPr>
        <w:t xml:space="preserve">Pokud připustíme, že zákonodárce přičítá dědické smlouvě vyšší právní sílu než závěti, lze </w:t>
      </w:r>
      <w:r w:rsidR="00BC5ED3" w:rsidRPr="00BB7ED7">
        <w:rPr>
          <w:sz w:val="24"/>
        </w:rPr>
        <w:t>si položit otázku</w:t>
      </w:r>
      <w:r w:rsidR="001164EF" w:rsidRPr="00BB7ED7">
        <w:rPr>
          <w:sz w:val="24"/>
        </w:rPr>
        <w:t xml:space="preserve">, </w:t>
      </w:r>
      <w:r w:rsidR="00BC5ED3" w:rsidRPr="00BB7ED7">
        <w:rPr>
          <w:sz w:val="24"/>
        </w:rPr>
        <w:t xml:space="preserve">zda </w:t>
      </w:r>
      <w:r w:rsidR="001164EF" w:rsidRPr="00BB7ED7">
        <w:rPr>
          <w:sz w:val="24"/>
        </w:rPr>
        <w:t>také nejlépe umožní naplnit jeho svobodnou vůl</w:t>
      </w:r>
      <w:r w:rsidR="00BC5ED3" w:rsidRPr="00BB7ED7">
        <w:rPr>
          <w:sz w:val="24"/>
        </w:rPr>
        <w:t>i.</w:t>
      </w:r>
    </w:p>
    <w:p w:rsidR="00B75A38" w:rsidRDefault="00C820AF" w:rsidP="00EE6398">
      <w:pPr>
        <w:pStyle w:val="Textpoznpodarou"/>
        <w:spacing w:after="0"/>
        <w:ind w:firstLine="567"/>
        <w:rPr>
          <w:sz w:val="24"/>
        </w:rPr>
      </w:pPr>
      <w:r w:rsidRPr="00BB7ED7">
        <w:rPr>
          <w:sz w:val="24"/>
        </w:rPr>
        <w:t xml:space="preserve">Autonomii vůle </w:t>
      </w:r>
      <w:r w:rsidR="00B62E6E" w:rsidRPr="00BB7ED7">
        <w:rPr>
          <w:sz w:val="24"/>
        </w:rPr>
        <w:t xml:space="preserve">lze vymezit </w:t>
      </w:r>
      <w:r w:rsidRPr="00BB7ED7">
        <w:rPr>
          <w:sz w:val="24"/>
        </w:rPr>
        <w:t xml:space="preserve">nejen jako širokou možnost utváření soukromoprávních vztahů podle svobodné vůle fyzických a právnických osob, ale také </w:t>
      </w:r>
      <w:r w:rsidR="00BA3032" w:rsidRPr="00BB7ED7">
        <w:rPr>
          <w:sz w:val="24"/>
        </w:rPr>
        <w:t xml:space="preserve">jako </w:t>
      </w:r>
      <w:r w:rsidRPr="00BB7ED7">
        <w:rPr>
          <w:sz w:val="24"/>
        </w:rPr>
        <w:t>možnost jej</w:t>
      </w:r>
      <w:r w:rsidR="00065362">
        <w:rPr>
          <w:sz w:val="24"/>
        </w:rPr>
        <w:t>ich změny, zrušení a realizace.</w:t>
      </w:r>
      <w:r w:rsidRPr="00BB7ED7">
        <w:rPr>
          <w:rStyle w:val="Znakapoznpodarou"/>
          <w:sz w:val="24"/>
        </w:rPr>
        <w:footnoteReference w:id="34"/>
      </w:r>
      <w:r w:rsidR="00BA3032" w:rsidRPr="00BB7ED7">
        <w:rPr>
          <w:sz w:val="24"/>
        </w:rPr>
        <w:t xml:space="preserve"> </w:t>
      </w:r>
      <w:r w:rsidR="0044757A" w:rsidRPr="00BB7ED7">
        <w:rPr>
          <w:sz w:val="24"/>
        </w:rPr>
        <w:t xml:space="preserve">Jedním z aspektů autonomie vůle je i </w:t>
      </w:r>
      <w:r w:rsidR="00641C46" w:rsidRPr="00BB7ED7">
        <w:rPr>
          <w:sz w:val="24"/>
        </w:rPr>
        <w:t>svoboda testovací, jejíž název</w:t>
      </w:r>
      <w:r w:rsidR="00065362">
        <w:rPr>
          <w:sz w:val="24"/>
        </w:rPr>
        <w:t xml:space="preserve"> je odvozen od slova testament.</w:t>
      </w:r>
      <w:r w:rsidR="00641C46" w:rsidRPr="00BB7ED7">
        <w:rPr>
          <w:rStyle w:val="Znakapoznpodarou"/>
          <w:sz w:val="24"/>
        </w:rPr>
        <w:footnoteReference w:id="35"/>
      </w:r>
      <w:r w:rsidR="00641C46" w:rsidRPr="00BB7ED7">
        <w:rPr>
          <w:sz w:val="24"/>
        </w:rPr>
        <w:t xml:space="preserve"> </w:t>
      </w:r>
      <w:proofErr w:type="gramStart"/>
      <w:r w:rsidR="00967270">
        <w:rPr>
          <w:sz w:val="24"/>
        </w:rPr>
        <w:t>Právní</w:t>
      </w:r>
      <w:proofErr w:type="gramEnd"/>
      <w:r w:rsidR="00967270">
        <w:rPr>
          <w:sz w:val="24"/>
        </w:rPr>
        <w:t xml:space="preserve"> </w:t>
      </w:r>
      <w:r w:rsidR="00641DD6" w:rsidRPr="00BB7ED7">
        <w:rPr>
          <w:sz w:val="24"/>
        </w:rPr>
        <w:t xml:space="preserve">síla dědické smlouvy je </w:t>
      </w:r>
      <w:r w:rsidR="00185913" w:rsidRPr="00BB7ED7">
        <w:rPr>
          <w:sz w:val="24"/>
        </w:rPr>
        <w:t xml:space="preserve">odvozena od dvoustranného </w:t>
      </w:r>
      <w:r w:rsidR="00803BD2" w:rsidRPr="00BB7ED7">
        <w:rPr>
          <w:sz w:val="24"/>
        </w:rPr>
        <w:t xml:space="preserve">smluvního ujednání, </w:t>
      </w:r>
      <w:r w:rsidR="00641C46" w:rsidRPr="00BB7ED7">
        <w:rPr>
          <w:sz w:val="24"/>
        </w:rPr>
        <w:t>jejímž</w:t>
      </w:r>
      <w:r w:rsidR="00452DC9" w:rsidRPr="00BB7ED7">
        <w:rPr>
          <w:sz w:val="24"/>
        </w:rPr>
        <w:t xml:space="preserve"> </w:t>
      </w:r>
      <w:proofErr w:type="gramStart"/>
      <w:r w:rsidR="00452DC9" w:rsidRPr="00BB7ED7">
        <w:rPr>
          <w:sz w:val="24"/>
        </w:rPr>
        <w:t>důsledkem</w:t>
      </w:r>
      <w:proofErr w:type="gramEnd"/>
      <w:r w:rsidR="00452DC9" w:rsidRPr="00BB7ED7">
        <w:rPr>
          <w:sz w:val="24"/>
        </w:rPr>
        <w:t xml:space="preserve"> je </w:t>
      </w:r>
      <w:r w:rsidR="007248E1" w:rsidRPr="00BB7ED7">
        <w:rPr>
          <w:sz w:val="24"/>
        </w:rPr>
        <w:t>s ohledem na zásadu</w:t>
      </w:r>
      <w:r w:rsidR="00803BD2" w:rsidRPr="00BB7ED7">
        <w:rPr>
          <w:sz w:val="24"/>
        </w:rPr>
        <w:t xml:space="preserve"> </w:t>
      </w:r>
      <w:proofErr w:type="spellStart"/>
      <w:r w:rsidR="00803BD2" w:rsidRPr="00BB7ED7">
        <w:rPr>
          <w:sz w:val="24"/>
        </w:rPr>
        <w:t>pacta</w:t>
      </w:r>
      <w:proofErr w:type="spellEnd"/>
      <w:r w:rsidR="00803BD2" w:rsidRPr="00BB7ED7">
        <w:rPr>
          <w:sz w:val="24"/>
        </w:rPr>
        <w:t xml:space="preserve"> sund </w:t>
      </w:r>
      <w:proofErr w:type="spellStart"/>
      <w:r w:rsidR="00803BD2" w:rsidRPr="00BB7ED7">
        <w:rPr>
          <w:sz w:val="24"/>
        </w:rPr>
        <w:t>s</w:t>
      </w:r>
      <w:r w:rsidR="00BC62CE" w:rsidRPr="00BB7ED7">
        <w:rPr>
          <w:sz w:val="24"/>
        </w:rPr>
        <w:t>ervanda</w:t>
      </w:r>
      <w:proofErr w:type="spellEnd"/>
      <w:r w:rsidR="00BC62CE" w:rsidRPr="00BB7ED7">
        <w:rPr>
          <w:sz w:val="24"/>
        </w:rPr>
        <w:t xml:space="preserve"> nemožnost </w:t>
      </w:r>
      <w:r w:rsidR="00452DC9" w:rsidRPr="00BB7ED7">
        <w:rPr>
          <w:sz w:val="24"/>
        </w:rPr>
        <w:t xml:space="preserve">jednostranné změny nebo zrušení </w:t>
      </w:r>
      <w:r w:rsidR="00C62F8D" w:rsidRPr="00BB7ED7">
        <w:rPr>
          <w:sz w:val="24"/>
        </w:rPr>
        <w:t>takové</w:t>
      </w:r>
      <w:r w:rsidR="00803BD2" w:rsidRPr="00BB7ED7">
        <w:rPr>
          <w:sz w:val="24"/>
        </w:rPr>
        <w:t>ho závazku</w:t>
      </w:r>
      <w:r w:rsidR="00C62F8D" w:rsidRPr="0072157E">
        <w:rPr>
          <w:sz w:val="24"/>
        </w:rPr>
        <w:t>,</w:t>
      </w:r>
      <w:r w:rsidR="00C62F8D">
        <w:rPr>
          <w:color w:val="FF0000"/>
          <w:sz w:val="24"/>
        </w:rPr>
        <w:t xml:space="preserve"> </w:t>
      </w:r>
      <w:r w:rsidR="00C62F8D" w:rsidRPr="00BB7ED7">
        <w:rPr>
          <w:sz w:val="24"/>
        </w:rPr>
        <w:t xml:space="preserve">např. prostřednictvím pořízení nové závěti. </w:t>
      </w:r>
      <w:r w:rsidR="007248E1" w:rsidRPr="00BB7ED7">
        <w:rPr>
          <w:sz w:val="24"/>
        </w:rPr>
        <w:t>Pokud by chtěl zůstavitel pořídit novou závěť v neprospěch druhé smluvní strany</w:t>
      </w:r>
      <w:r w:rsidR="001E1E02" w:rsidRPr="00BB7ED7">
        <w:rPr>
          <w:sz w:val="24"/>
        </w:rPr>
        <w:t xml:space="preserve"> a tím zrušit účinky dědické smlouvy</w:t>
      </w:r>
      <w:r w:rsidR="007248E1" w:rsidRPr="00BB7ED7">
        <w:rPr>
          <w:sz w:val="24"/>
        </w:rPr>
        <w:t xml:space="preserve">, je podmínkou </w:t>
      </w:r>
      <w:r w:rsidR="001E1E02" w:rsidRPr="00BB7ED7">
        <w:rPr>
          <w:sz w:val="24"/>
        </w:rPr>
        <w:lastRenderedPageBreak/>
        <w:t>platnosti takového pořízení souhlas smluvního d</w:t>
      </w:r>
      <w:r w:rsidR="00584D9B">
        <w:rPr>
          <w:sz w:val="24"/>
        </w:rPr>
        <w:t>ědice ve formě veřejné listiny.</w:t>
      </w:r>
      <w:r w:rsidR="00AC636B" w:rsidRPr="00BB7ED7">
        <w:rPr>
          <w:rStyle w:val="Znakapoznpodarou"/>
          <w:sz w:val="24"/>
        </w:rPr>
        <w:footnoteReference w:id="36"/>
      </w:r>
      <w:r w:rsidR="00AC636B" w:rsidRPr="00BB7ED7">
        <w:rPr>
          <w:sz w:val="24"/>
        </w:rPr>
        <w:t xml:space="preserve"> </w:t>
      </w:r>
      <w:r w:rsidR="00A30E0A" w:rsidRPr="00BB7ED7">
        <w:rPr>
          <w:sz w:val="24"/>
        </w:rPr>
        <w:t>Dědická smlouva tudíž není čistým projevem testovací s</w:t>
      </w:r>
      <w:r w:rsidR="0007796D" w:rsidRPr="00BB7ED7">
        <w:rPr>
          <w:sz w:val="24"/>
        </w:rPr>
        <w:t xml:space="preserve">vobody, protože </w:t>
      </w:r>
      <w:r w:rsidR="00BE6D92" w:rsidRPr="00BB7ED7">
        <w:rPr>
          <w:sz w:val="24"/>
        </w:rPr>
        <w:t xml:space="preserve">jejím uzavřením </w:t>
      </w:r>
      <w:r w:rsidR="00416217" w:rsidRPr="00BB7ED7">
        <w:rPr>
          <w:sz w:val="24"/>
        </w:rPr>
        <w:t>dochází k omezení jed</w:t>
      </w:r>
      <w:r w:rsidR="00BE6D92" w:rsidRPr="00BB7ED7">
        <w:rPr>
          <w:sz w:val="24"/>
        </w:rPr>
        <w:t>n</w:t>
      </w:r>
      <w:r w:rsidR="00416217" w:rsidRPr="00BB7ED7">
        <w:rPr>
          <w:sz w:val="24"/>
        </w:rPr>
        <w:t>oho</w:t>
      </w:r>
      <w:r w:rsidR="00BE6D92" w:rsidRPr="00BB7ED7">
        <w:rPr>
          <w:sz w:val="24"/>
        </w:rPr>
        <w:t xml:space="preserve"> z jejich základních znaků a to </w:t>
      </w:r>
      <w:r w:rsidR="00BC62CE" w:rsidRPr="00BB7ED7">
        <w:rPr>
          <w:sz w:val="24"/>
        </w:rPr>
        <w:t xml:space="preserve">možnost </w:t>
      </w:r>
      <w:r w:rsidR="00BE6D92" w:rsidRPr="00BB7ED7">
        <w:rPr>
          <w:sz w:val="24"/>
        </w:rPr>
        <w:t>kdykoliv takové pořízení pro případ smrti</w:t>
      </w:r>
      <w:r w:rsidR="00416217" w:rsidRPr="00BB7ED7">
        <w:rPr>
          <w:sz w:val="24"/>
        </w:rPr>
        <w:t xml:space="preserve"> zrušit</w:t>
      </w:r>
      <w:r w:rsidR="00BE6D92" w:rsidRPr="00BB7ED7">
        <w:rPr>
          <w:sz w:val="24"/>
        </w:rPr>
        <w:t>.</w:t>
      </w:r>
      <w:r w:rsidR="0044757A" w:rsidRPr="00BB7ED7">
        <w:rPr>
          <w:rStyle w:val="Znakapoznpodarou"/>
          <w:sz w:val="24"/>
        </w:rPr>
        <w:footnoteReference w:id="37"/>
      </w:r>
    </w:p>
    <w:p w:rsidR="00B75A38" w:rsidRDefault="00B75A38" w:rsidP="00EE6398">
      <w:pPr>
        <w:pStyle w:val="Textpoznpodarou"/>
        <w:spacing w:after="0"/>
        <w:ind w:firstLine="567"/>
        <w:rPr>
          <w:sz w:val="24"/>
        </w:rPr>
      </w:pPr>
      <w:r>
        <w:rPr>
          <w:sz w:val="24"/>
        </w:rPr>
        <w:t>Dalším</w:t>
      </w:r>
      <w:r w:rsidR="00AC636B" w:rsidRPr="00BB7ED7">
        <w:rPr>
          <w:sz w:val="24"/>
        </w:rPr>
        <w:t xml:space="preserve"> z projevů zásady autonomie vůle je </w:t>
      </w:r>
      <w:r w:rsidR="009E283D" w:rsidRPr="00BB7ED7">
        <w:rPr>
          <w:sz w:val="24"/>
        </w:rPr>
        <w:t xml:space="preserve">rovněž </w:t>
      </w:r>
      <w:r w:rsidR="00AC636B" w:rsidRPr="00BB7ED7">
        <w:rPr>
          <w:sz w:val="24"/>
        </w:rPr>
        <w:t>svoboda subjektu soukromoprávního vztahu rozhodnout</w:t>
      </w:r>
      <w:r w:rsidRPr="00B75A38">
        <w:rPr>
          <w:sz w:val="24"/>
        </w:rPr>
        <w:t xml:space="preserve"> </w:t>
      </w:r>
      <w:r w:rsidRPr="00BB7ED7">
        <w:rPr>
          <w:sz w:val="24"/>
        </w:rPr>
        <w:t>se</w:t>
      </w:r>
      <w:r w:rsidR="00AC636B" w:rsidRPr="00BB7ED7">
        <w:rPr>
          <w:sz w:val="24"/>
        </w:rPr>
        <w:t xml:space="preserve">, zda </w:t>
      </w:r>
      <w:r w:rsidR="009E283D" w:rsidRPr="00BB7ED7">
        <w:rPr>
          <w:sz w:val="24"/>
        </w:rPr>
        <w:t>uskuteční určité právn</w:t>
      </w:r>
      <w:r w:rsidR="00155A4F" w:rsidRPr="00BB7ED7">
        <w:rPr>
          <w:sz w:val="24"/>
        </w:rPr>
        <w:t xml:space="preserve">ě relevantní jednání, </w:t>
      </w:r>
      <w:r w:rsidR="000B4496">
        <w:rPr>
          <w:sz w:val="24"/>
        </w:rPr>
        <w:t>nebo ne</w:t>
      </w:r>
      <w:r w:rsidR="00155A4F" w:rsidRPr="00BB7ED7">
        <w:rPr>
          <w:sz w:val="24"/>
        </w:rPr>
        <w:t xml:space="preserve">. </w:t>
      </w:r>
      <w:r w:rsidR="00E96109" w:rsidRPr="00BB7ED7">
        <w:rPr>
          <w:sz w:val="24"/>
        </w:rPr>
        <w:t xml:space="preserve">Závěť lze považovat za absolutní projev testovací autonomie, jelikož </w:t>
      </w:r>
      <w:r w:rsidR="009F6E05" w:rsidRPr="00BB7ED7">
        <w:rPr>
          <w:sz w:val="24"/>
        </w:rPr>
        <w:t>je v plné dispozici zůstavitele, zda pořídí závěť nebo ne.</w:t>
      </w:r>
      <w:r w:rsidR="00E96109" w:rsidRPr="00BB7ED7">
        <w:rPr>
          <w:sz w:val="24"/>
        </w:rPr>
        <w:t xml:space="preserve"> </w:t>
      </w:r>
      <w:r w:rsidR="009F6E05" w:rsidRPr="00BB7ED7">
        <w:rPr>
          <w:sz w:val="24"/>
        </w:rPr>
        <w:t xml:space="preserve">Naopak </w:t>
      </w:r>
      <w:r w:rsidR="00F10579" w:rsidRPr="00BB7ED7">
        <w:rPr>
          <w:sz w:val="24"/>
        </w:rPr>
        <w:t>testovací</w:t>
      </w:r>
      <w:r w:rsidR="00155A4F" w:rsidRPr="00BB7ED7">
        <w:rPr>
          <w:sz w:val="24"/>
        </w:rPr>
        <w:t xml:space="preserve"> svoboda u dědické smlouvy </w:t>
      </w:r>
      <w:r w:rsidR="00743F83" w:rsidRPr="00BB7ED7">
        <w:rPr>
          <w:sz w:val="24"/>
        </w:rPr>
        <w:t>naráží</w:t>
      </w:r>
      <w:r w:rsidR="00155A4F" w:rsidRPr="00BB7ED7">
        <w:rPr>
          <w:sz w:val="24"/>
        </w:rPr>
        <w:t xml:space="preserve"> </w:t>
      </w:r>
      <w:r w:rsidR="00BC62CE" w:rsidRPr="00BB7ED7">
        <w:rPr>
          <w:sz w:val="24"/>
        </w:rPr>
        <w:t>na několik omezení. J</w:t>
      </w:r>
      <w:r w:rsidR="00155A4F" w:rsidRPr="00BB7ED7">
        <w:rPr>
          <w:sz w:val="24"/>
        </w:rPr>
        <w:t xml:space="preserve">ednak </w:t>
      </w:r>
      <w:r w:rsidR="00743F83" w:rsidRPr="00BB7ED7">
        <w:rPr>
          <w:sz w:val="24"/>
        </w:rPr>
        <w:t xml:space="preserve">na </w:t>
      </w:r>
      <w:r w:rsidR="00155A4F" w:rsidRPr="00BB7ED7">
        <w:rPr>
          <w:sz w:val="24"/>
        </w:rPr>
        <w:t>právní překážkou</w:t>
      </w:r>
      <w:r w:rsidR="00C62F8D" w:rsidRPr="00BB7ED7">
        <w:rPr>
          <w:sz w:val="24"/>
        </w:rPr>
        <w:t xml:space="preserve"> </w:t>
      </w:r>
      <w:r w:rsidR="00155A4F" w:rsidRPr="00BB7ED7">
        <w:rPr>
          <w:sz w:val="24"/>
        </w:rPr>
        <w:t xml:space="preserve">spočívající </w:t>
      </w:r>
      <w:r w:rsidR="00743F83" w:rsidRPr="00BB7ED7">
        <w:rPr>
          <w:sz w:val="24"/>
        </w:rPr>
        <w:t xml:space="preserve">v </w:t>
      </w:r>
      <w:r w:rsidR="00155A4F" w:rsidRPr="00BB7ED7">
        <w:rPr>
          <w:sz w:val="24"/>
        </w:rPr>
        <w:t>povinnosti uzavřít smlouvu prostřednictvím veřejné listiny</w:t>
      </w:r>
      <w:r w:rsidR="00743F83" w:rsidRPr="00BB7ED7">
        <w:rPr>
          <w:sz w:val="24"/>
        </w:rPr>
        <w:t xml:space="preserve"> </w:t>
      </w:r>
      <w:r w:rsidR="00F10579" w:rsidRPr="00BB7ED7">
        <w:rPr>
          <w:sz w:val="24"/>
        </w:rPr>
        <w:t xml:space="preserve">a </w:t>
      </w:r>
      <w:r w:rsidR="00BC62CE" w:rsidRPr="00BB7ED7">
        <w:rPr>
          <w:sz w:val="24"/>
        </w:rPr>
        <w:t>dále</w:t>
      </w:r>
      <w:r w:rsidR="00743F83" w:rsidRPr="00BB7ED7">
        <w:rPr>
          <w:sz w:val="24"/>
        </w:rPr>
        <w:t xml:space="preserve"> na faktickou překážku</w:t>
      </w:r>
      <w:r w:rsidR="00690F66" w:rsidRPr="00BB7ED7">
        <w:rPr>
          <w:sz w:val="24"/>
        </w:rPr>
        <w:t xml:space="preserve"> spočívající v nutnosti negociace s druhým kontrahentem</w:t>
      </w:r>
      <w:r w:rsidR="00A30E0A" w:rsidRPr="00BB7ED7">
        <w:rPr>
          <w:sz w:val="24"/>
        </w:rPr>
        <w:t>, která se může</w:t>
      </w:r>
      <w:r w:rsidR="00584D9B">
        <w:rPr>
          <w:sz w:val="24"/>
        </w:rPr>
        <w:t xml:space="preserve"> nakonec ukázat jako neúspěšná.</w:t>
      </w:r>
      <w:r w:rsidR="00DF7D97" w:rsidRPr="00BB7ED7">
        <w:rPr>
          <w:rStyle w:val="Znakapoznpodarou"/>
          <w:sz w:val="24"/>
        </w:rPr>
        <w:footnoteReference w:id="38"/>
      </w:r>
    </w:p>
    <w:p w:rsidR="001E1E02" w:rsidRDefault="00DF7D97" w:rsidP="00EE6398">
      <w:pPr>
        <w:pStyle w:val="Textpoznpodarou"/>
        <w:spacing w:after="0"/>
        <w:ind w:firstLine="567"/>
        <w:rPr>
          <w:color w:val="FF0000"/>
          <w:sz w:val="24"/>
        </w:rPr>
      </w:pPr>
      <w:r w:rsidRPr="00BB7ED7">
        <w:rPr>
          <w:sz w:val="24"/>
        </w:rPr>
        <w:t>Výše uvedenou úvahu lze uzavřít konstatováním,</w:t>
      </w:r>
      <w:r w:rsidR="008E3B32">
        <w:rPr>
          <w:sz w:val="24"/>
        </w:rPr>
        <w:t xml:space="preserve"> že naplnění svobodné vůle zůstavitele prostřednictvím dědické smlouvy může být v mnoha směrech problematické. </w:t>
      </w:r>
      <w:r w:rsidR="00BE4576" w:rsidRPr="00BB7ED7">
        <w:rPr>
          <w:sz w:val="24"/>
        </w:rPr>
        <w:t xml:space="preserve">Možnost uzavření dědické smlouvy </w:t>
      </w:r>
      <w:r w:rsidR="00BE4576">
        <w:rPr>
          <w:sz w:val="24"/>
        </w:rPr>
        <w:t xml:space="preserve">nepochybně rozšiřuje </w:t>
      </w:r>
      <w:r w:rsidR="00245FE6">
        <w:rPr>
          <w:sz w:val="24"/>
        </w:rPr>
        <w:t>rozsah</w:t>
      </w:r>
      <w:r w:rsidR="00BE4576">
        <w:rPr>
          <w:sz w:val="24"/>
        </w:rPr>
        <w:t xml:space="preserve"> testovací svobody</w:t>
      </w:r>
      <w:r w:rsidR="00BE4576" w:rsidRPr="00BB7ED7">
        <w:rPr>
          <w:sz w:val="24"/>
        </w:rPr>
        <w:t xml:space="preserve"> zůstavitele</w:t>
      </w:r>
      <w:r w:rsidR="00245FE6">
        <w:rPr>
          <w:sz w:val="24"/>
        </w:rPr>
        <w:t xml:space="preserve"> o další alternativu k závěti</w:t>
      </w:r>
      <w:r w:rsidR="00BE4576" w:rsidRPr="00BB7ED7">
        <w:rPr>
          <w:sz w:val="24"/>
        </w:rPr>
        <w:t xml:space="preserve">, ale </w:t>
      </w:r>
      <w:r w:rsidR="00BE4576">
        <w:rPr>
          <w:sz w:val="24"/>
        </w:rPr>
        <w:t xml:space="preserve">za cenu, že jím projevená vůle bude pro něj pro </w:t>
      </w:r>
      <w:proofErr w:type="spellStart"/>
      <w:r w:rsidR="00BE4576">
        <w:rPr>
          <w:sz w:val="24"/>
        </w:rPr>
        <w:t>futuro</w:t>
      </w:r>
      <w:proofErr w:type="spellEnd"/>
      <w:r w:rsidR="00BE4576">
        <w:rPr>
          <w:sz w:val="24"/>
        </w:rPr>
        <w:t xml:space="preserve"> závazn</w:t>
      </w:r>
      <w:r w:rsidR="00AE10F7">
        <w:rPr>
          <w:sz w:val="24"/>
        </w:rPr>
        <w:t xml:space="preserve">á se ztíženým způsobem její změny nebo </w:t>
      </w:r>
      <w:r w:rsidR="00BE4576">
        <w:rPr>
          <w:sz w:val="24"/>
        </w:rPr>
        <w:t xml:space="preserve">zrušení. </w:t>
      </w:r>
      <w:r w:rsidR="00245FE6">
        <w:rPr>
          <w:sz w:val="24"/>
        </w:rPr>
        <w:t xml:space="preserve">Z hlediska reálných dopadů pro zůstavitele však </w:t>
      </w:r>
      <w:r w:rsidR="00BE4576">
        <w:rPr>
          <w:sz w:val="24"/>
        </w:rPr>
        <w:t xml:space="preserve">dědická smlouva </w:t>
      </w:r>
      <w:r w:rsidR="00B10535" w:rsidRPr="00BB7ED7">
        <w:rPr>
          <w:sz w:val="24"/>
        </w:rPr>
        <w:t xml:space="preserve">testovací svobodu zůstavitele spíše </w:t>
      </w:r>
      <w:r w:rsidR="00151444" w:rsidRPr="00BB7ED7">
        <w:rPr>
          <w:sz w:val="24"/>
        </w:rPr>
        <w:t>omezuje</w:t>
      </w:r>
      <w:r w:rsidR="0002768C">
        <w:rPr>
          <w:sz w:val="24"/>
        </w:rPr>
        <w:t xml:space="preserve"> a může </w:t>
      </w:r>
      <w:r w:rsidR="00BE4576">
        <w:rPr>
          <w:sz w:val="24"/>
        </w:rPr>
        <w:t xml:space="preserve">pro </w:t>
      </w:r>
      <w:r w:rsidR="00245FE6">
        <w:rPr>
          <w:sz w:val="24"/>
        </w:rPr>
        <w:t>něj</w:t>
      </w:r>
      <w:r w:rsidR="00BE4576">
        <w:rPr>
          <w:sz w:val="24"/>
        </w:rPr>
        <w:t xml:space="preserve"> </w:t>
      </w:r>
      <w:r w:rsidR="0002768C">
        <w:rPr>
          <w:sz w:val="24"/>
        </w:rPr>
        <w:t xml:space="preserve">představovat </w:t>
      </w:r>
      <w:r w:rsidR="00356443">
        <w:rPr>
          <w:sz w:val="24"/>
        </w:rPr>
        <w:t>v </w:t>
      </w:r>
      <w:r w:rsidR="0002768C">
        <w:rPr>
          <w:sz w:val="24"/>
        </w:rPr>
        <w:t>jisté</w:t>
      </w:r>
      <w:r w:rsidR="00356443">
        <w:rPr>
          <w:sz w:val="24"/>
        </w:rPr>
        <w:t>m smyslu</w:t>
      </w:r>
      <w:r w:rsidR="0002768C">
        <w:rPr>
          <w:sz w:val="24"/>
        </w:rPr>
        <w:t xml:space="preserve"> </w:t>
      </w:r>
      <w:r w:rsidR="00356443">
        <w:rPr>
          <w:sz w:val="24"/>
        </w:rPr>
        <w:t xml:space="preserve">i </w:t>
      </w:r>
      <w:r w:rsidR="0002768C">
        <w:rPr>
          <w:sz w:val="24"/>
        </w:rPr>
        <w:t>riziko</w:t>
      </w:r>
      <w:r w:rsidR="00356443">
        <w:rPr>
          <w:sz w:val="24"/>
        </w:rPr>
        <w:t xml:space="preserve">. </w:t>
      </w:r>
      <w:r w:rsidR="004A0434">
        <w:rPr>
          <w:sz w:val="24"/>
        </w:rPr>
        <w:t>Z</w:t>
      </w:r>
      <w:r w:rsidR="00356443">
        <w:rPr>
          <w:sz w:val="24"/>
        </w:rPr>
        <w:t xml:space="preserve">ůstavitel bude muset disponovat </w:t>
      </w:r>
      <w:r w:rsidR="008E3B32">
        <w:rPr>
          <w:sz w:val="24"/>
        </w:rPr>
        <w:t xml:space="preserve">kvalitní prognózou vývoje </w:t>
      </w:r>
      <w:r w:rsidR="00396970">
        <w:rPr>
          <w:sz w:val="24"/>
        </w:rPr>
        <w:t>vztahů se smluvním dědicem</w:t>
      </w:r>
      <w:r w:rsidR="008E3B32">
        <w:rPr>
          <w:sz w:val="24"/>
        </w:rPr>
        <w:t xml:space="preserve">, aby </w:t>
      </w:r>
      <w:r w:rsidR="00246F66">
        <w:rPr>
          <w:sz w:val="24"/>
        </w:rPr>
        <w:t xml:space="preserve">jeho vůle </w:t>
      </w:r>
      <w:r w:rsidR="00396970">
        <w:rPr>
          <w:sz w:val="24"/>
        </w:rPr>
        <w:t xml:space="preserve">uspořádat své majetkové poměry </w:t>
      </w:r>
      <w:proofErr w:type="spellStart"/>
      <w:r w:rsidR="00396970">
        <w:rPr>
          <w:sz w:val="24"/>
        </w:rPr>
        <w:t>mortis</w:t>
      </w:r>
      <w:proofErr w:type="spellEnd"/>
      <w:r w:rsidR="00396970">
        <w:rPr>
          <w:sz w:val="24"/>
        </w:rPr>
        <w:t xml:space="preserve"> causa </w:t>
      </w:r>
      <w:r w:rsidR="00246F66">
        <w:rPr>
          <w:sz w:val="24"/>
        </w:rPr>
        <w:t xml:space="preserve">nebyla pozdější </w:t>
      </w:r>
      <w:r w:rsidR="00396970">
        <w:rPr>
          <w:sz w:val="24"/>
        </w:rPr>
        <w:t xml:space="preserve">změnou chování dědice zmařena. </w:t>
      </w:r>
      <w:r w:rsidR="00A34432">
        <w:rPr>
          <w:sz w:val="24"/>
        </w:rPr>
        <w:t>Odborná literatura</w:t>
      </w:r>
      <w:r w:rsidR="00396970">
        <w:rPr>
          <w:sz w:val="24"/>
        </w:rPr>
        <w:t xml:space="preserve"> rovněž upozorňuje na riziko zneužívání</w:t>
      </w:r>
      <w:r w:rsidR="002945A5">
        <w:rPr>
          <w:sz w:val="24"/>
        </w:rPr>
        <w:t xml:space="preserve"> dědických</w:t>
      </w:r>
      <w:r w:rsidR="00BA56AF">
        <w:rPr>
          <w:sz w:val="24"/>
        </w:rPr>
        <w:t xml:space="preserve"> smluv za poskytnuté protiplnění, přičemž takovým postupem by mohlo dojít ke zkrácení</w:t>
      </w:r>
      <w:r w:rsidR="00AE10F7">
        <w:rPr>
          <w:sz w:val="24"/>
        </w:rPr>
        <w:t xml:space="preserve"> nejbližších příbuzných zůstavitele jako zákonných dědiců</w:t>
      </w:r>
      <w:r w:rsidR="00522217">
        <w:rPr>
          <w:sz w:val="24"/>
        </w:rPr>
        <w:t>, aniž by se zůstaviteli dostalo protiplnění odpovídající hodnotě dědictví, které připadl</w:t>
      </w:r>
      <w:r w:rsidR="001E66E3">
        <w:rPr>
          <w:sz w:val="24"/>
        </w:rPr>
        <w:t>o smluvnímu dědici.</w:t>
      </w:r>
      <w:r w:rsidR="00522217">
        <w:rPr>
          <w:rStyle w:val="Znakapoznpodarou"/>
          <w:sz w:val="24"/>
        </w:rPr>
        <w:footnoteReference w:id="39"/>
      </w:r>
    </w:p>
    <w:p w:rsidR="003006D1" w:rsidRPr="007D6173" w:rsidRDefault="001E66E3" w:rsidP="008074AB">
      <w:pPr>
        <w:pStyle w:val="Nadpis2"/>
      </w:pPr>
      <w:bookmarkStart w:id="17" w:name="_Toc436779464"/>
      <w:bookmarkStart w:id="18" w:name="_Toc437225058"/>
      <w:r w:rsidRPr="007D6173">
        <w:t>2</w:t>
      </w:r>
      <w:r w:rsidR="007D6173" w:rsidRPr="007D6173">
        <w:t>.2</w:t>
      </w:r>
      <w:r w:rsidR="00167E1D">
        <w:tab/>
      </w:r>
      <w:r w:rsidR="003006D1" w:rsidRPr="008074AB">
        <w:t>Vztah</w:t>
      </w:r>
      <w:r w:rsidR="003006D1" w:rsidRPr="007D6173">
        <w:t xml:space="preserve"> závěti a dovětku</w:t>
      </w:r>
      <w:bookmarkEnd w:id="17"/>
      <w:bookmarkEnd w:id="18"/>
    </w:p>
    <w:p w:rsidR="000B4496" w:rsidRDefault="003006D1" w:rsidP="007466BB">
      <w:pPr>
        <w:pStyle w:val="DiplTEXT"/>
        <w:spacing w:after="0"/>
        <w:ind w:firstLine="567"/>
      </w:pPr>
      <w:r>
        <w:t xml:space="preserve">Dovětek neboli kodicil </w:t>
      </w:r>
      <w:r w:rsidR="008D1078">
        <w:t>má svůj původ v římském právu. Rozuměla se jím listina</w:t>
      </w:r>
      <w:r w:rsidR="00892973">
        <w:t xml:space="preserve"> sepsaná zůstavitelem, která určovala bližší dispozice s majetkem po smrti zůstavite</w:t>
      </w:r>
      <w:r w:rsidR="00484050">
        <w:t>le</w:t>
      </w:r>
      <w:r w:rsidR="00892973">
        <w:t xml:space="preserve"> a </w:t>
      </w:r>
      <w:r w:rsidR="00484050">
        <w:t xml:space="preserve">umožnila změnu </w:t>
      </w:r>
      <w:r w:rsidR="00892973">
        <w:t>testamentu v jiném aspektu, než b</w:t>
      </w:r>
      <w:r w:rsidR="001E66E3">
        <w:t>yla osoba dědice nebo vydědění.</w:t>
      </w:r>
      <w:r w:rsidR="00892973">
        <w:rPr>
          <w:rStyle w:val="Znakapoznpodarou"/>
        </w:rPr>
        <w:footnoteReference w:id="40"/>
      </w:r>
    </w:p>
    <w:p w:rsidR="007466BB" w:rsidRDefault="00B75A38" w:rsidP="007466BB">
      <w:pPr>
        <w:pStyle w:val="DiplTEXT"/>
        <w:spacing w:after="0"/>
        <w:ind w:firstLine="567"/>
      </w:pPr>
      <w:r>
        <w:lastRenderedPageBreak/>
        <w:t>NOZ v § 1498 výslovnou definici dovětku neuvádí</w:t>
      </w:r>
      <w:r w:rsidR="003B1580">
        <w:t xml:space="preserve">. S přihlédnutím k jeho účelu se jím </w:t>
      </w:r>
      <w:r w:rsidR="00900F2C">
        <w:t xml:space="preserve">rozumí </w:t>
      </w:r>
      <w:r w:rsidR="00607707">
        <w:t>pořízení pro případ smrti, které spočívá v osobním, odvolatelném projevu vůle pořizovatele, kterým nařídí odkaz</w:t>
      </w:r>
      <w:r w:rsidR="003B1580">
        <w:t>,</w:t>
      </w:r>
      <w:r w:rsidR="0090024F">
        <w:t xml:space="preserve"> anebo </w:t>
      </w:r>
      <w:r w:rsidR="00607707">
        <w:t xml:space="preserve">stanoví </w:t>
      </w:r>
      <w:proofErr w:type="spellStart"/>
      <w:r w:rsidR="00607707">
        <w:t>odkazovníku</w:t>
      </w:r>
      <w:proofErr w:type="spellEnd"/>
      <w:r w:rsidR="00607707">
        <w:t xml:space="preserve"> nebo dědici podmínku, </w:t>
      </w:r>
      <w:r w:rsidR="00892973">
        <w:t>příkaz nebo doložení</w:t>
      </w:r>
      <w:r w:rsidR="00607707">
        <w:t xml:space="preserve"> čas</w:t>
      </w:r>
      <w:r w:rsidR="00892973">
        <w:t>u</w:t>
      </w:r>
      <w:r w:rsidR="00803E1D">
        <w:t>.</w:t>
      </w:r>
      <w:r w:rsidR="00607707">
        <w:rPr>
          <w:rStyle w:val="Znakapoznpodarou"/>
        </w:rPr>
        <w:footnoteReference w:id="41"/>
      </w:r>
    </w:p>
    <w:p w:rsidR="00C60A7F" w:rsidRPr="00FD4BE7" w:rsidRDefault="00C60A7F" w:rsidP="007466BB">
      <w:pPr>
        <w:pStyle w:val="DiplTEXT"/>
        <w:spacing w:after="0"/>
        <w:ind w:firstLine="567"/>
      </w:pPr>
      <w:r w:rsidRPr="00FD4BE7">
        <w:t xml:space="preserve">Základním pojmovým rozdílem mezi závětí a dovětkem není odlišnost formy, ale obsahu, protože dovětkem nejsou </w:t>
      </w:r>
      <w:r w:rsidR="007B78DF">
        <w:t xml:space="preserve">oproti závěti </w:t>
      </w:r>
      <w:r w:rsidRPr="00FD4BE7">
        <w:t>samostatně povoláni dědicové</w:t>
      </w:r>
      <w:r w:rsidR="00ED42D1" w:rsidRPr="00FD4BE7">
        <w:rPr>
          <w:rStyle w:val="Znakapoznpodarou"/>
        </w:rPr>
        <w:footnoteReference w:id="42"/>
      </w:r>
      <w:r w:rsidR="00ED42D1">
        <w:t xml:space="preserve">, proto jej </w:t>
      </w:r>
      <w:r w:rsidR="00ED42D1" w:rsidRPr="00FD4BE7">
        <w:t xml:space="preserve">není možné považovat za samostatný dědický titul, což rovněž vyplývá ze znění § 1476 NOZ, kde dovětek </w:t>
      </w:r>
      <w:r w:rsidR="00ED42D1" w:rsidRPr="00FD4BE7">
        <w:rPr>
          <w:color w:val="000000"/>
        </w:rPr>
        <w:t>v rámci</w:t>
      </w:r>
      <w:r w:rsidR="00ED42D1" w:rsidRPr="00FD4BE7">
        <w:rPr>
          <w:color w:val="FF0000"/>
        </w:rPr>
        <w:t xml:space="preserve"> </w:t>
      </w:r>
      <w:r w:rsidR="00ED42D1" w:rsidRPr="00FD4BE7">
        <w:rPr>
          <w:color w:val="000000"/>
        </w:rPr>
        <w:t>výčtu dědických titulů chybí</w:t>
      </w:r>
      <w:r w:rsidR="00C113D6" w:rsidRPr="00FD4BE7">
        <w:rPr>
          <w:color w:val="000000"/>
        </w:rPr>
        <w:t>.</w:t>
      </w:r>
      <w:r w:rsidR="00C113D6" w:rsidRPr="00FD4BE7">
        <w:rPr>
          <w:rStyle w:val="Znakapoznpodarou"/>
        </w:rPr>
        <w:footnoteReference w:id="43"/>
      </w:r>
      <w:r w:rsidR="002945A5">
        <w:rPr>
          <w:color w:val="000000"/>
        </w:rPr>
        <w:t xml:space="preserve"> Dovětek může </w:t>
      </w:r>
      <w:r w:rsidR="00FB5D63">
        <w:rPr>
          <w:color w:val="000000"/>
        </w:rPr>
        <w:t>být zůstavitelem</w:t>
      </w:r>
      <w:r w:rsidR="004A5084">
        <w:rPr>
          <w:color w:val="000000"/>
        </w:rPr>
        <w:t xml:space="preserve"> zřízen jako kodicil testamentární</w:t>
      </w:r>
      <w:r w:rsidR="00D2051C">
        <w:rPr>
          <w:color w:val="000000"/>
        </w:rPr>
        <w:t xml:space="preserve"> obsažený přímo v závěti </w:t>
      </w:r>
      <w:r w:rsidR="007466BB">
        <w:rPr>
          <w:color w:val="000000"/>
        </w:rPr>
        <w:t xml:space="preserve">nebo </w:t>
      </w:r>
      <w:r w:rsidR="00D2051C">
        <w:rPr>
          <w:color w:val="000000"/>
        </w:rPr>
        <w:t>stojící vedle ní</w:t>
      </w:r>
      <w:r w:rsidR="007466BB">
        <w:rPr>
          <w:color w:val="000000"/>
        </w:rPr>
        <w:t xml:space="preserve">. Přípustný je </w:t>
      </w:r>
      <w:r w:rsidR="007F716C">
        <w:rPr>
          <w:color w:val="000000"/>
        </w:rPr>
        <w:t xml:space="preserve">i </w:t>
      </w:r>
      <w:r w:rsidR="007466BB">
        <w:t>kodicil intestátní, který je zřízen samostatně, aniž by byla pořízena závěť s tím, ž</w:t>
      </w:r>
      <w:r w:rsidR="003B1580">
        <w:t xml:space="preserve">e jím zůstavitel omezí pouze </w:t>
      </w:r>
      <w:r w:rsidR="007466BB">
        <w:t xml:space="preserve">zákonného dědice nebo </w:t>
      </w:r>
      <w:proofErr w:type="spellStart"/>
      <w:r w:rsidR="007466BB">
        <w:t>odkazovníka</w:t>
      </w:r>
      <w:proofErr w:type="spellEnd"/>
      <w:r w:rsidR="007466BB">
        <w:t>.</w:t>
      </w:r>
      <w:r w:rsidR="007466BB">
        <w:rPr>
          <w:rStyle w:val="Znakapoznpodarou"/>
        </w:rPr>
        <w:footnoteReference w:id="44"/>
      </w:r>
    </w:p>
    <w:p w:rsidR="00142F7F" w:rsidRDefault="00800452" w:rsidP="003E268F">
      <w:pPr>
        <w:pStyle w:val="DiplTEXT"/>
        <w:spacing w:after="0"/>
        <w:ind w:firstLine="567"/>
      </w:pPr>
      <w:r>
        <w:t xml:space="preserve">V návaznosti na výše uvedené si lze položit otázku, </w:t>
      </w:r>
      <w:r w:rsidRPr="004E5097">
        <w:t xml:space="preserve">zda nemůže vzniknout spor o to, zda listina o posledním pořízení </w:t>
      </w:r>
      <w:r w:rsidR="00B4687C">
        <w:t>je závětí nebo dovětkem</w:t>
      </w:r>
      <w:r>
        <w:t xml:space="preserve">. </w:t>
      </w:r>
      <w:r w:rsidR="00265186">
        <w:t>Nelze</w:t>
      </w:r>
      <w:r>
        <w:t xml:space="preserve"> </w:t>
      </w:r>
      <w:r w:rsidR="006F5FB0">
        <w:t xml:space="preserve">totiž </w:t>
      </w:r>
      <w:r w:rsidR="00265186">
        <w:t xml:space="preserve">vyloučit situaci, kdy </w:t>
      </w:r>
      <w:r w:rsidR="00D90BA7" w:rsidRPr="004E5097">
        <w:t xml:space="preserve">zůstavitel </w:t>
      </w:r>
      <w:r w:rsidR="00000649">
        <w:t>(</w:t>
      </w:r>
      <w:r w:rsidR="00F71F14" w:rsidRPr="004E5097">
        <w:t xml:space="preserve">právní </w:t>
      </w:r>
      <w:r w:rsidR="00A7188C">
        <w:t>laik</w:t>
      </w:r>
      <w:r w:rsidR="00000649">
        <w:t>)</w:t>
      </w:r>
      <w:r w:rsidR="00A7188C">
        <w:t xml:space="preserve"> </w:t>
      </w:r>
      <w:r w:rsidR="002676F0">
        <w:t xml:space="preserve">sepíše pořízení pro případ smrti takovým způsobem, že nebude jasné, zda povolává dědice nebo pouze </w:t>
      </w:r>
      <w:r w:rsidR="0052012B">
        <w:t xml:space="preserve">nařizuje </w:t>
      </w:r>
      <w:r w:rsidR="00D90BA7" w:rsidRPr="004E5097">
        <w:t xml:space="preserve">odkaz </w:t>
      </w:r>
      <w:r w:rsidR="0052012B">
        <w:t>dědici dříve ustanovenému. K</w:t>
      </w:r>
      <w:r>
        <w:t xml:space="preserve"> tomu může dojít, pokud zůstavitel </w:t>
      </w:r>
      <w:r w:rsidR="00D90BA7" w:rsidRPr="004E5097">
        <w:t>rozdělí jednotlivé věci ze svého jmění určitým osobám, aniž by jim zlomkem nebo procentem určil podíly na celé pozůstalosti</w:t>
      </w:r>
      <w:r w:rsidR="00471856">
        <w:t>.</w:t>
      </w:r>
      <w:r w:rsidR="006F5FB0">
        <w:rPr>
          <w:rStyle w:val="Znakapoznpodarou"/>
        </w:rPr>
        <w:footnoteReference w:id="45"/>
      </w:r>
      <w:r w:rsidR="006F5FB0">
        <w:t xml:space="preserve"> </w:t>
      </w:r>
      <w:r w:rsidR="003006D1" w:rsidRPr="006F5FB0">
        <w:t>Vyřešení této otázky</w:t>
      </w:r>
      <w:r w:rsidR="003006D1">
        <w:t xml:space="preserve"> je klíčové vzhledem k</w:t>
      </w:r>
      <w:r w:rsidR="004F0574">
        <w:t> </w:t>
      </w:r>
      <w:r w:rsidR="003006D1">
        <w:t xml:space="preserve"> tomu, že postavení dědice </w:t>
      </w:r>
      <w:r w:rsidR="00F71F14">
        <w:t xml:space="preserve">a </w:t>
      </w:r>
      <w:proofErr w:type="spellStart"/>
      <w:r w:rsidR="00F71F14">
        <w:t>odkazovníka</w:t>
      </w:r>
      <w:proofErr w:type="spellEnd"/>
      <w:r w:rsidR="00F71F14">
        <w:t xml:space="preserve"> je de lege odlišné</w:t>
      </w:r>
      <w:r w:rsidR="003006D1">
        <w:t xml:space="preserve">. Zatímco dědicovi náleží dědické právo na pozůstalost nebo na poměrný podíl z ní (§ 1475 NOZ), </w:t>
      </w:r>
      <w:proofErr w:type="spellStart"/>
      <w:r w:rsidR="003006D1">
        <w:t>odkazovník</w:t>
      </w:r>
      <w:proofErr w:type="spellEnd"/>
      <w:r w:rsidR="003006D1">
        <w:t xml:space="preserve"> není dědicem ale věřitelem, který má vůči </w:t>
      </w:r>
      <w:r w:rsidR="00142F7F">
        <w:t>dědicům právo na vydání odkazu.</w:t>
      </w:r>
    </w:p>
    <w:p w:rsidR="003006D1" w:rsidRDefault="003006D1" w:rsidP="003E268F">
      <w:pPr>
        <w:pStyle w:val="DiplTEXT"/>
        <w:spacing w:after="0"/>
        <w:ind w:firstLine="567"/>
      </w:pPr>
      <w:r>
        <w:t xml:space="preserve">Řešení tohoto problému </w:t>
      </w:r>
      <w:r w:rsidR="00E7324A">
        <w:t>nabízí důvodová zpráva</w:t>
      </w:r>
      <w:r w:rsidR="008B452D">
        <w:t xml:space="preserve"> k </w:t>
      </w:r>
      <w:r w:rsidR="00566928">
        <w:t>ustanovení</w:t>
      </w:r>
      <w:r w:rsidR="008B452D">
        <w:t>m</w:t>
      </w:r>
      <w:r w:rsidR="00566928">
        <w:t xml:space="preserve"> §§ 1594-</w:t>
      </w:r>
      <w:r>
        <w:t>1596 NOZ</w:t>
      </w:r>
      <w:r w:rsidR="000B6882">
        <w:t xml:space="preserve">. </w:t>
      </w:r>
      <w:r>
        <w:t xml:space="preserve">Rozhodujícím kritériem je skutečnost, zda zůstavitel v pořízení pro případ smrti vyčerpá výčtem věcí celou pozůstalost </w:t>
      </w:r>
      <w:r w:rsidR="00F4239F">
        <w:t>nebo ne</w:t>
      </w:r>
      <w:r>
        <w:t>.</w:t>
      </w:r>
      <w:r w:rsidRPr="00AE7FA5">
        <w:rPr>
          <w:i/>
          <w:sz w:val="16"/>
          <w:szCs w:val="16"/>
        </w:rPr>
        <w:t xml:space="preserve"> </w:t>
      </w:r>
      <w:r w:rsidR="000B6882">
        <w:t>Pokud</w:t>
      </w:r>
      <w:r w:rsidRPr="00D437EA">
        <w:t xml:space="preserve"> </w:t>
      </w:r>
      <w:r>
        <w:t xml:space="preserve">takto učiní, bude listina považována za závěť. Nebude-li však pozůstalost vyčerpána a zůstavitel je vedle uvedených věcí vlastníkem dalšího majetku vyšší hodnoty, posoudí se listina jako dovětek a osoby v něm uvedené budou </w:t>
      </w:r>
      <w:proofErr w:type="spellStart"/>
      <w:r>
        <w:t>odkazovníky</w:t>
      </w:r>
      <w:proofErr w:type="spellEnd"/>
      <w:r>
        <w:t xml:space="preserve"> s nárokem vůči zákonným dědicům</w:t>
      </w:r>
      <w:r w:rsidR="00616440">
        <w:t>.</w:t>
      </w:r>
      <w:r w:rsidR="000B6882">
        <w:rPr>
          <w:rStyle w:val="Znakapoznpodarou"/>
        </w:rPr>
        <w:footnoteReference w:id="46"/>
      </w:r>
      <w:r w:rsidR="00AB7B22">
        <w:t xml:space="preserve"> </w:t>
      </w:r>
      <w:r w:rsidR="00940708">
        <w:t xml:space="preserve">Inspirací k řešení </w:t>
      </w:r>
      <w:r w:rsidR="00E17075">
        <w:t>uvedené problematiky</w:t>
      </w:r>
      <w:r w:rsidR="00C26992" w:rsidRPr="0016734B">
        <w:t xml:space="preserve"> </w:t>
      </w:r>
      <w:r w:rsidR="00D77388">
        <w:t xml:space="preserve">může být </w:t>
      </w:r>
      <w:r w:rsidR="00E17075">
        <w:t xml:space="preserve">judikatura </w:t>
      </w:r>
      <w:r w:rsidR="00C26992" w:rsidRPr="0016734B">
        <w:t>předválečné</w:t>
      </w:r>
      <w:r w:rsidR="00E17075">
        <w:t>ho NS. Ten ve svých rozhod</w:t>
      </w:r>
      <w:r w:rsidR="00D77388">
        <w:t>nutích</w:t>
      </w:r>
      <w:r w:rsidR="00E17075">
        <w:t xml:space="preserve"> </w:t>
      </w:r>
      <w:r w:rsidR="00A75008" w:rsidRPr="0016734B">
        <w:t>dovodil, že se jedná o</w:t>
      </w:r>
      <w:r w:rsidR="004F0574">
        <w:t> </w:t>
      </w:r>
      <w:r w:rsidR="00A75008" w:rsidRPr="0016734B">
        <w:t xml:space="preserve"> dovětek a ne o závěť dokonce v případě, kdy zůstavitel </w:t>
      </w:r>
      <w:r w:rsidR="0016734B" w:rsidRPr="0016734B">
        <w:t xml:space="preserve">nezanechal nikomu ani celou pozůstalost, ani její poměrnou část, ale </w:t>
      </w:r>
      <w:r w:rsidR="00A75008" w:rsidRPr="0016734B">
        <w:t xml:space="preserve">pořídil pouze o jednotlivých věcech, které nevyčerpaly </w:t>
      </w:r>
      <w:r w:rsidR="00A75008" w:rsidRPr="0016734B">
        <w:lastRenderedPageBreak/>
        <w:t>celou pozůstalost</w:t>
      </w:r>
      <w:r w:rsidR="00D15535" w:rsidRPr="0016734B">
        <w:rPr>
          <w:rStyle w:val="Znakapoznpodarou"/>
        </w:rPr>
        <w:footnoteReference w:id="47"/>
      </w:r>
      <w:r w:rsidR="00E46D16">
        <w:t xml:space="preserve">, </w:t>
      </w:r>
      <w:r w:rsidR="00D77388">
        <w:t>přestože byly v</w:t>
      </w:r>
      <w:r w:rsidR="00D15535">
        <w:t xml:space="preserve"> posledním pořízení </w:t>
      </w:r>
      <w:r w:rsidR="00D77388">
        <w:t>některé obmyšlené osoby pojmenovány</w:t>
      </w:r>
      <w:r w:rsidR="00D15535">
        <w:t xml:space="preserve"> zůstavitel</w:t>
      </w:r>
      <w:r w:rsidR="00D77388">
        <w:t>em</w:t>
      </w:r>
      <w:r w:rsidR="00D15535">
        <w:t xml:space="preserve"> </w:t>
      </w:r>
      <w:r w:rsidR="00D77388">
        <w:t>jako dědici</w:t>
      </w:r>
      <w:r w:rsidR="00616440">
        <w:t>.</w:t>
      </w:r>
      <w:r w:rsidR="00D15535">
        <w:rPr>
          <w:rStyle w:val="Znakapoznpodarou"/>
        </w:rPr>
        <w:footnoteReference w:id="48"/>
      </w:r>
    </w:p>
    <w:p w:rsidR="00252361" w:rsidRDefault="003940F5" w:rsidP="00B532D4">
      <w:pPr>
        <w:pStyle w:val="DiplTEXT"/>
        <w:spacing w:after="0"/>
        <w:ind w:firstLine="567"/>
        <w:rPr>
          <w:b/>
          <w:sz w:val="32"/>
        </w:rPr>
      </w:pPr>
      <w:r>
        <w:t>Zda je pořízení pro případ smrti závětí nebo dovětkem bude zřejmě v budoucnu předmětem častých sporů</w:t>
      </w:r>
      <w:r w:rsidR="00B4687C">
        <w:t>,</w:t>
      </w:r>
      <w:r>
        <w:t xml:space="preserve"> ať už v řízení pozůstalostním</w:t>
      </w:r>
      <w:r w:rsidR="00400D7B">
        <w:t xml:space="preserve"> </w:t>
      </w:r>
      <w:r>
        <w:t>nebo v řízení sporném</w:t>
      </w:r>
      <w:r w:rsidR="00400D7B">
        <w:t xml:space="preserve"> ve smyslu §§ 168 až 170 ZŘS.</w:t>
      </w:r>
      <w:bookmarkStart w:id="19" w:name="_Toc436779465"/>
      <w:r w:rsidR="00252361">
        <w:br w:type="page"/>
      </w:r>
    </w:p>
    <w:p w:rsidR="00C064A9" w:rsidRPr="00D218AC" w:rsidRDefault="001227F2" w:rsidP="008074AB">
      <w:pPr>
        <w:pStyle w:val="Nadpis1"/>
      </w:pPr>
      <w:bookmarkStart w:id="20" w:name="_Toc437225059"/>
      <w:r>
        <w:lastRenderedPageBreak/>
        <w:t>3</w:t>
      </w:r>
      <w:r w:rsidR="003A3A3C">
        <w:tab/>
      </w:r>
      <w:r w:rsidR="003E268F" w:rsidRPr="008074AB">
        <w:t>Dru</w:t>
      </w:r>
      <w:r w:rsidRPr="008074AB">
        <w:t>hy</w:t>
      </w:r>
      <w:r>
        <w:t xml:space="preserve"> závětí a jejich </w:t>
      </w:r>
      <w:r w:rsidR="003E268F" w:rsidRPr="00252361">
        <w:t>problematické</w:t>
      </w:r>
      <w:r w:rsidR="003E268F" w:rsidRPr="00D218AC">
        <w:t xml:space="preserve"> </w:t>
      </w:r>
      <w:r w:rsidR="003E268F" w:rsidRPr="00252361">
        <w:t>aspekty</w:t>
      </w:r>
      <w:bookmarkEnd w:id="19"/>
      <w:bookmarkEnd w:id="20"/>
    </w:p>
    <w:p w:rsidR="00615A8B" w:rsidRPr="00D16E3B" w:rsidRDefault="00615A8B" w:rsidP="00615A8B">
      <w:pPr>
        <w:pStyle w:val="DiplTEXT"/>
        <w:spacing w:after="0"/>
        <w:ind w:firstLine="567"/>
      </w:pPr>
      <w:r w:rsidRPr="00D16E3B">
        <w:t>NOZ rozlišuje závěti pořízené soukromou listinou, k nimž tradičně patří závě</w:t>
      </w:r>
      <w:r w:rsidR="0051481B" w:rsidRPr="00D16E3B">
        <w:t xml:space="preserve">ť holografní a závěť </w:t>
      </w:r>
      <w:proofErr w:type="spellStart"/>
      <w:r w:rsidR="0051481B" w:rsidRPr="00D16E3B">
        <w:t>allografní</w:t>
      </w:r>
      <w:proofErr w:type="spellEnd"/>
      <w:r w:rsidR="0051481B" w:rsidRPr="00D16E3B">
        <w:t xml:space="preserve"> a </w:t>
      </w:r>
      <w:r w:rsidRPr="00D16E3B">
        <w:t>závěti pořízené veřejnou listinou</w:t>
      </w:r>
      <w:r w:rsidR="0051481B" w:rsidRPr="00D16E3B">
        <w:t xml:space="preserve"> zejména ve formě notářského zápisu. Zcela </w:t>
      </w:r>
      <w:r w:rsidRPr="00D16E3B">
        <w:t xml:space="preserve">zvláštní skupinu </w:t>
      </w:r>
      <w:r w:rsidR="00D16E3B" w:rsidRPr="00D16E3B">
        <w:t>představují závěti</w:t>
      </w:r>
      <w:r w:rsidRPr="00D16E3B">
        <w:t xml:space="preserve"> s úlevami, které </w:t>
      </w:r>
      <w:r w:rsidR="00D16E3B" w:rsidRPr="00D16E3B">
        <w:t>jsou přípustné</w:t>
      </w:r>
      <w:r w:rsidRPr="00D16E3B">
        <w:t xml:space="preserve"> jen výjimečně v mimořádných situacích.</w:t>
      </w:r>
    </w:p>
    <w:p w:rsidR="00615A8B" w:rsidRPr="00D16E3B" w:rsidRDefault="00615A8B" w:rsidP="00615A8B">
      <w:pPr>
        <w:pStyle w:val="DiplTEXT"/>
        <w:spacing w:after="0"/>
        <w:ind w:firstLine="567"/>
      </w:pPr>
      <w:r w:rsidRPr="00D16E3B">
        <w:t xml:space="preserve">NOZ zachovává jako povinnou písemnou formu závětí, nově umožňuje jinou formu jen u závětí s úlevami (§ 1532 NOZ). </w:t>
      </w:r>
      <w:r w:rsidR="00866179" w:rsidRPr="00D16E3B">
        <w:t xml:space="preserve">Náležitosti a podmínky stanovené pro jednotlivé druhy závětí, jakož i některé otázky a související problematické aspekty jsou blíže konkretizovány v dalších </w:t>
      </w:r>
      <w:r w:rsidR="0051481B" w:rsidRPr="00D16E3B">
        <w:t>pod</w:t>
      </w:r>
      <w:r w:rsidR="00866179" w:rsidRPr="00D16E3B">
        <w:t>kapitolách.</w:t>
      </w:r>
    </w:p>
    <w:p w:rsidR="00AC45C7" w:rsidRPr="001227F2" w:rsidRDefault="001227F2" w:rsidP="008074AB">
      <w:pPr>
        <w:pStyle w:val="Nadpis2"/>
      </w:pPr>
      <w:bookmarkStart w:id="21" w:name="_Toc436779466"/>
      <w:bookmarkStart w:id="22" w:name="_Toc437225060"/>
      <w:r w:rsidRPr="001227F2">
        <w:t>3</w:t>
      </w:r>
      <w:r w:rsidR="00EE6398" w:rsidRPr="001227F2">
        <w:t>.1</w:t>
      </w:r>
      <w:r w:rsidR="00B532D4">
        <w:tab/>
      </w:r>
      <w:r w:rsidRPr="008074AB">
        <w:t>Holografní</w:t>
      </w:r>
      <w:r w:rsidRPr="001227F2">
        <w:t xml:space="preserve"> </w:t>
      </w:r>
      <w:r w:rsidRPr="00252361">
        <w:t>závěť</w:t>
      </w:r>
      <w:bookmarkEnd w:id="21"/>
      <w:bookmarkEnd w:id="22"/>
    </w:p>
    <w:p w:rsidR="00C814C4" w:rsidRDefault="00C814C4" w:rsidP="00C814C4">
      <w:pPr>
        <w:spacing w:after="0"/>
        <w:ind w:firstLine="567"/>
      </w:pPr>
      <w:bookmarkStart w:id="23" w:name="_Toc320722272"/>
      <w:r w:rsidRPr="0090617E">
        <w:t xml:space="preserve">Holografní neboli vlastnoruční závěť </w:t>
      </w:r>
      <w:r w:rsidR="004F6592">
        <w:t>je ve smyslu § 1533 NOZ písemnou formou závěti</w:t>
      </w:r>
      <w:r w:rsidR="00EE71AE">
        <w:t xml:space="preserve"> beze svědků</w:t>
      </w:r>
      <w:r w:rsidR="004F6592">
        <w:t xml:space="preserve">, která je celá sepsána </w:t>
      </w:r>
      <w:r w:rsidR="00EE71AE">
        <w:t xml:space="preserve">vlastní rukou zůstavitele </w:t>
      </w:r>
      <w:r w:rsidR="004F6592">
        <w:t xml:space="preserve">a </w:t>
      </w:r>
      <w:r w:rsidR="00027578">
        <w:t xml:space="preserve">je </w:t>
      </w:r>
      <w:r w:rsidR="00EE71AE">
        <w:t xml:space="preserve">opatřena jeho vlastnoručním podpisem. </w:t>
      </w:r>
      <w:r w:rsidR="0065170D">
        <w:t xml:space="preserve">Pokud by některá z těchto podstatných náležitostí chyběla, byla by taková závěť absolutně neplatná. </w:t>
      </w:r>
      <w:r w:rsidR="004F6592">
        <w:t>V</w:t>
      </w:r>
      <w:r w:rsidR="004F6592" w:rsidRPr="0090617E">
        <w:t xml:space="preserve"> praxi </w:t>
      </w:r>
      <w:r w:rsidR="00FF05C8">
        <w:t xml:space="preserve">se </w:t>
      </w:r>
      <w:r w:rsidR="004F6592">
        <w:t>jedná</w:t>
      </w:r>
      <w:r w:rsidR="00FF05C8">
        <w:t xml:space="preserve"> o </w:t>
      </w:r>
      <w:r w:rsidR="00990DD2">
        <w:t>nejčastější formu</w:t>
      </w:r>
      <w:r w:rsidRPr="0090617E">
        <w:t xml:space="preserve"> závěti</w:t>
      </w:r>
      <w:r w:rsidR="00EC3758">
        <w:t xml:space="preserve"> z </w:t>
      </w:r>
      <w:r w:rsidR="00FF05C8">
        <w:t>důvodu</w:t>
      </w:r>
      <w:r w:rsidR="00EC3758">
        <w:t xml:space="preserve"> její jednoduchosti, poho</w:t>
      </w:r>
      <w:r w:rsidR="00C12575">
        <w:t xml:space="preserve">tovosti a nízkých nákladů. Jistou </w:t>
      </w:r>
      <w:r w:rsidR="00EC3758">
        <w:t xml:space="preserve">nevýhodou je však riziko </w:t>
      </w:r>
      <w:r w:rsidR="00BC6BC6">
        <w:t xml:space="preserve">jejího </w:t>
      </w:r>
      <w:r w:rsidR="00DD1DEC">
        <w:t>vyhotovení</w:t>
      </w:r>
      <w:r w:rsidR="00BC6BC6">
        <w:t xml:space="preserve"> bez důkladného uvážení vlivem náhlých emocí</w:t>
      </w:r>
      <w:r w:rsidR="006C04CD">
        <w:t>, možnost ztráty, potlačení nebo zničení listiny obsahující závěť</w:t>
      </w:r>
      <w:r w:rsidR="00584D9B">
        <w:t>.</w:t>
      </w:r>
      <w:r w:rsidR="00FF502A">
        <w:rPr>
          <w:rStyle w:val="Znakapoznpodarou"/>
        </w:rPr>
        <w:footnoteReference w:id="49"/>
      </w:r>
      <w:r w:rsidR="00FB6444">
        <w:t xml:space="preserve"> </w:t>
      </w:r>
      <w:r w:rsidR="0089024D">
        <w:t>Výkladové potíže by mohlo činit i laické</w:t>
      </w:r>
      <w:r w:rsidR="00FF05C8">
        <w:t xml:space="preserve"> používání právních te</w:t>
      </w:r>
      <w:r w:rsidR="00BC6BC6">
        <w:t>rmínů</w:t>
      </w:r>
      <w:r w:rsidR="00584D9B">
        <w:t>, kterým zůstavitel nerozumí</w:t>
      </w:r>
      <w:r w:rsidR="00BC6BC6">
        <w:rPr>
          <w:rStyle w:val="Znakapoznpodarou"/>
        </w:rPr>
        <w:footnoteReference w:id="50"/>
      </w:r>
      <w:r w:rsidR="007E134C">
        <w:t xml:space="preserve">, </w:t>
      </w:r>
      <w:r w:rsidR="00854755">
        <w:t>nap</w:t>
      </w:r>
      <w:r w:rsidR="007E134C">
        <w:t xml:space="preserve">ř. záměna dědice za </w:t>
      </w:r>
      <w:proofErr w:type="spellStart"/>
      <w:r w:rsidR="007E134C">
        <w:t>odkazovníka</w:t>
      </w:r>
      <w:proofErr w:type="spellEnd"/>
      <w:r w:rsidR="00854755">
        <w:t xml:space="preserve">. </w:t>
      </w:r>
      <w:r w:rsidR="001642B5">
        <w:t xml:space="preserve">Úprava holografní závěti podle </w:t>
      </w:r>
      <w:r>
        <w:t xml:space="preserve">§ 1533 NOZ </w:t>
      </w:r>
      <w:r w:rsidR="001642B5">
        <w:t xml:space="preserve">co do náležitostí </w:t>
      </w:r>
      <w:r>
        <w:t xml:space="preserve">v podstatě </w:t>
      </w:r>
      <w:r w:rsidR="001642B5">
        <w:t>nedoznala oproti § 476a OZ6</w:t>
      </w:r>
      <w:r w:rsidR="00624685">
        <w:t>4</w:t>
      </w:r>
      <w:r w:rsidR="00C12575">
        <w:t xml:space="preserve"> změny.</w:t>
      </w:r>
    </w:p>
    <w:p w:rsidR="00DD1DEC" w:rsidRPr="00CE53F2" w:rsidRDefault="001227F2" w:rsidP="008074AB">
      <w:pPr>
        <w:pStyle w:val="Nadpis3"/>
      </w:pPr>
      <w:bookmarkStart w:id="24" w:name="_Toc436779467"/>
      <w:bookmarkStart w:id="25" w:name="_Toc437225061"/>
      <w:r>
        <w:t>3.1.1</w:t>
      </w:r>
      <w:r w:rsidR="00B532D4">
        <w:tab/>
      </w:r>
      <w:r w:rsidR="00401124" w:rsidRPr="008074AB">
        <w:t>Vlastnoruční</w:t>
      </w:r>
      <w:r w:rsidR="00401124" w:rsidRPr="00CE53F2">
        <w:t xml:space="preserve"> z</w:t>
      </w:r>
      <w:r w:rsidR="00DD1DEC" w:rsidRPr="00CE53F2">
        <w:t xml:space="preserve">působ </w:t>
      </w:r>
      <w:r w:rsidR="00401124" w:rsidRPr="00CE53F2">
        <w:t>vyhotovení závěti</w:t>
      </w:r>
      <w:bookmarkEnd w:id="24"/>
      <w:bookmarkEnd w:id="25"/>
    </w:p>
    <w:p w:rsidR="00C814C4" w:rsidRDefault="00CE53F2" w:rsidP="00C814C4">
      <w:pPr>
        <w:spacing w:after="0"/>
        <w:ind w:firstLine="567"/>
      </w:pPr>
      <w:r>
        <w:t xml:space="preserve">Pochybnosti o vlastnoručním sepsání závěti </w:t>
      </w:r>
      <w:r w:rsidR="006849C2">
        <w:t>pořizovatelem</w:t>
      </w:r>
      <w:r>
        <w:t xml:space="preserve"> mohou nastat z několika důvodů. </w:t>
      </w:r>
      <w:r w:rsidR="00027578">
        <w:t>Není vyloučeno, že</w:t>
      </w:r>
      <w:r w:rsidR="00C814C4">
        <w:t xml:space="preserve"> zůstavitel sepíše závěť vlastní rukou</w:t>
      </w:r>
      <w:r w:rsidR="00691F52">
        <w:t>,</w:t>
      </w:r>
      <w:r w:rsidR="00CC2C4D">
        <w:t xml:space="preserve"> čímž splní formální požadavky na závěť</w:t>
      </w:r>
      <w:r w:rsidR="00C814C4">
        <w:t xml:space="preserve">, ale </w:t>
      </w:r>
      <w:r w:rsidR="00027578">
        <w:t xml:space="preserve">jeho </w:t>
      </w:r>
      <w:r w:rsidR="00C814C4">
        <w:t xml:space="preserve">rukopis bude pro </w:t>
      </w:r>
      <w:r w:rsidR="00027578">
        <w:t>třetí</w:t>
      </w:r>
      <w:r w:rsidR="00E27459">
        <w:t xml:space="preserve"> osoby nečitelný</w:t>
      </w:r>
      <w:r w:rsidR="00A20934">
        <w:t xml:space="preserve">. </w:t>
      </w:r>
      <w:r w:rsidR="00C814C4">
        <w:t>V případě absolutní nečitelnosti, kdy se nepodaří závěť přečíst ani nikomu z dědiců, přichází v úvahu ustanovení soudního znalce k jejímu „přečtení“, takže bude vhodnější, aby zůstavitel s ohledem na zatížení dědiců dodatečnými náklady na odměnu znalce z</w:t>
      </w:r>
      <w:r w:rsidR="00584D9B">
        <w:t>volil pro pořízení jinou formu.</w:t>
      </w:r>
      <w:r w:rsidR="00C814C4">
        <w:rPr>
          <w:rStyle w:val="Znakapoznpodarou"/>
        </w:rPr>
        <w:footnoteReference w:id="51"/>
      </w:r>
    </w:p>
    <w:p w:rsidR="00C814C4" w:rsidRDefault="00E27459" w:rsidP="00C814C4">
      <w:pPr>
        <w:spacing w:after="0"/>
        <w:ind w:firstLine="567"/>
      </w:pPr>
      <w:r w:rsidRPr="009D383A">
        <w:t>Změny v ob</w:t>
      </w:r>
      <w:r w:rsidR="00356E19">
        <w:t>vyklém rukopisu zůstavitele mohou</w:t>
      </w:r>
      <w:r w:rsidRPr="009D383A">
        <w:t xml:space="preserve"> </w:t>
      </w:r>
      <w:r w:rsidR="009876D9">
        <w:t xml:space="preserve">být </w:t>
      </w:r>
      <w:r w:rsidR="003C2EB6">
        <w:t xml:space="preserve">rovněž </w:t>
      </w:r>
      <w:r w:rsidR="009876D9">
        <w:t>způsob</w:t>
      </w:r>
      <w:r w:rsidR="00356E19">
        <w:t>eny</w:t>
      </w:r>
      <w:r w:rsidRPr="009D383A">
        <w:t xml:space="preserve"> </w:t>
      </w:r>
      <w:r w:rsidR="00837DC2">
        <w:t>sepsání</w:t>
      </w:r>
      <w:r w:rsidR="009876D9">
        <w:t>m</w:t>
      </w:r>
      <w:r w:rsidR="00837DC2">
        <w:t xml:space="preserve"> závěti</w:t>
      </w:r>
      <w:r w:rsidRPr="009D383A">
        <w:t xml:space="preserve"> </w:t>
      </w:r>
      <w:r w:rsidR="00356E19">
        <w:t xml:space="preserve">jeho </w:t>
      </w:r>
      <w:r w:rsidRPr="00F0644F">
        <w:t>nedominantní rukou</w:t>
      </w:r>
      <w:r w:rsidR="007C6786">
        <w:t xml:space="preserve"> nebo </w:t>
      </w:r>
      <w:r w:rsidR="00556B0C">
        <w:t xml:space="preserve">dopomocí </w:t>
      </w:r>
      <w:r w:rsidR="00362D65">
        <w:t>cizí osobou</w:t>
      </w:r>
      <w:r w:rsidR="00584D9B">
        <w:t>.</w:t>
      </w:r>
      <w:r w:rsidR="00B50B62">
        <w:t xml:space="preserve"> </w:t>
      </w:r>
      <w:r w:rsidR="007C6786">
        <w:t>Zatímco v prvním případě judikatura</w:t>
      </w:r>
      <w:r w:rsidR="00F71405">
        <w:t xml:space="preserve"> </w:t>
      </w:r>
      <w:r w:rsidR="00F71405">
        <w:lastRenderedPageBreak/>
        <w:t xml:space="preserve">považuje takovou závěť za </w:t>
      </w:r>
      <w:r w:rsidR="00F71405" w:rsidRPr="009D383A">
        <w:t xml:space="preserve">vlastnoručně napsanou a tedy </w:t>
      </w:r>
      <w:r w:rsidR="00F71405">
        <w:t xml:space="preserve">i </w:t>
      </w:r>
      <w:r w:rsidR="00F71405" w:rsidRPr="009D383A">
        <w:t>platnou</w:t>
      </w:r>
      <w:r w:rsidR="00F71405" w:rsidRPr="009D383A">
        <w:rPr>
          <w:rStyle w:val="Znakapoznpodarou"/>
        </w:rPr>
        <w:footnoteReference w:id="52"/>
      </w:r>
      <w:r w:rsidR="00F71405">
        <w:t xml:space="preserve">, v případě </w:t>
      </w:r>
      <w:r w:rsidR="00362D65">
        <w:t xml:space="preserve">druhém by pomoc poskytnutá zůstaviteli jinou osobou vedla k neplatnosti závěti, protože dojde ovlivnění charakteristických znaků </w:t>
      </w:r>
      <w:r w:rsidR="00BA0D1E">
        <w:t>zůstavitelova</w:t>
      </w:r>
      <w:r w:rsidR="00362D65">
        <w:t xml:space="preserve"> rukopisu.</w:t>
      </w:r>
      <w:r w:rsidR="00362D65" w:rsidRPr="009D383A">
        <w:rPr>
          <w:rStyle w:val="Znakapoznpodarou"/>
        </w:rPr>
        <w:footnoteReference w:id="53"/>
      </w:r>
      <w:r w:rsidR="00BA0D1E">
        <w:t xml:space="preserve"> </w:t>
      </w:r>
      <w:r w:rsidR="009D383A">
        <w:t>Otázkou je</w:t>
      </w:r>
      <w:r w:rsidR="00837DC2">
        <w:t>,</w:t>
      </w:r>
      <w:r w:rsidR="009D383A">
        <w:t xml:space="preserve"> </w:t>
      </w:r>
      <w:r w:rsidR="00A57B84">
        <w:t xml:space="preserve">zda charakteristické znaky rukopisu a tudíž i podmínku vlastnoručního sepsání holografní závěti splňuje použití Braillova písma prostřednictvím </w:t>
      </w:r>
      <w:r w:rsidR="00A57B84" w:rsidRPr="00A57B84">
        <w:t>speciální dest</w:t>
      </w:r>
      <w:r w:rsidR="00A57B84">
        <w:t>ičky s perem, kterým se zrcadlově</w:t>
      </w:r>
      <w:r w:rsidR="00A57B84" w:rsidRPr="00A57B84">
        <w:t xml:space="preserve"> přes dírky v destičce vytváří v pa</w:t>
      </w:r>
      <w:r w:rsidR="00692D1B">
        <w:t>píru body</w:t>
      </w:r>
      <w:r w:rsidR="00A57B84" w:rsidRPr="00A57B84">
        <w:t>.</w:t>
      </w:r>
      <w:r w:rsidR="00837DC2">
        <w:t xml:space="preserve"> </w:t>
      </w:r>
      <w:r w:rsidR="00B50B62">
        <w:t xml:space="preserve">Takto </w:t>
      </w:r>
      <w:r w:rsidR="00EA3CDC">
        <w:t xml:space="preserve">vyhotovená závěť by patrně nebyla uznána za platnou z důvodu obtížného </w:t>
      </w:r>
      <w:r w:rsidR="000E2284">
        <w:t xml:space="preserve">prokázání, že závěť </w:t>
      </w:r>
      <w:r w:rsidR="00692D1B">
        <w:t xml:space="preserve">takto </w:t>
      </w:r>
      <w:r w:rsidR="000E2284">
        <w:t>napsal skutečně zůstavitel. Rakouská doktrína naopak připouští, aby zůstavitel holografní závěť slepeckým písmem</w:t>
      </w:r>
      <w:r w:rsidR="00692D1B">
        <w:t xml:space="preserve"> sepsal</w:t>
      </w:r>
      <w:r w:rsidR="000E2284">
        <w:t>.</w:t>
      </w:r>
      <w:r w:rsidR="00692D1B">
        <w:rPr>
          <w:rStyle w:val="Znakapoznpodarou"/>
        </w:rPr>
        <w:footnoteReference w:id="54"/>
      </w:r>
    </w:p>
    <w:p w:rsidR="001227F2" w:rsidRPr="001C2499" w:rsidRDefault="001C2499" w:rsidP="008074AB">
      <w:pPr>
        <w:pStyle w:val="Nadpis3"/>
      </w:pPr>
      <w:bookmarkStart w:id="26" w:name="_Toc436779468"/>
      <w:bookmarkStart w:id="27" w:name="_Toc437225062"/>
      <w:r w:rsidRPr="001C2499">
        <w:t>3.1.2</w:t>
      </w:r>
      <w:r w:rsidR="00B532D4">
        <w:tab/>
      </w:r>
      <w:r w:rsidR="0010104E">
        <w:t>P</w:t>
      </w:r>
      <w:r w:rsidR="001227F2" w:rsidRPr="00252361">
        <w:t>odpis</w:t>
      </w:r>
      <w:r w:rsidR="001227F2" w:rsidRPr="001C2499">
        <w:t xml:space="preserve"> závěti</w:t>
      </w:r>
      <w:bookmarkEnd w:id="26"/>
      <w:bookmarkEnd w:id="27"/>
    </w:p>
    <w:p w:rsidR="001227F2" w:rsidRPr="00F47E80" w:rsidRDefault="001227F2" w:rsidP="001227F2">
      <w:pPr>
        <w:spacing w:after="0"/>
        <w:ind w:firstLine="567"/>
        <w:rPr>
          <w:rFonts w:eastAsia="Times New Roman"/>
          <w:color w:val="FF0000"/>
          <w:szCs w:val="24"/>
          <w:lang w:eastAsia="cs-CZ"/>
        </w:rPr>
      </w:pPr>
      <w:r>
        <w:rPr>
          <w:rFonts w:eastAsia="Times New Roman"/>
          <w:szCs w:val="24"/>
          <w:lang w:eastAsia="cs-CZ"/>
        </w:rPr>
        <w:t>Obligatorní náležitostí každé holografní závěti je vlastnoruční podpis zůstavitele, který stvrzuje jeho totožnost a proto má pro platnost závěti klíčový význam. Obecně se podpisem rozumí vlastnoruční vypsání celého jména a příjmení podepisujícího, čímž se vyjadřuje jeho souhlas s textem uvedeným výše nad podpisem</w:t>
      </w:r>
      <w:r w:rsidRPr="002E7C2F">
        <w:rPr>
          <w:rFonts w:eastAsia="Times New Roman"/>
          <w:szCs w:val="24"/>
          <w:lang w:eastAsia="cs-CZ"/>
        </w:rPr>
        <w:t>.</w:t>
      </w:r>
      <w:r w:rsidRPr="002E7C2F">
        <w:rPr>
          <w:rStyle w:val="Znakapoznpodarou"/>
          <w:rFonts w:eastAsia="Times New Roman"/>
          <w:szCs w:val="24"/>
          <w:lang w:eastAsia="cs-CZ"/>
        </w:rPr>
        <w:footnoteReference w:id="55"/>
      </w:r>
      <w:r>
        <w:rPr>
          <w:rFonts w:eastAsia="Times New Roman"/>
          <w:szCs w:val="24"/>
          <w:lang w:eastAsia="cs-CZ"/>
        </w:rPr>
        <w:t xml:space="preserve"> </w:t>
      </w:r>
    </w:p>
    <w:p w:rsidR="001227F2" w:rsidRPr="00B631A4" w:rsidRDefault="001227F2" w:rsidP="001227F2">
      <w:pPr>
        <w:spacing w:after="0"/>
        <w:ind w:firstLine="567"/>
        <w:rPr>
          <w:rFonts w:eastAsia="Times New Roman"/>
          <w:color w:val="FF0000"/>
          <w:szCs w:val="24"/>
          <w:lang w:eastAsia="cs-CZ"/>
        </w:rPr>
      </w:pPr>
      <w:r>
        <w:rPr>
          <w:rFonts w:eastAsia="Times New Roman"/>
          <w:szCs w:val="24"/>
          <w:lang w:eastAsia="cs-CZ"/>
        </w:rPr>
        <w:t>Ačkoliv vypsání plného jména a příjmení představuje z hlediska prevence sporů o</w:t>
      </w:r>
      <w:r w:rsidR="004F0574">
        <w:t> </w:t>
      </w:r>
      <w:r>
        <w:rPr>
          <w:rFonts w:eastAsia="Times New Roman"/>
          <w:szCs w:val="24"/>
          <w:lang w:eastAsia="cs-CZ"/>
        </w:rPr>
        <w:t>platnost formální stránky závěti ideální stav, judikatura NS dovodila, že podpis závěti pouhým příjmením zůstavitele splňuje požadavek podpisu, pokud o totožnosti zůstavitele nejsou žádné pochybnosti.</w:t>
      </w:r>
      <w:r>
        <w:rPr>
          <w:rStyle w:val="Znakapoznpodarou"/>
          <w:rFonts w:eastAsia="Times New Roman"/>
          <w:szCs w:val="24"/>
          <w:lang w:eastAsia="cs-CZ"/>
        </w:rPr>
        <w:footnoteReference w:id="56"/>
      </w:r>
      <w:r>
        <w:rPr>
          <w:rFonts w:eastAsia="Times New Roman"/>
          <w:szCs w:val="24"/>
          <w:lang w:eastAsia="cs-CZ"/>
        </w:rPr>
        <w:t xml:space="preserve"> Otázkou je, zda lze uznat podpis pouhým křestním jménem nebo křestním jménem a prvním písmenem příjmení. Předválečná judikatura takový podpis připouštěla, je-li vyloučena pochyb</w:t>
      </w:r>
      <w:r w:rsidR="00445EE3">
        <w:rPr>
          <w:rFonts w:eastAsia="Times New Roman"/>
          <w:szCs w:val="24"/>
          <w:lang w:eastAsia="cs-CZ"/>
        </w:rPr>
        <w:t xml:space="preserve">nost o totožnosti pořizujícího </w:t>
      </w:r>
      <w:r>
        <w:rPr>
          <w:rFonts w:eastAsia="Times New Roman"/>
          <w:szCs w:val="24"/>
          <w:lang w:eastAsia="cs-CZ"/>
        </w:rPr>
        <w:t>zůstavitele.</w:t>
      </w:r>
      <w:r>
        <w:rPr>
          <w:rStyle w:val="Znakapoznpodarou"/>
          <w:rFonts w:eastAsia="Times New Roman"/>
          <w:szCs w:val="24"/>
          <w:lang w:eastAsia="cs-CZ"/>
        </w:rPr>
        <w:footnoteReference w:id="57"/>
      </w:r>
      <w:r w:rsidR="0082118D">
        <w:rPr>
          <w:rFonts w:eastAsia="Times New Roman"/>
          <w:szCs w:val="24"/>
          <w:lang w:eastAsia="cs-CZ"/>
        </w:rPr>
        <w:t xml:space="preserve"> F. </w:t>
      </w:r>
      <w:proofErr w:type="spellStart"/>
      <w:r>
        <w:rPr>
          <w:rFonts w:eastAsia="Times New Roman"/>
          <w:szCs w:val="24"/>
          <w:lang w:eastAsia="cs-CZ"/>
        </w:rPr>
        <w:t>Melzer</w:t>
      </w:r>
      <w:proofErr w:type="spellEnd"/>
      <w:r>
        <w:rPr>
          <w:rFonts w:eastAsia="Times New Roman"/>
          <w:szCs w:val="24"/>
          <w:lang w:eastAsia="cs-CZ"/>
        </w:rPr>
        <w:t xml:space="preserve"> k tomu uvádí, že uvedení pouhého křestního jména již leží na hranici jádra pojmu a neurčité části pojmu, </w:t>
      </w:r>
      <w:r w:rsidRPr="002E7C2F">
        <w:rPr>
          <w:rFonts w:eastAsia="Times New Roman"/>
          <w:szCs w:val="24"/>
          <w:lang w:eastAsia="cs-CZ"/>
        </w:rPr>
        <w:t>takže jej někteří nebudou považovat za uvedení jména</w:t>
      </w:r>
      <w:r>
        <w:rPr>
          <w:rFonts w:eastAsia="Times New Roman"/>
          <w:szCs w:val="24"/>
          <w:lang w:eastAsia="cs-CZ"/>
        </w:rPr>
        <w:t>.</w:t>
      </w:r>
      <w:r>
        <w:rPr>
          <w:rStyle w:val="Znakapoznpodarou"/>
          <w:rFonts w:eastAsia="Times New Roman"/>
          <w:szCs w:val="24"/>
          <w:lang w:eastAsia="cs-CZ"/>
        </w:rPr>
        <w:footnoteReference w:id="58"/>
      </w:r>
      <w:r>
        <w:rPr>
          <w:rFonts w:eastAsia="Times New Roman"/>
          <w:szCs w:val="24"/>
          <w:lang w:eastAsia="cs-CZ"/>
        </w:rPr>
        <w:t xml:space="preserve"> Jednoznačné stanov</w:t>
      </w:r>
      <w:r w:rsidR="0082118D">
        <w:rPr>
          <w:rFonts w:eastAsia="Times New Roman"/>
          <w:szCs w:val="24"/>
          <w:lang w:eastAsia="cs-CZ"/>
        </w:rPr>
        <w:t xml:space="preserve">isko k této otázce zaujímá J. </w:t>
      </w:r>
      <w:r>
        <w:rPr>
          <w:rFonts w:eastAsia="Times New Roman"/>
          <w:szCs w:val="24"/>
          <w:lang w:eastAsia="cs-CZ"/>
        </w:rPr>
        <w:t>Svoboda, který považuje podpis pouhým křestním jménem (např. „Váš Tonda“) za nedostačující, protože se neslučuje s charakterem závěti jako závažného právního dokumentu.</w:t>
      </w:r>
      <w:r>
        <w:rPr>
          <w:rStyle w:val="Znakapoznpodarou"/>
          <w:rFonts w:eastAsia="Times New Roman"/>
          <w:szCs w:val="24"/>
          <w:lang w:eastAsia="cs-CZ"/>
        </w:rPr>
        <w:footnoteReference w:id="59"/>
      </w:r>
    </w:p>
    <w:p w:rsidR="001227F2" w:rsidRDefault="001227F2" w:rsidP="001227F2">
      <w:pPr>
        <w:spacing w:after="0"/>
        <w:ind w:firstLine="567"/>
        <w:rPr>
          <w:rFonts w:eastAsia="Times New Roman"/>
          <w:szCs w:val="24"/>
          <w:lang w:eastAsia="cs-CZ"/>
        </w:rPr>
      </w:pPr>
      <w:r>
        <w:rPr>
          <w:rFonts w:eastAsia="Times New Roman"/>
          <w:szCs w:val="24"/>
          <w:lang w:eastAsia="cs-CZ"/>
        </w:rPr>
        <w:lastRenderedPageBreak/>
        <w:t xml:space="preserve">Sporným momentem rovněž zůstává otázka, zda požadavky na podpis ve smyslu § 1533 NOZ splňuje označení příbuzenského vztahu k dědici, např. ve formě „Tvá matka“. V řešení této problematiky nepanuje v českém právním prostředí jednotný právní názor. Negativní  stanovisko zaujal NS, </w:t>
      </w:r>
      <w:proofErr w:type="gramStart"/>
      <w:r>
        <w:rPr>
          <w:rFonts w:eastAsia="Times New Roman"/>
          <w:szCs w:val="24"/>
          <w:lang w:eastAsia="cs-CZ"/>
        </w:rPr>
        <w:t>který</w:t>
      </w:r>
      <w:proofErr w:type="gramEnd"/>
      <w:r>
        <w:rPr>
          <w:rFonts w:eastAsia="Times New Roman"/>
          <w:szCs w:val="24"/>
          <w:lang w:eastAsia="cs-CZ"/>
        </w:rPr>
        <w:t xml:space="preserve"> s ohledem na § 476a OZ64 judikoval, že za spolehlivé zjištění původu podpisu od zůstavitele nelze považovat text, který neidentifikuje zůstavitele ani jménem ani příjmením, takže </w:t>
      </w:r>
      <w:r w:rsidR="00445EE3">
        <w:rPr>
          <w:rFonts w:eastAsia="Times New Roman"/>
          <w:szCs w:val="24"/>
          <w:lang w:eastAsia="cs-CZ"/>
        </w:rPr>
        <w:t>označení rodinným vztahem „Tvá m</w:t>
      </w:r>
      <w:r>
        <w:rPr>
          <w:rFonts w:eastAsia="Times New Roman"/>
          <w:szCs w:val="24"/>
          <w:lang w:eastAsia="cs-CZ"/>
        </w:rPr>
        <w:t>atka“ není z hlediska zákona dostačující.</w:t>
      </w:r>
      <w:r>
        <w:rPr>
          <w:rStyle w:val="Znakapoznpodarou"/>
          <w:rFonts w:eastAsia="Times New Roman"/>
          <w:szCs w:val="24"/>
          <w:lang w:eastAsia="cs-CZ"/>
        </w:rPr>
        <w:footnoteReference w:id="60"/>
      </w:r>
      <w:r>
        <w:rPr>
          <w:rFonts w:eastAsia="Times New Roman"/>
          <w:szCs w:val="24"/>
          <w:lang w:eastAsia="cs-CZ"/>
        </w:rPr>
        <w:t xml:space="preserve"> Rovněž F. </w:t>
      </w:r>
      <w:proofErr w:type="spellStart"/>
      <w:r>
        <w:rPr>
          <w:rFonts w:eastAsia="Times New Roman"/>
          <w:szCs w:val="24"/>
          <w:lang w:eastAsia="cs-CZ"/>
        </w:rPr>
        <w:t>Melzer</w:t>
      </w:r>
      <w:proofErr w:type="spellEnd"/>
      <w:r>
        <w:rPr>
          <w:rFonts w:eastAsia="Times New Roman"/>
          <w:szCs w:val="24"/>
          <w:lang w:eastAsia="cs-CZ"/>
        </w:rPr>
        <w:t xml:space="preserve"> nepovažuje z hlediska právně metodologického </w:t>
      </w:r>
      <w:r>
        <w:t>uvedení rodinného vztahu („Váš otec“)</w:t>
      </w:r>
      <w:r w:rsidRPr="005235B8">
        <w:t xml:space="preserve"> </w:t>
      </w:r>
      <w:r>
        <w:t>jako označení jména, protože z jazykového hlediska spadá mimo oblast rozsahu pojmu.</w:t>
      </w:r>
      <w:r>
        <w:rPr>
          <w:rStyle w:val="Znakapoznpodarou"/>
        </w:rPr>
        <w:footnoteReference w:id="61"/>
      </w:r>
    </w:p>
    <w:p w:rsidR="001227F2" w:rsidRDefault="001227F2" w:rsidP="001227F2">
      <w:pPr>
        <w:spacing w:after="0"/>
        <w:ind w:firstLine="567"/>
        <w:rPr>
          <w:rFonts w:eastAsia="Times New Roman"/>
          <w:szCs w:val="24"/>
          <w:lang w:eastAsia="cs-CZ"/>
        </w:rPr>
      </w:pPr>
      <w:r>
        <w:rPr>
          <w:rFonts w:eastAsia="Times New Roman"/>
          <w:szCs w:val="24"/>
          <w:lang w:eastAsia="cs-CZ"/>
        </w:rPr>
        <w:t>V odborné literatuře se v</w:t>
      </w:r>
      <w:r w:rsidR="0082118D">
        <w:rPr>
          <w:rFonts w:eastAsia="Times New Roman"/>
          <w:szCs w:val="24"/>
          <w:lang w:eastAsia="cs-CZ"/>
        </w:rPr>
        <w:t>yskytly i názory opačné. M.</w:t>
      </w:r>
      <w:r w:rsidRPr="00165460">
        <w:rPr>
          <w:rFonts w:eastAsia="Times New Roman"/>
          <w:szCs w:val="24"/>
          <w:lang w:eastAsia="cs-CZ"/>
        </w:rPr>
        <w:t xml:space="preserve"> Karhanová se k výše uvedenému rozhodnutí NS </w:t>
      </w:r>
      <w:r>
        <w:rPr>
          <w:rFonts w:eastAsia="Times New Roman"/>
          <w:szCs w:val="24"/>
          <w:lang w:eastAsia="cs-CZ"/>
        </w:rPr>
        <w:t>staví kriticky a uvádí, že ve srovnání s ostatními civilněprávními instituty jsou</w:t>
      </w:r>
      <w:r w:rsidRPr="00165460">
        <w:rPr>
          <w:rFonts w:eastAsia="Times New Roman"/>
          <w:szCs w:val="24"/>
          <w:lang w:eastAsia="cs-CZ"/>
        </w:rPr>
        <w:t xml:space="preserve"> pravidla </w:t>
      </w:r>
      <w:r>
        <w:rPr>
          <w:rFonts w:eastAsia="Times New Roman"/>
          <w:szCs w:val="24"/>
          <w:lang w:eastAsia="cs-CZ"/>
        </w:rPr>
        <w:t xml:space="preserve">pro </w:t>
      </w:r>
      <w:r w:rsidRPr="00165460">
        <w:rPr>
          <w:rFonts w:eastAsia="Times New Roman"/>
          <w:szCs w:val="24"/>
          <w:lang w:eastAsia="cs-CZ"/>
        </w:rPr>
        <w:t xml:space="preserve">podepisování v oblasti </w:t>
      </w:r>
      <w:r>
        <w:rPr>
          <w:rFonts w:eastAsia="Times New Roman"/>
          <w:szCs w:val="24"/>
          <w:lang w:eastAsia="cs-CZ"/>
        </w:rPr>
        <w:t xml:space="preserve">posledních pořízení příliš </w:t>
      </w:r>
      <w:r w:rsidRPr="00165460">
        <w:rPr>
          <w:rFonts w:eastAsia="Times New Roman"/>
          <w:szCs w:val="24"/>
          <w:lang w:eastAsia="cs-CZ"/>
        </w:rPr>
        <w:t>rigidní</w:t>
      </w:r>
      <w:r>
        <w:rPr>
          <w:rFonts w:eastAsia="Times New Roman"/>
          <w:szCs w:val="24"/>
          <w:lang w:eastAsia="cs-CZ"/>
        </w:rPr>
        <w:t>. V situaci, kdy je bez obtíží zjistitelné, kdo je zůstavitelem a komu je závěť určena (testament ve formě dopisu se najde mezi osobními doklady zůstavitele), je požadavek na vypsání jména a příjmení nadbytečným formalismem, který zatěžuje i adresáty právních norem s průměrným právním vědomím.</w:t>
      </w:r>
      <w:r>
        <w:rPr>
          <w:rStyle w:val="Znakapoznpodarou"/>
          <w:rFonts w:eastAsia="Times New Roman"/>
          <w:szCs w:val="24"/>
          <w:lang w:eastAsia="cs-CZ"/>
        </w:rPr>
        <w:footnoteReference w:id="62"/>
      </w:r>
      <w:r>
        <w:rPr>
          <w:rFonts w:eastAsia="Times New Roman"/>
          <w:szCs w:val="24"/>
          <w:lang w:eastAsia="cs-CZ"/>
        </w:rPr>
        <w:t xml:space="preserve"> Rovněž J</w:t>
      </w:r>
      <w:r w:rsidR="0082118D">
        <w:rPr>
          <w:rFonts w:eastAsia="Times New Roman"/>
          <w:szCs w:val="24"/>
          <w:lang w:eastAsia="cs-CZ"/>
        </w:rPr>
        <w:t xml:space="preserve">. Mikeš a L. </w:t>
      </w:r>
      <w:r>
        <w:rPr>
          <w:rFonts w:eastAsia="Times New Roman"/>
          <w:szCs w:val="24"/>
          <w:lang w:eastAsia="cs-CZ"/>
        </w:rPr>
        <w:t>Muzikář vycházejí z úvahy, že v</w:t>
      </w:r>
      <w:r w:rsidRPr="00BC4CD6">
        <w:rPr>
          <w:rFonts w:eastAsia="Times New Roman"/>
          <w:szCs w:val="24"/>
          <w:lang w:eastAsia="cs-CZ"/>
        </w:rPr>
        <w:t xml:space="preserve"> rodinných vztazích není přirozené, aby se jejich členové oslovovali namísto rodného jména nebo příbuzenského vztahu jménem a příjmením, takže pokud nejsou pochybnosti o osobě pisatele a ten podepíše závěť obsaženou zejména v dopise uvedením rodinného vztahu k adresátům, pak nelze takovému pořízení pr</w:t>
      </w:r>
      <w:r>
        <w:rPr>
          <w:rFonts w:eastAsia="Times New Roman"/>
          <w:szCs w:val="24"/>
          <w:lang w:eastAsia="cs-CZ"/>
        </w:rPr>
        <w:t>o případ smrti upřít platnost.</w:t>
      </w:r>
      <w:r>
        <w:rPr>
          <w:rStyle w:val="Znakapoznpodarou"/>
          <w:rFonts w:eastAsia="Times New Roman"/>
          <w:szCs w:val="24"/>
          <w:lang w:eastAsia="cs-CZ"/>
        </w:rPr>
        <w:footnoteReference w:id="63"/>
      </w:r>
      <w:r>
        <w:rPr>
          <w:rFonts w:eastAsia="Times New Roman"/>
          <w:szCs w:val="24"/>
          <w:lang w:eastAsia="cs-CZ"/>
        </w:rPr>
        <w:t xml:space="preserve"> Rakouská doktrína připouští podpis závěti nejen křestním jménem nebo označením rodinné příslušnosti, ale i pseudonymem, rodným příjmením nebo iniciály.</w:t>
      </w:r>
      <w:r>
        <w:rPr>
          <w:rStyle w:val="Znakapoznpodarou"/>
          <w:rFonts w:eastAsia="Times New Roman"/>
          <w:szCs w:val="24"/>
          <w:lang w:eastAsia="cs-CZ"/>
        </w:rPr>
        <w:footnoteReference w:id="64"/>
      </w:r>
      <w:r>
        <w:rPr>
          <w:rFonts w:eastAsia="Times New Roman"/>
          <w:szCs w:val="24"/>
          <w:lang w:eastAsia="cs-CZ"/>
        </w:rPr>
        <w:t xml:space="preserve"> </w:t>
      </w:r>
    </w:p>
    <w:p w:rsidR="001227F2" w:rsidRPr="001C4D78" w:rsidRDefault="001227F2" w:rsidP="001227F2">
      <w:pPr>
        <w:spacing w:after="0"/>
        <w:ind w:firstLine="567"/>
        <w:rPr>
          <w:rFonts w:eastAsia="Times New Roman"/>
          <w:szCs w:val="24"/>
          <w:lang w:eastAsia="cs-CZ"/>
        </w:rPr>
      </w:pPr>
      <w:r>
        <w:rPr>
          <w:rFonts w:eastAsia="Times New Roman"/>
          <w:szCs w:val="24"/>
          <w:lang w:eastAsia="cs-CZ"/>
        </w:rPr>
        <w:t>S ohledem na zásadu uvedenou v § 1494 odst. 2 NOZ by měl být podpis zůstavitele v závěti vyložen tak, aby vůli zůstavitele bylo co nejvíce vyhověno, a byly připuštěny jeho všechny výše uvedené formy</w:t>
      </w:r>
      <w:r w:rsidR="00445EE3">
        <w:rPr>
          <w:rFonts w:eastAsia="Times New Roman"/>
          <w:szCs w:val="24"/>
          <w:lang w:eastAsia="cs-CZ"/>
        </w:rPr>
        <w:t>, pokud o totožnosti zůstavitele nebude pochyb</w:t>
      </w:r>
      <w:r>
        <w:rPr>
          <w:rFonts w:eastAsia="Times New Roman"/>
          <w:szCs w:val="24"/>
          <w:lang w:eastAsia="cs-CZ"/>
        </w:rPr>
        <w:t xml:space="preserve">. V zájmu </w:t>
      </w:r>
      <w:r w:rsidRPr="00B04020">
        <w:rPr>
          <w:rFonts w:eastAsia="Times New Roman"/>
          <w:szCs w:val="24"/>
          <w:lang w:eastAsia="cs-CZ"/>
        </w:rPr>
        <w:t>právní jistoty a eliminace budoucích práv</w:t>
      </w:r>
      <w:r w:rsidR="00445EE3">
        <w:rPr>
          <w:rFonts w:eastAsia="Times New Roman"/>
          <w:szCs w:val="24"/>
          <w:lang w:eastAsia="cs-CZ"/>
        </w:rPr>
        <w:t>ních sporů</w:t>
      </w:r>
      <w:r>
        <w:rPr>
          <w:rFonts w:eastAsia="Times New Roman"/>
          <w:szCs w:val="24"/>
          <w:lang w:eastAsia="cs-CZ"/>
        </w:rPr>
        <w:t xml:space="preserve"> lze jen doporučit, aby zůstavitel podepsal závěť </w:t>
      </w:r>
      <w:r w:rsidRPr="00B04020">
        <w:rPr>
          <w:rFonts w:eastAsia="Times New Roman"/>
          <w:szCs w:val="24"/>
          <w:lang w:eastAsia="cs-CZ"/>
        </w:rPr>
        <w:t>způsobem běžně používaným během svého života.</w:t>
      </w:r>
    </w:p>
    <w:p w:rsidR="00C814C4" w:rsidRPr="001C2499" w:rsidRDefault="001C2499" w:rsidP="008074AB">
      <w:pPr>
        <w:pStyle w:val="Nadpis3"/>
      </w:pPr>
      <w:bookmarkStart w:id="28" w:name="_Toc436779469"/>
      <w:bookmarkStart w:id="29" w:name="_Toc437225063"/>
      <w:r w:rsidRPr="001C2499">
        <w:lastRenderedPageBreak/>
        <w:t>3.1.3</w:t>
      </w:r>
      <w:r w:rsidR="00B532D4">
        <w:tab/>
      </w:r>
      <w:r w:rsidRPr="008074AB">
        <w:t>Datace</w:t>
      </w:r>
      <w:r w:rsidR="002608EB" w:rsidRPr="001C2499">
        <w:t xml:space="preserve"> závěti</w:t>
      </w:r>
      <w:bookmarkEnd w:id="28"/>
      <w:bookmarkEnd w:id="29"/>
    </w:p>
    <w:p w:rsidR="00CE5114" w:rsidRPr="00CC1A8F" w:rsidRDefault="00AF7166" w:rsidP="00C814C4">
      <w:pPr>
        <w:pStyle w:val="DiplTEXT"/>
        <w:spacing w:after="0"/>
        <w:ind w:firstLine="567"/>
        <w:rPr>
          <w:strike/>
          <w:szCs w:val="20"/>
        </w:rPr>
      </w:pPr>
      <w:r>
        <w:rPr>
          <w:szCs w:val="20"/>
        </w:rPr>
        <w:t xml:space="preserve">Určení doby </w:t>
      </w:r>
      <w:r w:rsidR="002D11BD">
        <w:rPr>
          <w:szCs w:val="20"/>
        </w:rPr>
        <w:t xml:space="preserve">pořízení závěti </w:t>
      </w:r>
      <w:r w:rsidR="001E543B">
        <w:rPr>
          <w:szCs w:val="20"/>
        </w:rPr>
        <w:t xml:space="preserve">hraje důležitou roli při posuzování její platnosti. </w:t>
      </w:r>
      <w:r w:rsidR="00C814C4">
        <w:rPr>
          <w:szCs w:val="20"/>
        </w:rPr>
        <w:t>Na rozdíl od před</w:t>
      </w:r>
      <w:r w:rsidR="00584D9B">
        <w:rPr>
          <w:szCs w:val="20"/>
        </w:rPr>
        <w:t>chozí právní úpravy</w:t>
      </w:r>
      <w:r w:rsidR="00057B1C">
        <w:rPr>
          <w:rStyle w:val="Znakapoznpodarou"/>
          <w:szCs w:val="20"/>
        </w:rPr>
        <w:footnoteReference w:id="65"/>
      </w:r>
      <w:r w:rsidR="00057B1C">
        <w:rPr>
          <w:szCs w:val="20"/>
        </w:rPr>
        <w:t xml:space="preserve"> </w:t>
      </w:r>
      <w:r w:rsidR="00520EEB">
        <w:rPr>
          <w:szCs w:val="20"/>
        </w:rPr>
        <w:t>již není přesné uvedení dne, měsíce a roku, kdy byla závěť pořízena,</w:t>
      </w:r>
      <w:r w:rsidR="00F560B3">
        <w:rPr>
          <w:szCs w:val="20"/>
        </w:rPr>
        <w:t xml:space="preserve"> podstatnou náležitostí závěti. Přestože tento závěr z dikce</w:t>
      </w:r>
      <w:r w:rsidR="00864946">
        <w:rPr>
          <w:szCs w:val="20"/>
        </w:rPr>
        <w:t xml:space="preserve"> </w:t>
      </w:r>
      <w:r w:rsidR="00C814C4">
        <w:rPr>
          <w:szCs w:val="20"/>
        </w:rPr>
        <w:t xml:space="preserve">§ 1494 odst. 1 </w:t>
      </w:r>
      <w:r w:rsidR="002D11BD">
        <w:rPr>
          <w:szCs w:val="20"/>
        </w:rPr>
        <w:t>NOZ</w:t>
      </w:r>
      <w:r w:rsidR="002A6210">
        <w:rPr>
          <w:szCs w:val="20"/>
        </w:rPr>
        <w:t xml:space="preserve"> </w:t>
      </w:r>
      <w:r w:rsidR="00520EEB">
        <w:rPr>
          <w:szCs w:val="20"/>
        </w:rPr>
        <w:t>nevyplývá explicitně</w:t>
      </w:r>
      <w:r w:rsidR="00F560B3">
        <w:rPr>
          <w:szCs w:val="20"/>
        </w:rPr>
        <w:t>, lze z věty druhé</w:t>
      </w:r>
      <w:r w:rsidR="00520EEB">
        <w:rPr>
          <w:szCs w:val="20"/>
        </w:rPr>
        <w:t xml:space="preserve"> </w:t>
      </w:r>
      <w:r w:rsidR="00F560B3">
        <w:rPr>
          <w:szCs w:val="20"/>
        </w:rPr>
        <w:t>citovaného ustanovení d</w:t>
      </w:r>
      <w:r w:rsidR="00C814C4">
        <w:rPr>
          <w:szCs w:val="20"/>
        </w:rPr>
        <w:t xml:space="preserve">ůkazem </w:t>
      </w:r>
      <w:r w:rsidR="00C814C4" w:rsidRPr="001B3BBA">
        <w:rPr>
          <w:szCs w:val="20"/>
        </w:rPr>
        <w:t>a contrario</w:t>
      </w:r>
      <w:r w:rsidR="00C814C4" w:rsidRPr="001B3BBA">
        <w:rPr>
          <w:color w:val="FF0000"/>
          <w:szCs w:val="20"/>
        </w:rPr>
        <w:t xml:space="preserve"> </w:t>
      </w:r>
      <w:r w:rsidR="00C814C4">
        <w:rPr>
          <w:szCs w:val="20"/>
        </w:rPr>
        <w:t xml:space="preserve">dovodit, že </w:t>
      </w:r>
      <w:r w:rsidR="00C814C4">
        <w:t xml:space="preserve">zanechá-li </w:t>
      </w:r>
      <w:r w:rsidR="00F23423">
        <w:t xml:space="preserve">způsobilý </w:t>
      </w:r>
      <w:r w:rsidR="00C814C4">
        <w:t>zůstavitel jen jedinou závěť bez uvedení d</w:t>
      </w:r>
      <w:r w:rsidR="00F23423">
        <w:t>ata</w:t>
      </w:r>
      <w:r w:rsidR="00C814C4">
        <w:t>, bude pl</w:t>
      </w:r>
      <w:r w:rsidR="00584D9B">
        <w:t>atná.</w:t>
      </w:r>
      <w:r w:rsidR="00C814C4">
        <w:rPr>
          <w:rStyle w:val="Znakapoznpodarou"/>
        </w:rPr>
        <w:footnoteReference w:id="66"/>
      </w:r>
      <w:r w:rsidR="00C814C4">
        <w:rPr>
          <w:szCs w:val="20"/>
        </w:rPr>
        <w:t xml:space="preserve"> </w:t>
      </w:r>
      <w:r w:rsidR="007C7958">
        <w:rPr>
          <w:szCs w:val="20"/>
        </w:rPr>
        <w:t>Totéž platí, pořídí-li zůstavitel více závětí, které si ne</w:t>
      </w:r>
      <w:r w:rsidR="00E47AB3">
        <w:rPr>
          <w:szCs w:val="20"/>
        </w:rPr>
        <w:t>o</w:t>
      </w:r>
      <w:r w:rsidR="007C7958">
        <w:rPr>
          <w:szCs w:val="20"/>
        </w:rPr>
        <w:t xml:space="preserve">dporují nebo </w:t>
      </w:r>
      <w:r w:rsidR="00A72967">
        <w:rPr>
          <w:szCs w:val="20"/>
        </w:rPr>
        <w:t xml:space="preserve">nezávisí-li </w:t>
      </w:r>
      <w:r w:rsidR="00E47AB3">
        <w:rPr>
          <w:szCs w:val="20"/>
        </w:rPr>
        <w:t>právní účinky závětí na určení doby jejího pořízení</w:t>
      </w:r>
      <w:r w:rsidR="00A72967">
        <w:rPr>
          <w:szCs w:val="20"/>
        </w:rPr>
        <w:t>.</w:t>
      </w:r>
    </w:p>
    <w:p w:rsidR="006E4CDD" w:rsidRDefault="005270E9" w:rsidP="00C814C4">
      <w:pPr>
        <w:pStyle w:val="DiplTEXT"/>
        <w:spacing w:after="0"/>
        <w:ind w:firstLine="567"/>
      </w:pPr>
      <w:r>
        <w:rPr>
          <w:szCs w:val="20"/>
        </w:rPr>
        <w:t>Citované usta</w:t>
      </w:r>
      <w:r w:rsidR="004211F1">
        <w:rPr>
          <w:szCs w:val="20"/>
        </w:rPr>
        <w:t>novení upravuje dataci</w:t>
      </w:r>
      <w:r>
        <w:rPr>
          <w:szCs w:val="20"/>
        </w:rPr>
        <w:t xml:space="preserve"> závěti </w:t>
      </w:r>
      <w:r w:rsidR="004211F1">
        <w:rPr>
          <w:szCs w:val="20"/>
        </w:rPr>
        <w:t xml:space="preserve">uvedením, že by ze závěti mělo </w:t>
      </w:r>
      <w:r w:rsidR="004211F1" w:rsidRPr="004211F1">
        <w:rPr>
          <w:szCs w:val="20"/>
        </w:rPr>
        <w:t xml:space="preserve">být </w:t>
      </w:r>
      <w:r w:rsidR="004211F1">
        <w:rPr>
          <w:szCs w:val="20"/>
        </w:rPr>
        <w:t>„</w:t>
      </w:r>
      <w:r w:rsidR="004211F1" w:rsidRPr="004211F1">
        <w:rPr>
          <w:szCs w:val="20"/>
        </w:rPr>
        <w:t>zřejmé, kt</w:t>
      </w:r>
      <w:r w:rsidR="004211F1">
        <w:rPr>
          <w:szCs w:val="20"/>
        </w:rPr>
        <w:t xml:space="preserve">erý den, měsíc a rok byla </w:t>
      </w:r>
      <w:r w:rsidR="004211F1" w:rsidRPr="004211F1">
        <w:rPr>
          <w:szCs w:val="20"/>
        </w:rPr>
        <w:t>pořízena</w:t>
      </w:r>
      <w:r w:rsidR="004211F1">
        <w:rPr>
          <w:szCs w:val="20"/>
        </w:rPr>
        <w:t xml:space="preserve">“. Tato benevolentní formulace připouští, aby pořizovatel v závěti uvedl </w:t>
      </w:r>
      <w:r w:rsidR="003120F1">
        <w:rPr>
          <w:szCs w:val="20"/>
        </w:rPr>
        <w:t xml:space="preserve">úmyslně nebo omylem datum závěti v neúplném formátu, ale nepřímým údajem např. „na Štědrý den 2014“ nebo dokonce jen „v roce 2014“. </w:t>
      </w:r>
      <w:r w:rsidR="00F6735A">
        <w:rPr>
          <w:szCs w:val="20"/>
        </w:rPr>
        <w:t xml:space="preserve">V případě kolize </w:t>
      </w:r>
      <w:r w:rsidR="00A24535">
        <w:rPr>
          <w:szCs w:val="20"/>
        </w:rPr>
        <w:t>vzáje</w:t>
      </w:r>
      <w:r w:rsidR="00FC4D16">
        <w:rPr>
          <w:szCs w:val="20"/>
        </w:rPr>
        <w:t xml:space="preserve">mně </w:t>
      </w:r>
      <w:r w:rsidR="00EF7454">
        <w:rPr>
          <w:szCs w:val="20"/>
        </w:rPr>
        <w:t xml:space="preserve">si odporujících závětí, </w:t>
      </w:r>
      <w:r w:rsidR="00FC4D16">
        <w:rPr>
          <w:szCs w:val="20"/>
        </w:rPr>
        <w:t>z</w:t>
      </w:r>
      <w:r w:rsidR="00EF7454">
        <w:rPr>
          <w:szCs w:val="20"/>
        </w:rPr>
        <w:t xml:space="preserve">e kterých je </w:t>
      </w:r>
      <w:r w:rsidR="00FC4D16">
        <w:rPr>
          <w:szCs w:val="20"/>
        </w:rPr>
        <w:t xml:space="preserve">jen </w:t>
      </w:r>
      <w:r w:rsidR="00EF7454">
        <w:t>částečně zřejmé</w:t>
      </w:r>
      <w:r w:rsidR="00A24535">
        <w:t>,</w:t>
      </w:r>
      <w:r w:rsidR="00EF7454">
        <w:t xml:space="preserve"> kdy byly pořízeny</w:t>
      </w:r>
      <w:r w:rsidR="00A24535">
        <w:t xml:space="preserve">, </w:t>
      </w:r>
      <w:r w:rsidR="00EF7454">
        <w:t xml:space="preserve">lze dovodit, že by </w:t>
      </w:r>
      <w:r w:rsidR="00A24535">
        <w:t xml:space="preserve">měly </w:t>
      </w:r>
      <w:r w:rsidR="00F6735A" w:rsidRPr="002B4BA0">
        <w:t>být považovány za platné.</w:t>
      </w:r>
      <w:r w:rsidR="00F6735A">
        <w:rPr>
          <w:rStyle w:val="Znakapoznpodarou"/>
        </w:rPr>
        <w:footnoteReference w:id="67"/>
      </w:r>
    </w:p>
    <w:p w:rsidR="00B25B07" w:rsidRDefault="00B25B07" w:rsidP="00C814C4">
      <w:pPr>
        <w:pStyle w:val="DiplTEXT"/>
        <w:spacing w:after="0"/>
        <w:ind w:firstLine="567"/>
      </w:pPr>
      <w:r>
        <w:t>Otázkou</w:t>
      </w:r>
      <w:r w:rsidR="00445EE3">
        <w:t xml:space="preserve"> je</w:t>
      </w:r>
      <w:r>
        <w:t xml:space="preserve">, zda lze </w:t>
      </w:r>
      <w:r w:rsidR="008D16DD">
        <w:t xml:space="preserve">posoudit závěť </w:t>
      </w:r>
      <w:r>
        <w:t>ve smyslu požadavku věty druhé citovaného ustanovení</w:t>
      </w:r>
      <w:r w:rsidR="008D16DD">
        <w:t xml:space="preserve"> jako platnou</w:t>
      </w:r>
      <w:r w:rsidR="00BF46CC">
        <w:t xml:space="preserve">, neobsahuje-li žádný </w:t>
      </w:r>
      <w:r w:rsidR="00CE739E">
        <w:t xml:space="preserve">časový </w:t>
      </w:r>
      <w:r w:rsidR="00BF46CC">
        <w:t>údaj</w:t>
      </w:r>
      <w:r w:rsidR="008D16DD">
        <w:t xml:space="preserve"> o datu sepsání</w:t>
      </w:r>
      <w:r w:rsidR="00CE739E">
        <w:t xml:space="preserve">. </w:t>
      </w:r>
      <w:r w:rsidR="008D16DD">
        <w:t>V zájmu zásady,</w:t>
      </w:r>
      <w:r w:rsidR="00445EE3">
        <w:t xml:space="preserve"> aby vůli zůstavitele</w:t>
      </w:r>
      <w:r w:rsidR="00A439E0">
        <w:t xml:space="preserve"> </w:t>
      </w:r>
      <w:r w:rsidR="00091B62">
        <w:t xml:space="preserve">bylo </w:t>
      </w:r>
      <w:r w:rsidR="00A439E0">
        <w:t>co nejvíce vyhověno</w:t>
      </w:r>
      <w:r w:rsidR="00091B62">
        <w:t>,</w:t>
      </w:r>
      <w:r w:rsidR="00A439E0">
        <w:t xml:space="preserve"> by měla být připuštěna možnost </w:t>
      </w:r>
      <w:r w:rsidR="008D16DD">
        <w:t>dovodit</w:t>
      </w:r>
      <w:r w:rsidR="008D16DD" w:rsidRPr="00FA6855">
        <w:t xml:space="preserve"> </w:t>
      </w:r>
      <w:r w:rsidR="00A439E0">
        <w:t>zřejmost data pořízení závěti</w:t>
      </w:r>
      <w:r w:rsidR="008D16DD" w:rsidRPr="00FA6855">
        <w:t xml:space="preserve"> </w:t>
      </w:r>
      <w:r w:rsidR="00A439E0">
        <w:t xml:space="preserve">z </w:t>
      </w:r>
      <w:r w:rsidR="00445EE3">
        <w:t xml:space="preserve">obsahu závěti, </w:t>
      </w:r>
      <w:r w:rsidR="00091B62">
        <w:t xml:space="preserve">tj. </w:t>
      </w:r>
      <w:r w:rsidR="008D16DD" w:rsidRPr="00FA6855">
        <w:t>z poměru obmyšlených os</w:t>
      </w:r>
      <w:r w:rsidR="00445EE3">
        <w:t xml:space="preserve">ob, ze stáří odkázaných věcí, </w:t>
      </w:r>
      <w:r w:rsidR="008D16DD" w:rsidRPr="00FA6855">
        <w:t>anebo podle jiných skutečností (např. znaleckým posudkem týkající</w:t>
      </w:r>
      <w:r w:rsidR="00091B62">
        <w:t>m</w:t>
      </w:r>
      <w:r w:rsidR="008D16DD" w:rsidRPr="00FA6855">
        <w:t xml:space="preserve"> se stáří papíru nebo inkoustu</w:t>
      </w:r>
      <w:r w:rsidR="00A439E0">
        <w:t xml:space="preserve">, </w:t>
      </w:r>
      <w:r w:rsidR="00A439E0" w:rsidRPr="00FA6855">
        <w:t xml:space="preserve">z razítka poštovního </w:t>
      </w:r>
      <w:r w:rsidR="00A439E0">
        <w:t>doručovatele na obálce dopisu apod.</w:t>
      </w:r>
      <w:r w:rsidR="008D16DD" w:rsidRPr="00FA6855">
        <w:t>)</w:t>
      </w:r>
      <w:r w:rsidR="00584D9B">
        <w:t>.</w:t>
      </w:r>
      <w:r w:rsidR="008D16DD">
        <w:rPr>
          <w:rStyle w:val="Znakapoznpodarou"/>
        </w:rPr>
        <w:footnoteReference w:id="68"/>
      </w:r>
      <w:r w:rsidR="006B5C71">
        <w:t xml:space="preserve"> Pokud by ani podle těchto vodítek nebylo zřejmé, kdy byla závěť pořízena, nezbývá než na takovou závěť </w:t>
      </w:r>
      <w:r w:rsidR="006B5C71" w:rsidRPr="00F0644F">
        <w:t>hledět jako na</w:t>
      </w:r>
      <w:r w:rsidR="002218A1" w:rsidRPr="00F0644F">
        <w:t xml:space="preserve"> </w:t>
      </w:r>
      <w:r w:rsidR="00091B62">
        <w:t>neplatnou. P</w:t>
      </w:r>
      <w:r w:rsidR="009171D3">
        <w:t xml:space="preserve">roblematickou </w:t>
      </w:r>
      <w:r w:rsidR="00091B62">
        <w:t xml:space="preserve">se stává </w:t>
      </w:r>
      <w:r w:rsidR="009171D3">
        <w:t>situace</w:t>
      </w:r>
      <w:r w:rsidR="008151AB">
        <w:t xml:space="preserve">, kdy se navíc objeví další </w:t>
      </w:r>
      <w:r w:rsidR="00416FC1">
        <w:t xml:space="preserve">kolidující </w:t>
      </w:r>
      <w:proofErr w:type="gramStart"/>
      <w:r w:rsidR="008151AB">
        <w:t>nedatovaná</w:t>
      </w:r>
      <w:proofErr w:type="gramEnd"/>
      <w:r w:rsidR="008151AB">
        <w:t xml:space="preserve"> závět a nelze ani výkladem dospět k</w:t>
      </w:r>
      <w:r w:rsidR="009171D3">
        <w:t> závěru, která je pozdější</w:t>
      </w:r>
      <w:r w:rsidR="008151AB">
        <w:t xml:space="preserve">. </w:t>
      </w:r>
      <w:r w:rsidR="00416FC1">
        <w:t xml:space="preserve">Podle současné právní úpravy by obě závěti byly neplatné. </w:t>
      </w:r>
      <w:r w:rsidR="00CE7BA6">
        <w:t>Naopak p</w:t>
      </w:r>
      <w:r w:rsidR="006B5C71">
        <w:t>rv</w:t>
      </w:r>
      <w:r w:rsidR="00CE7BA6">
        <w:t>orepubliková judikatura</w:t>
      </w:r>
      <w:r w:rsidR="008151AB">
        <w:t xml:space="preserve"> </w:t>
      </w:r>
      <w:r w:rsidR="00CE7BA6">
        <w:t xml:space="preserve">na základě § 715 OZO </w:t>
      </w:r>
      <w:r w:rsidR="006B5C71">
        <w:t xml:space="preserve">dovodila, že pokud nelze zjistit pořadí takových závětí, nečiní </w:t>
      </w:r>
      <w:r w:rsidR="006B5C71" w:rsidRPr="00AA18B7">
        <w:t>je to samo o sobě neplatnými</w:t>
      </w:r>
      <w:r w:rsidR="006B5C71">
        <w:t>, přičemž na odporující ustanoven</w:t>
      </w:r>
      <w:r w:rsidR="00584D9B">
        <w:t>í se má hledět, jako by nebyla.</w:t>
      </w:r>
      <w:r w:rsidR="006B5C71">
        <w:rPr>
          <w:rStyle w:val="Znakapoznpodarou"/>
        </w:rPr>
        <w:footnoteReference w:id="69"/>
      </w:r>
      <w:r w:rsidR="00416FC1">
        <w:t xml:space="preserve"> K</w:t>
      </w:r>
      <w:r w:rsidR="00E368B1">
        <w:t xml:space="preserve">oncepce § 715 OZO </w:t>
      </w:r>
      <w:r w:rsidR="00416FC1">
        <w:t xml:space="preserve">však </w:t>
      </w:r>
      <w:r w:rsidR="00E368B1">
        <w:t xml:space="preserve">nebyla </w:t>
      </w:r>
      <w:r w:rsidR="0095544F">
        <w:t>ke</w:t>
      </w:r>
      <w:r w:rsidR="00963427">
        <w:t xml:space="preserve"> škodě věci </w:t>
      </w:r>
      <w:r w:rsidR="00E368B1">
        <w:t>převzata.</w:t>
      </w:r>
    </w:p>
    <w:p w:rsidR="00E368B1" w:rsidRDefault="0067198A" w:rsidP="00C814C4">
      <w:pPr>
        <w:pStyle w:val="DiplTEXT"/>
        <w:spacing w:after="0"/>
        <w:ind w:firstLine="567"/>
      </w:pPr>
      <w:r>
        <w:t xml:space="preserve">V odborné literatuře se objevil </w:t>
      </w:r>
      <w:r w:rsidR="008E6B13">
        <w:t xml:space="preserve">i </w:t>
      </w:r>
      <w:r w:rsidR="00A25B2E">
        <w:t xml:space="preserve">opačný </w:t>
      </w:r>
      <w:r>
        <w:t xml:space="preserve">názor, že </w:t>
      </w:r>
      <w:r w:rsidR="008E6B13">
        <w:t>„</w:t>
      </w:r>
      <w:r w:rsidR="00A25B2E">
        <w:t xml:space="preserve">datum závěti je </w:t>
      </w:r>
      <w:r w:rsidR="008E6B13">
        <w:t>nezbytnou</w:t>
      </w:r>
      <w:r w:rsidR="00A25B2E">
        <w:t xml:space="preserve"> obsahovo</w:t>
      </w:r>
      <w:r w:rsidR="008E6B13">
        <w:t>u náležitostí závěti i podle platného občanského zákoníku“.</w:t>
      </w:r>
      <w:r w:rsidR="00086777">
        <w:t xml:space="preserve"> </w:t>
      </w:r>
      <w:r w:rsidR="008E501A">
        <w:t>Je argumentováno</w:t>
      </w:r>
      <w:r w:rsidR="00086777">
        <w:t xml:space="preserve"> </w:t>
      </w:r>
      <w:r w:rsidR="00086777">
        <w:lastRenderedPageBreak/>
        <w:t>komplikace</w:t>
      </w:r>
      <w:r w:rsidR="008E501A">
        <w:t>mi</w:t>
      </w:r>
      <w:r w:rsidR="00086777">
        <w:t xml:space="preserve">, které přináší </w:t>
      </w:r>
      <w:r w:rsidR="00595E16">
        <w:t xml:space="preserve">mimo jiné </w:t>
      </w:r>
      <w:r w:rsidR="00086777">
        <w:t>k</w:t>
      </w:r>
      <w:r w:rsidR="00595E16">
        <w:t xml:space="preserve">olize </w:t>
      </w:r>
      <w:r w:rsidR="00086777">
        <w:t xml:space="preserve">datovaných </w:t>
      </w:r>
      <w:r w:rsidR="00595E16">
        <w:t xml:space="preserve">a nedatovaných </w:t>
      </w:r>
      <w:r w:rsidR="00086777">
        <w:t xml:space="preserve">závětí, </w:t>
      </w:r>
      <w:r w:rsidR="00595E16">
        <w:t>které vedle sebe nemohou obstát, zásad</w:t>
      </w:r>
      <w:r w:rsidR="00963427">
        <w:t>o</w:t>
      </w:r>
      <w:r w:rsidR="00595E16">
        <w:t>u právní jistoty, jakož i úmysl</w:t>
      </w:r>
      <w:r w:rsidR="008E501A">
        <w:t>em</w:t>
      </w:r>
      <w:r w:rsidR="00595E16">
        <w:t xml:space="preserve"> zákonodárce</w:t>
      </w:r>
      <w:r w:rsidR="0032301A">
        <w:t>,</w:t>
      </w:r>
      <w:r w:rsidR="006665B2">
        <w:t xml:space="preserve"> </w:t>
      </w:r>
      <w:r w:rsidR="00595E16">
        <w:t>vyplývající</w:t>
      </w:r>
      <w:r w:rsidR="008E501A">
        <w:t>m</w:t>
      </w:r>
      <w:r w:rsidR="00595E16">
        <w:t xml:space="preserve"> z důvodové zprávy </w:t>
      </w:r>
      <w:r w:rsidR="008E501A">
        <w:t>k § 1532 NOZ, dle níž se přejímá stáv</w:t>
      </w:r>
      <w:r w:rsidR="00584D9B">
        <w:t>ající dikce § 476 odst. 2 OZ64.</w:t>
      </w:r>
      <w:r w:rsidR="008E501A">
        <w:rPr>
          <w:rStyle w:val="Znakapoznpodarou"/>
        </w:rPr>
        <w:footnoteReference w:id="70"/>
      </w:r>
      <w:r w:rsidR="002944C2">
        <w:t xml:space="preserve"> </w:t>
      </w:r>
      <w:r w:rsidR="00134649">
        <w:t>Úmyslem zákonodárce zřejmě nebylo ponechat datování závěti jako obligatorní náležitost pod sankcí neplatnosti, ani tuto náležitost zcela pominout jako nadbytečnou, ale spíše umožnit, aby i přes tento chybějící údaj byla závěť považována za platnou, lze-</w:t>
      </w:r>
      <w:r w:rsidR="00584D9B">
        <w:t>li dobu pořízení dovodit jinak.</w:t>
      </w:r>
      <w:r w:rsidR="009405F9">
        <w:rPr>
          <w:rStyle w:val="Znakapoznpodarou"/>
        </w:rPr>
        <w:footnoteReference w:id="71"/>
      </w:r>
      <w:r w:rsidR="007D7621">
        <w:t xml:space="preserve"> </w:t>
      </w:r>
      <w:r w:rsidR="00C03F70">
        <w:t>Použitá a</w:t>
      </w:r>
      <w:r w:rsidR="009405F9">
        <w:t xml:space="preserve">rgumentace důvodovou zprávou </w:t>
      </w:r>
      <w:r w:rsidR="001A6ED5">
        <w:t xml:space="preserve">k § 1532 NOZ </w:t>
      </w:r>
      <w:r w:rsidR="0029104C">
        <w:t>je rozporuplná, neboť odkaz na převzetí dikce</w:t>
      </w:r>
      <w:r w:rsidR="00963427">
        <w:t xml:space="preserve"> § 476 odst. 2 OZ64 se vztahuje</w:t>
      </w:r>
      <w:r w:rsidR="0029104C">
        <w:t xml:space="preserve"> k § 1279 NOZ05, kde zákonodárce</w:t>
      </w:r>
      <w:r w:rsidR="00A71F5A">
        <w:t xml:space="preserve"> pod sankcí neplatnosti výslovně stanovil povinnost uvést den, měsíc a rok, kdy byla podepsána, přičemž v nyní platném NOZ se taková povinnost v žádném ustanovení </w:t>
      </w:r>
      <w:r w:rsidR="00D53630">
        <w:t xml:space="preserve">již </w:t>
      </w:r>
      <w:r w:rsidR="00A71F5A">
        <w:t>neobjevuje.</w:t>
      </w:r>
    </w:p>
    <w:p w:rsidR="00395A95" w:rsidRPr="00CC5A3E" w:rsidRDefault="00395A95" w:rsidP="00C814C4">
      <w:pPr>
        <w:pStyle w:val="DiplTEXT"/>
        <w:spacing w:after="0"/>
        <w:ind w:firstLine="567"/>
        <w:rPr>
          <w:szCs w:val="20"/>
        </w:rPr>
      </w:pPr>
      <w:r w:rsidRPr="00CC5A3E">
        <w:rPr>
          <w:szCs w:val="20"/>
        </w:rPr>
        <w:t xml:space="preserve">Je nepochybné, že datování závěti </w:t>
      </w:r>
      <w:r w:rsidR="00A32707">
        <w:rPr>
          <w:szCs w:val="20"/>
        </w:rPr>
        <w:t>je důležitou náležitostí závěti</w:t>
      </w:r>
      <w:r w:rsidR="008B285B">
        <w:rPr>
          <w:szCs w:val="20"/>
        </w:rPr>
        <w:t>.</w:t>
      </w:r>
      <w:r w:rsidR="00A32707">
        <w:rPr>
          <w:szCs w:val="20"/>
        </w:rPr>
        <w:t xml:space="preserve"> </w:t>
      </w:r>
      <w:r w:rsidR="00A51F16" w:rsidRPr="00CC5A3E">
        <w:rPr>
          <w:szCs w:val="20"/>
        </w:rPr>
        <w:t xml:space="preserve">Doba pořízení závěti je významnou právní skutečností </w:t>
      </w:r>
      <w:r w:rsidR="007B2780" w:rsidRPr="00CC5A3E">
        <w:rPr>
          <w:szCs w:val="20"/>
        </w:rPr>
        <w:t xml:space="preserve">s ohledem </w:t>
      </w:r>
      <w:r w:rsidR="00A32707">
        <w:rPr>
          <w:szCs w:val="20"/>
        </w:rPr>
        <w:t xml:space="preserve">na situaci, kdy </w:t>
      </w:r>
      <w:r w:rsidR="004F734F" w:rsidRPr="00CC5A3E">
        <w:rPr>
          <w:szCs w:val="20"/>
        </w:rPr>
        <w:t xml:space="preserve">vzniknou pochybnosti o </w:t>
      </w:r>
      <w:r w:rsidR="00A51F16" w:rsidRPr="00CC5A3E">
        <w:rPr>
          <w:szCs w:val="20"/>
        </w:rPr>
        <w:t>pořizo</w:t>
      </w:r>
      <w:r w:rsidR="00B558BC" w:rsidRPr="00CC5A3E">
        <w:rPr>
          <w:szCs w:val="20"/>
        </w:rPr>
        <w:t>vací způsob</w:t>
      </w:r>
      <w:r w:rsidR="003210B2" w:rsidRPr="00CC5A3E">
        <w:rPr>
          <w:szCs w:val="20"/>
        </w:rPr>
        <w:t>ilost</w:t>
      </w:r>
      <w:r w:rsidR="004F734F" w:rsidRPr="00CC5A3E">
        <w:rPr>
          <w:szCs w:val="20"/>
        </w:rPr>
        <w:t>i</w:t>
      </w:r>
      <w:r w:rsidR="00B558BC" w:rsidRPr="00CC5A3E">
        <w:rPr>
          <w:szCs w:val="20"/>
        </w:rPr>
        <w:t xml:space="preserve"> zůstavitele</w:t>
      </w:r>
      <w:r w:rsidR="00CB3914" w:rsidRPr="00CC5A3E">
        <w:rPr>
          <w:szCs w:val="20"/>
        </w:rPr>
        <w:t xml:space="preserve"> </w:t>
      </w:r>
      <w:r w:rsidR="00A51F16" w:rsidRPr="00CC5A3E">
        <w:rPr>
          <w:szCs w:val="20"/>
        </w:rPr>
        <w:t>nebo</w:t>
      </w:r>
      <w:r w:rsidR="004F734F" w:rsidRPr="00CC5A3E">
        <w:rPr>
          <w:szCs w:val="20"/>
        </w:rPr>
        <w:t xml:space="preserve"> </w:t>
      </w:r>
      <w:r w:rsidR="00A32707">
        <w:rPr>
          <w:szCs w:val="20"/>
        </w:rPr>
        <w:t xml:space="preserve">v rámci </w:t>
      </w:r>
      <w:r w:rsidR="003210B2" w:rsidRPr="00CC5A3E">
        <w:rPr>
          <w:szCs w:val="20"/>
        </w:rPr>
        <w:t>jiných</w:t>
      </w:r>
      <w:r w:rsidR="00A32707">
        <w:rPr>
          <w:szCs w:val="20"/>
        </w:rPr>
        <w:t xml:space="preserve"> zamýšlených právních účinků</w:t>
      </w:r>
      <w:r w:rsidR="003210B2" w:rsidRPr="00CC5A3E">
        <w:rPr>
          <w:szCs w:val="20"/>
        </w:rPr>
        <w:t xml:space="preserve"> závěti</w:t>
      </w:r>
      <w:r w:rsidR="004B0AE5">
        <w:rPr>
          <w:szCs w:val="20"/>
        </w:rPr>
        <w:t xml:space="preserve"> (</w:t>
      </w:r>
      <w:r w:rsidR="008F5709">
        <w:rPr>
          <w:szCs w:val="20"/>
        </w:rPr>
        <w:t xml:space="preserve">např. </w:t>
      </w:r>
      <w:r w:rsidR="004B0AE5">
        <w:rPr>
          <w:szCs w:val="20"/>
        </w:rPr>
        <w:t>posouzení dědické nezpůsobilosti nebo důvodnosti vydědění)</w:t>
      </w:r>
      <w:r w:rsidR="00584D9B" w:rsidRPr="00CC5A3E">
        <w:rPr>
          <w:szCs w:val="20"/>
        </w:rPr>
        <w:t>.</w:t>
      </w:r>
      <w:r w:rsidR="004F734F" w:rsidRPr="00CC5A3E">
        <w:rPr>
          <w:rStyle w:val="Znakapoznpodarou"/>
          <w:szCs w:val="20"/>
        </w:rPr>
        <w:footnoteReference w:id="72"/>
      </w:r>
      <w:r w:rsidR="00A32707">
        <w:rPr>
          <w:szCs w:val="20"/>
        </w:rPr>
        <w:t xml:space="preserve"> </w:t>
      </w:r>
      <w:r w:rsidR="00A51F16" w:rsidRPr="00CC5A3E">
        <w:rPr>
          <w:szCs w:val="20"/>
        </w:rPr>
        <w:t xml:space="preserve">  </w:t>
      </w:r>
    </w:p>
    <w:p w:rsidR="00A32707" w:rsidRDefault="00C814C4" w:rsidP="00610ECD">
      <w:pPr>
        <w:pStyle w:val="DiplTEXT"/>
        <w:spacing w:after="0"/>
        <w:ind w:firstLine="567"/>
        <w:rPr>
          <w:szCs w:val="20"/>
        </w:rPr>
      </w:pPr>
      <w:r w:rsidRPr="008F5709">
        <w:rPr>
          <w:szCs w:val="20"/>
        </w:rPr>
        <w:t xml:space="preserve">Na základě výše uvedeného se lze domnívat, že zmírnění formálních požadavků na závět stran její datace bude klást zvýšené </w:t>
      </w:r>
      <w:r w:rsidR="00C449FB" w:rsidRPr="008F5709">
        <w:rPr>
          <w:szCs w:val="20"/>
        </w:rPr>
        <w:t>nároky</w:t>
      </w:r>
      <w:r w:rsidRPr="008F5709">
        <w:rPr>
          <w:szCs w:val="20"/>
        </w:rPr>
        <w:t xml:space="preserve"> na právní vědomí pořiz</w:t>
      </w:r>
      <w:r w:rsidR="008F5709">
        <w:rPr>
          <w:szCs w:val="20"/>
        </w:rPr>
        <w:t>ovatelů závěti</w:t>
      </w:r>
      <w:r w:rsidRPr="008F5709">
        <w:rPr>
          <w:szCs w:val="20"/>
        </w:rPr>
        <w:t xml:space="preserve">, přičemž nelze vyloučit </w:t>
      </w:r>
      <w:r w:rsidR="00C449FB" w:rsidRPr="008F5709">
        <w:rPr>
          <w:szCs w:val="20"/>
        </w:rPr>
        <w:t>an</w:t>
      </w:r>
      <w:r w:rsidR="008F5709">
        <w:rPr>
          <w:szCs w:val="20"/>
        </w:rPr>
        <w:t>i úplné zmaření jejich</w:t>
      </w:r>
      <w:r w:rsidRPr="008F5709">
        <w:rPr>
          <w:szCs w:val="20"/>
        </w:rPr>
        <w:t xml:space="preserve"> vůle. Je otázkou, zda přiznání přílišné autonomie vůle zůstaviteli nekoliduje s požadavkem právní jistoty a tudíž </w:t>
      </w:r>
      <w:r w:rsidR="00FA3254">
        <w:rPr>
          <w:szCs w:val="20"/>
        </w:rPr>
        <w:t xml:space="preserve">i s </w:t>
      </w:r>
      <w:r w:rsidRPr="008F5709">
        <w:rPr>
          <w:szCs w:val="20"/>
        </w:rPr>
        <w:t xml:space="preserve">ochranou zůstavitele „před sebou samým“. </w:t>
      </w:r>
      <w:r w:rsidR="00A32707">
        <w:rPr>
          <w:szCs w:val="20"/>
        </w:rPr>
        <w:t>Z toho důvodu by p</w:t>
      </w:r>
      <w:r w:rsidR="00F84767">
        <w:rPr>
          <w:szCs w:val="20"/>
        </w:rPr>
        <w:t xml:space="preserve">ořizovatelé závěti </w:t>
      </w:r>
      <w:r w:rsidR="00A32707">
        <w:rPr>
          <w:szCs w:val="20"/>
        </w:rPr>
        <w:t>měli nadále uvádět</w:t>
      </w:r>
      <w:r w:rsidR="002E7C2F">
        <w:rPr>
          <w:szCs w:val="20"/>
        </w:rPr>
        <w:t xml:space="preserve"> co nejpřesněji den, měsíc a</w:t>
      </w:r>
      <w:r w:rsidR="004F0574">
        <w:t> </w:t>
      </w:r>
      <w:r w:rsidR="002E7C2F">
        <w:rPr>
          <w:szCs w:val="20"/>
        </w:rPr>
        <w:t xml:space="preserve"> rok a případně i hodinu, kdy byla závěť pořízena.</w:t>
      </w:r>
      <w:r w:rsidR="00A32707">
        <w:rPr>
          <w:szCs w:val="20"/>
        </w:rPr>
        <w:t xml:space="preserve"> </w:t>
      </w:r>
    </w:p>
    <w:p w:rsidR="00B01282" w:rsidRPr="008F5709" w:rsidRDefault="003A6AF3" w:rsidP="00610ECD">
      <w:pPr>
        <w:pStyle w:val="DiplTEXT"/>
        <w:spacing w:after="0"/>
        <w:ind w:firstLine="567"/>
      </w:pPr>
      <w:r>
        <w:rPr>
          <w:szCs w:val="20"/>
        </w:rPr>
        <w:t xml:space="preserve">De lege </w:t>
      </w:r>
      <w:proofErr w:type="spellStart"/>
      <w:r>
        <w:rPr>
          <w:szCs w:val="20"/>
        </w:rPr>
        <w:t>ferenda</w:t>
      </w:r>
      <w:proofErr w:type="spellEnd"/>
      <w:r>
        <w:rPr>
          <w:szCs w:val="20"/>
        </w:rPr>
        <w:t xml:space="preserve"> lze zákonodárci doporučit změnu úpravy </w:t>
      </w:r>
      <w:r w:rsidR="00FA3254">
        <w:rPr>
          <w:szCs w:val="20"/>
        </w:rPr>
        <w:t xml:space="preserve">datace závěti </w:t>
      </w:r>
      <w:r w:rsidR="002B0D71">
        <w:rPr>
          <w:szCs w:val="20"/>
        </w:rPr>
        <w:t>po vzoru § 2247 BGB</w:t>
      </w:r>
      <w:r w:rsidR="00685E58">
        <w:rPr>
          <w:szCs w:val="20"/>
        </w:rPr>
        <w:t xml:space="preserve">. </w:t>
      </w:r>
      <w:r w:rsidR="0079598A">
        <w:rPr>
          <w:szCs w:val="20"/>
        </w:rPr>
        <w:t>Podle</w:t>
      </w:r>
      <w:r w:rsidR="002B0D71">
        <w:rPr>
          <w:szCs w:val="20"/>
        </w:rPr>
        <w:t xml:space="preserve"> uvedeného ustanovení by </w:t>
      </w:r>
      <w:r w:rsidR="00963427">
        <w:rPr>
          <w:szCs w:val="20"/>
        </w:rPr>
        <w:t xml:space="preserve">měl zůstavitel </w:t>
      </w:r>
      <w:r w:rsidR="002B0D71">
        <w:rPr>
          <w:szCs w:val="20"/>
        </w:rPr>
        <w:t xml:space="preserve">v závěti uvést </w:t>
      </w:r>
      <w:r w:rsidR="00FA3254">
        <w:rPr>
          <w:szCs w:val="20"/>
        </w:rPr>
        <w:t>den, měsíc a rok jejíh</w:t>
      </w:r>
      <w:r w:rsidR="002B0D71">
        <w:rPr>
          <w:szCs w:val="20"/>
        </w:rPr>
        <w:t xml:space="preserve">o pořízení. V případě, že by </w:t>
      </w:r>
      <w:r w:rsidR="00603B5C">
        <w:rPr>
          <w:szCs w:val="20"/>
        </w:rPr>
        <w:t xml:space="preserve">tak neučinil, </w:t>
      </w:r>
      <w:r w:rsidR="0079598A">
        <w:rPr>
          <w:szCs w:val="20"/>
        </w:rPr>
        <w:t xml:space="preserve">bude závěť neplatná </w:t>
      </w:r>
      <w:r w:rsidR="00685E58">
        <w:rPr>
          <w:szCs w:val="20"/>
        </w:rPr>
        <w:t>jen</w:t>
      </w:r>
      <w:r w:rsidR="0079598A">
        <w:rPr>
          <w:szCs w:val="20"/>
        </w:rPr>
        <w:t xml:space="preserve"> v případě</w:t>
      </w:r>
      <w:r w:rsidR="00685E58">
        <w:rPr>
          <w:szCs w:val="20"/>
        </w:rPr>
        <w:t>,</w:t>
      </w:r>
      <w:r w:rsidR="0079598A">
        <w:rPr>
          <w:szCs w:val="20"/>
        </w:rPr>
        <w:t xml:space="preserve"> že</w:t>
      </w:r>
      <w:r w:rsidR="00685E58">
        <w:rPr>
          <w:szCs w:val="20"/>
        </w:rPr>
        <w:t xml:space="preserve"> vzniknou pochybnosti o </w:t>
      </w:r>
      <w:r w:rsidR="00014570">
        <w:rPr>
          <w:szCs w:val="20"/>
        </w:rPr>
        <w:t xml:space="preserve">její platnosti </w:t>
      </w:r>
      <w:r w:rsidR="00685E58">
        <w:rPr>
          <w:szCs w:val="20"/>
        </w:rPr>
        <w:t xml:space="preserve">a doba </w:t>
      </w:r>
      <w:r w:rsidR="0079598A">
        <w:rPr>
          <w:szCs w:val="20"/>
        </w:rPr>
        <w:t xml:space="preserve">jejího </w:t>
      </w:r>
      <w:r w:rsidR="00685E58">
        <w:rPr>
          <w:szCs w:val="20"/>
        </w:rPr>
        <w:t>zřízení se nedá určit jiným způsobem.</w:t>
      </w:r>
    </w:p>
    <w:p w:rsidR="004D781B" w:rsidRDefault="001C2499" w:rsidP="008074AB">
      <w:pPr>
        <w:pStyle w:val="Nadpis2"/>
      </w:pPr>
      <w:bookmarkStart w:id="30" w:name="_Toc436779470"/>
      <w:bookmarkStart w:id="31" w:name="_Toc437225064"/>
      <w:bookmarkEnd w:id="23"/>
      <w:r>
        <w:t>3.2</w:t>
      </w:r>
      <w:r w:rsidR="00B532D4">
        <w:tab/>
      </w:r>
      <w:proofErr w:type="spellStart"/>
      <w:r w:rsidRPr="008074AB">
        <w:t>A</w:t>
      </w:r>
      <w:r w:rsidR="004D781B" w:rsidRPr="008074AB">
        <w:t>llografní</w:t>
      </w:r>
      <w:proofErr w:type="spellEnd"/>
      <w:r w:rsidR="004D781B" w:rsidRPr="00AA3BEA">
        <w:t xml:space="preserve"> závěť</w:t>
      </w:r>
      <w:bookmarkEnd w:id="30"/>
      <w:bookmarkEnd w:id="31"/>
    </w:p>
    <w:p w:rsidR="001C2499" w:rsidRPr="001C2499" w:rsidRDefault="009F2E41" w:rsidP="008074AB">
      <w:pPr>
        <w:pStyle w:val="Nadpis3"/>
      </w:pPr>
      <w:bookmarkStart w:id="32" w:name="_Toc436779471"/>
      <w:bookmarkStart w:id="33" w:name="_Toc437225065"/>
      <w:r>
        <w:t>3.2.1</w:t>
      </w:r>
      <w:r w:rsidR="00B532D4">
        <w:tab/>
      </w:r>
      <w:r>
        <w:t xml:space="preserve">Prostá </w:t>
      </w:r>
      <w:proofErr w:type="spellStart"/>
      <w:r w:rsidRPr="008074AB">
        <w:t>allografní</w:t>
      </w:r>
      <w:proofErr w:type="spellEnd"/>
      <w:r>
        <w:t xml:space="preserve"> závěť</w:t>
      </w:r>
      <w:bookmarkEnd w:id="32"/>
      <w:bookmarkEnd w:id="33"/>
    </w:p>
    <w:p w:rsidR="00217189" w:rsidRDefault="00070CB1" w:rsidP="00747855">
      <w:pPr>
        <w:spacing w:after="0"/>
        <w:ind w:firstLine="567"/>
        <w:rPr>
          <w:szCs w:val="24"/>
        </w:rPr>
      </w:pPr>
      <w:r>
        <w:rPr>
          <w:szCs w:val="24"/>
        </w:rPr>
        <w:t xml:space="preserve">Vymezení a náležitosti </w:t>
      </w:r>
      <w:r w:rsidR="00265B16">
        <w:rPr>
          <w:szCs w:val="24"/>
        </w:rPr>
        <w:t xml:space="preserve">prosté </w:t>
      </w:r>
      <w:proofErr w:type="spellStart"/>
      <w:r>
        <w:rPr>
          <w:szCs w:val="24"/>
        </w:rPr>
        <w:t>a</w:t>
      </w:r>
      <w:r w:rsidR="007D0E36">
        <w:rPr>
          <w:szCs w:val="24"/>
        </w:rPr>
        <w:t>llografní</w:t>
      </w:r>
      <w:proofErr w:type="spellEnd"/>
      <w:r w:rsidR="007D0E36">
        <w:rPr>
          <w:szCs w:val="24"/>
        </w:rPr>
        <w:t xml:space="preserve"> závě</w:t>
      </w:r>
      <w:r>
        <w:rPr>
          <w:szCs w:val="24"/>
        </w:rPr>
        <w:t xml:space="preserve">ť vyplývají z </w:t>
      </w:r>
      <w:r w:rsidR="007D0E36">
        <w:rPr>
          <w:szCs w:val="24"/>
        </w:rPr>
        <w:t>§ 1534 NOZ</w:t>
      </w:r>
      <w:r w:rsidR="00217189">
        <w:rPr>
          <w:szCs w:val="24"/>
        </w:rPr>
        <w:t xml:space="preserve">. </w:t>
      </w:r>
      <w:r>
        <w:rPr>
          <w:szCs w:val="24"/>
        </w:rPr>
        <w:t>Jedná</w:t>
      </w:r>
      <w:r w:rsidR="007D0E36">
        <w:rPr>
          <w:szCs w:val="24"/>
        </w:rPr>
        <w:t xml:space="preserve"> </w:t>
      </w:r>
      <w:r>
        <w:rPr>
          <w:szCs w:val="24"/>
        </w:rPr>
        <w:t xml:space="preserve">se </w:t>
      </w:r>
      <w:r w:rsidR="00217189">
        <w:rPr>
          <w:szCs w:val="24"/>
        </w:rPr>
        <w:t>o</w:t>
      </w:r>
      <w:r w:rsidR="00B532D4">
        <w:rPr>
          <w:szCs w:val="24"/>
        </w:rPr>
        <w:t> </w:t>
      </w:r>
      <w:r>
        <w:rPr>
          <w:szCs w:val="24"/>
        </w:rPr>
        <w:t>formu</w:t>
      </w:r>
      <w:r w:rsidR="00217189">
        <w:rPr>
          <w:szCs w:val="24"/>
        </w:rPr>
        <w:t xml:space="preserve"> soukromé závěti, která není sepsána vlastní rukou zůstavitele, ale musí jím být vlastnoručně podepsána. </w:t>
      </w:r>
      <w:r w:rsidR="00FE161A">
        <w:rPr>
          <w:szCs w:val="24"/>
        </w:rPr>
        <w:t>Zůstavitel musí dále před dvěma</w:t>
      </w:r>
      <w:r w:rsidR="00217189">
        <w:rPr>
          <w:szCs w:val="24"/>
        </w:rPr>
        <w:t xml:space="preserve"> současně přítomnými svědky </w:t>
      </w:r>
      <w:r w:rsidR="00217189">
        <w:rPr>
          <w:szCs w:val="24"/>
        </w:rPr>
        <w:lastRenderedPageBreak/>
        <w:t>výslovně prohlásit, že listina obsahuje jeho poslední vůli a svědci se musí na závěť podepsat. NOZ de</w:t>
      </w:r>
      <w:r w:rsidR="00FE161A">
        <w:rPr>
          <w:szCs w:val="24"/>
        </w:rPr>
        <w:t xml:space="preserve"> </w:t>
      </w:r>
      <w:r w:rsidR="00217189">
        <w:rPr>
          <w:szCs w:val="24"/>
        </w:rPr>
        <w:t>facto přejímá dříve platnou úpravu podle § 476b OZ64.</w:t>
      </w:r>
    </w:p>
    <w:p w:rsidR="00747855" w:rsidRDefault="00747855" w:rsidP="00747855">
      <w:pPr>
        <w:spacing w:after="0"/>
        <w:ind w:firstLine="567"/>
        <w:rPr>
          <w:color w:val="000000"/>
          <w:szCs w:val="24"/>
        </w:rPr>
      </w:pPr>
      <w:r>
        <w:rPr>
          <w:szCs w:val="24"/>
        </w:rPr>
        <w:t xml:space="preserve">Pořizovatelé obvykle volí tento typ závěti z důvodů potíží se sepsáním textu vlastní rukou nebo </w:t>
      </w:r>
      <w:r w:rsidR="00D95C31">
        <w:rPr>
          <w:szCs w:val="24"/>
        </w:rPr>
        <w:t xml:space="preserve">je-li jejich rukopis nečitelný. Ačkoliv </w:t>
      </w:r>
      <w:r w:rsidR="00534EEA">
        <w:rPr>
          <w:szCs w:val="24"/>
        </w:rPr>
        <w:t xml:space="preserve">je </w:t>
      </w:r>
      <w:r w:rsidR="00D95C31">
        <w:rPr>
          <w:szCs w:val="24"/>
        </w:rPr>
        <w:t>tato forma závěti spojena s</w:t>
      </w:r>
      <w:r w:rsidR="00CF6C4F">
        <w:rPr>
          <w:szCs w:val="24"/>
        </w:rPr>
        <w:t xml:space="preserve"> některými </w:t>
      </w:r>
      <w:r w:rsidR="00D95C31">
        <w:rPr>
          <w:szCs w:val="24"/>
        </w:rPr>
        <w:t xml:space="preserve">výhodami (např. nízké </w:t>
      </w:r>
      <w:r w:rsidR="00CF6C4F">
        <w:rPr>
          <w:szCs w:val="24"/>
        </w:rPr>
        <w:t xml:space="preserve">náklady </w:t>
      </w:r>
      <w:r w:rsidR="00D95C31">
        <w:rPr>
          <w:szCs w:val="24"/>
        </w:rPr>
        <w:t>nebo</w:t>
      </w:r>
      <w:r w:rsidR="00CF6C4F">
        <w:rPr>
          <w:szCs w:val="24"/>
        </w:rPr>
        <w:t xml:space="preserve"> snazší možnost prokázat pravost závěti prostřednictvím svědků), přináší také určitá rizika. </w:t>
      </w:r>
      <w:r w:rsidR="00534EEA">
        <w:rPr>
          <w:szCs w:val="24"/>
        </w:rPr>
        <w:t xml:space="preserve">Může se </w:t>
      </w:r>
      <w:r w:rsidR="00CF6C4F">
        <w:rPr>
          <w:szCs w:val="24"/>
        </w:rPr>
        <w:t xml:space="preserve">totiž </w:t>
      </w:r>
      <w:r w:rsidR="00534EEA">
        <w:rPr>
          <w:szCs w:val="24"/>
        </w:rPr>
        <w:t xml:space="preserve">stát </w:t>
      </w:r>
      <w:r>
        <w:rPr>
          <w:szCs w:val="24"/>
        </w:rPr>
        <w:t xml:space="preserve">častým a snadným prostředkem </w:t>
      </w:r>
      <w:r w:rsidR="00355715">
        <w:rPr>
          <w:szCs w:val="24"/>
        </w:rPr>
        <w:t>falšování</w:t>
      </w:r>
      <w:r>
        <w:rPr>
          <w:szCs w:val="24"/>
        </w:rPr>
        <w:t xml:space="preserve"> a </w:t>
      </w:r>
      <w:r w:rsidR="00CF6C4F">
        <w:rPr>
          <w:szCs w:val="24"/>
        </w:rPr>
        <w:t>proto</w:t>
      </w:r>
      <w:r>
        <w:rPr>
          <w:szCs w:val="24"/>
        </w:rPr>
        <w:t xml:space="preserve"> i</w:t>
      </w:r>
      <w:r w:rsidR="004F0574">
        <w:t> </w:t>
      </w:r>
      <w:r>
        <w:rPr>
          <w:szCs w:val="24"/>
        </w:rPr>
        <w:t xml:space="preserve"> předmětem sporů o platnost a pravost takto podvr</w:t>
      </w:r>
      <w:r w:rsidR="00E416E3">
        <w:rPr>
          <w:szCs w:val="24"/>
        </w:rPr>
        <w:t>žené poslední vůle zůstavitele.</w:t>
      </w:r>
      <w:r w:rsidR="00EB6A3E">
        <w:rPr>
          <w:color w:val="000000"/>
          <w:szCs w:val="24"/>
        </w:rPr>
        <w:t xml:space="preserve"> </w:t>
      </w:r>
      <w:r w:rsidR="00FE161A">
        <w:rPr>
          <w:color w:val="000000"/>
          <w:szCs w:val="24"/>
        </w:rPr>
        <w:t xml:space="preserve">Mimo to se v praxi notářů </w:t>
      </w:r>
      <w:r w:rsidR="00355715">
        <w:rPr>
          <w:color w:val="000000"/>
          <w:szCs w:val="24"/>
        </w:rPr>
        <w:t xml:space="preserve">čím dál častěji objevují případy, kdy </w:t>
      </w:r>
      <w:r w:rsidR="00EB6A3E">
        <w:rPr>
          <w:color w:val="000000"/>
          <w:szCs w:val="24"/>
        </w:rPr>
        <w:t xml:space="preserve">pořizovatel použije </w:t>
      </w:r>
      <w:r w:rsidR="00384EA0">
        <w:rPr>
          <w:color w:val="000000"/>
          <w:szCs w:val="24"/>
        </w:rPr>
        <w:t>vadný</w:t>
      </w:r>
      <w:r w:rsidR="000C5B41">
        <w:rPr>
          <w:color w:val="000000"/>
          <w:szCs w:val="24"/>
        </w:rPr>
        <w:t xml:space="preserve"> </w:t>
      </w:r>
      <w:r w:rsidR="00EB6A3E">
        <w:rPr>
          <w:color w:val="000000"/>
          <w:szCs w:val="24"/>
        </w:rPr>
        <w:t>vzor závěti stažený z</w:t>
      </w:r>
      <w:r w:rsidR="00355715">
        <w:rPr>
          <w:color w:val="000000"/>
          <w:szCs w:val="24"/>
        </w:rPr>
        <w:t> </w:t>
      </w:r>
      <w:r w:rsidR="00EB6A3E">
        <w:rPr>
          <w:color w:val="000000"/>
          <w:szCs w:val="24"/>
        </w:rPr>
        <w:t xml:space="preserve">internetu, jehož autory jsou často osoby </w:t>
      </w:r>
      <w:r w:rsidR="00EB6A3E" w:rsidRPr="005A2CEA">
        <w:rPr>
          <w:color w:val="000000"/>
          <w:szCs w:val="24"/>
        </w:rPr>
        <w:t>bez právnického vzdělání</w:t>
      </w:r>
      <w:r w:rsidR="00EB6A3E">
        <w:rPr>
          <w:color w:val="000000"/>
          <w:szCs w:val="24"/>
        </w:rPr>
        <w:t xml:space="preserve">, což </w:t>
      </w:r>
      <w:r w:rsidR="00355715">
        <w:rPr>
          <w:color w:val="000000"/>
          <w:szCs w:val="24"/>
        </w:rPr>
        <w:t xml:space="preserve">následně vede k </w:t>
      </w:r>
      <w:r w:rsidR="00384EA0">
        <w:rPr>
          <w:color w:val="000000"/>
          <w:szCs w:val="24"/>
        </w:rPr>
        <w:t>zneplatnění</w:t>
      </w:r>
      <w:r w:rsidR="00A532DC">
        <w:rPr>
          <w:color w:val="000000"/>
          <w:szCs w:val="24"/>
        </w:rPr>
        <w:t xml:space="preserve"> závěti.</w:t>
      </w:r>
      <w:r w:rsidR="00EB6A3E">
        <w:rPr>
          <w:rStyle w:val="Znakapoznpodarou"/>
          <w:szCs w:val="24"/>
        </w:rPr>
        <w:footnoteReference w:id="73"/>
      </w:r>
    </w:p>
    <w:p w:rsidR="00075BDA" w:rsidRPr="00ED15B1" w:rsidRDefault="0011221A" w:rsidP="00ED15B1">
      <w:pPr>
        <w:spacing w:after="0"/>
        <w:ind w:firstLine="567"/>
        <w:rPr>
          <w:szCs w:val="24"/>
        </w:rPr>
      </w:pPr>
      <w:r>
        <w:rPr>
          <w:szCs w:val="24"/>
        </w:rPr>
        <w:t xml:space="preserve">Zákon stanoví, že zůstavitel musí před </w:t>
      </w:r>
      <w:r w:rsidR="00FE161A">
        <w:rPr>
          <w:szCs w:val="24"/>
        </w:rPr>
        <w:t>dvěma</w:t>
      </w:r>
      <w:r w:rsidR="00E746A0">
        <w:rPr>
          <w:szCs w:val="24"/>
        </w:rPr>
        <w:t xml:space="preserve"> </w:t>
      </w:r>
      <w:r>
        <w:rPr>
          <w:szCs w:val="24"/>
        </w:rPr>
        <w:t>svědky výslovně prohlásit, že listina obsahuje jeho poslední vůli, ale už nic neříká o tom, jakým způsobem</w:t>
      </w:r>
      <w:r w:rsidR="0011341A">
        <w:rPr>
          <w:szCs w:val="24"/>
        </w:rPr>
        <w:t xml:space="preserve"> má zůstavitel tento projev učinit nebo jakých slov má použít. </w:t>
      </w:r>
      <w:r>
        <w:rPr>
          <w:szCs w:val="24"/>
        </w:rPr>
        <w:t>Lze mít za to</w:t>
      </w:r>
      <w:r w:rsidR="0015628D" w:rsidRPr="00ED15B1">
        <w:rPr>
          <w:szCs w:val="24"/>
        </w:rPr>
        <w:t>, že požadavek výslovného prohlášení</w:t>
      </w:r>
      <w:r w:rsidR="00B74B99">
        <w:rPr>
          <w:szCs w:val="24"/>
        </w:rPr>
        <w:t xml:space="preserve"> </w:t>
      </w:r>
      <w:r w:rsidR="00F959AC">
        <w:rPr>
          <w:szCs w:val="24"/>
        </w:rPr>
        <w:t xml:space="preserve">splní souhlasný projev </w:t>
      </w:r>
      <w:r w:rsidR="00E919FF">
        <w:rPr>
          <w:szCs w:val="24"/>
        </w:rPr>
        <w:t>zůstavitele učiněný</w:t>
      </w:r>
      <w:r>
        <w:rPr>
          <w:szCs w:val="24"/>
        </w:rPr>
        <w:t xml:space="preserve"> </w:t>
      </w:r>
      <w:r w:rsidR="00531D70" w:rsidRPr="00ED15B1">
        <w:rPr>
          <w:szCs w:val="24"/>
        </w:rPr>
        <w:t>ústně, písemně, případně i jiným způsobem nevzbuzujícím pochybnosti o tom</w:t>
      </w:r>
      <w:r w:rsidR="00744412" w:rsidRPr="00ED15B1">
        <w:rPr>
          <w:szCs w:val="24"/>
        </w:rPr>
        <w:t>, že listina obsahuje jeho poslední vůli</w:t>
      </w:r>
      <w:r w:rsidR="00F91BD3" w:rsidRPr="00ED15B1">
        <w:rPr>
          <w:rStyle w:val="Znakapoznpodarou"/>
          <w:szCs w:val="24"/>
        </w:rPr>
        <w:footnoteReference w:id="74"/>
      </w:r>
      <w:r w:rsidR="00FE161A">
        <w:rPr>
          <w:szCs w:val="24"/>
        </w:rPr>
        <w:t xml:space="preserve">, </w:t>
      </w:r>
      <w:r w:rsidR="0015628D" w:rsidRPr="00ED15B1">
        <w:rPr>
          <w:szCs w:val="24"/>
        </w:rPr>
        <w:t xml:space="preserve">např. </w:t>
      </w:r>
      <w:r w:rsidR="009709F1">
        <w:rPr>
          <w:szCs w:val="24"/>
        </w:rPr>
        <w:t xml:space="preserve">použitím jakýchkoliv slovních výrazů nebo </w:t>
      </w:r>
      <w:r w:rsidR="0015628D" w:rsidRPr="00ED15B1">
        <w:rPr>
          <w:szCs w:val="24"/>
        </w:rPr>
        <w:t>pro něj obvyklým znamením souhlasu</w:t>
      </w:r>
      <w:r w:rsidR="009709F1">
        <w:rPr>
          <w:szCs w:val="24"/>
        </w:rPr>
        <w:t>, za předpokladu, že se tak nestane konkludentně</w:t>
      </w:r>
      <w:r w:rsidR="00A532DC">
        <w:rPr>
          <w:szCs w:val="24"/>
        </w:rPr>
        <w:t>.</w:t>
      </w:r>
      <w:r w:rsidR="00F91BD3" w:rsidRPr="00ED15B1">
        <w:rPr>
          <w:rStyle w:val="Znakapoznpodarou"/>
          <w:szCs w:val="24"/>
        </w:rPr>
        <w:footnoteReference w:id="75"/>
      </w:r>
      <w:r w:rsidR="00F91BD3" w:rsidRPr="00ED15B1">
        <w:rPr>
          <w:szCs w:val="24"/>
        </w:rPr>
        <w:t xml:space="preserve"> </w:t>
      </w:r>
      <w:r w:rsidR="00E919FF">
        <w:rPr>
          <w:szCs w:val="24"/>
        </w:rPr>
        <w:t>V odborné lit</w:t>
      </w:r>
      <w:r w:rsidR="0011341A">
        <w:rPr>
          <w:szCs w:val="24"/>
        </w:rPr>
        <w:t xml:space="preserve">eratuře se však objevil </w:t>
      </w:r>
      <w:r>
        <w:rPr>
          <w:szCs w:val="24"/>
        </w:rPr>
        <w:t>názor</w:t>
      </w:r>
      <w:r w:rsidR="00561E5C" w:rsidRPr="00ED15B1">
        <w:rPr>
          <w:szCs w:val="24"/>
        </w:rPr>
        <w:t xml:space="preserve">, </w:t>
      </w:r>
      <w:r w:rsidR="00E746A0">
        <w:rPr>
          <w:szCs w:val="24"/>
        </w:rPr>
        <w:t xml:space="preserve">podle kterého </w:t>
      </w:r>
      <w:r w:rsidR="00561E5C" w:rsidRPr="00ED15B1">
        <w:rPr>
          <w:szCs w:val="24"/>
        </w:rPr>
        <w:t xml:space="preserve">požadavku výslovného projevu vůle </w:t>
      </w:r>
      <w:r w:rsidR="00706357">
        <w:rPr>
          <w:szCs w:val="24"/>
        </w:rPr>
        <w:t xml:space="preserve">vyhoví </w:t>
      </w:r>
      <w:r w:rsidR="00BF0DFE">
        <w:rPr>
          <w:szCs w:val="24"/>
        </w:rPr>
        <w:t xml:space="preserve">pouze </w:t>
      </w:r>
      <w:r w:rsidR="00E919FF">
        <w:rPr>
          <w:szCs w:val="24"/>
        </w:rPr>
        <w:t>vyj</w:t>
      </w:r>
      <w:r w:rsidR="00BF0DFE">
        <w:rPr>
          <w:szCs w:val="24"/>
        </w:rPr>
        <w:t>ádření zůstavitele jedním či více slovy o</w:t>
      </w:r>
      <w:r w:rsidR="008F5915">
        <w:rPr>
          <w:szCs w:val="24"/>
        </w:rPr>
        <w:t> </w:t>
      </w:r>
      <w:r w:rsidR="00BF0DFE">
        <w:rPr>
          <w:szCs w:val="24"/>
        </w:rPr>
        <w:t xml:space="preserve">tom, že </w:t>
      </w:r>
      <w:r w:rsidR="00561E5C" w:rsidRPr="00ED15B1">
        <w:rPr>
          <w:szCs w:val="24"/>
        </w:rPr>
        <w:t xml:space="preserve">listina obsahuje jeho závěť, nikoliv </w:t>
      </w:r>
      <w:r w:rsidR="00BF0DFE" w:rsidRPr="00ED15B1">
        <w:rPr>
          <w:szCs w:val="24"/>
        </w:rPr>
        <w:t>např. kývnutí</w:t>
      </w:r>
      <w:r w:rsidR="00BF0DFE">
        <w:rPr>
          <w:szCs w:val="24"/>
        </w:rPr>
        <w:t xml:space="preserve"> hlavy na položenou otázku, </w:t>
      </w:r>
      <w:r w:rsidR="00AD2E4F">
        <w:rPr>
          <w:szCs w:val="24"/>
        </w:rPr>
        <w:t>přesto</w:t>
      </w:r>
      <w:r w:rsidR="00BF0DFE">
        <w:rPr>
          <w:szCs w:val="24"/>
        </w:rPr>
        <w:t xml:space="preserve">že </w:t>
      </w:r>
      <w:r w:rsidR="007274E2">
        <w:rPr>
          <w:szCs w:val="24"/>
        </w:rPr>
        <w:t>jde</w:t>
      </w:r>
      <w:r w:rsidR="00BF0DFE">
        <w:rPr>
          <w:szCs w:val="24"/>
        </w:rPr>
        <w:t xml:space="preserve"> </w:t>
      </w:r>
      <w:r w:rsidR="000501EB">
        <w:rPr>
          <w:szCs w:val="24"/>
        </w:rPr>
        <w:t xml:space="preserve">o </w:t>
      </w:r>
      <w:r w:rsidR="00ED15B1" w:rsidRPr="00ED15B1">
        <w:rPr>
          <w:szCs w:val="24"/>
        </w:rPr>
        <w:t xml:space="preserve">způsob </w:t>
      </w:r>
      <w:r w:rsidR="00AD2E4F">
        <w:rPr>
          <w:szCs w:val="24"/>
        </w:rPr>
        <w:t xml:space="preserve">projevu jinak </w:t>
      </w:r>
      <w:r w:rsidR="00B74B99">
        <w:rPr>
          <w:szCs w:val="24"/>
        </w:rPr>
        <w:t>nevzbuzující</w:t>
      </w:r>
      <w:r w:rsidR="00ED15B1" w:rsidRPr="00ED15B1">
        <w:rPr>
          <w:szCs w:val="24"/>
        </w:rPr>
        <w:t xml:space="preserve"> pochyby</w:t>
      </w:r>
      <w:r w:rsidR="000501EB">
        <w:rPr>
          <w:szCs w:val="24"/>
        </w:rPr>
        <w:t xml:space="preserve"> o vůli zůstavitele</w:t>
      </w:r>
      <w:r w:rsidR="00ED15B1" w:rsidRPr="00ED15B1">
        <w:rPr>
          <w:szCs w:val="24"/>
        </w:rPr>
        <w:t xml:space="preserve">. </w:t>
      </w:r>
      <w:r w:rsidR="00B54117">
        <w:rPr>
          <w:szCs w:val="24"/>
        </w:rPr>
        <w:t xml:space="preserve">V otázce formy </w:t>
      </w:r>
      <w:proofErr w:type="spellStart"/>
      <w:r w:rsidR="00B54117">
        <w:rPr>
          <w:szCs w:val="24"/>
        </w:rPr>
        <w:t>nunkupace</w:t>
      </w:r>
      <w:proofErr w:type="spellEnd"/>
      <w:r w:rsidR="00B54117">
        <w:rPr>
          <w:szCs w:val="24"/>
        </w:rPr>
        <w:t xml:space="preserve"> nebyla j</w:t>
      </w:r>
      <w:r w:rsidR="00FD18A9">
        <w:rPr>
          <w:szCs w:val="24"/>
        </w:rPr>
        <w:t>edno</w:t>
      </w:r>
      <w:r w:rsidR="00B54117">
        <w:rPr>
          <w:szCs w:val="24"/>
        </w:rPr>
        <w:t xml:space="preserve">tná </w:t>
      </w:r>
      <w:r w:rsidR="00FD18A9">
        <w:rPr>
          <w:szCs w:val="24"/>
        </w:rPr>
        <w:t>a</w:t>
      </w:r>
      <w:r w:rsidR="00ED15B1">
        <w:rPr>
          <w:szCs w:val="24"/>
        </w:rPr>
        <w:t>ni p</w:t>
      </w:r>
      <w:r w:rsidR="00FA0E63" w:rsidRPr="00ED15B1">
        <w:rPr>
          <w:szCs w:val="24"/>
        </w:rPr>
        <w:t xml:space="preserve">rvorepubliková </w:t>
      </w:r>
      <w:r w:rsidR="00FD18A9">
        <w:rPr>
          <w:szCs w:val="24"/>
        </w:rPr>
        <w:t>doktrína</w:t>
      </w:r>
      <w:r w:rsidR="00B54117">
        <w:rPr>
          <w:szCs w:val="24"/>
        </w:rPr>
        <w:t xml:space="preserve">. </w:t>
      </w:r>
      <w:r w:rsidR="00F243E7">
        <w:rPr>
          <w:szCs w:val="24"/>
        </w:rPr>
        <w:t>Zatímco p</w:t>
      </w:r>
      <w:r w:rsidR="00C03F70">
        <w:rPr>
          <w:szCs w:val="24"/>
        </w:rPr>
        <w:t xml:space="preserve">odle F. </w:t>
      </w:r>
      <w:r w:rsidR="00B54117">
        <w:rPr>
          <w:szCs w:val="24"/>
        </w:rPr>
        <w:t xml:space="preserve">Roučka </w:t>
      </w:r>
      <w:r w:rsidR="00ED15B1">
        <w:rPr>
          <w:szCs w:val="24"/>
        </w:rPr>
        <w:t>postačí k</w:t>
      </w:r>
      <w:r w:rsidR="00F243E7">
        <w:rPr>
          <w:szCs w:val="24"/>
        </w:rPr>
        <w:t xml:space="preserve"> platnosti </w:t>
      </w:r>
      <w:r w:rsidR="007A4AC6">
        <w:rPr>
          <w:szCs w:val="24"/>
        </w:rPr>
        <w:t xml:space="preserve">prohlášení </w:t>
      </w:r>
      <w:r w:rsidR="004851C3">
        <w:rPr>
          <w:szCs w:val="24"/>
        </w:rPr>
        <w:t>i jiné znamení, např. kývnutí hlavy na danou otázku nebo přitakání na dotaz svědka, zda jde o jeho poslední vůli a zda ji podepsal</w:t>
      </w:r>
      <w:r w:rsidR="00B4353C">
        <w:rPr>
          <w:szCs w:val="24"/>
        </w:rPr>
        <w:t>,</w:t>
      </w:r>
      <w:r w:rsidR="004851C3">
        <w:rPr>
          <w:szCs w:val="24"/>
        </w:rPr>
        <w:t xml:space="preserve"> slovem „ano“</w:t>
      </w:r>
      <w:r w:rsidR="00F456BA">
        <w:rPr>
          <w:rStyle w:val="Znakapoznpodarou"/>
          <w:szCs w:val="24"/>
        </w:rPr>
        <w:footnoteReference w:id="76"/>
      </w:r>
      <w:r w:rsidR="00C03F70">
        <w:rPr>
          <w:szCs w:val="24"/>
        </w:rPr>
        <w:t>, J.</w:t>
      </w:r>
      <w:r w:rsidR="006B1A80">
        <w:rPr>
          <w:szCs w:val="24"/>
        </w:rPr>
        <w:t xml:space="preserve"> </w:t>
      </w:r>
      <w:r w:rsidR="00F243E7">
        <w:rPr>
          <w:szCs w:val="24"/>
        </w:rPr>
        <w:t xml:space="preserve">Krčmář </w:t>
      </w:r>
      <w:r w:rsidR="00F456BA">
        <w:rPr>
          <w:szCs w:val="24"/>
        </w:rPr>
        <w:t>takové prohlášení nepovažoval za dostačující</w:t>
      </w:r>
      <w:r w:rsidR="00B4353C">
        <w:rPr>
          <w:szCs w:val="24"/>
        </w:rPr>
        <w:t xml:space="preserve">, protože </w:t>
      </w:r>
      <w:r w:rsidR="00F456BA">
        <w:rPr>
          <w:szCs w:val="24"/>
        </w:rPr>
        <w:t>ne</w:t>
      </w:r>
      <w:r w:rsidR="00B4353C">
        <w:rPr>
          <w:szCs w:val="24"/>
        </w:rPr>
        <w:t>pocházelo výlučně od zůstavitele.</w:t>
      </w:r>
      <w:r w:rsidR="00F456BA">
        <w:rPr>
          <w:rStyle w:val="Znakapoznpodarou"/>
          <w:szCs w:val="24"/>
        </w:rPr>
        <w:footnoteReference w:id="77"/>
      </w:r>
    </w:p>
    <w:p w:rsidR="00775D63" w:rsidRDefault="0095611C" w:rsidP="00747855">
      <w:pPr>
        <w:spacing w:after="0"/>
        <w:ind w:firstLine="567"/>
        <w:rPr>
          <w:szCs w:val="24"/>
        </w:rPr>
      </w:pPr>
      <w:r>
        <w:rPr>
          <w:szCs w:val="24"/>
        </w:rPr>
        <w:t xml:space="preserve">Pokud se jedná </w:t>
      </w:r>
      <w:r w:rsidR="002F1D8A">
        <w:rPr>
          <w:szCs w:val="24"/>
        </w:rPr>
        <w:t xml:space="preserve">o dataci </w:t>
      </w:r>
      <w:proofErr w:type="spellStart"/>
      <w:r w:rsidR="002F1D8A">
        <w:rPr>
          <w:szCs w:val="24"/>
        </w:rPr>
        <w:t>allografní</w:t>
      </w:r>
      <w:proofErr w:type="spellEnd"/>
      <w:r w:rsidR="002F1D8A">
        <w:rPr>
          <w:szCs w:val="24"/>
        </w:rPr>
        <w:t xml:space="preserve"> závěti plat</w:t>
      </w:r>
      <w:r>
        <w:rPr>
          <w:szCs w:val="24"/>
        </w:rPr>
        <w:t>í pro n</w:t>
      </w:r>
      <w:r w:rsidR="00E67EFF">
        <w:rPr>
          <w:szCs w:val="24"/>
        </w:rPr>
        <w:t>i</w:t>
      </w:r>
      <w:r w:rsidR="007B10CE">
        <w:rPr>
          <w:szCs w:val="24"/>
        </w:rPr>
        <w:t xml:space="preserve"> </w:t>
      </w:r>
      <w:r>
        <w:rPr>
          <w:szCs w:val="24"/>
        </w:rPr>
        <w:t xml:space="preserve">obdobná pravidla jako </w:t>
      </w:r>
      <w:r w:rsidR="00ED305B">
        <w:rPr>
          <w:szCs w:val="24"/>
        </w:rPr>
        <w:t xml:space="preserve">u </w:t>
      </w:r>
      <w:r>
        <w:rPr>
          <w:szCs w:val="24"/>
        </w:rPr>
        <w:t>závěti holografní</w:t>
      </w:r>
      <w:r w:rsidR="00C03F70">
        <w:rPr>
          <w:szCs w:val="24"/>
        </w:rPr>
        <w:t>,</w:t>
      </w:r>
      <w:r w:rsidR="002A24D7">
        <w:rPr>
          <w:szCs w:val="24"/>
        </w:rPr>
        <w:t xml:space="preserve"> jak je uvedeno v</w:t>
      </w:r>
      <w:r w:rsidR="006B1A80">
        <w:rPr>
          <w:szCs w:val="24"/>
        </w:rPr>
        <w:t> </w:t>
      </w:r>
      <w:r w:rsidR="006B1A80" w:rsidRPr="006B1A80">
        <w:rPr>
          <w:szCs w:val="24"/>
        </w:rPr>
        <w:t>kapitole 3.1.3</w:t>
      </w:r>
      <w:r w:rsidR="00DE0139">
        <w:rPr>
          <w:szCs w:val="24"/>
        </w:rPr>
        <w:t xml:space="preserve">. </w:t>
      </w:r>
      <w:r w:rsidR="007866EF">
        <w:rPr>
          <w:szCs w:val="24"/>
        </w:rPr>
        <w:t xml:space="preserve">Za dobu pořízení </w:t>
      </w:r>
      <w:proofErr w:type="spellStart"/>
      <w:r w:rsidR="007866EF">
        <w:rPr>
          <w:szCs w:val="24"/>
        </w:rPr>
        <w:t>a</w:t>
      </w:r>
      <w:r w:rsidR="00450F87">
        <w:rPr>
          <w:szCs w:val="24"/>
        </w:rPr>
        <w:t>llografní</w:t>
      </w:r>
      <w:proofErr w:type="spellEnd"/>
      <w:r w:rsidR="00450F87">
        <w:rPr>
          <w:szCs w:val="24"/>
        </w:rPr>
        <w:t xml:space="preserve"> závě</w:t>
      </w:r>
      <w:r w:rsidR="007866EF">
        <w:rPr>
          <w:szCs w:val="24"/>
        </w:rPr>
        <w:t>ti</w:t>
      </w:r>
      <w:r w:rsidR="00450F87">
        <w:rPr>
          <w:szCs w:val="24"/>
        </w:rPr>
        <w:t xml:space="preserve"> </w:t>
      </w:r>
      <w:r w:rsidR="007B10CE">
        <w:rPr>
          <w:szCs w:val="24"/>
        </w:rPr>
        <w:t xml:space="preserve">lze </w:t>
      </w:r>
      <w:r w:rsidR="00B807CB">
        <w:rPr>
          <w:szCs w:val="24"/>
        </w:rPr>
        <w:t>ve smyslu §</w:t>
      </w:r>
      <w:r w:rsidR="00B532D4">
        <w:rPr>
          <w:szCs w:val="24"/>
        </w:rPr>
        <w:t> </w:t>
      </w:r>
      <w:r w:rsidR="00B807CB">
        <w:rPr>
          <w:szCs w:val="24"/>
        </w:rPr>
        <w:t xml:space="preserve">1494 odst. 1 NOZ </w:t>
      </w:r>
      <w:r w:rsidR="007866EF">
        <w:rPr>
          <w:szCs w:val="24"/>
        </w:rPr>
        <w:t>považovat</w:t>
      </w:r>
      <w:r w:rsidR="00B807CB">
        <w:rPr>
          <w:szCs w:val="24"/>
        </w:rPr>
        <w:t xml:space="preserve"> okamžik podpisu </w:t>
      </w:r>
      <w:r w:rsidR="002F1D8A">
        <w:rPr>
          <w:szCs w:val="24"/>
        </w:rPr>
        <w:t>svědky</w:t>
      </w:r>
      <w:r w:rsidR="00E67EFF">
        <w:rPr>
          <w:szCs w:val="24"/>
        </w:rPr>
        <w:t xml:space="preserve">, </w:t>
      </w:r>
      <w:r w:rsidR="00981D1D">
        <w:rPr>
          <w:szCs w:val="24"/>
        </w:rPr>
        <w:t xml:space="preserve">nikoliv </w:t>
      </w:r>
      <w:r w:rsidR="00032479">
        <w:rPr>
          <w:szCs w:val="24"/>
        </w:rPr>
        <w:t xml:space="preserve">okamžik </w:t>
      </w:r>
      <w:r w:rsidR="00981D1D">
        <w:rPr>
          <w:szCs w:val="24"/>
        </w:rPr>
        <w:t>podpis</w:t>
      </w:r>
      <w:r w:rsidR="002F1D8A">
        <w:rPr>
          <w:szCs w:val="24"/>
        </w:rPr>
        <w:t>u</w:t>
      </w:r>
      <w:r w:rsidR="00E67EFF">
        <w:rPr>
          <w:szCs w:val="24"/>
        </w:rPr>
        <w:t xml:space="preserve"> </w:t>
      </w:r>
      <w:r w:rsidR="00981D1D">
        <w:rPr>
          <w:szCs w:val="24"/>
        </w:rPr>
        <w:t>zůstavitele</w:t>
      </w:r>
      <w:r w:rsidR="00BC59DC">
        <w:rPr>
          <w:szCs w:val="24"/>
        </w:rPr>
        <w:t>. Ten ji může podepsat kdykoliv před tím</w:t>
      </w:r>
      <w:r w:rsidR="0017282C">
        <w:rPr>
          <w:szCs w:val="24"/>
        </w:rPr>
        <w:t>, než</w:t>
      </w:r>
      <w:r w:rsidR="0017282C" w:rsidRPr="0017282C">
        <w:t xml:space="preserve"> </w:t>
      </w:r>
      <w:r w:rsidR="0017282C" w:rsidRPr="0017282C">
        <w:rPr>
          <w:szCs w:val="24"/>
        </w:rPr>
        <w:t>před dvěma současně přítomnými svědky prohlásí, že listina obsahuje jeho poslední vůli</w:t>
      </w:r>
      <w:r w:rsidR="00A532DC">
        <w:rPr>
          <w:szCs w:val="24"/>
        </w:rPr>
        <w:t>, nejpozději však v tento den.</w:t>
      </w:r>
      <w:r w:rsidR="00105969">
        <w:rPr>
          <w:rStyle w:val="Znakapoznpodarou"/>
          <w:szCs w:val="24"/>
        </w:rPr>
        <w:footnoteReference w:id="78"/>
      </w:r>
      <w:r w:rsidR="00981D1D">
        <w:rPr>
          <w:szCs w:val="24"/>
        </w:rPr>
        <w:t xml:space="preserve"> Pokud </w:t>
      </w:r>
      <w:r w:rsidR="00C62D02">
        <w:rPr>
          <w:szCs w:val="24"/>
        </w:rPr>
        <w:t>z </w:t>
      </w:r>
      <w:proofErr w:type="spellStart"/>
      <w:r w:rsidR="00C62D02">
        <w:rPr>
          <w:szCs w:val="24"/>
        </w:rPr>
        <w:t>allografní</w:t>
      </w:r>
      <w:proofErr w:type="spellEnd"/>
      <w:r w:rsidR="00C62D02">
        <w:rPr>
          <w:szCs w:val="24"/>
        </w:rPr>
        <w:t xml:space="preserve"> závěti nebude zřejmý den, měsíc a rok</w:t>
      </w:r>
      <w:r w:rsidR="00832605">
        <w:rPr>
          <w:szCs w:val="24"/>
        </w:rPr>
        <w:t xml:space="preserve"> jejího pořízení</w:t>
      </w:r>
      <w:r w:rsidR="00C62D02">
        <w:rPr>
          <w:szCs w:val="24"/>
        </w:rPr>
        <w:t xml:space="preserve">, protože ji svědci </w:t>
      </w:r>
      <w:r w:rsidR="00832605">
        <w:rPr>
          <w:szCs w:val="24"/>
        </w:rPr>
        <w:t xml:space="preserve">při </w:t>
      </w:r>
      <w:r w:rsidR="00832605">
        <w:rPr>
          <w:szCs w:val="24"/>
        </w:rPr>
        <w:lastRenderedPageBreak/>
        <w:t xml:space="preserve">podpisu </w:t>
      </w:r>
      <w:r w:rsidR="00C62D02">
        <w:rPr>
          <w:szCs w:val="24"/>
        </w:rPr>
        <w:t>neopatřili alespoň částečně zřejmým datem a přitom tato doba bude významná</w:t>
      </w:r>
      <w:r w:rsidR="00832605">
        <w:rPr>
          <w:szCs w:val="24"/>
        </w:rPr>
        <w:t xml:space="preserve"> pro platnost závěti</w:t>
      </w:r>
      <w:r w:rsidR="00C62D02">
        <w:rPr>
          <w:szCs w:val="24"/>
        </w:rPr>
        <w:t xml:space="preserve">, </w:t>
      </w:r>
      <w:r w:rsidR="00FC5E27">
        <w:rPr>
          <w:szCs w:val="24"/>
        </w:rPr>
        <w:t xml:space="preserve">bude </w:t>
      </w:r>
      <w:r w:rsidR="00A93ADA">
        <w:rPr>
          <w:szCs w:val="24"/>
        </w:rPr>
        <w:t>nutné</w:t>
      </w:r>
      <w:r w:rsidR="00FC5E27">
        <w:rPr>
          <w:szCs w:val="24"/>
        </w:rPr>
        <w:t xml:space="preserve"> prokázat dobu pořízení</w:t>
      </w:r>
      <w:r w:rsidR="002F1D8A">
        <w:rPr>
          <w:szCs w:val="24"/>
        </w:rPr>
        <w:t xml:space="preserve"> jiným způsobem.</w:t>
      </w:r>
    </w:p>
    <w:p w:rsidR="00775D63" w:rsidRDefault="00A93ADA" w:rsidP="00747855">
      <w:pPr>
        <w:spacing w:after="0"/>
        <w:ind w:firstLine="567"/>
        <w:rPr>
          <w:color w:val="FF0000"/>
          <w:szCs w:val="24"/>
        </w:rPr>
      </w:pPr>
      <w:r>
        <w:rPr>
          <w:szCs w:val="24"/>
        </w:rPr>
        <w:t>Lze předpokládat, že dobu</w:t>
      </w:r>
      <w:r w:rsidR="00314E99">
        <w:rPr>
          <w:szCs w:val="24"/>
        </w:rPr>
        <w:t xml:space="preserve"> pořízení </w:t>
      </w:r>
      <w:proofErr w:type="spellStart"/>
      <w:r w:rsidR="00314E99">
        <w:rPr>
          <w:szCs w:val="24"/>
        </w:rPr>
        <w:t>allografní</w:t>
      </w:r>
      <w:proofErr w:type="spellEnd"/>
      <w:r w:rsidR="00314E99">
        <w:rPr>
          <w:szCs w:val="24"/>
        </w:rPr>
        <w:t xml:space="preserve"> </w:t>
      </w:r>
      <w:r w:rsidR="0091539F">
        <w:rPr>
          <w:szCs w:val="24"/>
        </w:rPr>
        <w:t xml:space="preserve">závěti </w:t>
      </w:r>
      <w:r w:rsidR="00314E99">
        <w:rPr>
          <w:szCs w:val="24"/>
        </w:rPr>
        <w:t>je možno prokázat též výpovědí</w:t>
      </w:r>
      <w:r>
        <w:rPr>
          <w:szCs w:val="24"/>
        </w:rPr>
        <w:t xml:space="preserve"> svědků</w:t>
      </w:r>
      <w:r w:rsidR="00832605">
        <w:rPr>
          <w:szCs w:val="24"/>
        </w:rPr>
        <w:t xml:space="preserve"> </w:t>
      </w:r>
      <w:r w:rsidR="007A5CE5">
        <w:rPr>
          <w:szCs w:val="24"/>
        </w:rPr>
        <w:t>účastných pořízení</w:t>
      </w:r>
      <w:r w:rsidR="00314E99">
        <w:rPr>
          <w:szCs w:val="24"/>
        </w:rPr>
        <w:t xml:space="preserve">, zvláště když </w:t>
      </w:r>
      <w:r w:rsidR="00087306">
        <w:rPr>
          <w:szCs w:val="24"/>
        </w:rPr>
        <w:t xml:space="preserve">§ 146 odst. 1 ZŘS </w:t>
      </w:r>
      <w:r w:rsidR="00314E99">
        <w:rPr>
          <w:szCs w:val="24"/>
        </w:rPr>
        <w:t xml:space="preserve">ukládá soudu povinnost </w:t>
      </w:r>
      <w:r w:rsidR="00087306">
        <w:rPr>
          <w:szCs w:val="24"/>
        </w:rPr>
        <w:t xml:space="preserve">tyto svědky </w:t>
      </w:r>
      <w:r w:rsidR="004C1145">
        <w:rPr>
          <w:szCs w:val="24"/>
        </w:rPr>
        <w:t xml:space="preserve">vždy </w:t>
      </w:r>
      <w:r w:rsidR="00087306">
        <w:rPr>
          <w:szCs w:val="24"/>
        </w:rPr>
        <w:t xml:space="preserve">vyslechnout. </w:t>
      </w:r>
      <w:r w:rsidR="007A5CE5">
        <w:rPr>
          <w:szCs w:val="24"/>
        </w:rPr>
        <w:t>Úlohou svědka není jen</w:t>
      </w:r>
      <w:r w:rsidR="00067710">
        <w:rPr>
          <w:szCs w:val="24"/>
        </w:rPr>
        <w:t xml:space="preserve"> prokázání totožnosti zůstavitele</w:t>
      </w:r>
      <w:r w:rsidR="007A5CE5">
        <w:rPr>
          <w:szCs w:val="24"/>
        </w:rPr>
        <w:t xml:space="preserve"> ve smyslu </w:t>
      </w:r>
      <w:r w:rsidR="00067710">
        <w:rPr>
          <w:szCs w:val="24"/>
        </w:rPr>
        <w:t>§ 1539 odst. 1 NOZ</w:t>
      </w:r>
      <w:r w:rsidR="007A5CE5">
        <w:rPr>
          <w:szCs w:val="24"/>
        </w:rPr>
        <w:t xml:space="preserve"> a</w:t>
      </w:r>
      <w:r w:rsidR="00B532D4">
        <w:rPr>
          <w:szCs w:val="24"/>
        </w:rPr>
        <w:t> </w:t>
      </w:r>
      <w:r w:rsidR="007A5CE5">
        <w:rPr>
          <w:szCs w:val="24"/>
        </w:rPr>
        <w:t>osvědčení jeho poslední vůle, ale také poskytnutí jiných důležitých údajů vč</w:t>
      </w:r>
      <w:r w:rsidR="00A532DC">
        <w:rPr>
          <w:szCs w:val="24"/>
        </w:rPr>
        <w:t>etně doby a</w:t>
      </w:r>
      <w:r w:rsidR="00B532D4">
        <w:rPr>
          <w:szCs w:val="24"/>
        </w:rPr>
        <w:t> </w:t>
      </w:r>
      <w:r w:rsidR="00A532DC">
        <w:rPr>
          <w:szCs w:val="24"/>
        </w:rPr>
        <w:t>okolností pořízení.</w:t>
      </w:r>
      <w:r w:rsidR="006C45A4">
        <w:rPr>
          <w:rStyle w:val="Znakapoznpodarou"/>
          <w:szCs w:val="24"/>
        </w:rPr>
        <w:footnoteReference w:id="79"/>
      </w:r>
      <w:r w:rsidR="006C45A4">
        <w:rPr>
          <w:szCs w:val="24"/>
        </w:rPr>
        <w:t xml:space="preserve"> </w:t>
      </w:r>
      <w:r w:rsidR="007735AF" w:rsidRPr="007735AF">
        <w:rPr>
          <w:szCs w:val="24"/>
        </w:rPr>
        <w:t>Nelze vyloučit</w:t>
      </w:r>
      <w:r w:rsidR="006F5051" w:rsidRPr="007735AF">
        <w:rPr>
          <w:szCs w:val="24"/>
        </w:rPr>
        <w:t xml:space="preserve"> ani možnost dovození doby pořízení závěti z její datace učiněné eventuálně zůstavitelem při jeho podpisu závěti.</w:t>
      </w:r>
    </w:p>
    <w:p w:rsidR="0095611C" w:rsidRDefault="007A5CE5" w:rsidP="00747855">
      <w:pPr>
        <w:spacing w:after="0"/>
        <w:ind w:firstLine="567"/>
        <w:rPr>
          <w:szCs w:val="24"/>
        </w:rPr>
      </w:pPr>
      <w:r>
        <w:rPr>
          <w:szCs w:val="24"/>
        </w:rPr>
        <w:t>V zájmu právní jistoty</w:t>
      </w:r>
      <w:r w:rsidR="00E3322C">
        <w:rPr>
          <w:szCs w:val="24"/>
        </w:rPr>
        <w:t xml:space="preserve"> </w:t>
      </w:r>
      <w:r w:rsidR="0091539F">
        <w:rPr>
          <w:szCs w:val="24"/>
        </w:rPr>
        <w:t>lze doporučit</w:t>
      </w:r>
      <w:r w:rsidR="003C3FD1">
        <w:rPr>
          <w:szCs w:val="24"/>
        </w:rPr>
        <w:t xml:space="preserve">, aby jednotlivé úkony </w:t>
      </w:r>
      <w:r w:rsidR="00BF461E">
        <w:rPr>
          <w:szCs w:val="24"/>
        </w:rPr>
        <w:t xml:space="preserve">vyžadované § 1534 NOZ byly vykonány v bezprostřední časové souvislosti v jeden den, </w:t>
      </w:r>
      <w:r w:rsidR="00BF461E" w:rsidRPr="00BF461E">
        <w:rPr>
          <w:szCs w:val="24"/>
        </w:rPr>
        <w:t>tak aby se jevily jako jednotné právní jednání</w:t>
      </w:r>
      <w:r w:rsidR="00E40342" w:rsidRPr="00E40342">
        <w:rPr>
          <w:rStyle w:val="Znakapoznpodarou"/>
          <w:szCs w:val="24"/>
        </w:rPr>
        <w:footnoteReference w:id="80"/>
      </w:r>
      <w:r w:rsidR="00E40342">
        <w:rPr>
          <w:szCs w:val="24"/>
        </w:rPr>
        <w:t xml:space="preserve"> </w:t>
      </w:r>
      <w:r w:rsidR="00BF461E">
        <w:rPr>
          <w:szCs w:val="24"/>
        </w:rPr>
        <w:t xml:space="preserve">s tím, že jej svědci </w:t>
      </w:r>
      <w:r w:rsidR="00CF773E">
        <w:rPr>
          <w:szCs w:val="24"/>
        </w:rPr>
        <w:t xml:space="preserve">kromě podpisu </w:t>
      </w:r>
      <w:r w:rsidR="00E40342">
        <w:rPr>
          <w:szCs w:val="24"/>
        </w:rPr>
        <w:t xml:space="preserve">opatří úplným </w:t>
      </w:r>
      <w:r w:rsidR="00CF773E">
        <w:rPr>
          <w:szCs w:val="24"/>
        </w:rPr>
        <w:t>datem</w:t>
      </w:r>
      <w:r w:rsidR="00E40342">
        <w:rPr>
          <w:szCs w:val="24"/>
        </w:rPr>
        <w:t>.</w:t>
      </w:r>
    </w:p>
    <w:p w:rsidR="009F2E41" w:rsidRPr="00664A54" w:rsidRDefault="00664A54" w:rsidP="00664A54">
      <w:pPr>
        <w:pStyle w:val="Nadpis3"/>
      </w:pPr>
      <w:bookmarkStart w:id="34" w:name="_Toc436779472"/>
      <w:bookmarkStart w:id="35" w:name="_Toc437225066"/>
      <w:r w:rsidRPr="00664A54">
        <w:t>3.2.2</w:t>
      </w:r>
      <w:r w:rsidR="00BD722B">
        <w:tab/>
      </w:r>
      <w:proofErr w:type="spellStart"/>
      <w:r w:rsidR="009F2E41" w:rsidRPr="00664A54">
        <w:t>Allografní</w:t>
      </w:r>
      <w:proofErr w:type="spellEnd"/>
      <w:r w:rsidR="009F2E41" w:rsidRPr="00664A54">
        <w:t xml:space="preserve"> závěť speciální</w:t>
      </w:r>
      <w:bookmarkEnd w:id="34"/>
      <w:bookmarkEnd w:id="35"/>
    </w:p>
    <w:p w:rsidR="009F2E41" w:rsidRDefault="009F2E41" w:rsidP="009F2E41">
      <w:pPr>
        <w:pStyle w:val="DiplTEXT"/>
        <w:spacing w:after="0"/>
        <w:ind w:firstLine="567"/>
      </w:pPr>
      <w:r>
        <w:t>NOZ</w:t>
      </w:r>
      <w:r w:rsidRPr="00DA0B8E">
        <w:t xml:space="preserve"> </w:t>
      </w:r>
      <w:r>
        <w:t xml:space="preserve">stanoví zvláštní režim pro pořízení </w:t>
      </w:r>
      <w:proofErr w:type="spellStart"/>
      <w:r>
        <w:t>allografní</w:t>
      </w:r>
      <w:proofErr w:type="spellEnd"/>
      <w:r>
        <w:t xml:space="preserve"> závěti osobami nevidomými a</w:t>
      </w:r>
      <w:r w:rsidR="004F0574">
        <w:t> </w:t>
      </w:r>
      <w:r>
        <w:t>osobami se smyslovým postižením, které nemohou číst nebo psát. Těmto osobám je zákonem umožněno pořizovat formou soukromé listiny před třemi současně přítomnými svědky podle §§ 1535 a 1536 NOZ</w:t>
      </w:r>
      <w:r w:rsidR="003424F0">
        <w:t>,</w:t>
      </w:r>
      <w:r>
        <w:t xml:space="preserve"> nebo ve formě veřejné listiny podle § 1537 NOZ.</w:t>
      </w:r>
    </w:p>
    <w:p w:rsidR="009F2E41" w:rsidRDefault="009F2E41" w:rsidP="009F2E41">
      <w:pPr>
        <w:pStyle w:val="DiplTEXT"/>
        <w:spacing w:after="0"/>
        <w:ind w:firstLine="567"/>
        <w:rPr>
          <w:color w:val="FF0000"/>
        </w:rPr>
      </w:pPr>
      <w:r>
        <w:t>Současná právní úprava vychází u závětí osob nevidomých, osob se smyslovým postižením, které nemohou číst a psát</w:t>
      </w:r>
      <w:r w:rsidR="003424F0">
        <w:t>,</w:t>
      </w:r>
      <w:r>
        <w:t xml:space="preserve"> a </w:t>
      </w:r>
      <w:r w:rsidR="003424F0">
        <w:t xml:space="preserve">u </w:t>
      </w:r>
      <w:r>
        <w:t xml:space="preserve">speciálních náležitostí závětí těchto osob z OZ64, konkrétně </w:t>
      </w:r>
      <w:r w:rsidR="003424F0">
        <w:t xml:space="preserve">z </w:t>
      </w:r>
      <w:r>
        <w:t xml:space="preserve">§ 476d odst. 3 až 5. Oproti předchozí úpravě však NOZ nepřevzal § 476c OZ64, který umožňoval pořídit soukromou </w:t>
      </w:r>
      <w:proofErr w:type="spellStart"/>
      <w:r>
        <w:t>allografní</w:t>
      </w:r>
      <w:proofErr w:type="spellEnd"/>
      <w:r>
        <w:t xml:space="preserve"> závěť</w:t>
      </w:r>
      <w:r w:rsidRPr="005A35F1">
        <w:t xml:space="preserve"> </w:t>
      </w:r>
      <w:r>
        <w:t xml:space="preserve">mimo jiné osobám, které nemohou číst nebo psát, protože jsou negramotné nebo jejichž aktuální zdravotní stav jim neumožňuje psát, např. z důvodu úrazu obou horních končetin. Vzhledem k tomu, že uvedené situace nespadají pod zákonný požadavek smyslového postižení podle § 1535 odst. 2 NOZ a využití jiné formy závěti nebude možné, bude dnes zůstavitel odkázán na pořízení formou notářského zápisu podle § 65 NŘ. Nabízí se otázka, zda takové zúžení okruhu osob, které mohou pořídit speciální formou </w:t>
      </w:r>
      <w:proofErr w:type="spellStart"/>
      <w:r>
        <w:t>allografní</w:t>
      </w:r>
      <w:proofErr w:type="spellEnd"/>
      <w:r>
        <w:t xml:space="preserve"> závěti, není v rozporu se zásadou autonomie vůle zůstavitele a</w:t>
      </w:r>
      <w:r w:rsidR="00B532D4">
        <w:t> </w:t>
      </w:r>
      <w:r>
        <w:t xml:space="preserve">nenahrává kritizovanému </w:t>
      </w:r>
      <w:proofErr w:type="gramStart"/>
      <w:r>
        <w:t>omezovaní</w:t>
      </w:r>
      <w:proofErr w:type="gramEnd"/>
      <w:r>
        <w:t xml:space="preserve"> jeho pořizovací volnosti. Lze se domnívat, že zákonodárce přistoupil k takovému řešení v zájmu zabránění rizika</w:t>
      </w:r>
      <w:r w:rsidRPr="00D769B6">
        <w:t xml:space="preserve"> </w:t>
      </w:r>
      <w:r>
        <w:t>možného zfalšování závěti, protože schopnost číst nebo psát se obtížně prokazuje.</w:t>
      </w:r>
      <w:r>
        <w:rPr>
          <w:rStyle w:val="Znakapoznpodarou"/>
        </w:rPr>
        <w:footnoteReference w:id="81"/>
      </w:r>
    </w:p>
    <w:p w:rsidR="009F2E41" w:rsidRDefault="009F2E41" w:rsidP="009F2E41">
      <w:pPr>
        <w:pStyle w:val="DiplTEXT"/>
        <w:spacing w:after="0"/>
        <w:ind w:firstLine="567"/>
      </w:pPr>
      <w:r w:rsidRPr="007B646F">
        <w:t xml:space="preserve">K platnosti závěti pořizované nevidomým zůstavitelem je podle § 1535 odst. 1 NOZ vyžadováno, aby jeden ze tří současně přítomných svědků, který není pisatelem závěti, přečetl </w:t>
      </w:r>
      <w:r w:rsidRPr="007B646F">
        <w:lastRenderedPageBreak/>
        <w:t>nahlas listinu obsahující poslední vůli zů</w:t>
      </w:r>
      <w:r w:rsidR="0087135E">
        <w:t xml:space="preserve">stavitele a zůstavitel pak </w:t>
      </w:r>
      <w:r w:rsidRPr="007B646F">
        <w:t>před třemi současn</w:t>
      </w:r>
      <w:r w:rsidR="009E2901">
        <w:t>ě přítomnými svědky potvrdi</w:t>
      </w:r>
      <w:r w:rsidR="0087135E">
        <w:t>l</w:t>
      </w:r>
      <w:r w:rsidRPr="007B646F">
        <w:t xml:space="preserve">, že listina obsahuje jeho poslední vůli. Osoba se smyslovým postižením, která současně nemůže číst nebo psát, může pořídit podle § 1535 odst. 2 NOZ. Pro pořízení závěti osobou se smyslovým postižením, která současně nemůže číst nebo psát, platí § 1535 odst. 2 NOZ obsahující obdobná pravidla s tím rozdílem, že obsah listiny s poslední </w:t>
      </w:r>
      <w:r>
        <w:t>vůlí</w:t>
      </w:r>
      <w:r w:rsidRPr="007B646F">
        <w:t xml:space="preserve"> zůstavitele musí být tlumočen jedním ze svědků </w:t>
      </w:r>
      <w:r>
        <w:t>(</w:t>
      </w:r>
      <w:proofErr w:type="spellStart"/>
      <w:r>
        <w:t>nepisatelem</w:t>
      </w:r>
      <w:proofErr w:type="spellEnd"/>
      <w:r>
        <w:t xml:space="preserve"> závěti) </w:t>
      </w:r>
      <w:r w:rsidRPr="007B646F">
        <w:t>zvláštním způsobem dorozumívání, který si zůstavitel zvolí, přičemž všichni současně přítomní svědci musí tento způsob dorozumívání ovládat. Zůstavitel musí týmž způsobem dorozumívání před třemi současně přítomnými svědky potvrdit, že listina obsahuje jeho poslední vůli.</w:t>
      </w:r>
      <w:r>
        <w:rPr>
          <w:rStyle w:val="Znakapoznpodarou"/>
        </w:rPr>
        <w:footnoteReference w:id="82"/>
      </w:r>
      <w:r>
        <w:t xml:space="preserve"> Další náležitosti nutné pro perfektnost těchto závětí stanoví § 1536 NOZ. </w:t>
      </w:r>
    </w:p>
    <w:p w:rsidR="009F2E41" w:rsidRPr="00975E4C" w:rsidRDefault="009F2E41" w:rsidP="009F2E41">
      <w:pPr>
        <w:pStyle w:val="DiplTEXT"/>
        <w:spacing w:after="0"/>
        <w:ind w:firstLine="567"/>
      </w:pPr>
      <w:r>
        <w:t xml:space="preserve">Pro obě skupiny těchto speciálních </w:t>
      </w:r>
      <w:proofErr w:type="spellStart"/>
      <w:r>
        <w:t>allografních</w:t>
      </w:r>
      <w:proofErr w:type="spellEnd"/>
      <w:r>
        <w:t xml:space="preserve"> závětí platí, že kromě svědků musí listinu podepsat zůstavitel. Nemůže-li zůstavitel psát, použije se § 563 NOZ obdobně, </w:t>
      </w:r>
      <w:proofErr w:type="gramStart"/>
      <w:r>
        <w:t>tzn. že</w:t>
      </w:r>
      <w:proofErr w:type="gramEnd"/>
      <w:r>
        <w:t xml:space="preserve"> učiní na listině v přítomnosti dvou svědků rukou nebo jinak vlastní znamení, ke kterému jeden ze svědků připíše jméno zůstavitele. Na rozdíl od § 580 OZO lze proto učinit vlastní znamení nejen rukou, např. otiskem prstu, ale i nohou zůstavitele, otiskem nohy nebo tužkou v puse.</w:t>
      </w:r>
      <w:r>
        <w:rPr>
          <w:rStyle w:val="Znakapoznpodarou"/>
        </w:rPr>
        <w:footnoteReference w:id="83"/>
      </w:r>
      <w:r>
        <w:t xml:space="preserve"> I když musí být učinění vlastního znamení svědecky potvrzeno, mohou vzniknout pochybnosti o tom, zda jej skutečně učinil zůstavitel. Vyšší míru průkaznosti splňuje otisk prstu ruky, zvlášť tehdy, je-li zařazen v nějaké zvláštní úřední evidenci. Proto je použití tohoto způsobu z hlediska právní jistoty vhodnější než např. </w:t>
      </w:r>
      <w:r w:rsidRPr="00975E4C">
        <w:t>otisk nohy, o němž se ú</w:t>
      </w:r>
      <w:r w:rsidR="00975E4C" w:rsidRPr="00975E4C">
        <w:t>řední evidence obecně nevede</w:t>
      </w:r>
      <w:r w:rsidRPr="00975E4C">
        <w:t>.</w:t>
      </w:r>
    </w:p>
    <w:p w:rsidR="00747855" w:rsidRPr="00AD0CF7" w:rsidRDefault="00D42FBF" w:rsidP="008C3441">
      <w:pPr>
        <w:pStyle w:val="Nadpis3"/>
        <w:rPr>
          <w:color w:val="FF0000"/>
        </w:rPr>
      </w:pPr>
      <w:bookmarkStart w:id="36" w:name="_Toc436779473"/>
      <w:bookmarkStart w:id="37" w:name="_Toc437225067"/>
      <w:r>
        <w:t>3.2.3</w:t>
      </w:r>
      <w:r w:rsidR="00B532D4">
        <w:tab/>
      </w:r>
      <w:r w:rsidR="00747855" w:rsidRPr="004B3C1A">
        <w:t>Svědci</w:t>
      </w:r>
      <w:r>
        <w:t xml:space="preserve"> </w:t>
      </w:r>
      <w:proofErr w:type="spellStart"/>
      <w:r w:rsidRPr="008074AB">
        <w:t>allografních</w:t>
      </w:r>
      <w:proofErr w:type="spellEnd"/>
      <w:r>
        <w:t xml:space="preserve"> závětí</w:t>
      </w:r>
      <w:bookmarkEnd w:id="36"/>
      <w:bookmarkEnd w:id="37"/>
    </w:p>
    <w:p w:rsidR="00747855" w:rsidRPr="005F4AC7" w:rsidRDefault="00FB684F" w:rsidP="00747855">
      <w:pPr>
        <w:spacing w:after="0"/>
        <w:ind w:firstLine="567"/>
        <w:rPr>
          <w:strike/>
          <w:szCs w:val="24"/>
        </w:rPr>
      </w:pPr>
      <w:r>
        <w:rPr>
          <w:szCs w:val="24"/>
        </w:rPr>
        <w:t xml:space="preserve">Jednou ze specifických </w:t>
      </w:r>
      <w:r w:rsidR="00747855">
        <w:rPr>
          <w:szCs w:val="24"/>
        </w:rPr>
        <w:t xml:space="preserve">náležitostí </w:t>
      </w:r>
      <w:proofErr w:type="spellStart"/>
      <w:r>
        <w:rPr>
          <w:szCs w:val="24"/>
        </w:rPr>
        <w:t>allografních</w:t>
      </w:r>
      <w:proofErr w:type="spellEnd"/>
      <w:r>
        <w:rPr>
          <w:szCs w:val="24"/>
        </w:rPr>
        <w:t xml:space="preserve"> závětí je obligatorní účast svědků při jejich pořízení</w:t>
      </w:r>
      <w:r w:rsidR="00747855">
        <w:rPr>
          <w:szCs w:val="24"/>
        </w:rPr>
        <w:t xml:space="preserve">. </w:t>
      </w:r>
      <w:r w:rsidR="00747855" w:rsidRPr="008B698C">
        <w:rPr>
          <w:szCs w:val="24"/>
        </w:rPr>
        <w:t xml:space="preserve">Požadavky na osobu svědka </w:t>
      </w:r>
      <w:r>
        <w:rPr>
          <w:szCs w:val="24"/>
        </w:rPr>
        <w:t>jsou stanoveny v</w:t>
      </w:r>
      <w:r w:rsidR="007663F2">
        <w:rPr>
          <w:szCs w:val="24"/>
        </w:rPr>
        <w:t xml:space="preserve"> </w:t>
      </w:r>
      <w:r w:rsidR="00747855">
        <w:rPr>
          <w:szCs w:val="24"/>
        </w:rPr>
        <w:t xml:space="preserve">ustanoveních </w:t>
      </w:r>
      <w:r w:rsidR="00747855" w:rsidRPr="008B698C">
        <w:rPr>
          <w:szCs w:val="24"/>
        </w:rPr>
        <w:t>§§ 1539 až 1541</w:t>
      </w:r>
      <w:r w:rsidR="00747855">
        <w:rPr>
          <w:szCs w:val="24"/>
        </w:rPr>
        <w:t xml:space="preserve"> NOZ, které </w:t>
      </w:r>
      <w:r>
        <w:rPr>
          <w:szCs w:val="24"/>
        </w:rPr>
        <w:t xml:space="preserve">jsou společné pro všechny druhy </w:t>
      </w:r>
      <w:proofErr w:type="spellStart"/>
      <w:r>
        <w:rPr>
          <w:szCs w:val="24"/>
        </w:rPr>
        <w:t>allografních</w:t>
      </w:r>
      <w:proofErr w:type="spellEnd"/>
      <w:r>
        <w:rPr>
          <w:szCs w:val="24"/>
        </w:rPr>
        <w:t xml:space="preserve"> závětí </w:t>
      </w:r>
      <w:r w:rsidR="007663F2">
        <w:rPr>
          <w:szCs w:val="24"/>
        </w:rPr>
        <w:t>a jako obecná ustanovení i</w:t>
      </w:r>
      <w:r w:rsidR="004F0574">
        <w:t> </w:t>
      </w:r>
      <w:r w:rsidR="007663F2">
        <w:rPr>
          <w:szCs w:val="24"/>
        </w:rPr>
        <w:t xml:space="preserve"> k závětem privilegovaným. Platná úprava navazuje na dosavadní </w:t>
      </w:r>
      <w:r w:rsidR="00747855">
        <w:rPr>
          <w:szCs w:val="24"/>
        </w:rPr>
        <w:t xml:space="preserve">úpravu </w:t>
      </w:r>
      <w:r w:rsidR="007663F2">
        <w:rPr>
          <w:szCs w:val="24"/>
        </w:rPr>
        <w:t xml:space="preserve">svědků obsaženou </w:t>
      </w:r>
      <w:r w:rsidR="00747855">
        <w:rPr>
          <w:szCs w:val="24"/>
        </w:rPr>
        <w:t>v</w:t>
      </w:r>
      <w:r w:rsidR="004F0574">
        <w:t> </w:t>
      </w:r>
      <w:r w:rsidR="00747855">
        <w:rPr>
          <w:szCs w:val="24"/>
        </w:rPr>
        <w:t>§§ 476e a 476f OZ64</w:t>
      </w:r>
      <w:r w:rsidR="007663F2">
        <w:rPr>
          <w:szCs w:val="24"/>
        </w:rPr>
        <w:t xml:space="preserve">, kterou </w:t>
      </w:r>
      <w:r w:rsidR="00DB33B9">
        <w:rPr>
          <w:szCs w:val="24"/>
        </w:rPr>
        <w:t xml:space="preserve">pod inspirujícím </w:t>
      </w:r>
      <w:r w:rsidR="00506BB9">
        <w:rPr>
          <w:szCs w:val="24"/>
        </w:rPr>
        <w:t xml:space="preserve">vlivem prvorepublikové úpravy </w:t>
      </w:r>
      <w:r w:rsidR="007663F2">
        <w:rPr>
          <w:szCs w:val="24"/>
        </w:rPr>
        <w:t>upřesňuje</w:t>
      </w:r>
      <w:r w:rsidR="00DB33B9">
        <w:rPr>
          <w:szCs w:val="24"/>
        </w:rPr>
        <w:t xml:space="preserve"> </w:t>
      </w:r>
      <w:r w:rsidR="00954097">
        <w:rPr>
          <w:szCs w:val="24"/>
        </w:rPr>
        <w:t>a</w:t>
      </w:r>
      <w:r w:rsidR="004F0574">
        <w:t> </w:t>
      </w:r>
      <w:r w:rsidR="00954097">
        <w:rPr>
          <w:szCs w:val="24"/>
        </w:rPr>
        <w:t xml:space="preserve"> rozšiřuje.</w:t>
      </w:r>
      <w:r w:rsidR="00506BB9">
        <w:rPr>
          <w:rStyle w:val="Znakapoznpodarou"/>
          <w:szCs w:val="24"/>
        </w:rPr>
        <w:footnoteReference w:id="84"/>
      </w:r>
      <w:r w:rsidR="00506BB9">
        <w:rPr>
          <w:szCs w:val="24"/>
        </w:rPr>
        <w:t xml:space="preserve"> </w:t>
      </w:r>
      <w:r w:rsidR="002E6882">
        <w:rPr>
          <w:szCs w:val="24"/>
        </w:rPr>
        <w:t xml:space="preserve">Jelikož </w:t>
      </w:r>
      <w:r w:rsidR="00CB7866">
        <w:rPr>
          <w:szCs w:val="24"/>
        </w:rPr>
        <w:t xml:space="preserve">má </w:t>
      </w:r>
      <w:r w:rsidR="002E6882">
        <w:rPr>
          <w:szCs w:val="24"/>
        </w:rPr>
        <w:t xml:space="preserve">osoba svědka </w:t>
      </w:r>
      <w:r w:rsidR="00CB7866">
        <w:rPr>
          <w:szCs w:val="24"/>
        </w:rPr>
        <w:t xml:space="preserve">pro platnost </w:t>
      </w:r>
      <w:r w:rsidR="00CC1106">
        <w:rPr>
          <w:szCs w:val="24"/>
        </w:rPr>
        <w:t xml:space="preserve">a průkaznost </w:t>
      </w:r>
      <w:r w:rsidR="00CB7866">
        <w:rPr>
          <w:szCs w:val="24"/>
        </w:rPr>
        <w:t xml:space="preserve">závěti klíčový význam, měla by </w:t>
      </w:r>
      <w:r w:rsidR="00F448F4">
        <w:rPr>
          <w:szCs w:val="24"/>
        </w:rPr>
        <w:t xml:space="preserve">být jejich výběru věnována zvýšená pozornost, tzn. vyloučit </w:t>
      </w:r>
      <w:r w:rsidR="00950AD1">
        <w:rPr>
          <w:szCs w:val="24"/>
        </w:rPr>
        <w:t xml:space="preserve">osoby </w:t>
      </w:r>
      <w:r w:rsidR="00F448F4">
        <w:rPr>
          <w:szCs w:val="24"/>
        </w:rPr>
        <w:t xml:space="preserve">absolutně </w:t>
      </w:r>
      <w:r w:rsidR="00950AD1">
        <w:rPr>
          <w:szCs w:val="24"/>
        </w:rPr>
        <w:t>svědecky nezpůsobilé</w:t>
      </w:r>
      <w:r w:rsidR="00D42E63">
        <w:rPr>
          <w:rStyle w:val="Znakapoznpodarou"/>
          <w:szCs w:val="24"/>
        </w:rPr>
        <w:footnoteReference w:id="85"/>
      </w:r>
      <w:r w:rsidR="00950AD1">
        <w:rPr>
          <w:szCs w:val="24"/>
        </w:rPr>
        <w:t xml:space="preserve">, nedůvěryhodné </w:t>
      </w:r>
      <w:r w:rsidR="00F448F4">
        <w:rPr>
          <w:szCs w:val="24"/>
        </w:rPr>
        <w:t>nebo u nichž je předpo</w:t>
      </w:r>
      <w:r w:rsidR="00950AD1">
        <w:rPr>
          <w:szCs w:val="24"/>
        </w:rPr>
        <w:t>klad, že zůstavitele nepřežijí</w:t>
      </w:r>
      <w:r w:rsidR="00954097">
        <w:rPr>
          <w:szCs w:val="24"/>
        </w:rPr>
        <w:t>.</w:t>
      </w:r>
      <w:r w:rsidR="00747855" w:rsidRPr="0003287C">
        <w:rPr>
          <w:rStyle w:val="Znakapoznpodarou"/>
          <w:szCs w:val="24"/>
        </w:rPr>
        <w:footnoteReference w:id="86"/>
      </w:r>
      <w:r w:rsidR="00747855">
        <w:rPr>
          <w:szCs w:val="24"/>
        </w:rPr>
        <w:t xml:space="preserve"> </w:t>
      </w:r>
    </w:p>
    <w:p w:rsidR="00D01889" w:rsidRDefault="00E44BF2" w:rsidP="00547DB2">
      <w:pPr>
        <w:spacing w:after="0"/>
        <w:ind w:firstLine="567"/>
        <w:rPr>
          <w:szCs w:val="24"/>
        </w:rPr>
      </w:pPr>
      <w:r>
        <w:rPr>
          <w:szCs w:val="24"/>
        </w:rPr>
        <w:lastRenderedPageBreak/>
        <w:t>Podle § 1540 odst. 1 NOZ je</w:t>
      </w:r>
      <w:r w:rsidR="00747855">
        <w:rPr>
          <w:szCs w:val="24"/>
        </w:rPr>
        <w:t xml:space="preserve"> </w:t>
      </w:r>
      <w:r>
        <w:rPr>
          <w:szCs w:val="24"/>
        </w:rPr>
        <w:t>relativně nezpůsobilým</w:t>
      </w:r>
      <w:r w:rsidR="00747855">
        <w:rPr>
          <w:szCs w:val="24"/>
        </w:rPr>
        <w:t xml:space="preserve"> svědk</w:t>
      </w:r>
      <w:r>
        <w:rPr>
          <w:szCs w:val="24"/>
        </w:rPr>
        <w:t xml:space="preserve">em závěti dědic nebo </w:t>
      </w:r>
      <w:proofErr w:type="spellStart"/>
      <w:r>
        <w:rPr>
          <w:szCs w:val="24"/>
        </w:rPr>
        <w:t>odkazovník</w:t>
      </w:r>
      <w:proofErr w:type="spellEnd"/>
      <w:r>
        <w:rPr>
          <w:szCs w:val="24"/>
        </w:rPr>
        <w:t xml:space="preserve"> ve vztahu k tomu</w:t>
      </w:r>
      <w:r w:rsidR="00747855">
        <w:rPr>
          <w:szCs w:val="24"/>
        </w:rPr>
        <w:t xml:space="preserve">, </w:t>
      </w:r>
      <w:r>
        <w:rPr>
          <w:szCs w:val="24"/>
        </w:rPr>
        <w:t xml:space="preserve">co se mu zůstavuje, </w:t>
      </w:r>
      <w:r w:rsidR="00747855">
        <w:rPr>
          <w:szCs w:val="24"/>
        </w:rPr>
        <w:t xml:space="preserve">stejně jako osoba jim blízká </w:t>
      </w:r>
      <w:r w:rsidR="007D38E2">
        <w:rPr>
          <w:szCs w:val="24"/>
        </w:rPr>
        <w:t>nebo</w:t>
      </w:r>
      <w:r w:rsidR="00747855">
        <w:rPr>
          <w:szCs w:val="24"/>
        </w:rPr>
        <w:t xml:space="preserve"> jejich zaměstnanec</w:t>
      </w:r>
      <w:r>
        <w:rPr>
          <w:szCs w:val="24"/>
        </w:rPr>
        <w:t xml:space="preserve">. </w:t>
      </w:r>
      <w:r w:rsidR="0096723D">
        <w:rPr>
          <w:szCs w:val="24"/>
        </w:rPr>
        <w:t xml:space="preserve">Chce-li však přesto zůstavitel takovému svědku něco platně zůstavit, musí podle odst. 2 § 1540 NOZ příslušné ustanovení závěti napsat vlastní rukou nebo jej musí potvrdit tři svědci. </w:t>
      </w:r>
      <w:r w:rsidR="005B48A7">
        <w:rPr>
          <w:szCs w:val="24"/>
        </w:rPr>
        <w:t>Posledně uvedená p</w:t>
      </w:r>
      <w:r w:rsidR="00747855">
        <w:rPr>
          <w:szCs w:val="24"/>
        </w:rPr>
        <w:t xml:space="preserve">odmínka </w:t>
      </w:r>
      <w:r w:rsidR="00756227">
        <w:rPr>
          <w:szCs w:val="24"/>
        </w:rPr>
        <w:t>otevírá otázku, zda</w:t>
      </w:r>
      <w:r w:rsidR="005B48A7">
        <w:rPr>
          <w:szCs w:val="24"/>
        </w:rPr>
        <w:t xml:space="preserve"> všichni t</w:t>
      </w:r>
      <w:r w:rsidR="00756227">
        <w:rPr>
          <w:szCs w:val="24"/>
        </w:rPr>
        <w:t xml:space="preserve">ři svědci </w:t>
      </w:r>
      <w:r w:rsidR="005B48A7">
        <w:rPr>
          <w:szCs w:val="24"/>
        </w:rPr>
        <w:t xml:space="preserve">musí být ve smyslu </w:t>
      </w:r>
      <w:r w:rsidR="005B48A7" w:rsidRPr="005B48A7">
        <w:rPr>
          <w:szCs w:val="24"/>
        </w:rPr>
        <w:t xml:space="preserve">§ 1540 odst. 1 </w:t>
      </w:r>
      <w:r w:rsidR="00BB4ADF">
        <w:rPr>
          <w:szCs w:val="24"/>
        </w:rPr>
        <w:t xml:space="preserve">NOZ </w:t>
      </w:r>
      <w:r w:rsidR="0032495D">
        <w:rPr>
          <w:szCs w:val="24"/>
        </w:rPr>
        <w:t xml:space="preserve">svědecky </w:t>
      </w:r>
      <w:r w:rsidR="005B48A7">
        <w:rPr>
          <w:szCs w:val="24"/>
        </w:rPr>
        <w:t>způsobilí</w:t>
      </w:r>
      <w:r w:rsidR="00756227">
        <w:rPr>
          <w:szCs w:val="24"/>
        </w:rPr>
        <w:t xml:space="preserve"> </w:t>
      </w:r>
      <w:r w:rsidR="00BB4ADF">
        <w:rPr>
          <w:szCs w:val="24"/>
        </w:rPr>
        <w:t>nebo zda relativně nezpůsobilý svědek může být jedním z oněch tří svědků.</w:t>
      </w:r>
      <w:r w:rsidR="00747855">
        <w:rPr>
          <w:szCs w:val="24"/>
        </w:rPr>
        <w:t xml:space="preserve"> </w:t>
      </w:r>
      <w:r w:rsidR="00DC4DEA">
        <w:rPr>
          <w:szCs w:val="24"/>
        </w:rPr>
        <w:t>Dikce zákona na tuto ot</w:t>
      </w:r>
      <w:r w:rsidR="00D42E63">
        <w:rPr>
          <w:szCs w:val="24"/>
        </w:rPr>
        <w:t xml:space="preserve">ázku jednoznačnou odpověď </w:t>
      </w:r>
      <w:r w:rsidR="00DC4DEA">
        <w:rPr>
          <w:szCs w:val="24"/>
        </w:rPr>
        <w:t>nedává</w:t>
      </w:r>
      <w:r w:rsidR="0032495D">
        <w:rPr>
          <w:szCs w:val="24"/>
        </w:rPr>
        <w:t xml:space="preserve">. </w:t>
      </w:r>
      <w:r w:rsidR="004C4712" w:rsidRPr="00904463">
        <w:rPr>
          <w:szCs w:val="24"/>
        </w:rPr>
        <w:t xml:space="preserve">Uvedený výkladový problém může vyvolat pochybnosti o tom, kolik má zůstavitel povolat způsobilých svědků za situace, kdy hodlá pořídit </w:t>
      </w:r>
      <w:proofErr w:type="spellStart"/>
      <w:r w:rsidR="004C4712" w:rsidRPr="00904463">
        <w:rPr>
          <w:szCs w:val="24"/>
        </w:rPr>
        <w:t>allografní</w:t>
      </w:r>
      <w:proofErr w:type="spellEnd"/>
      <w:r w:rsidR="004C4712" w:rsidRPr="00904463">
        <w:rPr>
          <w:szCs w:val="24"/>
        </w:rPr>
        <w:t xml:space="preserve"> závětí podle § 1534 NOZ a jedním ze svědků by byl svědek relativně nezpůsobilý. </w:t>
      </w:r>
      <w:r w:rsidR="006F2331" w:rsidRPr="00904463">
        <w:rPr>
          <w:szCs w:val="24"/>
        </w:rPr>
        <w:t xml:space="preserve">V prvním případě by musel povolat </w:t>
      </w:r>
      <w:r w:rsidR="006F2331">
        <w:rPr>
          <w:szCs w:val="24"/>
        </w:rPr>
        <w:t xml:space="preserve">dva další způsobilé svědky, takže by celkový počet svědků byl čtyři, z nich tři plně svědecky způsobilí. </w:t>
      </w:r>
      <w:r w:rsidR="00131476">
        <w:rPr>
          <w:szCs w:val="24"/>
        </w:rPr>
        <w:t>V</w:t>
      </w:r>
      <w:r w:rsidR="006F2331">
        <w:rPr>
          <w:szCs w:val="24"/>
        </w:rPr>
        <w:t xml:space="preserve"> druhém případě by postačilo povolat jen jednoho způsobilého svědka, takže by celkový počet svědků byl tři, </w:t>
      </w:r>
      <w:r w:rsidR="003174CA">
        <w:rPr>
          <w:szCs w:val="24"/>
        </w:rPr>
        <w:t xml:space="preserve">z </w:t>
      </w:r>
      <w:r w:rsidR="006F2331">
        <w:rPr>
          <w:szCs w:val="24"/>
        </w:rPr>
        <w:t>nich</w:t>
      </w:r>
      <w:r w:rsidR="00C15348">
        <w:rPr>
          <w:szCs w:val="24"/>
        </w:rPr>
        <w:t>ž</w:t>
      </w:r>
      <w:r w:rsidR="006F2331">
        <w:rPr>
          <w:szCs w:val="24"/>
        </w:rPr>
        <w:t xml:space="preserve"> dva plně svědecky způsobilí</w:t>
      </w:r>
      <w:r w:rsidR="003174CA">
        <w:rPr>
          <w:szCs w:val="24"/>
        </w:rPr>
        <w:t>, přičemž podpis třetího nezpůsobilého svědka b</w:t>
      </w:r>
      <w:r w:rsidR="00954097">
        <w:rPr>
          <w:szCs w:val="24"/>
        </w:rPr>
        <w:t>y měl pouze formální charakter.</w:t>
      </w:r>
      <w:r w:rsidR="00904463">
        <w:rPr>
          <w:rStyle w:val="Znakapoznpodarou"/>
          <w:szCs w:val="24"/>
        </w:rPr>
        <w:footnoteReference w:id="87"/>
      </w:r>
      <w:r w:rsidR="00547DB2">
        <w:rPr>
          <w:color w:val="FF0000"/>
          <w:szCs w:val="24"/>
        </w:rPr>
        <w:t xml:space="preserve"> </w:t>
      </w:r>
      <w:r w:rsidR="0052382B">
        <w:rPr>
          <w:szCs w:val="24"/>
        </w:rPr>
        <w:t xml:space="preserve">Ačkoliv se zvýšení počtu svědků na čtyři a více </w:t>
      </w:r>
      <w:r w:rsidR="00904463">
        <w:rPr>
          <w:szCs w:val="24"/>
        </w:rPr>
        <w:t xml:space="preserve">jeví </w:t>
      </w:r>
      <w:r w:rsidR="00547DB2">
        <w:rPr>
          <w:szCs w:val="24"/>
        </w:rPr>
        <w:t xml:space="preserve">jako </w:t>
      </w:r>
      <w:r w:rsidR="00904463">
        <w:rPr>
          <w:szCs w:val="24"/>
        </w:rPr>
        <w:t>nepraktické</w:t>
      </w:r>
      <w:r w:rsidR="0052382B">
        <w:rPr>
          <w:szCs w:val="24"/>
        </w:rPr>
        <w:t>,</w:t>
      </w:r>
      <w:r w:rsidR="00904463">
        <w:rPr>
          <w:szCs w:val="24"/>
        </w:rPr>
        <w:t xml:space="preserve"> v odborné literatuře převládá názor, že </w:t>
      </w:r>
      <w:r w:rsidR="00547DB2">
        <w:rPr>
          <w:szCs w:val="24"/>
        </w:rPr>
        <w:t>u žádného ze tří svědků</w:t>
      </w:r>
      <w:r w:rsidR="00904463">
        <w:rPr>
          <w:szCs w:val="24"/>
        </w:rPr>
        <w:t xml:space="preserve"> </w:t>
      </w:r>
      <w:r w:rsidR="0003462F">
        <w:rPr>
          <w:szCs w:val="24"/>
        </w:rPr>
        <w:t xml:space="preserve">podle § 1540 odst. 2 NOZ </w:t>
      </w:r>
      <w:r w:rsidR="00904463">
        <w:rPr>
          <w:szCs w:val="24"/>
        </w:rPr>
        <w:t xml:space="preserve">by </w:t>
      </w:r>
      <w:r w:rsidR="00547DB2">
        <w:rPr>
          <w:szCs w:val="24"/>
        </w:rPr>
        <w:t>neměl</w:t>
      </w:r>
      <w:r w:rsidR="00904463">
        <w:rPr>
          <w:szCs w:val="24"/>
        </w:rPr>
        <w:t xml:space="preserve"> být </w:t>
      </w:r>
      <w:r w:rsidR="00547DB2">
        <w:rPr>
          <w:szCs w:val="24"/>
        </w:rPr>
        <w:t>dán některý z důvodů pro vyloučení</w:t>
      </w:r>
      <w:r w:rsidR="00A532DC">
        <w:rPr>
          <w:szCs w:val="24"/>
        </w:rPr>
        <w:t>.</w:t>
      </w:r>
      <w:r w:rsidR="0003462F">
        <w:rPr>
          <w:rStyle w:val="Znakapoznpodarou"/>
          <w:szCs w:val="24"/>
        </w:rPr>
        <w:footnoteReference w:id="88"/>
      </w:r>
    </w:p>
    <w:p w:rsidR="00022624" w:rsidRPr="00547DB2" w:rsidRDefault="00022624" w:rsidP="00547DB2">
      <w:pPr>
        <w:spacing w:after="0"/>
        <w:ind w:firstLine="567"/>
        <w:rPr>
          <w:color w:val="FF0000"/>
          <w:szCs w:val="24"/>
        </w:rPr>
      </w:pPr>
      <w:r>
        <w:rPr>
          <w:szCs w:val="24"/>
        </w:rPr>
        <w:t xml:space="preserve">Ač se NOZ při úpravě </w:t>
      </w:r>
      <w:r w:rsidR="008B1A84">
        <w:rPr>
          <w:szCs w:val="24"/>
        </w:rPr>
        <w:t xml:space="preserve">svědecky nezpůsobilých osob </w:t>
      </w:r>
      <w:r w:rsidR="00D761AF">
        <w:rPr>
          <w:szCs w:val="24"/>
        </w:rPr>
        <w:t xml:space="preserve">zjevně </w:t>
      </w:r>
      <w:r>
        <w:rPr>
          <w:szCs w:val="24"/>
        </w:rPr>
        <w:t>insp</w:t>
      </w:r>
      <w:r w:rsidR="008B1A84">
        <w:rPr>
          <w:szCs w:val="24"/>
        </w:rPr>
        <w:t>iroval § 594 OZO</w:t>
      </w:r>
      <w:r w:rsidR="007D1BBC">
        <w:rPr>
          <w:szCs w:val="24"/>
        </w:rPr>
        <w:t xml:space="preserve">, ke škodě věci nepřevzal poslední větu tohoto ustanovení, podle níž výslovně museli být tři svědci odlišní od </w:t>
      </w:r>
      <w:r w:rsidR="006144BE">
        <w:rPr>
          <w:szCs w:val="24"/>
        </w:rPr>
        <w:t xml:space="preserve">těch </w:t>
      </w:r>
      <w:r w:rsidR="007D1BBC">
        <w:rPr>
          <w:szCs w:val="24"/>
        </w:rPr>
        <w:t xml:space="preserve">nezpůsobilých. </w:t>
      </w:r>
      <w:r w:rsidR="008B1A84" w:rsidRPr="008B1A84">
        <w:rPr>
          <w:szCs w:val="24"/>
        </w:rPr>
        <w:t xml:space="preserve">De lege </w:t>
      </w:r>
      <w:proofErr w:type="spellStart"/>
      <w:r w:rsidR="008B1A84" w:rsidRPr="008B1A84">
        <w:rPr>
          <w:szCs w:val="24"/>
        </w:rPr>
        <w:t>ferenda</w:t>
      </w:r>
      <w:proofErr w:type="spellEnd"/>
      <w:r w:rsidR="008B1A84" w:rsidRPr="008B1A84">
        <w:rPr>
          <w:szCs w:val="24"/>
        </w:rPr>
        <w:t xml:space="preserve"> lze zákonodárci doporučit, </w:t>
      </w:r>
      <w:r w:rsidR="007D38E2">
        <w:rPr>
          <w:szCs w:val="24"/>
        </w:rPr>
        <w:t>aby v zájmu právní jistoty nejasné ustanovení § 1540 odst. 2 NOZ v tomto smyslu upřesnil.</w:t>
      </w:r>
    </w:p>
    <w:p w:rsidR="00747855" w:rsidRPr="006144BE" w:rsidRDefault="00747855" w:rsidP="00747855">
      <w:pPr>
        <w:spacing w:after="0"/>
        <w:ind w:firstLine="567"/>
        <w:rPr>
          <w:szCs w:val="24"/>
        </w:rPr>
      </w:pPr>
      <w:r w:rsidRPr="006144BE">
        <w:rPr>
          <w:szCs w:val="24"/>
        </w:rPr>
        <w:t>Zákon v § 1539 odst. 1 NOZ dále stanoví, že svědek ke svému podpisu zpravidla připojí doložku, která ho identifikuje jako svědka včetně uvedení jeho osobních údajů. Účel</w:t>
      </w:r>
      <w:r w:rsidR="00DE49A7">
        <w:rPr>
          <w:szCs w:val="24"/>
        </w:rPr>
        <w:t>em je zejména snazší vyhledání svědka</w:t>
      </w:r>
      <w:r w:rsidR="00DE49A7" w:rsidRPr="00DE49A7">
        <w:rPr>
          <w:szCs w:val="24"/>
        </w:rPr>
        <w:t xml:space="preserve">, </w:t>
      </w:r>
      <w:r w:rsidR="003D7776">
        <w:rPr>
          <w:szCs w:val="24"/>
        </w:rPr>
        <w:t xml:space="preserve">aby </w:t>
      </w:r>
      <w:r w:rsidR="00DE49A7" w:rsidRPr="00DE49A7">
        <w:rPr>
          <w:szCs w:val="24"/>
        </w:rPr>
        <w:t xml:space="preserve">mohl </w:t>
      </w:r>
      <w:r w:rsidR="003D7776">
        <w:rPr>
          <w:szCs w:val="24"/>
        </w:rPr>
        <w:t xml:space="preserve">v případě potřeby </w:t>
      </w:r>
      <w:r w:rsidR="00DE49A7" w:rsidRPr="00DE49A7">
        <w:rPr>
          <w:szCs w:val="24"/>
        </w:rPr>
        <w:t>dosvědčit skutečnosti důležité pro rozhodnutí soudu o platnosti závěti</w:t>
      </w:r>
      <w:r w:rsidRPr="006144BE">
        <w:rPr>
          <w:szCs w:val="24"/>
        </w:rPr>
        <w:t xml:space="preserve">. </w:t>
      </w:r>
      <w:r w:rsidR="003D7776">
        <w:rPr>
          <w:szCs w:val="24"/>
        </w:rPr>
        <w:t xml:space="preserve">Je s podivem, že zákonodárce připojení takového dodatku ponechal fakultativně </w:t>
      </w:r>
      <w:r w:rsidR="002A5C61">
        <w:rPr>
          <w:szCs w:val="24"/>
        </w:rPr>
        <w:t xml:space="preserve">na svědcích. </w:t>
      </w:r>
      <w:r w:rsidRPr="006144BE">
        <w:rPr>
          <w:szCs w:val="24"/>
        </w:rPr>
        <w:t xml:space="preserve">Podle důvodové zprávy byl zákonodárce veden snahou, aby zpřísněním formálních požadavků </w:t>
      </w:r>
      <w:r w:rsidR="002A5C61">
        <w:rPr>
          <w:szCs w:val="24"/>
        </w:rPr>
        <w:t>nebyla ohrožena platnost závěti, ve skutečnosti však při takovém rozvolnění právní úpravy může dosáhnout opačného efektu.</w:t>
      </w:r>
      <w:r w:rsidR="002A5C61" w:rsidRPr="006144BE">
        <w:rPr>
          <w:rStyle w:val="Znakapoznpodarou"/>
          <w:szCs w:val="24"/>
        </w:rPr>
        <w:footnoteReference w:id="89"/>
      </w:r>
      <w:r w:rsidR="00C070D1">
        <w:rPr>
          <w:szCs w:val="24"/>
        </w:rPr>
        <w:t xml:space="preserve"> Připojení doložky a řádné uvedení všech údajů o svědcích lze jen vřele doporučit.</w:t>
      </w:r>
    </w:p>
    <w:p w:rsidR="00A22B42" w:rsidRDefault="00D42FBF" w:rsidP="008074AB">
      <w:pPr>
        <w:pStyle w:val="Nadpis2"/>
      </w:pPr>
      <w:bookmarkStart w:id="38" w:name="_Toc436779474"/>
      <w:bookmarkStart w:id="39" w:name="_Toc437225068"/>
      <w:r>
        <w:lastRenderedPageBreak/>
        <w:t>3. 3</w:t>
      </w:r>
      <w:r w:rsidR="00B532D4">
        <w:tab/>
      </w:r>
      <w:r>
        <w:t xml:space="preserve">Veřejné pořízení </w:t>
      </w:r>
      <w:r w:rsidR="00A22B42" w:rsidRPr="00A22B42">
        <w:t>notářským zápisem</w:t>
      </w:r>
      <w:bookmarkEnd w:id="38"/>
      <w:bookmarkEnd w:id="39"/>
    </w:p>
    <w:p w:rsidR="00615A8B" w:rsidRDefault="00615A8B" w:rsidP="00615A8B">
      <w:pPr>
        <w:spacing w:after="0"/>
        <w:ind w:firstLine="567"/>
      </w:pPr>
      <w:r>
        <w:t>Nejčastější formou pořízení závěti veřejnou l</w:t>
      </w:r>
      <w:r w:rsidR="00DD7681">
        <w:t>istinou je forma notářského zápi</w:t>
      </w:r>
      <w:r>
        <w:t>su, kterou mohou využít všechny osoby testamentárně způsobilé, v některých případech formu notářského zápisu stanoví zákon obligatorně.</w:t>
      </w:r>
    </w:p>
    <w:p w:rsidR="00615A8B" w:rsidRPr="00615A8B" w:rsidRDefault="00615A8B" w:rsidP="00615A8B">
      <w:pPr>
        <w:ind w:firstLine="567"/>
      </w:pPr>
      <w:r>
        <w:t>Jedná se o osoby umístěné ve zdravotnických zařízeních (§ 1493 NOZ), osoby nezletilé (§ 1526 NOZ), osoby s omezenou svéprávností (§ 1528 NOZ) a zůstavitele, který závětí založí nadaci nebo nadační fond (§ 303 a</w:t>
      </w:r>
      <w:r w:rsidR="003424F0">
        <w:t xml:space="preserve"> násl. NOZ). V následující podkapitole</w:t>
      </w:r>
      <w:r>
        <w:t xml:space="preserve"> je pojednáno</w:t>
      </w:r>
      <w:r w:rsidR="003424F0">
        <w:t xml:space="preserve"> pouze o problematice </w:t>
      </w:r>
      <w:r>
        <w:t xml:space="preserve">pořízení závěti nezletilým. </w:t>
      </w:r>
    </w:p>
    <w:p w:rsidR="00A22B42" w:rsidRPr="001A35E2" w:rsidRDefault="009645D5" w:rsidP="008074AB">
      <w:pPr>
        <w:pStyle w:val="Nadpis3"/>
      </w:pPr>
      <w:bookmarkStart w:id="40" w:name="_Toc436779475"/>
      <w:bookmarkStart w:id="41" w:name="_Toc437225069"/>
      <w:r w:rsidRPr="001A35E2">
        <w:t>3.3.</w:t>
      </w:r>
      <w:r w:rsidR="00BD722B">
        <w:t>1</w:t>
      </w:r>
      <w:r w:rsidR="00BD722B">
        <w:tab/>
      </w:r>
      <w:r w:rsidR="001A35E2" w:rsidRPr="001A35E2">
        <w:t xml:space="preserve">Závěť </w:t>
      </w:r>
      <w:r w:rsidR="001A35E2" w:rsidRPr="008074AB">
        <w:t>nezletilé</w:t>
      </w:r>
      <w:r w:rsidR="001A35E2" w:rsidRPr="001A35E2">
        <w:t xml:space="preserve"> osoby</w:t>
      </w:r>
      <w:bookmarkEnd w:id="40"/>
      <w:bookmarkEnd w:id="41"/>
    </w:p>
    <w:p w:rsidR="00700831" w:rsidRPr="00341C61" w:rsidRDefault="003424F0" w:rsidP="00700831">
      <w:pPr>
        <w:pStyle w:val="DiplTEXT"/>
        <w:spacing w:after="0"/>
        <w:ind w:firstLine="567"/>
      </w:pPr>
      <w:r>
        <w:rPr>
          <w:szCs w:val="28"/>
        </w:rPr>
        <w:t>V</w:t>
      </w:r>
      <w:r w:rsidR="00700831">
        <w:rPr>
          <w:szCs w:val="28"/>
        </w:rPr>
        <w:t xml:space="preserve">ýjimka ze zásady pořizovací nezpůsobilosti plně nesvéprávných osob se týká věkové hranice. </w:t>
      </w:r>
      <w:r w:rsidR="004E3640">
        <w:rPr>
          <w:szCs w:val="28"/>
        </w:rPr>
        <w:t>Podle § 1526 NOZ může n</w:t>
      </w:r>
      <w:r w:rsidR="00DC5698">
        <w:rPr>
          <w:szCs w:val="28"/>
        </w:rPr>
        <w:t>esvéprávný n</w:t>
      </w:r>
      <w:r w:rsidR="00700831">
        <w:rPr>
          <w:szCs w:val="28"/>
        </w:rPr>
        <w:t>ezletile</w:t>
      </w:r>
      <w:r w:rsidR="00DC5698">
        <w:rPr>
          <w:szCs w:val="28"/>
        </w:rPr>
        <w:t xml:space="preserve">c starší </w:t>
      </w:r>
      <w:r w:rsidR="00F802E2">
        <w:rPr>
          <w:szCs w:val="28"/>
        </w:rPr>
        <w:t>15</w:t>
      </w:r>
      <w:r w:rsidR="004E3640">
        <w:rPr>
          <w:szCs w:val="28"/>
        </w:rPr>
        <w:t xml:space="preserve"> let </w:t>
      </w:r>
      <w:r w:rsidR="00700831">
        <w:rPr>
          <w:szCs w:val="28"/>
        </w:rPr>
        <w:t xml:space="preserve">pořídit závěť bez souhlasu zákonného zástupce formou veřejné listiny. Důvodová zpráva k tomu uvádí, že nová </w:t>
      </w:r>
      <w:r w:rsidR="00D27BAC">
        <w:rPr>
          <w:szCs w:val="28"/>
        </w:rPr>
        <w:t xml:space="preserve">právní </w:t>
      </w:r>
      <w:r w:rsidR="00700831">
        <w:rPr>
          <w:szCs w:val="28"/>
        </w:rPr>
        <w:t xml:space="preserve">úprava </w:t>
      </w:r>
      <w:r w:rsidR="00E94720">
        <w:rPr>
          <w:szCs w:val="28"/>
        </w:rPr>
        <w:t>obsahově přebírá</w:t>
      </w:r>
      <w:r w:rsidR="00EF58FC">
        <w:rPr>
          <w:szCs w:val="28"/>
        </w:rPr>
        <w:t xml:space="preserve"> 476d odst. 2 OZ</w:t>
      </w:r>
      <w:r w:rsidR="00700831">
        <w:rPr>
          <w:szCs w:val="28"/>
        </w:rPr>
        <w:t xml:space="preserve">64, </w:t>
      </w:r>
      <w:r w:rsidR="007D25BD">
        <w:rPr>
          <w:szCs w:val="28"/>
        </w:rPr>
        <w:t xml:space="preserve">s tím rozdílem, že </w:t>
      </w:r>
      <w:r w:rsidR="00E94720">
        <w:rPr>
          <w:szCs w:val="28"/>
        </w:rPr>
        <w:t>vyžaduje</w:t>
      </w:r>
      <w:r w:rsidR="00700831">
        <w:rPr>
          <w:szCs w:val="28"/>
        </w:rPr>
        <w:t xml:space="preserve"> veřejnou lis</w:t>
      </w:r>
      <w:r w:rsidR="00A52C28">
        <w:rPr>
          <w:szCs w:val="28"/>
        </w:rPr>
        <w:t xml:space="preserve">tinu namísto notářského zápisu </w:t>
      </w:r>
      <w:r w:rsidR="00700831">
        <w:rPr>
          <w:szCs w:val="28"/>
        </w:rPr>
        <w:t xml:space="preserve">s odůvodněním, že nechce bránit dalšímu vývoji právní úpravy. </w:t>
      </w:r>
      <w:r w:rsidR="00E94720">
        <w:rPr>
          <w:szCs w:val="28"/>
        </w:rPr>
        <w:t xml:space="preserve">Přesto však </w:t>
      </w:r>
      <w:r w:rsidR="00341C61">
        <w:rPr>
          <w:szCs w:val="28"/>
        </w:rPr>
        <w:t xml:space="preserve">nadále zůstane sepisování takových závětí </w:t>
      </w:r>
      <w:r w:rsidR="003349F3">
        <w:rPr>
          <w:szCs w:val="28"/>
        </w:rPr>
        <w:t>v dispozici</w:t>
      </w:r>
      <w:r w:rsidR="00954097">
        <w:rPr>
          <w:szCs w:val="28"/>
        </w:rPr>
        <w:t xml:space="preserve"> notářů.</w:t>
      </w:r>
      <w:r w:rsidR="009D1AA8" w:rsidRPr="00341C61">
        <w:rPr>
          <w:rStyle w:val="Znakapoznpodarou"/>
          <w:szCs w:val="28"/>
        </w:rPr>
        <w:footnoteReference w:id="90"/>
      </w:r>
    </w:p>
    <w:p w:rsidR="007D67CD" w:rsidRDefault="00700831" w:rsidP="00700831">
      <w:pPr>
        <w:pStyle w:val="DiplTEXT"/>
        <w:spacing w:after="0"/>
        <w:ind w:firstLine="567"/>
      </w:pPr>
      <w:r>
        <w:t>V</w:t>
      </w:r>
      <w:r w:rsidR="00341C61">
        <w:t xml:space="preserve"> této souvislosti </w:t>
      </w:r>
      <w:r>
        <w:t>je nutné si položit otázku, zda má nezletilec možnost pořídit závětí o</w:t>
      </w:r>
      <w:r w:rsidR="004F0574">
        <w:t> </w:t>
      </w:r>
      <w:r>
        <w:t xml:space="preserve"> celém svém majetku </w:t>
      </w:r>
      <w:r w:rsidR="00341C61">
        <w:t xml:space="preserve">bez omezení </w:t>
      </w:r>
      <w:r>
        <w:t>nebo je rozsah jeho dispozice om</w:t>
      </w:r>
      <w:r w:rsidR="003349F3">
        <w:t>ezen pouze na právní jednání svou povahou</w:t>
      </w:r>
      <w:r>
        <w:t xml:space="preserve"> přiměřené jeho rozumové a volní vyspělo</w:t>
      </w:r>
      <w:r w:rsidR="007E1E94">
        <w:t>sti nezletilých jeho věku</w:t>
      </w:r>
      <w:r w:rsidR="007D67CD">
        <w:t xml:space="preserve"> s ohledem na § 31 NOZ</w:t>
      </w:r>
      <w:r w:rsidR="007E1E94">
        <w:t xml:space="preserve">. </w:t>
      </w:r>
      <w:r w:rsidR="007D67CD">
        <w:t xml:space="preserve">V minulosti </w:t>
      </w:r>
      <w:r w:rsidR="00D2452C">
        <w:t>ne</w:t>
      </w:r>
      <w:r w:rsidR="007D1377">
        <w:t>byl</w:t>
      </w:r>
      <w:r w:rsidR="00D2452C">
        <w:t xml:space="preserve">y na tuto problematiku </w:t>
      </w:r>
      <w:r w:rsidR="001959A4">
        <w:t xml:space="preserve">v odborné literatuře </w:t>
      </w:r>
      <w:r w:rsidR="00975E4C">
        <w:t xml:space="preserve">jednotné názory. Podle P. </w:t>
      </w:r>
      <w:r w:rsidR="00D2452C">
        <w:t>Bezoušky</w:t>
      </w:r>
      <w:r w:rsidR="007D1377">
        <w:t xml:space="preserve"> </w:t>
      </w:r>
      <w:r w:rsidR="00D2452C">
        <w:t xml:space="preserve">nelze </w:t>
      </w:r>
      <w:r w:rsidR="00EF58FC">
        <w:t>§ 476</w:t>
      </w:r>
      <w:r>
        <w:t xml:space="preserve">d odst. 2 </w:t>
      </w:r>
      <w:r w:rsidR="00D2452C">
        <w:t xml:space="preserve">OZ64 </w:t>
      </w:r>
      <w:r w:rsidR="007D1377">
        <w:t xml:space="preserve">považovat </w:t>
      </w:r>
      <w:r>
        <w:t>za výjimku z obecně vymezené způsobilosti nezletilých k právním úkonům (právním jednáním) a proto je nutno je</w:t>
      </w:r>
      <w:r w:rsidR="009D1AA8">
        <w:t>j vykládat v souladu s § 9 OZ</w:t>
      </w:r>
      <w:r>
        <w:t>64 a zásadou ochrany nezleti</w:t>
      </w:r>
      <w:r w:rsidR="00D2452C">
        <w:t>lých</w:t>
      </w:r>
      <w:r w:rsidR="00A52C28">
        <w:t>.</w:t>
      </w:r>
      <w:r w:rsidR="009D1AA8">
        <w:rPr>
          <w:rStyle w:val="Znakapoznpodarou"/>
        </w:rPr>
        <w:footnoteReference w:id="91"/>
      </w:r>
      <w:r w:rsidR="00297355">
        <w:t xml:space="preserve"> Naopak K. </w:t>
      </w:r>
      <w:r w:rsidR="00952827">
        <w:t xml:space="preserve">Hejtmánková </w:t>
      </w:r>
      <w:r w:rsidR="00DA5069">
        <w:t>se domnívala</w:t>
      </w:r>
      <w:r w:rsidR="00952827">
        <w:t xml:space="preserve">, že </w:t>
      </w:r>
      <w:r w:rsidR="0009528F">
        <w:t xml:space="preserve">pro omezení testovací volnosti mladistvého </w:t>
      </w:r>
      <w:r w:rsidR="00C01F03">
        <w:t xml:space="preserve">není v zákoně opora, protože </w:t>
      </w:r>
      <w:r w:rsidR="00952827">
        <w:t>ustanovení § 476d odst. 2 OZ64</w:t>
      </w:r>
      <w:r w:rsidR="0009528F">
        <w:t xml:space="preserve"> </w:t>
      </w:r>
      <w:r w:rsidR="00C01F03">
        <w:t xml:space="preserve">lze považovat za speciální </w:t>
      </w:r>
      <w:r w:rsidR="0009528F">
        <w:t xml:space="preserve">k § 9 </w:t>
      </w:r>
      <w:r w:rsidR="00C01F03">
        <w:t xml:space="preserve">OZ64. </w:t>
      </w:r>
      <w:r w:rsidR="00582C0F">
        <w:t>Navíc se neuplatní ani hledisko pro</w:t>
      </w:r>
      <w:r w:rsidR="00954097">
        <w:t>spěšnosti úkonu pro nezletilce.</w:t>
      </w:r>
      <w:r w:rsidR="00582C0F">
        <w:rPr>
          <w:rStyle w:val="Znakapoznpodarou"/>
        </w:rPr>
        <w:footnoteReference w:id="92"/>
      </w:r>
    </w:p>
    <w:p w:rsidR="005B7586" w:rsidRPr="00D50DFD" w:rsidRDefault="002D3D63" w:rsidP="002D3D63">
      <w:pPr>
        <w:pStyle w:val="DiplTEXT"/>
        <w:spacing w:after="0"/>
        <w:ind w:firstLine="567"/>
        <w:rPr>
          <w:color w:val="FF0000"/>
        </w:rPr>
      </w:pPr>
      <w:r>
        <w:t xml:space="preserve">Podle názoru autora diplomové práce </w:t>
      </w:r>
      <w:r w:rsidR="001D7A9C">
        <w:t xml:space="preserve">se na </w:t>
      </w:r>
      <w:r w:rsidR="004C5B73">
        <w:t>právní jednání</w:t>
      </w:r>
      <w:r w:rsidR="001D7A9C">
        <w:t xml:space="preserve"> </w:t>
      </w:r>
      <w:proofErr w:type="spellStart"/>
      <w:r w:rsidR="00DC6ED3">
        <w:t>mortis</w:t>
      </w:r>
      <w:proofErr w:type="spellEnd"/>
      <w:r w:rsidR="00DC6ED3">
        <w:t xml:space="preserve"> causa </w:t>
      </w:r>
      <w:r w:rsidR="00603B92">
        <w:t xml:space="preserve">nesvéprávného </w:t>
      </w:r>
      <w:r w:rsidR="001D7A9C">
        <w:t>nezle</w:t>
      </w:r>
      <w:r w:rsidR="00603B92">
        <w:t>tilce staršího 15 let</w:t>
      </w:r>
      <w:r w:rsidR="00DC6ED3">
        <w:t xml:space="preserve"> předpoklad přiměřené rozumové a mravní</w:t>
      </w:r>
      <w:r w:rsidR="001D7A9C">
        <w:t xml:space="preserve"> </w:t>
      </w:r>
      <w:r w:rsidR="00DC6ED3">
        <w:t xml:space="preserve">vyspělosti </w:t>
      </w:r>
      <w:r w:rsidR="008E3F62">
        <w:t xml:space="preserve">nezletilých </w:t>
      </w:r>
      <w:r w:rsidR="00F335C3">
        <w:t>stejného</w:t>
      </w:r>
      <w:r w:rsidR="008E3F62">
        <w:t xml:space="preserve"> věku podle § 31 </w:t>
      </w:r>
      <w:r w:rsidR="004C5B73">
        <w:t xml:space="preserve">NOZ neuplatní a </w:t>
      </w:r>
      <w:r>
        <w:t xml:space="preserve">testamentární způsobilost nezletilých podle § 1526 NOZ </w:t>
      </w:r>
      <w:r w:rsidR="004C5B73">
        <w:t xml:space="preserve">lze </w:t>
      </w:r>
      <w:r w:rsidR="0086437C">
        <w:t xml:space="preserve">považovat </w:t>
      </w:r>
      <w:r w:rsidR="004C5B73">
        <w:t>co do výše majetkové dispozice za ne</w:t>
      </w:r>
      <w:r w:rsidR="0086437C">
        <w:t>omezenou</w:t>
      </w:r>
      <w:r w:rsidR="005B1BD6">
        <w:t xml:space="preserve">. Jediným limitem se zde </w:t>
      </w:r>
      <w:r w:rsidR="005B1BD6">
        <w:lastRenderedPageBreak/>
        <w:t>jeví nutnost pořízení ve formě veřejné listiny – notářského zápisu</w:t>
      </w:r>
      <w:r w:rsidR="005203B2">
        <w:t xml:space="preserve">, kterým se </w:t>
      </w:r>
      <w:r w:rsidR="001F25E1">
        <w:t>především</w:t>
      </w:r>
      <w:r w:rsidR="004366DE">
        <w:t xml:space="preserve"> </w:t>
      </w:r>
      <w:r w:rsidR="009348C1">
        <w:t>prokazuje</w:t>
      </w:r>
      <w:r w:rsidR="005203B2">
        <w:t xml:space="preserve"> skutečnost, že projev poslední vůle se děje s rozvahou, vážně a bez donucení</w:t>
      </w:r>
      <w:r w:rsidR="00F856B3">
        <w:t xml:space="preserve"> (§ 1537 NOZ)</w:t>
      </w:r>
      <w:r w:rsidR="00441D7D">
        <w:t xml:space="preserve">. </w:t>
      </w:r>
      <w:r w:rsidR="001106E4">
        <w:t xml:space="preserve">Možnost nezletilého pořídit o celém svém majetku rovněž uznává </w:t>
      </w:r>
      <w:r w:rsidR="00C71370">
        <w:t>Karel</w:t>
      </w:r>
      <w:r w:rsidR="007C2A2C">
        <w:t xml:space="preserve"> Eliáš, který </w:t>
      </w:r>
      <w:r w:rsidR="00882323">
        <w:t>potvrzuje, že nezletilí mohou</w:t>
      </w:r>
      <w:r w:rsidR="006D678C">
        <w:t>: „pořídit o svém majetku bez omezení, avšak</w:t>
      </w:r>
      <w:r w:rsidR="00164389">
        <w:t xml:space="preserve"> jen ve formě veřejné listiny“.</w:t>
      </w:r>
      <w:r w:rsidR="001F25E1">
        <w:rPr>
          <w:rStyle w:val="Znakapoznpodarou"/>
        </w:rPr>
        <w:footnoteReference w:id="93"/>
      </w:r>
      <w:r w:rsidR="001F25E1">
        <w:t xml:space="preserve"> </w:t>
      </w:r>
      <w:r w:rsidR="00882323">
        <w:t>Podobný názor sdílí i rakouská doktrína</w:t>
      </w:r>
      <w:r w:rsidR="002A6F4A">
        <w:t>, když nezletilé ve smyslu § 569 odst.</w:t>
      </w:r>
      <w:r w:rsidR="004F0574">
        <w:t> </w:t>
      </w:r>
      <w:r w:rsidR="002A6F4A">
        <w:t>2</w:t>
      </w:r>
      <w:r w:rsidR="004F0574">
        <w:t> </w:t>
      </w:r>
      <w:r w:rsidR="002A6F4A">
        <w:t xml:space="preserve">ABGB považuje </w:t>
      </w:r>
      <w:r w:rsidR="00D50D23">
        <w:t xml:space="preserve">sice za </w:t>
      </w:r>
      <w:r w:rsidR="002A6F4A">
        <w:t>omezeně testamentárně způsobilé, ale jen co do formálních náležitostí</w:t>
      </w:r>
      <w:r w:rsidR="003F13E2">
        <w:t xml:space="preserve">, nikoliv </w:t>
      </w:r>
      <w:r w:rsidR="00D50D23">
        <w:t>co do</w:t>
      </w:r>
      <w:r w:rsidR="00F60DA2">
        <w:t xml:space="preserve"> obsahu.</w:t>
      </w:r>
      <w:r w:rsidR="003F13E2">
        <w:rPr>
          <w:rStyle w:val="Znakapoznpodarou"/>
        </w:rPr>
        <w:footnoteReference w:id="94"/>
      </w:r>
      <w:r w:rsidR="00700FC9">
        <w:t xml:space="preserve"> </w:t>
      </w:r>
    </w:p>
    <w:p w:rsidR="00441D7D" w:rsidRDefault="000C3284" w:rsidP="002D3D63">
      <w:pPr>
        <w:pStyle w:val="DiplTEXT"/>
        <w:spacing w:after="0"/>
        <w:ind w:firstLine="567"/>
      </w:pPr>
      <w:r w:rsidRPr="00282D3E">
        <w:t>Uvedené závěr</w:t>
      </w:r>
      <w:r w:rsidR="00282D3E" w:rsidRPr="00282D3E">
        <w:t>y</w:t>
      </w:r>
      <w:r w:rsidRPr="00282D3E">
        <w:t xml:space="preserve"> by bylo</w:t>
      </w:r>
      <w:r w:rsidR="00B638B1" w:rsidRPr="00282D3E">
        <w:t xml:space="preserve"> </w:t>
      </w:r>
      <w:r w:rsidRPr="00282D3E">
        <w:t>možné</w:t>
      </w:r>
      <w:r w:rsidR="00B638B1" w:rsidRPr="00282D3E">
        <w:t xml:space="preserve"> dovodit především ze slovního spojení dikce </w:t>
      </w:r>
      <w:r w:rsidR="00B638B1">
        <w:t>§ 1526 NOZ</w:t>
      </w:r>
      <w:r w:rsidR="00550A53">
        <w:t xml:space="preserve">, které umožňuje nezletilci pořídit „bez souhlasu zákonného zástupce“. Souhlas </w:t>
      </w:r>
      <w:r w:rsidR="008D6725">
        <w:t xml:space="preserve">zákonného zástupce </w:t>
      </w:r>
      <w:r w:rsidR="004B3185">
        <w:t>se vyžaduje z důvodu doplnění</w:t>
      </w:r>
      <w:r w:rsidR="008D6725">
        <w:t xml:space="preserve"> chybějící rozpoznávací schopnost</w:t>
      </w:r>
      <w:r w:rsidR="004B3185">
        <w:t>i</w:t>
      </w:r>
      <w:r w:rsidR="008D6725">
        <w:t xml:space="preserve"> nezletilého</w:t>
      </w:r>
      <w:r w:rsidR="00ED5DAA">
        <w:t xml:space="preserve"> v</w:t>
      </w:r>
      <w:r w:rsidR="004F0574">
        <w:t> </w:t>
      </w:r>
      <w:r w:rsidR="00ED5DAA">
        <w:t>situaci, kdy jde o právní jednání, k nimž není podle § 31 NOZ rozumově a volně vyspělý.</w:t>
      </w:r>
      <w:r w:rsidR="0029202F">
        <w:t xml:space="preserve"> </w:t>
      </w:r>
      <w:r w:rsidR="00C02901">
        <w:t xml:space="preserve">V opačném případě </w:t>
      </w:r>
      <w:r w:rsidR="004D43A5">
        <w:t xml:space="preserve">činí </w:t>
      </w:r>
      <w:r w:rsidR="00C02901">
        <w:t xml:space="preserve">nezletilý právní jednání sám a jeho svéprávnost </w:t>
      </w:r>
      <w:r w:rsidR="004D43A5">
        <w:t>je pro konkré</w:t>
      </w:r>
      <w:r w:rsidR="00164389">
        <w:t>tní právní jednání dostačující.</w:t>
      </w:r>
      <w:r w:rsidR="004C7B5B">
        <w:rPr>
          <w:rStyle w:val="Znakapoznpodarou"/>
        </w:rPr>
        <w:footnoteReference w:id="95"/>
      </w:r>
      <w:r w:rsidR="004C7B5B">
        <w:t xml:space="preserve"> </w:t>
      </w:r>
      <w:r w:rsidR="0029202F">
        <w:t xml:space="preserve">Pokud </w:t>
      </w:r>
      <w:r w:rsidR="004D43A5">
        <w:t xml:space="preserve">tedy </w:t>
      </w:r>
      <w:r w:rsidR="00F6600B">
        <w:t xml:space="preserve">zákonodárce v </w:t>
      </w:r>
      <w:r w:rsidR="0029202F">
        <w:t xml:space="preserve">§ 1526 NOZ </w:t>
      </w:r>
      <w:r w:rsidR="00F6600B">
        <w:t xml:space="preserve">výslovně </w:t>
      </w:r>
      <w:r w:rsidR="0029202F">
        <w:t>nevyžaduje souhlas zákonného zástupce nezletilého</w:t>
      </w:r>
      <w:r w:rsidR="00F6600B">
        <w:t xml:space="preserve">, dává tím nepochybně najevo, že </w:t>
      </w:r>
      <w:r w:rsidR="00157451">
        <w:t>rozumová a volní vyspělost mladistvého k pořízení závěti je dostatečná a jeho pořizovací způsobilost není co do rozsahu majetkové dispozice omezená.</w:t>
      </w:r>
      <w:r w:rsidR="00282D3E">
        <w:t xml:space="preserve"> </w:t>
      </w:r>
    </w:p>
    <w:p w:rsidR="002D3D63" w:rsidRPr="00F1305C" w:rsidRDefault="006E1DE6" w:rsidP="00F1305C">
      <w:pPr>
        <w:pStyle w:val="DiplTEXT"/>
        <w:spacing w:after="0"/>
        <w:ind w:firstLine="567"/>
      </w:pPr>
      <w:r>
        <w:t>Dále l</w:t>
      </w:r>
      <w:r w:rsidR="00F856B3">
        <w:t>ze konstatovat, že u</w:t>
      </w:r>
      <w:r w:rsidR="004366DE">
        <w:t xml:space="preserve">stanovení § 1526 NOZ </w:t>
      </w:r>
      <w:r w:rsidR="00F856B3">
        <w:t xml:space="preserve">je speciální k § 31 NOZ, což rovněž potvrzuje i odborná literatura, která </w:t>
      </w:r>
      <w:r>
        <w:t xml:space="preserve">řadí </w:t>
      </w:r>
      <w:r w:rsidR="00F856B3">
        <w:t>předmětné ustanove</w:t>
      </w:r>
      <w:r>
        <w:t xml:space="preserve">ní mezi </w:t>
      </w:r>
      <w:r w:rsidRPr="009243A4">
        <w:t>tzv. úpravu zvláštní</w:t>
      </w:r>
      <w:r w:rsidR="002D3D63">
        <w:t xml:space="preserve">, která reguluje právní jednání </w:t>
      </w:r>
      <w:r>
        <w:t xml:space="preserve">nezletilce </w:t>
      </w:r>
      <w:r w:rsidR="002D3D63">
        <w:t>odl</w:t>
      </w:r>
      <w:r>
        <w:t>išně od § 31 NOZ</w:t>
      </w:r>
      <w:r w:rsidR="0090408C">
        <w:t xml:space="preserve">. Důvodem </w:t>
      </w:r>
      <w:r w:rsidR="002D3D63">
        <w:t xml:space="preserve">je zvláštní povaha tohoto právního jednání a jeho dopady do soukromoprávní sféry, přičemž po dovršení konkrétní věkové hranice je nezletilému </w:t>
      </w:r>
      <w:r w:rsidR="00BA4B24">
        <w:t xml:space="preserve">v zájmu jistoty </w:t>
      </w:r>
      <w:r w:rsidR="002D3D63">
        <w:t>přiznána</w:t>
      </w:r>
      <w:r w:rsidR="0090408C">
        <w:t xml:space="preserve"> </w:t>
      </w:r>
      <w:r w:rsidR="002D3D63">
        <w:t>způsobilost ve věci právně jednat</w:t>
      </w:r>
      <w:r w:rsidR="00164389">
        <w:t>.</w:t>
      </w:r>
      <w:r w:rsidR="00BA4B24">
        <w:rPr>
          <w:rStyle w:val="Znakapoznpodarou"/>
        </w:rPr>
        <w:footnoteReference w:id="96"/>
      </w:r>
      <w:r w:rsidR="004B3185">
        <w:t xml:space="preserve"> </w:t>
      </w:r>
      <w:r w:rsidR="002D3D63">
        <w:t xml:space="preserve">Zvláštní povaha závěti spočívá </w:t>
      </w:r>
      <w:proofErr w:type="spellStart"/>
      <w:r w:rsidR="002D3D63">
        <w:t>mimojiné</w:t>
      </w:r>
      <w:proofErr w:type="spellEnd"/>
      <w:r w:rsidR="002D3D63">
        <w:t xml:space="preserve"> i v tom, že jde o jednostranné právní jednání, s nímž nejsou spojeny žádné povinnosti či omezení, není zapotřebí ani chránit druhou stranu právního vztahu a proto postačí, aby byl nezletilý schopen uvědomit si podstatu svého právního jednání, </w:t>
      </w:r>
      <w:r w:rsidR="009243A4">
        <w:t>bez ohledu na to</w:t>
      </w:r>
      <w:r w:rsidR="00297355">
        <w:t>,</w:t>
      </w:r>
      <w:r w:rsidR="009243A4">
        <w:t xml:space="preserve"> </w:t>
      </w:r>
      <w:r w:rsidR="002D3D63">
        <w:t>o jak velké</w:t>
      </w:r>
      <w:r w:rsidR="009243A4">
        <w:t xml:space="preserve"> hodnotě majetku bude následně </w:t>
      </w:r>
      <w:r w:rsidR="002D3D63">
        <w:t>pořizovat.</w:t>
      </w:r>
      <w:r w:rsidR="002D3D63">
        <w:rPr>
          <w:rStyle w:val="Znakapoznpodarou"/>
        </w:rPr>
        <w:footnoteReference w:id="97"/>
      </w:r>
      <w:r w:rsidR="00F1305C">
        <w:rPr>
          <w:i/>
          <w:sz w:val="16"/>
          <w:szCs w:val="16"/>
        </w:rPr>
        <w:t xml:space="preserve"> </w:t>
      </w:r>
      <w:r w:rsidR="00F1305C">
        <w:t xml:space="preserve">Opačný názor však </w:t>
      </w:r>
      <w:r w:rsidR="0099528D">
        <w:t xml:space="preserve">zastává </w:t>
      </w:r>
      <w:r w:rsidR="008D034A">
        <w:t>L. Muzikář</w:t>
      </w:r>
      <w:r w:rsidR="0099528D">
        <w:t xml:space="preserve">, který </w:t>
      </w:r>
      <w:r w:rsidR="0073465F">
        <w:t xml:space="preserve">připouští neplatnost </w:t>
      </w:r>
      <w:r w:rsidR="005D43EA">
        <w:t xml:space="preserve">závěti, kterou by tito </w:t>
      </w:r>
      <w:r w:rsidR="005D43EA">
        <w:lastRenderedPageBreak/>
        <w:t>nezletilí</w:t>
      </w:r>
      <w:r w:rsidR="0099528D">
        <w:t xml:space="preserve"> </w:t>
      </w:r>
      <w:r w:rsidR="005D43EA">
        <w:t>pořizovali „v</w:t>
      </w:r>
      <w:r w:rsidR="004F0574">
        <w:t> </w:t>
      </w:r>
      <w:r w:rsidR="005D43EA">
        <w:t>takovém rozsahu a takovým způsobem, že toto jednání není přiměřené rozumové a volní vyspělosti nezletilých jeho věku (§ 31</w:t>
      </w:r>
      <w:r w:rsidR="007C2516">
        <w:t xml:space="preserve"> NOZ</w:t>
      </w:r>
      <w:r w:rsidR="005D43EA">
        <w:t>)“.</w:t>
      </w:r>
      <w:r w:rsidR="006B5943">
        <w:rPr>
          <w:rStyle w:val="Znakapoznpodarou"/>
        </w:rPr>
        <w:footnoteReference w:id="98"/>
      </w:r>
    </w:p>
    <w:p w:rsidR="00700831" w:rsidRDefault="00191B3B" w:rsidP="00350430">
      <w:pPr>
        <w:pStyle w:val="DiplTEXT"/>
        <w:spacing w:after="0"/>
        <w:ind w:firstLine="567"/>
      </w:pPr>
      <w:r>
        <w:t xml:space="preserve">Pokud připustíme, že </w:t>
      </w:r>
      <w:r w:rsidR="00744A2B">
        <w:t xml:space="preserve">§ 1526 NOZ je ustanovením speciálním </w:t>
      </w:r>
      <w:r w:rsidR="00917557">
        <w:t>vylučující</w:t>
      </w:r>
      <w:r w:rsidR="003424F0">
        <w:t>m</w:t>
      </w:r>
      <w:r w:rsidR="00917557">
        <w:t xml:space="preserve"> obecnou úpravu § 31</w:t>
      </w:r>
      <w:r w:rsidR="003424F0">
        <w:t xml:space="preserve"> NOZ,</w:t>
      </w:r>
      <w:r w:rsidR="00917557">
        <w:t xml:space="preserve"> </w:t>
      </w:r>
      <w:r w:rsidR="00FB0CD0">
        <w:t xml:space="preserve">je možné </w:t>
      </w:r>
      <w:r w:rsidR="008E4E21">
        <w:t xml:space="preserve">na základě </w:t>
      </w:r>
      <w:r w:rsidR="00744A2B">
        <w:t>a</w:t>
      </w:r>
      <w:r w:rsidR="008E4E21">
        <w:t>rgumentu</w:t>
      </w:r>
      <w:r w:rsidR="00700831">
        <w:t xml:space="preserve"> </w:t>
      </w:r>
      <w:r w:rsidR="00700831" w:rsidRPr="00744A2B">
        <w:t xml:space="preserve">a </w:t>
      </w:r>
      <w:proofErr w:type="spellStart"/>
      <w:r w:rsidR="00700831" w:rsidRPr="00744A2B">
        <w:t>silentio</w:t>
      </w:r>
      <w:proofErr w:type="spellEnd"/>
      <w:r w:rsidR="00700831" w:rsidRPr="00744A2B">
        <w:t xml:space="preserve"> </w:t>
      </w:r>
      <w:proofErr w:type="spellStart"/>
      <w:r w:rsidR="00700831" w:rsidRPr="00744A2B">
        <w:t>legis</w:t>
      </w:r>
      <w:proofErr w:type="spellEnd"/>
      <w:r w:rsidR="00FB0CD0">
        <w:t xml:space="preserve"> </w:t>
      </w:r>
      <w:r w:rsidR="00917557">
        <w:t>konstatovat</w:t>
      </w:r>
      <w:r w:rsidR="00700831">
        <w:t xml:space="preserve">, že </w:t>
      </w:r>
      <w:r w:rsidR="008E4E21">
        <w:t xml:space="preserve">předmětné ustanovení </w:t>
      </w:r>
      <w:r w:rsidR="00D50DFD">
        <w:t>výslovné omezení</w:t>
      </w:r>
      <w:r w:rsidR="008E4E21">
        <w:t xml:space="preserve"> pořizovací </w:t>
      </w:r>
      <w:r w:rsidR="009B5749">
        <w:t>volnosti</w:t>
      </w:r>
      <w:r w:rsidR="008E4E21">
        <w:t xml:space="preserve"> co do výše </w:t>
      </w:r>
      <w:r w:rsidR="009B5749">
        <w:t>majetkové dispozice neuvádí</w:t>
      </w:r>
      <w:r w:rsidR="00700831">
        <w:t>. Lze tak dojít k závěru, že nezletilému nic nebrání v tom, aby pořídil i ohledně nemovitých a</w:t>
      </w:r>
      <w:r w:rsidR="004F0574">
        <w:t> </w:t>
      </w:r>
      <w:r w:rsidR="00700831">
        <w:t xml:space="preserve"> movitých věcí vyšší hodnoty bez omezení, což </w:t>
      </w:r>
      <w:r w:rsidR="00D50DFD" w:rsidRPr="008F0A3C">
        <w:t xml:space="preserve">plně </w:t>
      </w:r>
      <w:r w:rsidR="00B83EB2" w:rsidRPr="008F0A3C">
        <w:t>koresponduje se zásadou autonomie vůle</w:t>
      </w:r>
      <w:r w:rsidR="009C49CF">
        <w:t xml:space="preserve"> zůstavitele</w:t>
      </w:r>
      <w:r w:rsidR="008F0A3C" w:rsidRPr="008F0A3C">
        <w:t xml:space="preserve">, které má být co nejvíce </w:t>
      </w:r>
      <w:r w:rsidR="008F0A3C">
        <w:t>vyhověno.</w:t>
      </w:r>
    </w:p>
    <w:p w:rsidR="00855EA6" w:rsidRDefault="00855EA6" w:rsidP="00350430">
      <w:pPr>
        <w:pStyle w:val="DiplTEXT"/>
        <w:spacing w:after="0"/>
        <w:ind w:firstLine="567"/>
      </w:pPr>
      <w:r>
        <w:t xml:space="preserve">Výše uvedená problematika není v současné době odborné literatuře uspokojivě řešena. Ačkoliv se bude z hlediska praxe </w:t>
      </w:r>
      <w:r w:rsidR="00B0046A">
        <w:t xml:space="preserve">zřejmě </w:t>
      </w:r>
      <w:r>
        <w:t xml:space="preserve">jednat o raritní případy, lze </w:t>
      </w:r>
      <w:r w:rsidR="003B0139">
        <w:t xml:space="preserve">zákonodárci z hlediska právní jistoty </w:t>
      </w:r>
      <w:r>
        <w:t xml:space="preserve">de lege </w:t>
      </w:r>
      <w:proofErr w:type="spellStart"/>
      <w:r>
        <w:t>ferenda</w:t>
      </w:r>
      <w:proofErr w:type="spellEnd"/>
      <w:r>
        <w:t xml:space="preserve"> doporučit </w:t>
      </w:r>
      <w:r w:rsidR="00555BE4">
        <w:t xml:space="preserve">doplnění </w:t>
      </w:r>
      <w:r w:rsidR="003B0139">
        <w:t xml:space="preserve">právní úpravy § 1526 </w:t>
      </w:r>
      <w:r w:rsidR="00555BE4">
        <w:t xml:space="preserve">NOZ </w:t>
      </w:r>
      <w:r w:rsidR="003B0139" w:rsidRPr="00EA0A7E">
        <w:t>s ohledem na výši majetku,</w:t>
      </w:r>
      <w:r w:rsidR="003B0139">
        <w:t xml:space="preserve"> se kterým bude nezletilý </w:t>
      </w:r>
      <w:r w:rsidR="00286A6B">
        <w:t>moci</w:t>
      </w:r>
      <w:r w:rsidR="003B0139">
        <w:t xml:space="preserve"> disponovat. </w:t>
      </w:r>
    </w:p>
    <w:p w:rsidR="00252361" w:rsidRDefault="00252361">
      <w:pPr>
        <w:spacing w:after="0" w:line="240" w:lineRule="auto"/>
        <w:jc w:val="left"/>
        <w:rPr>
          <w:b/>
          <w:sz w:val="32"/>
        </w:rPr>
      </w:pPr>
      <w:bookmarkStart w:id="42" w:name="_Toc436779476"/>
      <w:r>
        <w:br w:type="page"/>
      </w:r>
    </w:p>
    <w:p w:rsidR="00D72C03" w:rsidRPr="001A35E2" w:rsidRDefault="001A35E2" w:rsidP="008074AB">
      <w:pPr>
        <w:pStyle w:val="Nadpis1"/>
      </w:pPr>
      <w:bookmarkStart w:id="43" w:name="_Toc437225070"/>
      <w:r>
        <w:lastRenderedPageBreak/>
        <w:t>4</w:t>
      </w:r>
      <w:r w:rsidR="00B96A77">
        <w:tab/>
      </w:r>
      <w:r w:rsidR="00C13EF0">
        <w:t xml:space="preserve">Závěti pořízené s úlevami a jejich </w:t>
      </w:r>
      <w:bookmarkEnd w:id="42"/>
      <w:r w:rsidR="00502319">
        <w:t>problematické aspekty</w:t>
      </w:r>
      <w:bookmarkEnd w:id="43"/>
    </w:p>
    <w:p w:rsidR="00DC1A48" w:rsidRPr="00B92AC3" w:rsidRDefault="00B0046A" w:rsidP="00CD4214">
      <w:pPr>
        <w:spacing w:after="0"/>
        <w:ind w:firstLine="567"/>
        <w:rPr>
          <w:szCs w:val="24"/>
        </w:rPr>
      </w:pPr>
      <w:r>
        <w:rPr>
          <w:szCs w:val="28"/>
        </w:rPr>
        <w:t xml:space="preserve">Závěti pořízené s úlevami </w:t>
      </w:r>
      <w:r w:rsidR="00CD4214">
        <w:rPr>
          <w:szCs w:val="28"/>
        </w:rPr>
        <w:t xml:space="preserve">neboli privilegované závěti </w:t>
      </w:r>
      <w:r w:rsidR="00C33720">
        <w:rPr>
          <w:szCs w:val="28"/>
        </w:rPr>
        <w:t xml:space="preserve">jsou </w:t>
      </w:r>
      <w:r w:rsidR="00E679C1">
        <w:rPr>
          <w:szCs w:val="28"/>
        </w:rPr>
        <w:t xml:space="preserve">ústní formy </w:t>
      </w:r>
      <w:r w:rsidR="00CF61C9">
        <w:rPr>
          <w:szCs w:val="28"/>
        </w:rPr>
        <w:t>závětí</w:t>
      </w:r>
      <w:r w:rsidR="00E679C1">
        <w:rPr>
          <w:szCs w:val="28"/>
        </w:rPr>
        <w:t xml:space="preserve">, které umožňují </w:t>
      </w:r>
      <w:r w:rsidR="00CD4214">
        <w:rPr>
          <w:szCs w:val="28"/>
        </w:rPr>
        <w:t>zůstaviteli, aby platně pořídil v tísni za ztížených podmínek nebo mimořádných okolností,</w:t>
      </w:r>
      <w:r w:rsidR="00E679C1">
        <w:rPr>
          <w:szCs w:val="28"/>
        </w:rPr>
        <w:t xml:space="preserve"> aniž by zákon vyžadoval splnění </w:t>
      </w:r>
      <w:r w:rsidR="00CD4214">
        <w:rPr>
          <w:szCs w:val="28"/>
        </w:rPr>
        <w:t xml:space="preserve">všech zákonných náležitostí písemného testamentu </w:t>
      </w:r>
      <w:r w:rsidR="00165762">
        <w:rPr>
          <w:szCs w:val="28"/>
        </w:rPr>
        <w:t>v obvyklých formách</w:t>
      </w:r>
      <w:r w:rsidR="00CD4214" w:rsidRPr="00F92D5C">
        <w:rPr>
          <w:szCs w:val="24"/>
        </w:rPr>
        <w:t>.</w:t>
      </w:r>
      <w:r w:rsidR="00CD4214">
        <w:rPr>
          <w:rStyle w:val="Znakapoznpodarou"/>
          <w:szCs w:val="28"/>
        </w:rPr>
        <w:footnoteReference w:id="99"/>
      </w:r>
      <w:r w:rsidR="00CD4214">
        <w:rPr>
          <w:szCs w:val="24"/>
        </w:rPr>
        <w:t xml:space="preserve"> </w:t>
      </w:r>
      <w:r w:rsidR="00165762" w:rsidRPr="00B92AC3">
        <w:rPr>
          <w:szCs w:val="24"/>
        </w:rPr>
        <w:t xml:space="preserve">NOZ </w:t>
      </w:r>
      <w:r w:rsidR="00313FC4" w:rsidRPr="00B92AC3">
        <w:rPr>
          <w:szCs w:val="24"/>
        </w:rPr>
        <w:t xml:space="preserve">upravuje </w:t>
      </w:r>
      <w:r w:rsidR="00CF61C9" w:rsidRPr="00B92AC3">
        <w:rPr>
          <w:szCs w:val="24"/>
        </w:rPr>
        <w:t xml:space="preserve">soukromé a veřejné </w:t>
      </w:r>
      <w:r w:rsidR="00313FC4" w:rsidRPr="00B92AC3">
        <w:rPr>
          <w:szCs w:val="24"/>
        </w:rPr>
        <w:t xml:space="preserve">privilegované závěti v ustanoveních §§ 1542 až 1549 s tím, že </w:t>
      </w:r>
      <w:r w:rsidR="001D1DD3" w:rsidRPr="00B92AC3">
        <w:rPr>
          <w:szCs w:val="24"/>
        </w:rPr>
        <w:t xml:space="preserve">rozlišuje </w:t>
      </w:r>
      <w:r w:rsidR="004928BF" w:rsidRPr="00B92AC3">
        <w:rPr>
          <w:szCs w:val="24"/>
        </w:rPr>
        <w:t>několik</w:t>
      </w:r>
      <w:r w:rsidR="00DC1A48" w:rsidRPr="00B92AC3">
        <w:rPr>
          <w:szCs w:val="24"/>
        </w:rPr>
        <w:t xml:space="preserve"> </w:t>
      </w:r>
      <w:r w:rsidR="00CF61C9" w:rsidRPr="00B92AC3">
        <w:rPr>
          <w:szCs w:val="24"/>
        </w:rPr>
        <w:t xml:space="preserve">mimořádných </w:t>
      </w:r>
      <w:r w:rsidR="00DC1A48" w:rsidRPr="00B92AC3">
        <w:rPr>
          <w:szCs w:val="24"/>
        </w:rPr>
        <w:t>situac</w:t>
      </w:r>
      <w:r w:rsidR="004928BF" w:rsidRPr="00B92AC3">
        <w:rPr>
          <w:szCs w:val="24"/>
        </w:rPr>
        <w:t>í</w:t>
      </w:r>
      <w:r w:rsidR="00E17FE5" w:rsidRPr="00B92AC3">
        <w:rPr>
          <w:szCs w:val="24"/>
        </w:rPr>
        <w:t>, které typizují jednotlivé úlevy.</w:t>
      </w:r>
      <w:r w:rsidR="00975E4C">
        <w:rPr>
          <w:szCs w:val="24"/>
        </w:rPr>
        <w:t xml:space="preserve"> </w:t>
      </w:r>
      <w:r w:rsidR="00286A6B">
        <w:rPr>
          <w:szCs w:val="24"/>
        </w:rPr>
        <w:t xml:space="preserve">Privilegovanost </w:t>
      </w:r>
      <w:r w:rsidR="00CD7614">
        <w:rPr>
          <w:szCs w:val="24"/>
        </w:rPr>
        <w:t xml:space="preserve">těchto závětí </w:t>
      </w:r>
      <w:r w:rsidR="00574FCA">
        <w:rPr>
          <w:szCs w:val="24"/>
        </w:rPr>
        <w:t xml:space="preserve">spočívá ve snížení </w:t>
      </w:r>
      <w:r w:rsidR="00312876">
        <w:rPr>
          <w:szCs w:val="24"/>
        </w:rPr>
        <w:t xml:space="preserve">zákonem požadovaných </w:t>
      </w:r>
      <w:r w:rsidR="00574FCA">
        <w:rPr>
          <w:szCs w:val="24"/>
        </w:rPr>
        <w:t>formálních požadavk</w:t>
      </w:r>
      <w:r w:rsidR="003B4366">
        <w:rPr>
          <w:szCs w:val="24"/>
        </w:rPr>
        <w:t xml:space="preserve">ů </w:t>
      </w:r>
      <w:r w:rsidR="00312876">
        <w:rPr>
          <w:szCs w:val="24"/>
        </w:rPr>
        <w:t>kladených na závěť</w:t>
      </w:r>
      <w:r w:rsidR="003B4366">
        <w:rPr>
          <w:szCs w:val="24"/>
        </w:rPr>
        <w:t>.</w:t>
      </w:r>
      <w:r w:rsidR="00023CF3">
        <w:rPr>
          <w:szCs w:val="24"/>
        </w:rPr>
        <w:t xml:space="preserve"> Platnost privilegovaných závětí je</w:t>
      </w:r>
      <w:r w:rsidR="00312876">
        <w:rPr>
          <w:szCs w:val="24"/>
        </w:rPr>
        <w:t xml:space="preserve"> podle § 1549 NOZ</w:t>
      </w:r>
      <w:r w:rsidR="00023CF3">
        <w:rPr>
          <w:szCs w:val="24"/>
        </w:rPr>
        <w:t xml:space="preserve"> časově omezena, dokud </w:t>
      </w:r>
      <w:r w:rsidR="00F352E7">
        <w:rPr>
          <w:szCs w:val="24"/>
        </w:rPr>
        <w:t xml:space="preserve">zůstavitel </w:t>
      </w:r>
      <w:r w:rsidR="00023CF3">
        <w:rPr>
          <w:szCs w:val="24"/>
        </w:rPr>
        <w:t>nemůže pořídit závěť veřejnou listinou.</w:t>
      </w:r>
    </w:p>
    <w:p w:rsidR="00CD4214" w:rsidRPr="003677AB" w:rsidRDefault="008E06EE" w:rsidP="00D705BB">
      <w:pPr>
        <w:spacing w:after="0"/>
        <w:ind w:firstLine="567"/>
        <w:rPr>
          <w:szCs w:val="28"/>
        </w:rPr>
      </w:pPr>
      <w:r>
        <w:rPr>
          <w:szCs w:val="28"/>
        </w:rPr>
        <w:t>Znovuobnovení</w:t>
      </w:r>
      <w:r w:rsidR="0031040E">
        <w:rPr>
          <w:szCs w:val="28"/>
        </w:rPr>
        <w:t xml:space="preserve"> </w:t>
      </w:r>
      <w:r>
        <w:rPr>
          <w:szCs w:val="28"/>
        </w:rPr>
        <w:t xml:space="preserve">právní úpravy </w:t>
      </w:r>
      <w:r w:rsidR="00CD4214">
        <w:rPr>
          <w:szCs w:val="28"/>
        </w:rPr>
        <w:t xml:space="preserve">privilegovaných závětí </w:t>
      </w:r>
      <w:r w:rsidR="009F5633">
        <w:rPr>
          <w:szCs w:val="28"/>
        </w:rPr>
        <w:t>vyvolalo kritické reakce</w:t>
      </w:r>
      <w:r w:rsidR="000C59CF">
        <w:rPr>
          <w:szCs w:val="28"/>
        </w:rPr>
        <w:t xml:space="preserve"> </w:t>
      </w:r>
      <w:r w:rsidR="00055FC1">
        <w:rPr>
          <w:szCs w:val="28"/>
        </w:rPr>
        <w:t>odborné veřejnosti.</w:t>
      </w:r>
      <w:r w:rsidR="00A61ABE">
        <w:rPr>
          <w:szCs w:val="28"/>
        </w:rPr>
        <w:t xml:space="preserve"> V obecné rovině bylo </w:t>
      </w:r>
      <w:r w:rsidR="00135A3F">
        <w:rPr>
          <w:szCs w:val="28"/>
        </w:rPr>
        <w:t>právní úpravě vytýkáno, že je příliš komplikovaná</w:t>
      </w:r>
      <w:r w:rsidR="00B11C23">
        <w:rPr>
          <w:szCs w:val="28"/>
        </w:rPr>
        <w:t xml:space="preserve"> a</w:t>
      </w:r>
      <w:r w:rsidR="004F0574">
        <w:t> </w:t>
      </w:r>
      <w:r w:rsidR="00B11C23">
        <w:rPr>
          <w:szCs w:val="28"/>
        </w:rPr>
        <w:t xml:space="preserve"> kazuistická, existence úlev </w:t>
      </w:r>
      <w:r w:rsidR="00F06985">
        <w:rPr>
          <w:szCs w:val="28"/>
        </w:rPr>
        <w:t xml:space="preserve">zvýší riziko </w:t>
      </w:r>
      <w:r w:rsidR="00B11C23">
        <w:rPr>
          <w:szCs w:val="28"/>
        </w:rPr>
        <w:t xml:space="preserve">jejich zneužití </w:t>
      </w:r>
      <w:r w:rsidR="009F5633">
        <w:rPr>
          <w:szCs w:val="28"/>
        </w:rPr>
        <w:t xml:space="preserve">a v neposlední řadě i konkrétní výkladové </w:t>
      </w:r>
      <w:r w:rsidR="00AC655F">
        <w:rPr>
          <w:szCs w:val="28"/>
        </w:rPr>
        <w:t>nejasnosti</w:t>
      </w:r>
      <w:r w:rsidR="009F5633">
        <w:rPr>
          <w:szCs w:val="28"/>
        </w:rPr>
        <w:t>.</w:t>
      </w:r>
      <w:r w:rsidR="004A44CB">
        <w:rPr>
          <w:szCs w:val="28"/>
        </w:rPr>
        <w:t xml:space="preserve"> </w:t>
      </w:r>
      <w:r w:rsidR="00CD4214">
        <w:rPr>
          <w:rStyle w:val="Znakapoznpodarou"/>
          <w:szCs w:val="28"/>
        </w:rPr>
        <w:footnoteReference w:id="100"/>
      </w:r>
      <w:r w:rsidR="00B11C23">
        <w:rPr>
          <w:szCs w:val="28"/>
        </w:rPr>
        <w:t xml:space="preserve"> </w:t>
      </w:r>
      <w:r w:rsidR="00AC655F">
        <w:rPr>
          <w:szCs w:val="28"/>
        </w:rPr>
        <w:t xml:space="preserve">Opačné názory naopak odůvodňovaly jejich zavedení </w:t>
      </w:r>
      <w:r w:rsidR="00602A1D">
        <w:rPr>
          <w:szCs w:val="28"/>
        </w:rPr>
        <w:t xml:space="preserve">s odkazem na tradiční evropské kodexy, jichž jsou privilegované závěti moderní a vyzkoušenou součástí. </w:t>
      </w:r>
      <w:r w:rsidR="00D7388D">
        <w:rPr>
          <w:szCs w:val="28"/>
        </w:rPr>
        <w:t>Podrobná ko</w:t>
      </w:r>
      <w:r w:rsidR="00143D33">
        <w:rPr>
          <w:szCs w:val="28"/>
        </w:rPr>
        <w:t xml:space="preserve">mparace se zahraničními vzory a </w:t>
      </w:r>
      <w:r w:rsidR="004A44CB">
        <w:rPr>
          <w:szCs w:val="28"/>
        </w:rPr>
        <w:t xml:space="preserve">diskontinuita </w:t>
      </w:r>
      <w:r w:rsidR="00143D33">
        <w:rPr>
          <w:szCs w:val="28"/>
        </w:rPr>
        <w:t>právní úpravy</w:t>
      </w:r>
      <w:r w:rsidR="00D7324C">
        <w:rPr>
          <w:szCs w:val="28"/>
        </w:rPr>
        <w:t xml:space="preserve"> </w:t>
      </w:r>
      <w:r w:rsidR="009F5633">
        <w:rPr>
          <w:szCs w:val="28"/>
        </w:rPr>
        <w:t xml:space="preserve">vedla </w:t>
      </w:r>
      <w:r w:rsidR="00602A1D">
        <w:rPr>
          <w:szCs w:val="28"/>
        </w:rPr>
        <w:t>autory NOZ</w:t>
      </w:r>
      <w:r w:rsidR="00D7388D">
        <w:rPr>
          <w:szCs w:val="28"/>
        </w:rPr>
        <w:t xml:space="preserve"> </w:t>
      </w:r>
      <w:r w:rsidR="00143D33">
        <w:rPr>
          <w:szCs w:val="28"/>
        </w:rPr>
        <w:t xml:space="preserve">záměrně </w:t>
      </w:r>
      <w:r w:rsidR="004A44CB">
        <w:rPr>
          <w:szCs w:val="28"/>
        </w:rPr>
        <w:t>k volbě ustanovení podrobnějších</w:t>
      </w:r>
      <w:r>
        <w:rPr>
          <w:szCs w:val="28"/>
        </w:rPr>
        <w:t xml:space="preserve">, které </w:t>
      </w:r>
      <w:r w:rsidR="001F7E64">
        <w:rPr>
          <w:szCs w:val="28"/>
        </w:rPr>
        <w:t>vyhoví</w:t>
      </w:r>
      <w:r w:rsidR="000C59CF">
        <w:rPr>
          <w:szCs w:val="28"/>
        </w:rPr>
        <w:t xml:space="preserve"> potřebám lidského života</w:t>
      </w:r>
      <w:r w:rsidR="001F7E64">
        <w:rPr>
          <w:szCs w:val="28"/>
        </w:rPr>
        <w:t xml:space="preserve"> a jeho variability</w:t>
      </w:r>
      <w:r w:rsidR="000C59CF">
        <w:rPr>
          <w:szCs w:val="28"/>
        </w:rPr>
        <w:t>.</w:t>
      </w:r>
      <w:r w:rsidR="001F7E64">
        <w:rPr>
          <w:rStyle w:val="Znakapoznpodarou"/>
          <w:szCs w:val="28"/>
        </w:rPr>
        <w:footnoteReference w:id="101"/>
      </w:r>
      <w:r w:rsidR="000C59CF">
        <w:rPr>
          <w:szCs w:val="28"/>
        </w:rPr>
        <w:t xml:space="preserve"> </w:t>
      </w:r>
      <w:r w:rsidR="00CF61C9" w:rsidRPr="003677AB">
        <w:rPr>
          <w:szCs w:val="24"/>
        </w:rPr>
        <w:t xml:space="preserve">Konkrétní problematické aspekty budou </w:t>
      </w:r>
      <w:r w:rsidR="00D705BB" w:rsidRPr="003677AB">
        <w:rPr>
          <w:szCs w:val="24"/>
        </w:rPr>
        <w:t xml:space="preserve">dále </w:t>
      </w:r>
      <w:r w:rsidR="00CF61C9" w:rsidRPr="003677AB">
        <w:rPr>
          <w:szCs w:val="24"/>
        </w:rPr>
        <w:t>rozebrány v následujících podkapitolách.</w:t>
      </w:r>
    </w:p>
    <w:p w:rsidR="00F4047F" w:rsidRPr="001A35E2" w:rsidRDefault="001A35E2" w:rsidP="008074AB">
      <w:pPr>
        <w:pStyle w:val="Nadpis2"/>
      </w:pPr>
      <w:bookmarkStart w:id="44" w:name="_Toc436779477"/>
      <w:bookmarkStart w:id="45" w:name="_Toc437225071"/>
      <w:r w:rsidRPr="001A35E2">
        <w:t>4</w:t>
      </w:r>
      <w:r w:rsidR="006670EA" w:rsidRPr="001A35E2">
        <w:t>.</w:t>
      </w:r>
      <w:r w:rsidR="00CD59DE" w:rsidRPr="001A35E2">
        <w:t>1</w:t>
      </w:r>
      <w:r w:rsidR="00B96A77">
        <w:tab/>
      </w:r>
      <w:r w:rsidR="0015182B">
        <w:t xml:space="preserve">Závěť </w:t>
      </w:r>
      <w:r w:rsidR="0015182B" w:rsidRPr="008074AB">
        <w:t>pořízená</w:t>
      </w:r>
      <w:r w:rsidR="00F4047F" w:rsidRPr="001A35E2">
        <w:t xml:space="preserve"> při nenadálé události</w:t>
      </w:r>
      <w:bookmarkEnd w:id="44"/>
      <w:bookmarkEnd w:id="45"/>
      <w:r w:rsidR="004928BF" w:rsidRPr="001A35E2">
        <w:t xml:space="preserve"> </w:t>
      </w:r>
    </w:p>
    <w:p w:rsidR="00F352E7" w:rsidRDefault="003D47FB" w:rsidP="00D91187">
      <w:pPr>
        <w:spacing w:after="0"/>
        <w:ind w:firstLine="567"/>
        <w:rPr>
          <w:szCs w:val="28"/>
        </w:rPr>
      </w:pPr>
      <w:r>
        <w:rPr>
          <w:szCs w:val="28"/>
        </w:rPr>
        <w:t xml:space="preserve">NOZ v § 1542 odst. 1 </w:t>
      </w:r>
      <w:r w:rsidR="00F4047F">
        <w:rPr>
          <w:szCs w:val="28"/>
        </w:rPr>
        <w:t>rozlišuje dvě základní situace, za nichž je možné ústně pořídit soukromou závěť před třemi současně přítomnými svědky. V </w:t>
      </w:r>
      <w:r w:rsidR="00F4047F" w:rsidRPr="003D47FB">
        <w:rPr>
          <w:szCs w:val="28"/>
        </w:rPr>
        <w:t>prvním případě</w:t>
      </w:r>
      <w:r w:rsidR="00F4047F">
        <w:rPr>
          <w:szCs w:val="28"/>
        </w:rPr>
        <w:t xml:space="preserve"> se jedná o</w:t>
      </w:r>
      <w:r w:rsidR="004F0574">
        <w:t> </w:t>
      </w:r>
      <w:r w:rsidR="00F4047F">
        <w:rPr>
          <w:szCs w:val="28"/>
        </w:rPr>
        <w:t xml:space="preserve"> nenadál</w:t>
      </w:r>
      <w:r w:rsidR="00EE1F34">
        <w:rPr>
          <w:szCs w:val="28"/>
        </w:rPr>
        <w:t xml:space="preserve">ou událost, která </w:t>
      </w:r>
      <w:r w:rsidR="00F4047F">
        <w:rPr>
          <w:szCs w:val="28"/>
        </w:rPr>
        <w:t>zůstavitel</w:t>
      </w:r>
      <w:r w:rsidR="00EE1F34">
        <w:rPr>
          <w:szCs w:val="28"/>
        </w:rPr>
        <w:t>e</w:t>
      </w:r>
      <w:r w:rsidR="00806871">
        <w:rPr>
          <w:szCs w:val="28"/>
        </w:rPr>
        <w:t xml:space="preserve"> </w:t>
      </w:r>
      <w:r w:rsidR="00F4047F">
        <w:rPr>
          <w:szCs w:val="28"/>
        </w:rPr>
        <w:t>patrn</w:t>
      </w:r>
      <w:r w:rsidR="00806871">
        <w:rPr>
          <w:szCs w:val="28"/>
        </w:rPr>
        <w:t>ě a bezprostředně ohrožuje na životě</w:t>
      </w:r>
      <w:r w:rsidR="00F4047F">
        <w:rPr>
          <w:szCs w:val="28"/>
        </w:rPr>
        <w:t xml:space="preserve">. </w:t>
      </w:r>
      <w:r w:rsidR="002E7B66">
        <w:rPr>
          <w:szCs w:val="28"/>
        </w:rPr>
        <w:t>Otázkou je</w:t>
      </w:r>
      <w:r w:rsidR="003F1611">
        <w:rPr>
          <w:szCs w:val="28"/>
        </w:rPr>
        <w:t>,</w:t>
      </w:r>
      <w:r w:rsidR="002E7B66">
        <w:rPr>
          <w:szCs w:val="28"/>
        </w:rPr>
        <w:t xml:space="preserve"> v čem </w:t>
      </w:r>
      <w:r w:rsidR="0058086D">
        <w:rPr>
          <w:szCs w:val="28"/>
        </w:rPr>
        <w:t xml:space="preserve">spočívá nenadálá událost a </w:t>
      </w:r>
      <w:r w:rsidR="00491347">
        <w:rPr>
          <w:szCs w:val="28"/>
        </w:rPr>
        <w:t>jak</w:t>
      </w:r>
      <w:r w:rsidR="003F4E96">
        <w:rPr>
          <w:szCs w:val="28"/>
        </w:rPr>
        <w:t>ým</w:t>
      </w:r>
      <w:r w:rsidR="00491347">
        <w:rPr>
          <w:szCs w:val="28"/>
        </w:rPr>
        <w:t xml:space="preserve"> </w:t>
      </w:r>
      <w:r w:rsidR="003F4E96">
        <w:rPr>
          <w:szCs w:val="28"/>
        </w:rPr>
        <w:t xml:space="preserve">způsobem </w:t>
      </w:r>
      <w:r w:rsidR="00491347">
        <w:rPr>
          <w:szCs w:val="28"/>
        </w:rPr>
        <w:t>posoudit</w:t>
      </w:r>
      <w:r w:rsidR="0058086D">
        <w:rPr>
          <w:szCs w:val="28"/>
        </w:rPr>
        <w:t xml:space="preserve"> </w:t>
      </w:r>
      <w:r w:rsidR="00491347">
        <w:rPr>
          <w:szCs w:val="28"/>
        </w:rPr>
        <w:t xml:space="preserve">ohrožení života ze strany </w:t>
      </w:r>
      <w:r w:rsidR="00F352E7">
        <w:rPr>
          <w:szCs w:val="28"/>
        </w:rPr>
        <w:t>zůstavitele.</w:t>
      </w:r>
    </w:p>
    <w:p w:rsidR="003D47FB" w:rsidRDefault="00BC7D9C" w:rsidP="00D91187">
      <w:pPr>
        <w:spacing w:after="0"/>
        <w:ind w:firstLine="567"/>
        <w:rPr>
          <w:szCs w:val="28"/>
        </w:rPr>
      </w:pPr>
      <w:r>
        <w:rPr>
          <w:szCs w:val="28"/>
        </w:rPr>
        <w:t xml:space="preserve">Podle J. Svobody spočívá nenadálá událost v nemožnosti rozumně předvídat nebezpečí v dané </w:t>
      </w:r>
      <w:r w:rsidR="000957B1">
        <w:rPr>
          <w:szCs w:val="28"/>
        </w:rPr>
        <w:t xml:space="preserve">oblasti, přičemž </w:t>
      </w:r>
      <w:r w:rsidR="00F4047F">
        <w:rPr>
          <w:szCs w:val="28"/>
        </w:rPr>
        <w:t xml:space="preserve">bezprostřední </w:t>
      </w:r>
      <w:r w:rsidR="000957B1">
        <w:rPr>
          <w:szCs w:val="28"/>
        </w:rPr>
        <w:t xml:space="preserve">a patrné </w:t>
      </w:r>
      <w:r w:rsidR="00F4047F">
        <w:rPr>
          <w:szCs w:val="28"/>
        </w:rPr>
        <w:t xml:space="preserve">ohrožení života </w:t>
      </w:r>
      <w:r w:rsidR="000957B1">
        <w:rPr>
          <w:szCs w:val="28"/>
        </w:rPr>
        <w:t>touto událostí musí být objektivní</w:t>
      </w:r>
      <w:r w:rsidR="00F4047F">
        <w:rPr>
          <w:szCs w:val="28"/>
        </w:rPr>
        <w:t xml:space="preserve">, tzn. </w:t>
      </w:r>
      <w:r w:rsidR="00546134">
        <w:rPr>
          <w:szCs w:val="28"/>
        </w:rPr>
        <w:t xml:space="preserve">bez ohledu na </w:t>
      </w:r>
      <w:r w:rsidR="00F4047F">
        <w:rPr>
          <w:szCs w:val="28"/>
        </w:rPr>
        <w:t xml:space="preserve">subjektivní </w:t>
      </w:r>
      <w:r w:rsidR="003117C3">
        <w:rPr>
          <w:szCs w:val="28"/>
        </w:rPr>
        <w:t>přesvědčení</w:t>
      </w:r>
      <w:r w:rsidR="00F4047F">
        <w:rPr>
          <w:szCs w:val="28"/>
        </w:rPr>
        <w:t xml:space="preserve"> pořizovatele o bezprostř</w:t>
      </w:r>
      <w:r w:rsidR="00302EE5">
        <w:rPr>
          <w:szCs w:val="28"/>
        </w:rPr>
        <w:t xml:space="preserve">edním ohrožení </w:t>
      </w:r>
      <w:r w:rsidR="00302EE5">
        <w:rPr>
          <w:szCs w:val="28"/>
        </w:rPr>
        <w:lastRenderedPageBreak/>
        <w:t>jeho života</w:t>
      </w:r>
      <w:r w:rsidR="008E35CA">
        <w:rPr>
          <w:szCs w:val="28"/>
        </w:rPr>
        <w:t>.</w:t>
      </w:r>
      <w:r w:rsidR="000957B1">
        <w:rPr>
          <w:szCs w:val="28"/>
        </w:rPr>
        <w:t xml:space="preserve"> </w:t>
      </w:r>
      <w:r w:rsidR="0097372C">
        <w:rPr>
          <w:szCs w:val="28"/>
        </w:rPr>
        <w:t xml:space="preserve">Pokud by </w:t>
      </w:r>
      <w:r w:rsidR="004D7945">
        <w:rPr>
          <w:szCs w:val="28"/>
        </w:rPr>
        <w:t>jedna z</w:t>
      </w:r>
      <w:r w:rsidR="00371F3F">
        <w:rPr>
          <w:szCs w:val="28"/>
        </w:rPr>
        <w:t xml:space="preserve"> těchto </w:t>
      </w:r>
      <w:r w:rsidR="004D7945">
        <w:rPr>
          <w:szCs w:val="28"/>
        </w:rPr>
        <w:t>podmínek nebyla splněna,</w:t>
      </w:r>
      <w:r w:rsidR="0097372C">
        <w:rPr>
          <w:szCs w:val="28"/>
        </w:rPr>
        <w:t xml:space="preserve"> např</w:t>
      </w:r>
      <w:r w:rsidR="00ED5579">
        <w:rPr>
          <w:szCs w:val="28"/>
        </w:rPr>
        <w:t>.</w:t>
      </w:r>
      <w:r w:rsidR="00F4047F">
        <w:rPr>
          <w:szCs w:val="28"/>
        </w:rPr>
        <w:t xml:space="preserve"> </w:t>
      </w:r>
      <w:r w:rsidR="004D7945">
        <w:rPr>
          <w:szCs w:val="28"/>
        </w:rPr>
        <w:t>proto, že zůstavitel</w:t>
      </w:r>
      <w:r w:rsidR="0097372C">
        <w:rPr>
          <w:szCs w:val="28"/>
        </w:rPr>
        <w:t xml:space="preserve"> </w:t>
      </w:r>
      <w:r w:rsidR="004D7945">
        <w:rPr>
          <w:szCs w:val="28"/>
        </w:rPr>
        <w:t>ignoroval varování před povodní, ne</w:t>
      </w:r>
      <w:r w:rsidR="00164389">
        <w:rPr>
          <w:szCs w:val="28"/>
        </w:rPr>
        <w:t>lze považovat závěť za platnou.</w:t>
      </w:r>
      <w:r w:rsidR="004D7945">
        <w:rPr>
          <w:rStyle w:val="Znakapoznpodarou"/>
          <w:szCs w:val="28"/>
        </w:rPr>
        <w:footnoteReference w:id="102"/>
      </w:r>
    </w:p>
    <w:p w:rsidR="003D47FB" w:rsidRDefault="007B6A1F" w:rsidP="00D91187">
      <w:pPr>
        <w:spacing w:after="0"/>
        <w:ind w:firstLine="567"/>
        <w:rPr>
          <w:szCs w:val="16"/>
        </w:rPr>
      </w:pPr>
      <w:r>
        <w:rPr>
          <w:szCs w:val="28"/>
        </w:rPr>
        <w:t xml:space="preserve">Podle názoru autora diplomové práce </w:t>
      </w:r>
      <w:r w:rsidR="00E61D89">
        <w:rPr>
          <w:szCs w:val="28"/>
        </w:rPr>
        <w:t xml:space="preserve">by bylo vhodnější </w:t>
      </w:r>
      <w:r w:rsidR="00E61D89">
        <w:rPr>
          <w:szCs w:val="16"/>
        </w:rPr>
        <w:t xml:space="preserve">vyložit </w:t>
      </w:r>
      <w:proofErr w:type="gramStart"/>
      <w:r w:rsidR="00E61D89">
        <w:rPr>
          <w:szCs w:val="16"/>
        </w:rPr>
        <w:t>pojem</w:t>
      </w:r>
      <w:r w:rsidR="00E54208">
        <w:rPr>
          <w:szCs w:val="16"/>
        </w:rPr>
        <w:t xml:space="preserve"> </w:t>
      </w:r>
      <w:r w:rsidR="00F97A1B">
        <w:rPr>
          <w:szCs w:val="16"/>
        </w:rPr>
        <w:t>,,nenadálá</w:t>
      </w:r>
      <w:proofErr w:type="gramEnd"/>
      <w:r w:rsidR="00F97A1B">
        <w:rPr>
          <w:szCs w:val="16"/>
        </w:rPr>
        <w:t xml:space="preserve"> událost“ </w:t>
      </w:r>
      <w:r w:rsidR="00E61D89">
        <w:rPr>
          <w:szCs w:val="16"/>
        </w:rPr>
        <w:t xml:space="preserve">extenzivně a zahrnout do možného jazykového významu pojmu </w:t>
      </w:r>
      <w:r w:rsidR="00114C83">
        <w:rPr>
          <w:szCs w:val="16"/>
        </w:rPr>
        <w:t xml:space="preserve">nejen </w:t>
      </w:r>
      <w:r w:rsidR="00141C88">
        <w:rPr>
          <w:szCs w:val="16"/>
        </w:rPr>
        <w:t xml:space="preserve">život ohrožující </w:t>
      </w:r>
      <w:r w:rsidR="00AB7A6B">
        <w:rPr>
          <w:szCs w:val="16"/>
        </w:rPr>
        <w:t xml:space="preserve">objektivní </w:t>
      </w:r>
      <w:r w:rsidR="00E61D89">
        <w:rPr>
          <w:szCs w:val="16"/>
        </w:rPr>
        <w:t>události (např. přírodní katastrofy</w:t>
      </w:r>
      <w:r w:rsidR="00EC078A">
        <w:rPr>
          <w:szCs w:val="16"/>
        </w:rPr>
        <w:t>, havárie</w:t>
      </w:r>
      <w:r w:rsidR="00E61D89">
        <w:rPr>
          <w:szCs w:val="16"/>
        </w:rPr>
        <w:t>)</w:t>
      </w:r>
      <w:r w:rsidR="00A47C7C">
        <w:rPr>
          <w:szCs w:val="16"/>
        </w:rPr>
        <w:t>, ale</w:t>
      </w:r>
      <w:r w:rsidR="00E61D89">
        <w:rPr>
          <w:szCs w:val="16"/>
        </w:rPr>
        <w:t xml:space="preserve"> i </w:t>
      </w:r>
      <w:r w:rsidR="00141C88">
        <w:rPr>
          <w:szCs w:val="16"/>
        </w:rPr>
        <w:t xml:space="preserve">kritický </w:t>
      </w:r>
      <w:r w:rsidR="00E61D89">
        <w:rPr>
          <w:szCs w:val="16"/>
        </w:rPr>
        <w:t>zdravotní stav pořizovatele</w:t>
      </w:r>
      <w:r w:rsidR="00EC078A">
        <w:rPr>
          <w:szCs w:val="16"/>
        </w:rPr>
        <w:t xml:space="preserve"> bez ohledu na </w:t>
      </w:r>
      <w:r w:rsidR="00ED5579">
        <w:rPr>
          <w:szCs w:val="16"/>
        </w:rPr>
        <w:t xml:space="preserve">rozumně </w:t>
      </w:r>
      <w:r w:rsidR="00AB7A6B">
        <w:rPr>
          <w:szCs w:val="16"/>
        </w:rPr>
        <w:t xml:space="preserve">předvídatelné </w:t>
      </w:r>
      <w:r w:rsidR="001D7F59">
        <w:rPr>
          <w:szCs w:val="16"/>
        </w:rPr>
        <w:t>nebezpečí</w:t>
      </w:r>
      <w:r w:rsidR="00EC078A">
        <w:rPr>
          <w:szCs w:val="16"/>
        </w:rPr>
        <w:t xml:space="preserve"> </w:t>
      </w:r>
      <w:r w:rsidR="001D7F59">
        <w:rPr>
          <w:szCs w:val="16"/>
        </w:rPr>
        <w:t xml:space="preserve">v oblasti </w:t>
      </w:r>
      <w:r w:rsidR="00EC078A">
        <w:rPr>
          <w:szCs w:val="16"/>
        </w:rPr>
        <w:t>(např. infarkt</w:t>
      </w:r>
      <w:r w:rsidR="00ED5579">
        <w:rPr>
          <w:szCs w:val="16"/>
        </w:rPr>
        <w:t xml:space="preserve"> nebo diabetický záchvat</w:t>
      </w:r>
      <w:r w:rsidR="00EC078A">
        <w:rPr>
          <w:szCs w:val="16"/>
        </w:rPr>
        <w:t>)</w:t>
      </w:r>
      <w:r w:rsidR="001D7F59">
        <w:rPr>
          <w:szCs w:val="16"/>
        </w:rPr>
        <w:t>.</w:t>
      </w:r>
      <w:r w:rsidR="00F4047F">
        <w:rPr>
          <w:rStyle w:val="Znakapoznpodarou"/>
          <w:szCs w:val="16"/>
        </w:rPr>
        <w:footnoteReference w:id="103"/>
      </w:r>
      <w:r w:rsidR="00AB7A6B">
        <w:rPr>
          <w:szCs w:val="16"/>
        </w:rPr>
        <w:t xml:space="preserve"> </w:t>
      </w:r>
      <w:r w:rsidR="00622473">
        <w:rPr>
          <w:szCs w:val="16"/>
        </w:rPr>
        <w:t xml:space="preserve">Německá literatura </w:t>
      </w:r>
      <w:r w:rsidR="007F72AE">
        <w:rPr>
          <w:szCs w:val="16"/>
        </w:rPr>
        <w:t xml:space="preserve">rovněž uznává, že vedle objektivního nebezpečí smrti </w:t>
      </w:r>
      <w:r w:rsidR="00D61A8B">
        <w:rPr>
          <w:szCs w:val="16"/>
        </w:rPr>
        <w:t>postačí i</w:t>
      </w:r>
      <w:r w:rsidR="004F0574">
        <w:t> </w:t>
      </w:r>
      <w:r w:rsidR="00D61A8B">
        <w:rPr>
          <w:szCs w:val="16"/>
        </w:rPr>
        <w:t xml:space="preserve"> </w:t>
      </w:r>
      <w:r w:rsidR="00382D1F">
        <w:rPr>
          <w:szCs w:val="16"/>
        </w:rPr>
        <w:t xml:space="preserve">subjektivní </w:t>
      </w:r>
      <w:r w:rsidR="003117C3">
        <w:rPr>
          <w:szCs w:val="16"/>
        </w:rPr>
        <w:t xml:space="preserve">obava </w:t>
      </w:r>
      <w:r w:rsidR="00382D1F">
        <w:rPr>
          <w:szCs w:val="16"/>
        </w:rPr>
        <w:t>pořizovatele o ohrožení jeho života</w:t>
      </w:r>
      <w:r w:rsidR="005C1FEA">
        <w:rPr>
          <w:rStyle w:val="Znakapoznpodarou"/>
          <w:szCs w:val="16"/>
        </w:rPr>
        <w:footnoteReference w:id="104"/>
      </w:r>
      <w:r w:rsidR="0073465F">
        <w:rPr>
          <w:szCs w:val="16"/>
        </w:rPr>
        <w:t>, přiče</w:t>
      </w:r>
      <w:r w:rsidR="00D61A8B">
        <w:rPr>
          <w:szCs w:val="16"/>
        </w:rPr>
        <w:t>mž</w:t>
      </w:r>
      <w:r w:rsidR="005C1FEA">
        <w:rPr>
          <w:szCs w:val="16"/>
        </w:rPr>
        <w:t xml:space="preserve"> </w:t>
      </w:r>
      <w:r w:rsidR="00B6661F">
        <w:rPr>
          <w:szCs w:val="16"/>
        </w:rPr>
        <w:t xml:space="preserve">nezáleží </w:t>
      </w:r>
      <w:r w:rsidR="00D1625C">
        <w:rPr>
          <w:szCs w:val="16"/>
        </w:rPr>
        <w:t xml:space="preserve">na </w:t>
      </w:r>
      <w:r w:rsidR="003A2101">
        <w:rPr>
          <w:szCs w:val="16"/>
        </w:rPr>
        <w:t xml:space="preserve">mylném </w:t>
      </w:r>
      <w:r w:rsidR="00F66B6C">
        <w:rPr>
          <w:szCs w:val="16"/>
        </w:rPr>
        <w:t>přesvědčení o jeho existenci ze strany pořizovatele nebo svědků</w:t>
      </w:r>
      <w:r w:rsidR="00A50784">
        <w:rPr>
          <w:szCs w:val="16"/>
        </w:rPr>
        <w:t>.</w:t>
      </w:r>
      <w:r w:rsidR="00654EF9">
        <w:rPr>
          <w:rStyle w:val="Znakapoznpodarou"/>
          <w:szCs w:val="16"/>
        </w:rPr>
        <w:footnoteReference w:id="105"/>
      </w:r>
    </w:p>
    <w:p w:rsidR="00F4047F" w:rsidRPr="002F65A8" w:rsidRDefault="003A2101" w:rsidP="00D91187">
      <w:pPr>
        <w:spacing w:after="0"/>
        <w:ind w:firstLine="567"/>
        <w:rPr>
          <w:szCs w:val="16"/>
        </w:rPr>
      </w:pPr>
      <w:r>
        <w:rPr>
          <w:szCs w:val="16"/>
        </w:rPr>
        <w:t xml:space="preserve">S ohledem na </w:t>
      </w:r>
      <w:r w:rsidR="0034066D">
        <w:rPr>
          <w:szCs w:val="16"/>
        </w:rPr>
        <w:t xml:space="preserve">zjevnou </w:t>
      </w:r>
      <w:r>
        <w:rPr>
          <w:szCs w:val="16"/>
        </w:rPr>
        <w:t xml:space="preserve">inspiraci německou úpravou (§ 2250 BGB) se nabízí </w:t>
      </w:r>
      <w:r w:rsidR="003117C3">
        <w:rPr>
          <w:szCs w:val="16"/>
        </w:rPr>
        <w:t xml:space="preserve">otázka, proč zákonodárce </w:t>
      </w:r>
      <w:r w:rsidR="00190E96">
        <w:rPr>
          <w:szCs w:val="16"/>
        </w:rPr>
        <w:t>v tomto ustanovení nezakotvil doložku, podle které b</w:t>
      </w:r>
      <w:r w:rsidR="003D47FB">
        <w:rPr>
          <w:szCs w:val="16"/>
        </w:rPr>
        <w:t xml:space="preserve">y nešlo popřít platnost závěti </w:t>
      </w:r>
      <w:r w:rsidR="00190E96">
        <w:rPr>
          <w:szCs w:val="16"/>
        </w:rPr>
        <w:t>tím</w:t>
      </w:r>
      <w:r w:rsidR="003D47FB">
        <w:rPr>
          <w:szCs w:val="16"/>
        </w:rPr>
        <w:t>,</w:t>
      </w:r>
      <w:r w:rsidR="00190E96">
        <w:rPr>
          <w:szCs w:val="16"/>
        </w:rPr>
        <w:t xml:space="preserve"> že chybí </w:t>
      </w:r>
      <w:r w:rsidR="00D91187">
        <w:rPr>
          <w:szCs w:val="16"/>
        </w:rPr>
        <w:t>vážný</w:t>
      </w:r>
      <w:r w:rsidR="00B6661F">
        <w:rPr>
          <w:szCs w:val="16"/>
        </w:rPr>
        <w:t xml:space="preserve"> důvod</w:t>
      </w:r>
      <w:r w:rsidR="006C7F45">
        <w:rPr>
          <w:szCs w:val="16"/>
        </w:rPr>
        <w:t xml:space="preserve"> </w:t>
      </w:r>
      <w:r w:rsidR="00D23C32">
        <w:rPr>
          <w:szCs w:val="16"/>
        </w:rPr>
        <w:t xml:space="preserve">(ať subjektivní nebo objektivní) </w:t>
      </w:r>
      <w:r w:rsidR="00B934B0">
        <w:rPr>
          <w:szCs w:val="16"/>
        </w:rPr>
        <w:t>k</w:t>
      </w:r>
      <w:r w:rsidR="00D91187">
        <w:rPr>
          <w:szCs w:val="16"/>
        </w:rPr>
        <w:t> jejímu pořízení</w:t>
      </w:r>
      <w:r w:rsidR="0034066D">
        <w:rPr>
          <w:szCs w:val="16"/>
        </w:rPr>
        <w:t>, tak jak</w:t>
      </w:r>
      <w:r>
        <w:rPr>
          <w:szCs w:val="16"/>
        </w:rPr>
        <w:t xml:space="preserve"> to učinil v</w:t>
      </w:r>
      <w:r w:rsidR="0034066D">
        <w:rPr>
          <w:szCs w:val="16"/>
        </w:rPr>
        <w:t> </w:t>
      </w:r>
      <w:r>
        <w:rPr>
          <w:szCs w:val="16"/>
        </w:rPr>
        <w:t>ustanovení</w:t>
      </w:r>
      <w:r w:rsidR="0034066D">
        <w:rPr>
          <w:szCs w:val="16"/>
        </w:rPr>
        <w:t xml:space="preserve"> § 1544 NOZ</w:t>
      </w:r>
      <w:r w:rsidR="004C03C3">
        <w:rPr>
          <w:szCs w:val="16"/>
        </w:rPr>
        <w:t xml:space="preserve">. </w:t>
      </w:r>
      <w:r w:rsidR="00D91187" w:rsidRPr="002F65A8">
        <w:t>Právě</w:t>
      </w:r>
      <w:r w:rsidR="002F65A8" w:rsidRPr="002F65A8">
        <w:t xml:space="preserve"> nouzová povaha</w:t>
      </w:r>
      <w:r w:rsidR="004C03C3">
        <w:t xml:space="preserve"> </w:t>
      </w:r>
      <w:r w:rsidR="00F4047F" w:rsidRPr="002F65A8">
        <w:t xml:space="preserve">závěti by </w:t>
      </w:r>
      <w:r w:rsidR="002F65A8" w:rsidRPr="002F65A8">
        <w:t>měla umožnit</w:t>
      </w:r>
      <w:r w:rsidR="00B17EAE" w:rsidRPr="002F65A8">
        <w:t xml:space="preserve"> </w:t>
      </w:r>
      <w:r w:rsidR="002F65A8" w:rsidRPr="002F65A8">
        <w:t xml:space="preserve">co </w:t>
      </w:r>
      <w:r w:rsidR="00B17EAE" w:rsidRPr="002F65A8">
        <w:t xml:space="preserve">nejširší </w:t>
      </w:r>
      <w:r w:rsidR="00D91187" w:rsidRPr="002F65A8">
        <w:t xml:space="preserve">průchod zůstavitelově vůli </w:t>
      </w:r>
      <w:r w:rsidR="00431EA0">
        <w:t>bez svazujícího restriktivního výkladu jejich podmínek.</w:t>
      </w:r>
    </w:p>
    <w:p w:rsidR="00F73E26" w:rsidRDefault="00F4047F" w:rsidP="00F4047F">
      <w:pPr>
        <w:spacing w:after="0"/>
        <w:ind w:firstLine="567"/>
        <w:rPr>
          <w:szCs w:val="28"/>
        </w:rPr>
      </w:pPr>
      <w:r>
        <w:rPr>
          <w:szCs w:val="28"/>
        </w:rPr>
        <w:t xml:space="preserve">Ve </w:t>
      </w:r>
      <w:r w:rsidRPr="00E54208">
        <w:rPr>
          <w:szCs w:val="28"/>
        </w:rPr>
        <w:t>druhém případě</w:t>
      </w:r>
      <w:r>
        <w:rPr>
          <w:szCs w:val="28"/>
        </w:rPr>
        <w:t xml:space="preserve"> se totéž právo přiznává i pořizovateli, který se nachází v místě, kde je běžný společenský styk ochromen následkem mimořádné události a nelze-li po něm rozumně požadovat, aby pořídil v jiné formě. </w:t>
      </w:r>
      <w:r w:rsidR="00F73E26">
        <w:rPr>
          <w:szCs w:val="28"/>
        </w:rPr>
        <w:t xml:space="preserve">První podmínku lze vyložit </w:t>
      </w:r>
      <w:r w:rsidR="004C774B">
        <w:rPr>
          <w:szCs w:val="28"/>
        </w:rPr>
        <w:t xml:space="preserve">tak, že </w:t>
      </w:r>
      <w:r w:rsidR="007C2E53">
        <w:rPr>
          <w:szCs w:val="28"/>
        </w:rPr>
        <w:t>pořizovatel</w:t>
      </w:r>
      <w:r w:rsidR="007C40D9">
        <w:rPr>
          <w:szCs w:val="28"/>
        </w:rPr>
        <w:t xml:space="preserve"> </w:t>
      </w:r>
      <w:r w:rsidR="004C774B">
        <w:rPr>
          <w:szCs w:val="28"/>
        </w:rPr>
        <w:t xml:space="preserve">vlivem </w:t>
      </w:r>
      <w:r w:rsidR="00372B6A">
        <w:rPr>
          <w:szCs w:val="28"/>
        </w:rPr>
        <w:t xml:space="preserve">nějaké </w:t>
      </w:r>
      <w:r w:rsidR="004C774B">
        <w:rPr>
          <w:szCs w:val="28"/>
        </w:rPr>
        <w:t xml:space="preserve">mimořádné </w:t>
      </w:r>
      <w:r w:rsidR="00C85395">
        <w:rPr>
          <w:szCs w:val="28"/>
        </w:rPr>
        <w:t xml:space="preserve">situace </w:t>
      </w:r>
      <w:r w:rsidR="00372B6A">
        <w:rPr>
          <w:szCs w:val="28"/>
        </w:rPr>
        <w:t xml:space="preserve">není schopen se </w:t>
      </w:r>
      <w:r w:rsidR="004C774B">
        <w:rPr>
          <w:szCs w:val="28"/>
        </w:rPr>
        <w:t>jakýmkoliv způsobem dostavit na úřad, k notáři nebo na polici</w:t>
      </w:r>
      <w:r w:rsidR="00C85395">
        <w:rPr>
          <w:szCs w:val="28"/>
        </w:rPr>
        <w:t>i</w:t>
      </w:r>
      <w:r w:rsidR="006D1E47">
        <w:rPr>
          <w:szCs w:val="28"/>
        </w:rPr>
        <w:t>.</w:t>
      </w:r>
      <w:r>
        <w:rPr>
          <w:rStyle w:val="Znakapoznpodarou"/>
          <w:szCs w:val="28"/>
        </w:rPr>
        <w:footnoteReference w:id="106"/>
      </w:r>
      <w:r w:rsidR="006D1E47">
        <w:rPr>
          <w:szCs w:val="28"/>
        </w:rPr>
        <w:t xml:space="preserve"> </w:t>
      </w:r>
      <w:r w:rsidR="00CF6293">
        <w:rPr>
          <w:szCs w:val="28"/>
        </w:rPr>
        <w:t>Je zřejmé, že zákon chápe omezení zůstavitele</w:t>
      </w:r>
      <w:r w:rsidR="002015EA">
        <w:rPr>
          <w:szCs w:val="28"/>
        </w:rPr>
        <w:t xml:space="preserve"> spíše objektivně</w:t>
      </w:r>
      <w:r w:rsidR="00C94B8A">
        <w:rPr>
          <w:szCs w:val="28"/>
        </w:rPr>
        <w:t xml:space="preserve"> ve vztahu k omezení v běžných záležitostech vlivem mimořádné okolnosti na místě. T</w:t>
      </w:r>
      <w:r w:rsidR="002015EA">
        <w:rPr>
          <w:szCs w:val="28"/>
        </w:rPr>
        <w:t>en může být zdravý a mimo bezprostřední</w:t>
      </w:r>
      <w:r w:rsidR="007C40D9">
        <w:rPr>
          <w:szCs w:val="28"/>
        </w:rPr>
        <w:t xml:space="preserve"> ohrožení života</w:t>
      </w:r>
      <w:r w:rsidR="00C94B8A">
        <w:rPr>
          <w:szCs w:val="28"/>
        </w:rPr>
        <w:t xml:space="preserve">, ale </w:t>
      </w:r>
      <w:r w:rsidR="00EB133E">
        <w:rPr>
          <w:szCs w:val="28"/>
        </w:rPr>
        <w:t xml:space="preserve">např. </w:t>
      </w:r>
      <w:r w:rsidR="00C94B8A">
        <w:rPr>
          <w:szCs w:val="28"/>
        </w:rPr>
        <w:t xml:space="preserve">uvězněn </w:t>
      </w:r>
      <w:r w:rsidR="005D2E36">
        <w:rPr>
          <w:szCs w:val="28"/>
        </w:rPr>
        <w:t xml:space="preserve">v </w:t>
      </w:r>
      <w:r w:rsidR="00C94B8A">
        <w:rPr>
          <w:szCs w:val="28"/>
        </w:rPr>
        <w:t>domě po povodni</w:t>
      </w:r>
      <w:r w:rsidR="00000EA2">
        <w:rPr>
          <w:szCs w:val="28"/>
        </w:rPr>
        <w:t>.</w:t>
      </w:r>
      <w:r w:rsidR="005D2E36">
        <w:rPr>
          <w:rStyle w:val="Znakapoznpodarou"/>
          <w:szCs w:val="28"/>
        </w:rPr>
        <w:footnoteReference w:id="107"/>
      </w:r>
      <w:r w:rsidR="00000EA2">
        <w:rPr>
          <w:szCs w:val="28"/>
        </w:rPr>
        <w:t xml:space="preserve"> </w:t>
      </w:r>
      <w:r w:rsidR="001960BF">
        <w:rPr>
          <w:szCs w:val="28"/>
        </w:rPr>
        <w:t xml:space="preserve">Německá </w:t>
      </w:r>
      <w:r w:rsidR="005D2E36">
        <w:rPr>
          <w:szCs w:val="28"/>
        </w:rPr>
        <w:t xml:space="preserve">literatura </w:t>
      </w:r>
      <w:r w:rsidR="00C94B8A">
        <w:rPr>
          <w:szCs w:val="28"/>
        </w:rPr>
        <w:t>rovněž</w:t>
      </w:r>
      <w:r w:rsidR="008F4DA0">
        <w:rPr>
          <w:szCs w:val="28"/>
        </w:rPr>
        <w:t xml:space="preserve"> považuje za mimořádnou </w:t>
      </w:r>
      <w:r w:rsidR="00E8439D">
        <w:rPr>
          <w:szCs w:val="28"/>
        </w:rPr>
        <w:t>událost blokující</w:t>
      </w:r>
      <w:r w:rsidR="008F4DA0">
        <w:rPr>
          <w:szCs w:val="28"/>
        </w:rPr>
        <w:t xml:space="preserve"> </w:t>
      </w:r>
      <w:r w:rsidR="00E8439D">
        <w:rPr>
          <w:szCs w:val="28"/>
        </w:rPr>
        <w:t>pořizovatele</w:t>
      </w:r>
      <w:r w:rsidR="009D22D3">
        <w:rPr>
          <w:szCs w:val="28"/>
        </w:rPr>
        <w:t xml:space="preserve"> na </w:t>
      </w:r>
      <w:r w:rsidR="008F4DA0">
        <w:rPr>
          <w:szCs w:val="28"/>
        </w:rPr>
        <w:t xml:space="preserve">místě i </w:t>
      </w:r>
      <w:r w:rsidR="00E8439D">
        <w:rPr>
          <w:szCs w:val="28"/>
        </w:rPr>
        <w:t xml:space="preserve">nemoc, která mu znemožňuje </w:t>
      </w:r>
      <w:r w:rsidR="007B37BF">
        <w:rPr>
          <w:szCs w:val="28"/>
        </w:rPr>
        <w:t xml:space="preserve">včas </w:t>
      </w:r>
      <w:r w:rsidR="00E8439D">
        <w:rPr>
          <w:szCs w:val="28"/>
        </w:rPr>
        <w:t xml:space="preserve">navštívit </w:t>
      </w:r>
      <w:r w:rsidR="00164389">
        <w:rPr>
          <w:szCs w:val="28"/>
        </w:rPr>
        <w:t>úřadujícího notáře.</w:t>
      </w:r>
      <w:r w:rsidR="007B37BF">
        <w:rPr>
          <w:rStyle w:val="Znakapoznpodarou"/>
          <w:szCs w:val="28"/>
        </w:rPr>
        <w:footnoteReference w:id="108"/>
      </w:r>
    </w:p>
    <w:p w:rsidR="00AC0138" w:rsidRDefault="009D22D3" w:rsidP="00F4047F">
      <w:pPr>
        <w:spacing w:after="0"/>
        <w:ind w:firstLine="567"/>
        <w:rPr>
          <w:szCs w:val="28"/>
        </w:rPr>
      </w:pPr>
      <w:r>
        <w:rPr>
          <w:szCs w:val="28"/>
        </w:rPr>
        <w:t xml:space="preserve">Druhou podmínkou, která </w:t>
      </w:r>
      <w:r w:rsidR="007B37BF">
        <w:rPr>
          <w:szCs w:val="28"/>
        </w:rPr>
        <w:t xml:space="preserve">musí být </w:t>
      </w:r>
      <w:r>
        <w:rPr>
          <w:szCs w:val="28"/>
        </w:rPr>
        <w:t xml:space="preserve">současně </w:t>
      </w:r>
      <w:r w:rsidR="00AB3BEE">
        <w:rPr>
          <w:szCs w:val="28"/>
        </w:rPr>
        <w:t>splněna,</w:t>
      </w:r>
      <w:r>
        <w:rPr>
          <w:szCs w:val="28"/>
        </w:rPr>
        <w:t xml:space="preserve"> je nemožnost</w:t>
      </w:r>
      <w:r w:rsidR="00AB3BEE">
        <w:rPr>
          <w:szCs w:val="28"/>
        </w:rPr>
        <w:t xml:space="preserve"> zůstavitele</w:t>
      </w:r>
      <w:r w:rsidR="00D965B9">
        <w:rPr>
          <w:szCs w:val="28"/>
        </w:rPr>
        <w:t xml:space="preserve"> pořídit v jiné formě než závětí</w:t>
      </w:r>
      <w:r w:rsidR="00AB3BEE">
        <w:rPr>
          <w:szCs w:val="28"/>
        </w:rPr>
        <w:t xml:space="preserve"> s</w:t>
      </w:r>
      <w:r w:rsidR="00832BB0">
        <w:rPr>
          <w:szCs w:val="28"/>
        </w:rPr>
        <w:t> </w:t>
      </w:r>
      <w:r w:rsidR="00AB3BEE">
        <w:rPr>
          <w:szCs w:val="28"/>
        </w:rPr>
        <w:t>úlevami</w:t>
      </w:r>
      <w:r w:rsidR="00832BB0">
        <w:rPr>
          <w:szCs w:val="28"/>
        </w:rPr>
        <w:t>. Tato nemožnost je vyjádřena kritériem rozumného požadavku, takže ji nelze chápat absolutně</w:t>
      </w:r>
      <w:r w:rsidR="005E2A07">
        <w:rPr>
          <w:szCs w:val="28"/>
        </w:rPr>
        <w:t>.</w:t>
      </w:r>
      <w:r w:rsidR="002B7707">
        <w:rPr>
          <w:rStyle w:val="Znakapoznpodarou"/>
          <w:szCs w:val="28"/>
        </w:rPr>
        <w:footnoteReference w:id="109"/>
      </w:r>
      <w:r w:rsidR="00F4047F">
        <w:rPr>
          <w:szCs w:val="28"/>
        </w:rPr>
        <w:t xml:space="preserve"> </w:t>
      </w:r>
      <w:r w:rsidR="00832F6A">
        <w:rPr>
          <w:szCs w:val="28"/>
        </w:rPr>
        <w:t>Proto se lze domnívat, že platnost ústní závěti neovlivní, mohl-li</w:t>
      </w:r>
      <w:r w:rsidR="00B067C2">
        <w:rPr>
          <w:szCs w:val="28"/>
        </w:rPr>
        <w:t xml:space="preserve"> zůstavitel pořídit např</w:t>
      </w:r>
      <w:r w:rsidR="00832F6A">
        <w:rPr>
          <w:szCs w:val="28"/>
        </w:rPr>
        <w:t>.</w:t>
      </w:r>
      <w:r w:rsidR="00B067C2">
        <w:rPr>
          <w:szCs w:val="28"/>
        </w:rPr>
        <w:t xml:space="preserve"> závěť holografní.</w:t>
      </w:r>
      <w:r w:rsidR="00832F6A">
        <w:rPr>
          <w:rStyle w:val="Znakapoznpodarou"/>
          <w:szCs w:val="28"/>
        </w:rPr>
        <w:footnoteReference w:id="110"/>
      </w:r>
      <w:r w:rsidR="00832F6A">
        <w:rPr>
          <w:szCs w:val="28"/>
        </w:rPr>
        <w:t xml:space="preserve"> </w:t>
      </w:r>
      <w:r w:rsidR="00561ABC">
        <w:rPr>
          <w:szCs w:val="28"/>
        </w:rPr>
        <w:t xml:space="preserve">V této </w:t>
      </w:r>
      <w:r w:rsidR="00FA652D">
        <w:rPr>
          <w:szCs w:val="28"/>
        </w:rPr>
        <w:t xml:space="preserve">souvislosti se nabízí </w:t>
      </w:r>
      <w:r w:rsidR="00FA652D">
        <w:rPr>
          <w:szCs w:val="28"/>
        </w:rPr>
        <w:lastRenderedPageBreak/>
        <w:t xml:space="preserve">otázka, zda by jako jediný důvod </w:t>
      </w:r>
      <w:r w:rsidR="00492EF4">
        <w:rPr>
          <w:szCs w:val="28"/>
        </w:rPr>
        <w:t xml:space="preserve">pokrývající všechny situace tísně včetně ohrožení života </w:t>
      </w:r>
      <w:r w:rsidR="00FA652D">
        <w:rPr>
          <w:szCs w:val="28"/>
        </w:rPr>
        <w:t>nepostačil důvod uvedený ve větě první § 1542 odst. 1</w:t>
      </w:r>
      <w:r w:rsidR="007B4D62">
        <w:rPr>
          <w:szCs w:val="28"/>
        </w:rPr>
        <w:t xml:space="preserve"> NOZ</w:t>
      </w:r>
      <w:r w:rsidR="000014BA">
        <w:rPr>
          <w:szCs w:val="28"/>
        </w:rPr>
        <w:t xml:space="preserve">, protože v případě, že se zůstavitel nachází v místě, kde je ochromen běžný společenský styk následkem mimořádné </w:t>
      </w:r>
      <w:r w:rsidR="00AC0138">
        <w:rPr>
          <w:szCs w:val="28"/>
        </w:rPr>
        <w:t>události</w:t>
      </w:r>
      <w:r w:rsidR="00F333CB">
        <w:rPr>
          <w:szCs w:val="28"/>
        </w:rPr>
        <w:t xml:space="preserve">, může podle okolností pořídit závěť holografní nebo </w:t>
      </w:r>
      <w:proofErr w:type="spellStart"/>
      <w:r w:rsidR="00F333CB">
        <w:rPr>
          <w:szCs w:val="28"/>
        </w:rPr>
        <w:t>al</w:t>
      </w:r>
      <w:r w:rsidR="00AC0138">
        <w:rPr>
          <w:szCs w:val="28"/>
        </w:rPr>
        <w:t>l</w:t>
      </w:r>
      <w:r w:rsidR="00F333CB">
        <w:rPr>
          <w:szCs w:val="28"/>
        </w:rPr>
        <w:t>ografní</w:t>
      </w:r>
      <w:proofErr w:type="spellEnd"/>
      <w:r w:rsidR="00164389">
        <w:rPr>
          <w:szCs w:val="28"/>
        </w:rPr>
        <w:t>.</w:t>
      </w:r>
      <w:r w:rsidR="00734A26">
        <w:rPr>
          <w:rStyle w:val="Znakapoznpodarou"/>
          <w:szCs w:val="28"/>
        </w:rPr>
        <w:footnoteReference w:id="111"/>
      </w:r>
      <w:r w:rsidR="00492EF4">
        <w:rPr>
          <w:szCs w:val="28"/>
        </w:rPr>
        <w:t xml:space="preserve"> </w:t>
      </w:r>
      <w:r w:rsidR="00953BD9" w:rsidRPr="00AA6DDA">
        <w:rPr>
          <w:color w:val="000000" w:themeColor="text1"/>
          <w:szCs w:val="28"/>
        </w:rPr>
        <w:t xml:space="preserve">Uvedené </w:t>
      </w:r>
      <w:r w:rsidR="00581124">
        <w:rPr>
          <w:color w:val="000000" w:themeColor="text1"/>
          <w:szCs w:val="28"/>
        </w:rPr>
        <w:t xml:space="preserve">významové </w:t>
      </w:r>
      <w:r w:rsidR="00FC36A6" w:rsidRPr="00AA6DDA">
        <w:rPr>
          <w:color w:val="000000" w:themeColor="text1"/>
          <w:szCs w:val="28"/>
        </w:rPr>
        <w:t xml:space="preserve">překrytí </w:t>
      </w:r>
      <w:r w:rsidR="00917420" w:rsidRPr="00AA6DDA">
        <w:rPr>
          <w:color w:val="000000" w:themeColor="text1"/>
          <w:szCs w:val="28"/>
        </w:rPr>
        <w:t>zřejmě vzniklo ne příliš vhodným</w:t>
      </w:r>
      <w:r w:rsidR="00492EF4" w:rsidRPr="00AA6DDA">
        <w:rPr>
          <w:color w:val="000000" w:themeColor="text1"/>
          <w:szCs w:val="28"/>
        </w:rPr>
        <w:t xml:space="preserve"> p</w:t>
      </w:r>
      <w:r w:rsidR="00164389">
        <w:rPr>
          <w:color w:val="000000" w:themeColor="text1"/>
          <w:szCs w:val="28"/>
        </w:rPr>
        <w:t>řevzetím úpravy německé a VN37.</w:t>
      </w:r>
      <w:r w:rsidR="00492EF4" w:rsidRPr="00AA6DDA">
        <w:rPr>
          <w:rStyle w:val="Znakapoznpodarou"/>
          <w:color w:val="000000" w:themeColor="text1"/>
          <w:szCs w:val="28"/>
        </w:rPr>
        <w:footnoteReference w:id="112"/>
      </w:r>
    </w:p>
    <w:p w:rsidR="004678A8" w:rsidRPr="00CF55F5" w:rsidRDefault="00CF55F5" w:rsidP="00F4047F">
      <w:pPr>
        <w:spacing w:after="0"/>
        <w:ind w:firstLine="567"/>
        <w:rPr>
          <w:szCs w:val="28"/>
        </w:rPr>
      </w:pPr>
      <w:r w:rsidRPr="00CF55F5">
        <w:rPr>
          <w:szCs w:val="28"/>
        </w:rPr>
        <w:t xml:space="preserve">Dikce </w:t>
      </w:r>
      <w:r w:rsidR="00306E1A" w:rsidRPr="00CF55F5">
        <w:rPr>
          <w:szCs w:val="28"/>
        </w:rPr>
        <w:t xml:space="preserve">§ 1542 odst. 2 NOZ </w:t>
      </w:r>
      <w:r w:rsidR="00047AD1" w:rsidRPr="00CF55F5">
        <w:rPr>
          <w:szCs w:val="28"/>
        </w:rPr>
        <w:t>neukládá svědkům ústní závěti</w:t>
      </w:r>
      <w:r w:rsidR="001C1702" w:rsidRPr="00CF55F5">
        <w:rPr>
          <w:szCs w:val="28"/>
        </w:rPr>
        <w:t xml:space="preserve"> povinnost</w:t>
      </w:r>
      <w:r w:rsidR="00047AD1" w:rsidRPr="00CF55F5">
        <w:rPr>
          <w:szCs w:val="28"/>
        </w:rPr>
        <w:t xml:space="preserve">, aby pořídili </w:t>
      </w:r>
      <w:r w:rsidR="007D4B6A" w:rsidRPr="00CF55F5">
        <w:rPr>
          <w:szCs w:val="28"/>
        </w:rPr>
        <w:t>záznam</w:t>
      </w:r>
      <w:r w:rsidR="00E111D0" w:rsidRPr="00CF55F5">
        <w:rPr>
          <w:szCs w:val="28"/>
        </w:rPr>
        <w:t xml:space="preserve"> o zůstavitelově poslední vůli</w:t>
      </w:r>
      <w:r w:rsidR="001C1702" w:rsidRPr="00CF55F5">
        <w:rPr>
          <w:szCs w:val="28"/>
        </w:rPr>
        <w:t>, ale připouští možnost jejich dodatečného výslechu do soudního proto</w:t>
      </w:r>
      <w:r w:rsidR="00011538" w:rsidRPr="00CF55F5">
        <w:rPr>
          <w:szCs w:val="28"/>
        </w:rPr>
        <w:t>kolu</w:t>
      </w:r>
      <w:r w:rsidR="001C1702" w:rsidRPr="00CF55F5">
        <w:rPr>
          <w:szCs w:val="28"/>
        </w:rPr>
        <w:t xml:space="preserve"> v rámci řízení o pozůstalosti</w:t>
      </w:r>
      <w:r w:rsidR="00011538" w:rsidRPr="00CF55F5">
        <w:rPr>
          <w:szCs w:val="28"/>
        </w:rPr>
        <w:t xml:space="preserve">. </w:t>
      </w:r>
      <w:r w:rsidR="003920DF" w:rsidRPr="00CF55F5">
        <w:rPr>
          <w:szCs w:val="28"/>
        </w:rPr>
        <w:t>V zájmu průkaznosti a právní jistoty</w:t>
      </w:r>
      <w:r w:rsidR="000C6E3E" w:rsidRPr="00CF55F5">
        <w:rPr>
          <w:szCs w:val="28"/>
        </w:rPr>
        <w:t xml:space="preserve"> </w:t>
      </w:r>
      <w:r w:rsidR="00D162C0" w:rsidRPr="00CF55F5">
        <w:rPr>
          <w:szCs w:val="28"/>
        </w:rPr>
        <w:t>lze doporučit</w:t>
      </w:r>
      <w:r w:rsidR="003962E7" w:rsidRPr="00CF55F5">
        <w:rPr>
          <w:szCs w:val="28"/>
        </w:rPr>
        <w:t>, aby po vzoru německého práva (§ 2250 BGB) byl záznam učiněn v písemné formě ještě za života zůstavitele,</w:t>
      </w:r>
      <w:r w:rsidR="00D5374B" w:rsidRPr="00CF55F5">
        <w:rPr>
          <w:szCs w:val="28"/>
        </w:rPr>
        <w:t xml:space="preserve"> jemu byl za současné přítomnosti všech svědků </w:t>
      </w:r>
      <w:r w:rsidR="000524C4">
        <w:rPr>
          <w:szCs w:val="28"/>
        </w:rPr>
        <w:t xml:space="preserve">přečten, </w:t>
      </w:r>
      <w:r w:rsidR="00D5374B" w:rsidRPr="00CF55F5">
        <w:rPr>
          <w:szCs w:val="28"/>
        </w:rPr>
        <w:t>jím potvrzen</w:t>
      </w:r>
      <w:r w:rsidRPr="00CF55F5">
        <w:rPr>
          <w:szCs w:val="28"/>
        </w:rPr>
        <w:t xml:space="preserve"> a svědky spolu se zůstavitelem pod</w:t>
      </w:r>
      <w:r w:rsidR="00164389">
        <w:rPr>
          <w:szCs w:val="28"/>
        </w:rPr>
        <w:t>epsán, pokud toho bude schopen.</w:t>
      </w:r>
      <w:r w:rsidR="000524C4">
        <w:rPr>
          <w:rStyle w:val="Znakapoznpodarou"/>
          <w:szCs w:val="28"/>
        </w:rPr>
        <w:footnoteReference w:id="113"/>
      </w:r>
      <w:r w:rsidR="00382762">
        <w:rPr>
          <w:szCs w:val="28"/>
        </w:rPr>
        <w:t xml:space="preserve"> </w:t>
      </w:r>
      <w:r w:rsidR="001138B4">
        <w:rPr>
          <w:szCs w:val="28"/>
        </w:rPr>
        <w:t>Dodatečným</w:t>
      </w:r>
      <w:r w:rsidRPr="00CF55F5">
        <w:rPr>
          <w:szCs w:val="28"/>
        </w:rPr>
        <w:t xml:space="preserve"> pořízení</w:t>
      </w:r>
      <w:r w:rsidR="001138B4">
        <w:rPr>
          <w:szCs w:val="28"/>
        </w:rPr>
        <w:t>m</w:t>
      </w:r>
      <w:r w:rsidRPr="00CF55F5">
        <w:rPr>
          <w:szCs w:val="28"/>
        </w:rPr>
        <w:t xml:space="preserve"> záznamu</w:t>
      </w:r>
      <w:r w:rsidR="0084630C">
        <w:rPr>
          <w:szCs w:val="28"/>
        </w:rPr>
        <w:t xml:space="preserve"> nebo </w:t>
      </w:r>
      <w:r w:rsidR="00250FFB">
        <w:rPr>
          <w:szCs w:val="28"/>
        </w:rPr>
        <w:t>vůbec jeho nepořízení</w:t>
      </w:r>
      <w:r w:rsidR="001138B4">
        <w:rPr>
          <w:szCs w:val="28"/>
        </w:rPr>
        <w:t>m</w:t>
      </w:r>
      <w:r w:rsidR="00250FFB">
        <w:rPr>
          <w:szCs w:val="28"/>
        </w:rPr>
        <w:t xml:space="preserve"> </w:t>
      </w:r>
      <w:r w:rsidR="001138B4">
        <w:rPr>
          <w:szCs w:val="28"/>
        </w:rPr>
        <w:t xml:space="preserve">se s časem </w:t>
      </w:r>
      <w:r w:rsidR="00250FFB">
        <w:rPr>
          <w:szCs w:val="28"/>
        </w:rPr>
        <w:t xml:space="preserve">zvyšuje riziko, </w:t>
      </w:r>
      <w:r w:rsidR="00250FFB" w:rsidRPr="00652904">
        <w:rPr>
          <w:szCs w:val="28"/>
        </w:rPr>
        <w:t xml:space="preserve">že svědci </w:t>
      </w:r>
      <w:r w:rsidR="00250FFB">
        <w:rPr>
          <w:szCs w:val="28"/>
        </w:rPr>
        <w:t xml:space="preserve">vlivem tísně </w:t>
      </w:r>
      <w:r w:rsidR="00250FFB" w:rsidRPr="00652904">
        <w:rPr>
          <w:szCs w:val="28"/>
        </w:rPr>
        <w:t>nebudou schopni po paměti věrně reprodukovat poslední vůli zůstavitele nebo budou jejich výpovědi rozporné</w:t>
      </w:r>
      <w:r w:rsidR="00250FFB">
        <w:rPr>
          <w:szCs w:val="28"/>
        </w:rPr>
        <w:t xml:space="preserve">. </w:t>
      </w:r>
      <w:r w:rsidR="000D32CE">
        <w:rPr>
          <w:szCs w:val="28"/>
        </w:rPr>
        <w:t>Ačkoliv taková záv</w:t>
      </w:r>
      <w:r w:rsidR="00E54208">
        <w:rPr>
          <w:szCs w:val="28"/>
        </w:rPr>
        <w:t>ěť pozbývá platnosti uplynutím dvou</w:t>
      </w:r>
      <w:r w:rsidR="000D32CE">
        <w:rPr>
          <w:szCs w:val="28"/>
        </w:rPr>
        <w:t xml:space="preserve"> týdnů od pořízení, může být tato doba výrazně prodloužena vlivem např. zdravotní rekonvalescence až do okamžiku, kdy bude moci </w:t>
      </w:r>
      <w:r w:rsidR="00D965B9">
        <w:rPr>
          <w:szCs w:val="28"/>
        </w:rPr>
        <w:t xml:space="preserve">zůstavitel </w:t>
      </w:r>
      <w:r w:rsidR="000D32CE">
        <w:rPr>
          <w:szCs w:val="28"/>
        </w:rPr>
        <w:t xml:space="preserve">pořídit ve formě veřejné listiny. </w:t>
      </w:r>
      <w:r w:rsidR="001138B4">
        <w:rPr>
          <w:szCs w:val="28"/>
        </w:rPr>
        <w:t xml:space="preserve">S určitostí nelze vyloučit ani </w:t>
      </w:r>
      <w:r w:rsidR="001138B4" w:rsidRPr="001138B4">
        <w:rPr>
          <w:szCs w:val="28"/>
        </w:rPr>
        <w:t>podvodné jednání</w:t>
      </w:r>
      <w:r w:rsidR="001138B4" w:rsidRPr="00652904">
        <w:rPr>
          <w:szCs w:val="28"/>
        </w:rPr>
        <w:t xml:space="preserve"> svědků s úmyslem fingovat </w:t>
      </w:r>
      <w:r w:rsidR="001138B4">
        <w:rPr>
          <w:szCs w:val="28"/>
        </w:rPr>
        <w:t xml:space="preserve">poslední </w:t>
      </w:r>
      <w:r w:rsidR="001138B4" w:rsidRPr="00652904">
        <w:rPr>
          <w:szCs w:val="28"/>
        </w:rPr>
        <w:t>vůli zůstavit</w:t>
      </w:r>
      <w:r w:rsidR="000D32CE">
        <w:rPr>
          <w:szCs w:val="28"/>
        </w:rPr>
        <w:t xml:space="preserve">ele ve svůj nebo jiný prospěch. M. Karhanová dokonce uvádí, že </w:t>
      </w:r>
      <w:r w:rsidR="000D32CE" w:rsidRPr="000D32CE">
        <w:rPr>
          <w:szCs w:val="28"/>
        </w:rPr>
        <w:t xml:space="preserve">v situaci tísně je jistější sepsat stručně vlastnoruční závěť a svěřit ji jedné důvěryhodné osobě, jejíž obstarání bude </w:t>
      </w:r>
      <w:r w:rsidR="00FB42E6">
        <w:rPr>
          <w:szCs w:val="28"/>
        </w:rPr>
        <w:t xml:space="preserve">v krizové situaci </w:t>
      </w:r>
      <w:r w:rsidR="000D32CE" w:rsidRPr="000D32CE">
        <w:rPr>
          <w:szCs w:val="28"/>
        </w:rPr>
        <w:t>pravděpodobnější</w:t>
      </w:r>
      <w:r w:rsidR="00143546">
        <w:rPr>
          <w:szCs w:val="28"/>
        </w:rPr>
        <w:t xml:space="preserve">, než </w:t>
      </w:r>
      <w:r w:rsidR="00FB42E6">
        <w:rPr>
          <w:szCs w:val="28"/>
        </w:rPr>
        <w:t xml:space="preserve">sehnat </w:t>
      </w:r>
      <w:r w:rsidR="00E54208">
        <w:rPr>
          <w:szCs w:val="28"/>
        </w:rPr>
        <w:t xml:space="preserve">tři svědky s </w:t>
      </w:r>
      <w:r w:rsidR="00FB42E6" w:rsidRPr="00E54208">
        <w:rPr>
          <w:szCs w:val="28"/>
        </w:rPr>
        <w:t>rizikem možného zneplatnění závěti.</w:t>
      </w:r>
      <w:r w:rsidR="0069334A">
        <w:rPr>
          <w:rStyle w:val="Znakapoznpodarou"/>
          <w:szCs w:val="28"/>
        </w:rPr>
        <w:footnoteReference w:id="114"/>
      </w:r>
      <w:r w:rsidR="00FB42E6">
        <w:rPr>
          <w:szCs w:val="28"/>
        </w:rPr>
        <w:t xml:space="preserve"> </w:t>
      </w:r>
    </w:p>
    <w:p w:rsidR="00F4047F" w:rsidRPr="0015182B" w:rsidRDefault="0015182B" w:rsidP="008074AB">
      <w:pPr>
        <w:pStyle w:val="Nadpis2"/>
      </w:pPr>
      <w:bookmarkStart w:id="46" w:name="_Toc436779478"/>
      <w:bookmarkStart w:id="47" w:name="_Toc437225072"/>
      <w:r w:rsidRPr="0015182B">
        <w:t>4</w:t>
      </w:r>
      <w:r w:rsidR="00CD59DE" w:rsidRPr="0015182B">
        <w:t>.</w:t>
      </w:r>
      <w:r w:rsidR="00F4047F" w:rsidRPr="0015182B">
        <w:t>2</w:t>
      </w:r>
      <w:r w:rsidR="00B96A77">
        <w:tab/>
      </w:r>
      <w:r w:rsidR="00F4047F" w:rsidRPr="0015182B">
        <w:t>Závěť pořízena při bezprostředním ohrožení života starostou obce</w:t>
      </w:r>
      <w:bookmarkEnd w:id="46"/>
      <w:bookmarkEnd w:id="47"/>
    </w:p>
    <w:p w:rsidR="008F7819" w:rsidRDefault="00FA4173" w:rsidP="00FA4173">
      <w:pPr>
        <w:tabs>
          <w:tab w:val="left" w:pos="567"/>
        </w:tabs>
        <w:spacing w:after="0"/>
        <w:ind w:firstLine="567"/>
        <w:rPr>
          <w:color w:val="000000"/>
          <w:szCs w:val="28"/>
        </w:rPr>
      </w:pPr>
      <w:r>
        <w:rPr>
          <w:color w:val="000000"/>
          <w:szCs w:val="28"/>
        </w:rPr>
        <w:t xml:space="preserve">V § 1543 NOZ se stanoví, že existuje-li důvodná obava, že zůstavitel zemře dříve než by mohl pořídit ve formě notářského zápisu, učiní záznam o </w:t>
      </w:r>
      <w:r w:rsidRPr="003E0F95">
        <w:rPr>
          <w:color w:val="000000"/>
          <w:szCs w:val="28"/>
        </w:rPr>
        <w:t>ústní</w:t>
      </w:r>
      <w:r>
        <w:rPr>
          <w:color w:val="000000"/>
          <w:szCs w:val="28"/>
        </w:rPr>
        <w:t>m projevu jeho poslední vůle starosta obce nebo osoba, která je oprávněna vykonávat pravomoci starosty</w:t>
      </w:r>
      <w:r w:rsidR="00E54208">
        <w:rPr>
          <w:color w:val="000000"/>
          <w:szCs w:val="28"/>
        </w:rPr>
        <w:t>,</w:t>
      </w:r>
      <w:r>
        <w:rPr>
          <w:color w:val="000000"/>
          <w:szCs w:val="28"/>
        </w:rPr>
        <w:t xml:space="preserve"> a to za přítomnosti </w:t>
      </w:r>
      <w:r w:rsidR="00E54208">
        <w:rPr>
          <w:color w:val="000000"/>
          <w:szCs w:val="28"/>
        </w:rPr>
        <w:t>dvou</w:t>
      </w:r>
      <w:r>
        <w:rPr>
          <w:color w:val="000000"/>
          <w:szCs w:val="28"/>
        </w:rPr>
        <w:t xml:space="preserve"> svědků. Za splnění podmínek v § 1547 odst. 1 NOZ se takto pořízená závěť považuje za veřejnou listinu. </w:t>
      </w:r>
    </w:p>
    <w:p w:rsidR="00452992" w:rsidRDefault="00007DC8" w:rsidP="00FA4173">
      <w:pPr>
        <w:tabs>
          <w:tab w:val="left" w:pos="567"/>
        </w:tabs>
        <w:spacing w:after="0"/>
        <w:ind w:firstLine="567"/>
        <w:rPr>
          <w:color w:val="000000"/>
          <w:szCs w:val="28"/>
        </w:rPr>
      </w:pPr>
      <w:r>
        <w:rPr>
          <w:color w:val="000000"/>
          <w:szCs w:val="28"/>
        </w:rPr>
        <w:t>Ze znění zákona je patrné</w:t>
      </w:r>
      <w:r w:rsidR="00F732AC">
        <w:rPr>
          <w:color w:val="000000"/>
          <w:szCs w:val="28"/>
        </w:rPr>
        <w:t>, že</w:t>
      </w:r>
      <w:r>
        <w:rPr>
          <w:color w:val="000000"/>
          <w:szCs w:val="28"/>
        </w:rPr>
        <w:t xml:space="preserve"> </w:t>
      </w:r>
      <w:r w:rsidR="00F732AC">
        <w:rPr>
          <w:color w:val="000000"/>
          <w:szCs w:val="28"/>
        </w:rPr>
        <w:t xml:space="preserve">se zákonodárce </w:t>
      </w:r>
      <w:r w:rsidR="0020513A">
        <w:rPr>
          <w:color w:val="000000"/>
          <w:szCs w:val="28"/>
        </w:rPr>
        <w:t xml:space="preserve">výrazně </w:t>
      </w:r>
      <w:r>
        <w:rPr>
          <w:color w:val="000000"/>
          <w:szCs w:val="28"/>
        </w:rPr>
        <w:t>i</w:t>
      </w:r>
      <w:r w:rsidR="00F732AC">
        <w:rPr>
          <w:color w:val="000000"/>
          <w:szCs w:val="28"/>
        </w:rPr>
        <w:t>nspiroval</w:t>
      </w:r>
      <w:r>
        <w:rPr>
          <w:color w:val="000000"/>
          <w:szCs w:val="28"/>
        </w:rPr>
        <w:t xml:space="preserve"> </w:t>
      </w:r>
      <w:r w:rsidR="0020513A">
        <w:rPr>
          <w:color w:val="000000"/>
          <w:szCs w:val="28"/>
        </w:rPr>
        <w:t xml:space="preserve">německou úpravou </w:t>
      </w:r>
      <w:r w:rsidR="008F7819">
        <w:rPr>
          <w:color w:val="000000"/>
          <w:szCs w:val="28"/>
        </w:rPr>
        <w:t>nouzového testamentu před starostou (</w:t>
      </w:r>
      <w:r>
        <w:rPr>
          <w:color w:val="000000"/>
          <w:szCs w:val="28"/>
        </w:rPr>
        <w:t>§ 2249 BGB</w:t>
      </w:r>
      <w:r w:rsidR="008F7819">
        <w:rPr>
          <w:color w:val="000000"/>
          <w:szCs w:val="28"/>
        </w:rPr>
        <w:t>)</w:t>
      </w:r>
      <w:r w:rsidR="00A60B7E">
        <w:rPr>
          <w:color w:val="000000"/>
          <w:szCs w:val="28"/>
        </w:rPr>
        <w:t xml:space="preserve">, což </w:t>
      </w:r>
      <w:r w:rsidR="008F7819">
        <w:rPr>
          <w:color w:val="000000"/>
          <w:szCs w:val="28"/>
        </w:rPr>
        <w:t xml:space="preserve">také </w:t>
      </w:r>
      <w:r w:rsidR="00A60B7E">
        <w:rPr>
          <w:color w:val="000000"/>
          <w:szCs w:val="28"/>
        </w:rPr>
        <w:t>potvrzuje i d</w:t>
      </w:r>
      <w:r w:rsidR="00FA4173">
        <w:rPr>
          <w:color w:val="000000"/>
          <w:szCs w:val="28"/>
        </w:rPr>
        <w:t>ůvodová zpráva</w:t>
      </w:r>
      <w:r w:rsidR="00A60B7E">
        <w:rPr>
          <w:color w:val="000000"/>
          <w:szCs w:val="28"/>
        </w:rPr>
        <w:t xml:space="preserve">. </w:t>
      </w:r>
      <w:r w:rsidR="0020513A">
        <w:rPr>
          <w:color w:val="000000"/>
          <w:szCs w:val="28"/>
        </w:rPr>
        <w:t>P</w:t>
      </w:r>
      <w:r w:rsidR="00FA4173">
        <w:rPr>
          <w:color w:val="000000"/>
          <w:szCs w:val="28"/>
        </w:rPr>
        <w:t xml:space="preserve">raktický význam této úpravy spočívá v tom, že zejména v malých obcích, např. v horských </w:t>
      </w:r>
      <w:r w:rsidR="00FA4173">
        <w:rPr>
          <w:color w:val="000000"/>
          <w:szCs w:val="28"/>
        </w:rPr>
        <w:lastRenderedPageBreak/>
        <w:t>oblastech</w:t>
      </w:r>
      <w:r w:rsidR="00FE073F">
        <w:rPr>
          <w:color w:val="000000"/>
          <w:szCs w:val="28"/>
        </w:rPr>
        <w:t>,</w:t>
      </w:r>
      <w:r w:rsidR="0020513A">
        <w:rPr>
          <w:color w:val="000000"/>
          <w:szCs w:val="28"/>
        </w:rPr>
        <w:t xml:space="preserve"> </w:t>
      </w:r>
      <w:r w:rsidR="00FA4173">
        <w:rPr>
          <w:color w:val="000000"/>
          <w:szCs w:val="28"/>
        </w:rPr>
        <w:t>bude</w:t>
      </w:r>
      <w:r w:rsidR="0020513A">
        <w:rPr>
          <w:color w:val="000000"/>
          <w:szCs w:val="28"/>
        </w:rPr>
        <w:t xml:space="preserve"> </w:t>
      </w:r>
      <w:r w:rsidR="00FA4173">
        <w:rPr>
          <w:color w:val="000000"/>
          <w:szCs w:val="28"/>
        </w:rPr>
        <w:t>zvláště za mimořádných okolností ohrožujících život zůstavitele rychlejší pořídit před starostou obce</w:t>
      </w:r>
      <w:r w:rsidR="00A60B7E">
        <w:rPr>
          <w:color w:val="000000"/>
          <w:szCs w:val="28"/>
        </w:rPr>
        <w:t>, než před vzdálenějším notářem</w:t>
      </w:r>
      <w:r w:rsidR="0020513A">
        <w:rPr>
          <w:color w:val="000000"/>
          <w:szCs w:val="28"/>
        </w:rPr>
        <w:t>.</w:t>
      </w:r>
      <w:r w:rsidR="00FA4173">
        <w:rPr>
          <w:rStyle w:val="Znakapoznpodarou"/>
          <w:color w:val="000000"/>
          <w:szCs w:val="28"/>
        </w:rPr>
        <w:footnoteReference w:id="115"/>
      </w:r>
      <w:r w:rsidR="00452992">
        <w:rPr>
          <w:color w:val="000000"/>
          <w:szCs w:val="28"/>
        </w:rPr>
        <w:t xml:space="preserve"> </w:t>
      </w:r>
    </w:p>
    <w:p w:rsidR="00A96995" w:rsidRDefault="00693A6C" w:rsidP="001132AD">
      <w:pPr>
        <w:tabs>
          <w:tab w:val="left" w:pos="567"/>
        </w:tabs>
        <w:spacing w:after="0"/>
        <w:ind w:firstLine="567"/>
        <w:rPr>
          <w:color w:val="000000"/>
          <w:szCs w:val="28"/>
        </w:rPr>
      </w:pPr>
      <w:r>
        <w:rPr>
          <w:color w:val="000000"/>
          <w:szCs w:val="28"/>
        </w:rPr>
        <w:t xml:space="preserve">Otázkou je, kdo </w:t>
      </w:r>
      <w:r w:rsidR="0049507D">
        <w:rPr>
          <w:color w:val="000000"/>
          <w:szCs w:val="28"/>
        </w:rPr>
        <w:t xml:space="preserve">a jak </w:t>
      </w:r>
      <w:r>
        <w:rPr>
          <w:color w:val="000000"/>
          <w:szCs w:val="28"/>
        </w:rPr>
        <w:t>bude posuzovat d</w:t>
      </w:r>
      <w:r w:rsidR="00FA0C78">
        <w:rPr>
          <w:color w:val="000000"/>
          <w:szCs w:val="28"/>
        </w:rPr>
        <w:t>ůvodnost obavy</w:t>
      </w:r>
      <w:r>
        <w:rPr>
          <w:color w:val="000000"/>
          <w:szCs w:val="28"/>
        </w:rPr>
        <w:t xml:space="preserve"> o život pořizovatele </w:t>
      </w:r>
      <w:r w:rsidR="00A81C4B">
        <w:rPr>
          <w:color w:val="000000"/>
          <w:szCs w:val="28"/>
        </w:rPr>
        <w:t xml:space="preserve">a </w:t>
      </w:r>
      <w:r w:rsidR="00DA17EB">
        <w:rPr>
          <w:color w:val="000000"/>
          <w:szCs w:val="28"/>
        </w:rPr>
        <w:t>její opodstatněnost ve vztahu k </w:t>
      </w:r>
      <w:r w:rsidR="00490D42">
        <w:rPr>
          <w:color w:val="000000"/>
          <w:szCs w:val="28"/>
        </w:rPr>
        <w:t>platnost</w:t>
      </w:r>
      <w:r w:rsidR="00DA17EB">
        <w:rPr>
          <w:color w:val="000000"/>
          <w:szCs w:val="28"/>
        </w:rPr>
        <w:t xml:space="preserve">i </w:t>
      </w:r>
      <w:r w:rsidR="00490D42">
        <w:rPr>
          <w:color w:val="000000"/>
          <w:szCs w:val="28"/>
        </w:rPr>
        <w:t xml:space="preserve">závěti. </w:t>
      </w:r>
      <w:r w:rsidR="0049507D">
        <w:rPr>
          <w:color w:val="000000"/>
          <w:szCs w:val="28"/>
        </w:rPr>
        <w:t xml:space="preserve">Posouzení bude </w:t>
      </w:r>
      <w:r w:rsidR="00A443A1">
        <w:rPr>
          <w:color w:val="000000"/>
          <w:szCs w:val="28"/>
        </w:rPr>
        <w:t xml:space="preserve">podobně jako v německém právu </w:t>
      </w:r>
      <w:r w:rsidR="00D367A7">
        <w:rPr>
          <w:color w:val="000000"/>
          <w:szCs w:val="28"/>
        </w:rPr>
        <w:t xml:space="preserve">záležet na </w:t>
      </w:r>
      <w:r w:rsidR="00A443A1">
        <w:rPr>
          <w:color w:val="000000"/>
          <w:szCs w:val="28"/>
        </w:rPr>
        <w:t xml:space="preserve">subjektivním </w:t>
      </w:r>
      <w:r w:rsidR="005D6188">
        <w:rPr>
          <w:color w:val="000000"/>
          <w:szCs w:val="28"/>
        </w:rPr>
        <w:t>zhodnocení</w:t>
      </w:r>
      <w:r w:rsidR="005D6188">
        <w:rPr>
          <w:rStyle w:val="Znakapoznpodarou"/>
          <w:color w:val="000000"/>
          <w:szCs w:val="28"/>
        </w:rPr>
        <w:footnoteReference w:id="116"/>
      </w:r>
      <w:r w:rsidR="005D6188">
        <w:rPr>
          <w:color w:val="000000"/>
          <w:szCs w:val="28"/>
        </w:rPr>
        <w:t xml:space="preserve"> individuální situace pořizovatele </w:t>
      </w:r>
      <w:r w:rsidR="00A443A1">
        <w:rPr>
          <w:color w:val="000000"/>
          <w:szCs w:val="28"/>
        </w:rPr>
        <w:t>a konkrétních okolností případu starostou</w:t>
      </w:r>
      <w:r w:rsidR="00335B71">
        <w:rPr>
          <w:color w:val="000000"/>
          <w:szCs w:val="28"/>
        </w:rPr>
        <w:t xml:space="preserve">. Ten </w:t>
      </w:r>
      <w:r w:rsidR="00A81C4B">
        <w:rPr>
          <w:color w:val="000000"/>
          <w:szCs w:val="28"/>
        </w:rPr>
        <w:t xml:space="preserve">může odmítnout zaznamenat poslední vůli zůstavitele, protože </w:t>
      </w:r>
      <w:r w:rsidR="00582E5F">
        <w:rPr>
          <w:color w:val="000000"/>
          <w:szCs w:val="28"/>
        </w:rPr>
        <w:t xml:space="preserve">podle zákona k tomu není povinen. </w:t>
      </w:r>
      <w:r w:rsidR="008F7819">
        <w:rPr>
          <w:color w:val="000000"/>
          <w:szCs w:val="28"/>
        </w:rPr>
        <w:t>Pokud by na území obce propukla nějaká přírodní katastrofa nebo havárie</w:t>
      </w:r>
      <w:r w:rsidR="005D6189">
        <w:rPr>
          <w:color w:val="000000"/>
          <w:szCs w:val="28"/>
        </w:rPr>
        <w:t>,</w:t>
      </w:r>
      <w:r w:rsidR="008F7819">
        <w:rPr>
          <w:color w:val="000000"/>
          <w:szCs w:val="28"/>
        </w:rPr>
        <w:t xml:space="preserve"> </w:t>
      </w:r>
      <w:r w:rsidR="008E378E">
        <w:rPr>
          <w:color w:val="000000"/>
          <w:szCs w:val="28"/>
        </w:rPr>
        <w:t xml:space="preserve">lze jistě očekávat, že starosta obce upřednostní veřejný zájem </w:t>
      </w:r>
      <w:r w:rsidR="00582E5F">
        <w:rPr>
          <w:color w:val="000000"/>
          <w:szCs w:val="28"/>
        </w:rPr>
        <w:t xml:space="preserve">na odstraňování </w:t>
      </w:r>
      <w:r w:rsidR="008E378E">
        <w:rPr>
          <w:color w:val="000000"/>
          <w:szCs w:val="28"/>
        </w:rPr>
        <w:t>následků takových nehod před zájmem soukromým. Pokud by se</w:t>
      </w:r>
      <w:r w:rsidR="00F81FA1">
        <w:rPr>
          <w:color w:val="000000"/>
          <w:szCs w:val="28"/>
        </w:rPr>
        <w:t xml:space="preserve"> </w:t>
      </w:r>
      <w:r w:rsidR="00335B71">
        <w:rPr>
          <w:color w:val="000000"/>
          <w:szCs w:val="28"/>
        </w:rPr>
        <w:t xml:space="preserve">ale </w:t>
      </w:r>
      <w:r w:rsidR="001132AD">
        <w:rPr>
          <w:color w:val="000000"/>
          <w:szCs w:val="28"/>
        </w:rPr>
        <w:t>jednalo</w:t>
      </w:r>
      <w:r w:rsidR="00A93195">
        <w:rPr>
          <w:color w:val="000000"/>
          <w:szCs w:val="28"/>
        </w:rPr>
        <w:t xml:space="preserve"> např. o </w:t>
      </w:r>
      <w:r w:rsidR="00866E68">
        <w:rPr>
          <w:color w:val="000000"/>
          <w:szCs w:val="28"/>
        </w:rPr>
        <w:t xml:space="preserve">život ohrožující </w:t>
      </w:r>
      <w:r w:rsidR="00A93195">
        <w:rPr>
          <w:color w:val="000000"/>
          <w:szCs w:val="28"/>
        </w:rPr>
        <w:t>zdravotní stav</w:t>
      </w:r>
      <w:r w:rsidR="00F81FA1">
        <w:rPr>
          <w:color w:val="000000"/>
          <w:szCs w:val="28"/>
        </w:rPr>
        <w:t xml:space="preserve"> pořizovatele</w:t>
      </w:r>
      <w:r w:rsidR="008E378E">
        <w:rPr>
          <w:color w:val="000000"/>
          <w:szCs w:val="28"/>
        </w:rPr>
        <w:t xml:space="preserve">, </w:t>
      </w:r>
      <w:r w:rsidR="00FA0C78">
        <w:rPr>
          <w:color w:val="000000"/>
          <w:szCs w:val="28"/>
        </w:rPr>
        <w:t>měl by starosta žádosti o zaznamenání poslední vůle vyhovět</w:t>
      </w:r>
      <w:r w:rsidR="00866E68">
        <w:rPr>
          <w:color w:val="000000"/>
          <w:szCs w:val="28"/>
        </w:rPr>
        <w:t>.</w:t>
      </w:r>
      <w:r w:rsidR="00A96995">
        <w:rPr>
          <w:color w:val="000000"/>
          <w:szCs w:val="28"/>
        </w:rPr>
        <w:t xml:space="preserve"> </w:t>
      </w:r>
      <w:r w:rsidR="00F56531">
        <w:rPr>
          <w:color w:val="000000"/>
          <w:szCs w:val="28"/>
        </w:rPr>
        <w:t xml:space="preserve">Odepření záznamu </w:t>
      </w:r>
      <w:r w:rsidR="00A96995">
        <w:rPr>
          <w:color w:val="000000"/>
          <w:szCs w:val="28"/>
        </w:rPr>
        <w:t xml:space="preserve">na základě nesprávně vyhodnoceného zdravotního stavu </w:t>
      </w:r>
      <w:r w:rsidR="00F56531">
        <w:rPr>
          <w:color w:val="000000"/>
          <w:szCs w:val="28"/>
        </w:rPr>
        <w:t xml:space="preserve">však </w:t>
      </w:r>
      <w:r w:rsidR="00A96995">
        <w:rPr>
          <w:color w:val="000000"/>
          <w:szCs w:val="28"/>
        </w:rPr>
        <w:t>nelze starostovi přičítat k odpovědnosti.</w:t>
      </w:r>
      <w:r w:rsidR="00F56531">
        <w:rPr>
          <w:rStyle w:val="Znakapoznpodarou"/>
          <w:color w:val="000000"/>
          <w:szCs w:val="28"/>
        </w:rPr>
        <w:footnoteReference w:id="117"/>
      </w:r>
      <w:r w:rsidR="001132AD">
        <w:rPr>
          <w:color w:val="000000"/>
          <w:szCs w:val="28"/>
        </w:rPr>
        <w:t xml:space="preserve"> </w:t>
      </w:r>
      <w:r w:rsidR="00112BB3">
        <w:rPr>
          <w:color w:val="000000"/>
          <w:szCs w:val="28"/>
        </w:rPr>
        <w:t xml:space="preserve">Zákonodárce </w:t>
      </w:r>
      <w:r w:rsidR="00CF0080">
        <w:rPr>
          <w:color w:val="000000"/>
          <w:szCs w:val="28"/>
        </w:rPr>
        <w:t>bohužel nepřevzal úpravu § 2249 odst.</w:t>
      </w:r>
      <w:r w:rsidR="004F0574">
        <w:t> </w:t>
      </w:r>
      <w:r w:rsidR="00CF0080">
        <w:rPr>
          <w:color w:val="000000"/>
          <w:szCs w:val="28"/>
        </w:rPr>
        <w:t>2</w:t>
      </w:r>
      <w:r w:rsidR="004F0574">
        <w:t> </w:t>
      </w:r>
      <w:r w:rsidR="00CF0080">
        <w:rPr>
          <w:color w:val="000000"/>
          <w:szCs w:val="28"/>
        </w:rPr>
        <w:t xml:space="preserve"> BGB, která stanoví, že na platnost závěti nemá vliv, ukáží-li se </w:t>
      </w:r>
      <w:r w:rsidR="006573ED">
        <w:rPr>
          <w:color w:val="000000"/>
          <w:szCs w:val="28"/>
        </w:rPr>
        <w:t xml:space="preserve">obava </w:t>
      </w:r>
      <w:r w:rsidR="00AF65DE">
        <w:rPr>
          <w:color w:val="000000"/>
          <w:szCs w:val="28"/>
        </w:rPr>
        <w:t xml:space="preserve">o život zůstavitele </w:t>
      </w:r>
      <w:r w:rsidR="006573ED">
        <w:rPr>
          <w:color w:val="000000"/>
          <w:szCs w:val="28"/>
        </w:rPr>
        <w:t>jako neopodstatněná</w:t>
      </w:r>
      <w:r w:rsidR="00E104D4">
        <w:rPr>
          <w:color w:val="000000"/>
          <w:szCs w:val="28"/>
        </w:rPr>
        <w:t xml:space="preserve">. </w:t>
      </w:r>
      <w:r w:rsidR="00112BB3">
        <w:rPr>
          <w:color w:val="000000"/>
          <w:szCs w:val="28"/>
        </w:rPr>
        <w:t xml:space="preserve">Německá literatura </w:t>
      </w:r>
      <w:r w:rsidR="00CF0080">
        <w:rPr>
          <w:color w:val="000000"/>
          <w:szCs w:val="28"/>
        </w:rPr>
        <w:t xml:space="preserve">k tomu </w:t>
      </w:r>
      <w:r w:rsidR="00112BB3">
        <w:rPr>
          <w:color w:val="000000"/>
          <w:szCs w:val="28"/>
        </w:rPr>
        <w:t xml:space="preserve">dále </w:t>
      </w:r>
      <w:r w:rsidR="00CF0080">
        <w:rPr>
          <w:color w:val="000000"/>
          <w:szCs w:val="28"/>
        </w:rPr>
        <w:t xml:space="preserve">uvádí, že </w:t>
      </w:r>
      <w:r w:rsidR="006573ED">
        <w:rPr>
          <w:color w:val="000000"/>
          <w:szCs w:val="28"/>
        </w:rPr>
        <w:t>p</w:t>
      </w:r>
      <w:r w:rsidR="00E104D4">
        <w:rPr>
          <w:color w:val="000000"/>
          <w:szCs w:val="28"/>
        </w:rPr>
        <w:t>okud by starosta věděl, že pořizovateli žádné nebezpečí smrti nehrozí</w:t>
      </w:r>
      <w:r w:rsidR="00164389">
        <w:rPr>
          <w:color w:val="000000"/>
          <w:szCs w:val="28"/>
        </w:rPr>
        <w:t>, je testament neplatný.</w:t>
      </w:r>
      <w:r w:rsidR="006573ED">
        <w:rPr>
          <w:rStyle w:val="Znakapoznpodarou"/>
          <w:color w:val="000000"/>
          <w:szCs w:val="28"/>
        </w:rPr>
        <w:footnoteReference w:id="118"/>
      </w:r>
      <w:r w:rsidR="001132AD">
        <w:rPr>
          <w:color w:val="000000"/>
          <w:szCs w:val="28"/>
        </w:rPr>
        <w:t xml:space="preserve"> </w:t>
      </w:r>
    </w:p>
    <w:p w:rsidR="00126D53" w:rsidRDefault="00691FFF" w:rsidP="00A96995">
      <w:pPr>
        <w:tabs>
          <w:tab w:val="left" w:pos="567"/>
        </w:tabs>
        <w:spacing w:after="0"/>
        <w:ind w:firstLine="567"/>
        <w:rPr>
          <w:color w:val="000000"/>
          <w:szCs w:val="28"/>
        </w:rPr>
      </w:pPr>
      <w:r>
        <w:rPr>
          <w:color w:val="000000"/>
          <w:szCs w:val="28"/>
        </w:rPr>
        <w:t xml:space="preserve">Na základě </w:t>
      </w:r>
      <w:r w:rsidR="005C5C3F">
        <w:rPr>
          <w:color w:val="000000"/>
          <w:szCs w:val="28"/>
        </w:rPr>
        <w:t xml:space="preserve">praktických </w:t>
      </w:r>
      <w:r>
        <w:rPr>
          <w:color w:val="000000"/>
          <w:szCs w:val="28"/>
        </w:rPr>
        <w:t xml:space="preserve">zkušeností notářů </w:t>
      </w:r>
      <w:r w:rsidR="008634E8">
        <w:rPr>
          <w:color w:val="000000"/>
          <w:szCs w:val="28"/>
        </w:rPr>
        <w:t>s</w:t>
      </w:r>
      <w:r w:rsidR="005C5C3F">
        <w:rPr>
          <w:color w:val="000000"/>
          <w:szCs w:val="28"/>
        </w:rPr>
        <w:t xml:space="preserve"> realizací </w:t>
      </w:r>
      <w:r w:rsidR="006E2AE3">
        <w:rPr>
          <w:color w:val="000000"/>
          <w:szCs w:val="28"/>
        </w:rPr>
        <w:t xml:space="preserve">zákonných </w:t>
      </w:r>
      <w:r w:rsidR="005C5C3F">
        <w:rPr>
          <w:color w:val="000000"/>
          <w:szCs w:val="28"/>
        </w:rPr>
        <w:t>kompetencí starostů v soukromoprávní oblasti</w:t>
      </w:r>
      <w:r w:rsidR="006E2AE3">
        <w:rPr>
          <w:color w:val="000000"/>
          <w:szCs w:val="28"/>
        </w:rPr>
        <w:t xml:space="preserve">, se </w:t>
      </w:r>
      <w:r w:rsidR="00CD5B8C">
        <w:rPr>
          <w:color w:val="000000"/>
          <w:szCs w:val="28"/>
        </w:rPr>
        <w:t>lze domnívat, že starostové mohou účelově odmítat sepisování těchto</w:t>
      </w:r>
      <w:r w:rsidR="000D3DF9">
        <w:rPr>
          <w:color w:val="000000"/>
          <w:szCs w:val="28"/>
        </w:rPr>
        <w:t xml:space="preserve"> závětí</w:t>
      </w:r>
      <w:r w:rsidR="006E2AE3">
        <w:rPr>
          <w:color w:val="000000"/>
          <w:szCs w:val="28"/>
        </w:rPr>
        <w:t xml:space="preserve">, </w:t>
      </w:r>
      <w:r w:rsidR="000D3DF9">
        <w:rPr>
          <w:color w:val="000000"/>
          <w:szCs w:val="28"/>
        </w:rPr>
        <w:t xml:space="preserve">protože </w:t>
      </w:r>
      <w:r w:rsidR="005C3633">
        <w:rPr>
          <w:color w:val="000000"/>
          <w:szCs w:val="28"/>
        </w:rPr>
        <w:t xml:space="preserve">uvedenou problematiku </w:t>
      </w:r>
      <w:r w:rsidR="006D3A28">
        <w:rPr>
          <w:color w:val="000000"/>
          <w:szCs w:val="28"/>
        </w:rPr>
        <w:t xml:space="preserve">nebudou </w:t>
      </w:r>
      <w:r w:rsidR="005C3633">
        <w:rPr>
          <w:color w:val="000000"/>
          <w:szCs w:val="28"/>
        </w:rPr>
        <w:t>zvládat.</w:t>
      </w:r>
      <w:r w:rsidR="00724186">
        <w:rPr>
          <w:rStyle w:val="Znakapoznpodarou"/>
          <w:color w:val="000000"/>
          <w:szCs w:val="28"/>
        </w:rPr>
        <w:footnoteReference w:id="119"/>
      </w:r>
    </w:p>
    <w:p w:rsidR="0095437D" w:rsidRPr="0015182B" w:rsidRDefault="0015182B" w:rsidP="008074AB">
      <w:pPr>
        <w:pStyle w:val="Nadpis2"/>
      </w:pPr>
      <w:bookmarkStart w:id="48" w:name="_Toc436779479"/>
      <w:bookmarkStart w:id="49" w:name="_Toc437225073"/>
      <w:r w:rsidRPr="0015182B">
        <w:t>4</w:t>
      </w:r>
      <w:r w:rsidR="00CD59DE" w:rsidRPr="0015182B">
        <w:t>.3</w:t>
      </w:r>
      <w:r w:rsidR="00B96A77">
        <w:tab/>
      </w:r>
      <w:r w:rsidR="0035418C" w:rsidRPr="0015182B">
        <w:t xml:space="preserve">Závěť pořízená na palubě námořního </w:t>
      </w:r>
      <w:r w:rsidR="0035418C" w:rsidRPr="008074AB">
        <w:t>plavidla</w:t>
      </w:r>
      <w:r w:rsidR="0095437D" w:rsidRPr="0015182B">
        <w:t xml:space="preserve"> nebo letadla</w:t>
      </w:r>
      <w:bookmarkEnd w:id="48"/>
      <w:bookmarkEnd w:id="49"/>
    </w:p>
    <w:p w:rsidR="0095437D" w:rsidRDefault="0095437D" w:rsidP="0095437D">
      <w:pPr>
        <w:spacing w:after="0"/>
        <w:ind w:firstLine="567"/>
        <w:rPr>
          <w:szCs w:val="28"/>
        </w:rPr>
      </w:pPr>
      <w:r>
        <w:rPr>
          <w:szCs w:val="28"/>
        </w:rPr>
        <w:t xml:space="preserve">V § 1544 NOZ je </w:t>
      </w:r>
      <w:r w:rsidR="009D701C">
        <w:rPr>
          <w:szCs w:val="28"/>
        </w:rPr>
        <w:t xml:space="preserve">nově zakotvena </w:t>
      </w:r>
      <w:r>
        <w:rPr>
          <w:szCs w:val="28"/>
        </w:rPr>
        <w:t xml:space="preserve">úprava úlev při pořizování závěti na palubě námořního plavidla plujícího pod státní vlajkou ČR nebo letadla zapsaného v leteckém rejstříku v ČR. Rovněž zde je zapotřebí přítomnosti dvou svědků. V případě naplnění všech požadavků uvedených v § 1547 odst. 1 </w:t>
      </w:r>
      <w:r w:rsidR="00101A1A">
        <w:rPr>
          <w:szCs w:val="28"/>
        </w:rPr>
        <w:t xml:space="preserve">NOZ </w:t>
      </w:r>
      <w:r>
        <w:rPr>
          <w:szCs w:val="28"/>
        </w:rPr>
        <w:t>se taková listina považuje za veřejnou.</w:t>
      </w:r>
      <w:r w:rsidR="001650C5">
        <w:rPr>
          <w:szCs w:val="28"/>
        </w:rPr>
        <w:t xml:space="preserve"> </w:t>
      </w:r>
    </w:p>
    <w:p w:rsidR="009D701C" w:rsidRDefault="009D701C" w:rsidP="0095437D">
      <w:pPr>
        <w:spacing w:after="0"/>
        <w:ind w:firstLine="567"/>
        <w:rPr>
          <w:szCs w:val="28"/>
        </w:rPr>
      </w:pPr>
      <w:r>
        <w:rPr>
          <w:szCs w:val="28"/>
        </w:rPr>
        <w:t xml:space="preserve">Jedním z předpokladů pořízení této závěti je vážný důvod na straně zůstavitele. Nemusí jít pouze o </w:t>
      </w:r>
      <w:r w:rsidR="009C42B3">
        <w:rPr>
          <w:szCs w:val="28"/>
        </w:rPr>
        <w:t xml:space="preserve">důvod vyvolaný objektivní skutečností (např. </w:t>
      </w:r>
      <w:r>
        <w:rPr>
          <w:szCs w:val="28"/>
        </w:rPr>
        <w:t>hrozb</w:t>
      </w:r>
      <w:r w:rsidR="009C42B3">
        <w:rPr>
          <w:szCs w:val="28"/>
        </w:rPr>
        <w:t>a</w:t>
      </w:r>
      <w:r>
        <w:rPr>
          <w:szCs w:val="28"/>
        </w:rPr>
        <w:t xml:space="preserve"> letecké </w:t>
      </w:r>
      <w:r w:rsidR="009C42B3">
        <w:rPr>
          <w:szCs w:val="28"/>
        </w:rPr>
        <w:t xml:space="preserve">nebo námořní </w:t>
      </w:r>
      <w:r>
        <w:rPr>
          <w:szCs w:val="28"/>
        </w:rPr>
        <w:t>havárie</w:t>
      </w:r>
      <w:r w:rsidR="009C42B3">
        <w:rPr>
          <w:szCs w:val="28"/>
        </w:rPr>
        <w:t>), ale i o vážné důvody zůstavitele ryze subjektivního charakteru (např. náhlá zdravotní indispozice)</w:t>
      </w:r>
      <w:r w:rsidR="001650C5">
        <w:rPr>
          <w:szCs w:val="28"/>
        </w:rPr>
        <w:t>.</w:t>
      </w:r>
    </w:p>
    <w:p w:rsidR="00B96A77" w:rsidRDefault="00F51845" w:rsidP="00FA1ECC">
      <w:pPr>
        <w:spacing w:after="0"/>
        <w:ind w:firstLine="567"/>
        <w:rPr>
          <w:szCs w:val="28"/>
        </w:rPr>
      </w:pPr>
      <w:r>
        <w:rPr>
          <w:szCs w:val="28"/>
        </w:rPr>
        <w:t xml:space="preserve">Jelikož zákon v </w:t>
      </w:r>
      <w:r w:rsidR="00BE5DB7">
        <w:rPr>
          <w:szCs w:val="28"/>
        </w:rPr>
        <w:t xml:space="preserve">§ 1544 odst. 1 NOZ </w:t>
      </w:r>
      <w:r>
        <w:rPr>
          <w:szCs w:val="28"/>
        </w:rPr>
        <w:t>neukládá veliteli</w:t>
      </w:r>
      <w:r w:rsidR="0035418C">
        <w:rPr>
          <w:szCs w:val="28"/>
        </w:rPr>
        <w:t xml:space="preserve"> námořního plavidla nebo letadla </w:t>
      </w:r>
      <w:r>
        <w:rPr>
          <w:szCs w:val="28"/>
        </w:rPr>
        <w:t>povinnost zaznamenat vůli zůstavitele, je na veliteli</w:t>
      </w:r>
      <w:r w:rsidR="009944B6">
        <w:rPr>
          <w:szCs w:val="28"/>
        </w:rPr>
        <w:t>, zda uzná existenci a vá</w:t>
      </w:r>
      <w:r>
        <w:rPr>
          <w:szCs w:val="28"/>
        </w:rPr>
        <w:t xml:space="preserve">žnost uváděného důvodu </w:t>
      </w:r>
      <w:r w:rsidR="008A301A">
        <w:rPr>
          <w:szCs w:val="28"/>
        </w:rPr>
        <w:t xml:space="preserve">a </w:t>
      </w:r>
      <w:r w:rsidR="009944B6">
        <w:rPr>
          <w:szCs w:val="28"/>
        </w:rPr>
        <w:t xml:space="preserve">zůstaviteli </w:t>
      </w:r>
      <w:r w:rsidR="008A301A">
        <w:rPr>
          <w:szCs w:val="28"/>
        </w:rPr>
        <w:t>vyhoví</w:t>
      </w:r>
      <w:r w:rsidR="00E54208">
        <w:rPr>
          <w:szCs w:val="28"/>
        </w:rPr>
        <w:t>,</w:t>
      </w:r>
      <w:r w:rsidR="008A301A">
        <w:rPr>
          <w:szCs w:val="28"/>
        </w:rPr>
        <w:t xml:space="preserve"> nebo pořízení záznamu odepře. Podle názoru autora diplomové </w:t>
      </w:r>
      <w:r w:rsidR="008A301A">
        <w:rPr>
          <w:szCs w:val="28"/>
        </w:rPr>
        <w:lastRenderedPageBreak/>
        <w:t xml:space="preserve">práce by </w:t>
      </w:r>
      <w:r w:rsidR="009944B6">
        <w:rPr>
          <w:szCs w:val="28"/>
        </w:rPr>
        <w:t xml:space="preserve">bylo </w:t>
      </w:r>
      <w:r w:rsidR="007B0896">
        <w:rPr>
          <w:szCs w:val="28"/>
        </w:rPr>
        <w:t xml:space="preserve">spravedlivé, aby hodnocení závažnosti </w:t>
      </w:r>
      <w:r w:rsidR="008A301A">
        <w:rPr>
          <w:szCs w:val="28"/>
        </w:rPr>
        <w:t xml:space="preserve">důvodu </w:t>
      </w:r>
      <w:r w:rsidR="007B0896">
        <w:rPr>
          <w:szCs w:val="28"/>
        </w:rPr>
        <w:t xml:space="preserve">bylo </w:t>
      </w:r>
      <w:r w:rsidR="008A301A">
        <w:rPr>
          <w:szCs w:val="28"/>
        </w:rPr>
        <w:t>ponecháno výlučn</w:t>
      </w:r>
      <w:r w:rsidR="009944B6">
        <w:rPr>
          <w:szCs w:val="28"/>
        </w:rPr>
        <w:t xml:space="preserve">ě na zůstaviteli, když z </w:t>
      </w:r>
      <w:r w:rsidR="007B0896">
        <w:rPr>
          <w:szCs w:val="28"/>
        </w:rPr>
        <w:t xml:space="preserve">povahy provozu těchto dopravních prostředků vyplývá zvýšené riziko ohrožení </w:t>
      </w:r>
      <w:r w:rsidR="009944B6">
        <w:rPr>
          <w:szCs w:val="28"/>
        </w:rPr>
        <w:t xml:space="preserve">jeho </w:t>
      </w:r>
      <w:r w:rsidR="007B0896">
        <w:rPr>
          <w:szCs w:val="28"/>
        </w:rPr>
        <w:t xml:space="preserve">života. Ochrana </w:t>
      </w:r>
      <w:r w:rsidR="009944B6">
        <w:rPr>
          <w:szCs w:val="28"/>
        </w:rPr>
        <w:t xml:space="preserve">zůstavitele </w:t>
      </w:r>
      <w:r w:rsidR="007B0896">
        <w:rPr>
          <w:szCs w:val="28"/>
        </w:rPr>
        <w:t>v jeho záměru pořídit testament je navíc zd</w:t>
      </w:r>
      <w:r w:rsidR="009944B6">
        <w:rPr>
          <w:szCs w:val="28"/>
        </w:rPr>
        <w:t>ůrazněna v poslední větě citovaného ustanovení, podle něhož absence vážného důvodu neplatnost závěti</w:t>
      </w:r>
      <w:r w:rsidR="009944B6" w:rsidRPr="009944B6">
        <w:rPr>
          <w:szCs w:val="28"/>
        </w:rPr>
        <w:t xml:space="preserve"> </w:t>
      </w:r>
      <w:r w:rsidR="009944B6">
        <w:rPr>
          <w:szCs w:val="28"/>
        </w:rPr>
        <w:t>nezpůsobí</w:t>
      </w:r>
      <w:r w:rsidR="00D26785">
        <w:rPr>
          <w:szCs w:val="28"/>
        </w:rPr>
        <w:t>. Zákonná podmínka</w:t>
      </w:r>
      <w:r w:rsidR="00710783">
        <w:rPr>
          <w:szCs w:val="28"/>
        </w:rPr>
        <w:t xml:space="preserve">, </w:t>
      </w:r>
      <w:r w:rsidR="00D26785">
        <w:rPr>
          <w:szCs w:val="28"/>
        </w:rPr>
        <w:t xml:space="preserve">že pořízení záznamu </w:t>
      </w:r>
      <w:r w:rsidR="001A3671">
        <w:rPr>
          <w:szCs w:val="28"/>
        </w:rPr>
        <w:t>velitelem je možné</w:t>
      </w:r>
      <w:r w:rsidR="007B1E90">
        <w:rPr>
          <w:szCs w:val="28"/>
        </w:rPr>
        <w:t>,</w:t>
      </w:r>
      <w:r w:rsidR="001A3671">
        <w:rPr>
          <w:szCs w:val="28"/>
        </w:rPr>
        <w:t xml:space="preserve"> jen nebrání-li mu v</w:t>
      </w:r>
      <w:r w:rsidR="004F0574">
        <w:t> </w:t>
      </w:r>
      <w:r w:rsidR="001A3671">
        <w:rPr>
          <w:szCs w:val="28"/>
        </w:rPr>
        <w:t xml:space="preserve"> tom</w:t>
      </w:r>
      <w:r w:rsidR="00D26785">
        <w:rPr>
          <w:szCs w:val="28"/>
        </w:rPr>
        <w:t xml:space="preserve"> péče o bezpečnost plavby nebo letu</w:t>
      </w:r>
      <w:r w:rsidR="007B1E90">
        <w:rPr>
          <w:szCs w:val="28"/>
        </w:rPr>
        <w:t>,</w:t>
      </w:r>
      <w:r w:rsidR="001A3671">
        <w:rPr>
          <w:szCs w:val="28"/>
        </w:rPr>
        <w:t xml:space="preserve"> by měla být jediným </w:t>
      </w:r>
      <w:r w:rsidR="007B1E90">
        <w:rPr>
          <w:szCs w:val="28"/>
        </w:rPr>
        <w:t>důvodem</w:t>
      </w:r>
      <w:r w:rsidR="001A3671">
        <w:rPr>
          <w:szCs w:val="28"/>
        </w:rPr>
        <w:t xml:space="preserve"> pro </w:t>
      </w:r>
      <w:r w:rsidR="007B1E90">
        <w:rPr>
          <w:szCs w:val="28"/>
        </w:rPr>
        <w:t>odmítnutí zůstavitele</w:t>
      </w:r>
      <w:r w:rsidR="00DF47B8">
        <w:rPr>
          <w:szCs w:val="28"/>
        </w:rPr>
        <w:t xml:space="preserve"> pořídit testament. </w:t>
      </w:r>
      <w:r w:rsidR="006A3973">
        <w:rPr>
          <w:szCs w:val="28"/>
        </w:rPr>
        <w:t>Je zajímavé, že dikce § 1290 původního návrh</w:t>
      </w:r>
      <w:r w:rsidR="0035418C">
        <w:rPr>
          <w:szCs w:val="28"/>
        </w:rPr>
        <w:t>u</w:t>
      </w:r>
      <w:r w:rsidR="006A3973">
        <w:rPr>
          <w:szCs w:val="28"/>
        </w:rPr>
        <w:t xml:space="preserve"> NOZ05</w:t>
      </w:r>
      <w:r w:rsidR="00404343">
        <w:rPr>
          <w:szCs w:val="28"/>
        </w:rPr>
        <w:t xml:space="preserve"> žádné omezení pro </w:t>
      </w:r>
      <w:r w:rsidR="006A3973">
        <w:rPr>
          <w:szCs w:val="28"/>
        </w:rPr>
        <w:t>zůstavitele</w:t>
      </w:r>
      <w:r w:rsidR="00404343">
        <w:rPr>
          <w:szCs w:val="28"/>
        </w:rPr>
        <w:t xml:space="preserve"> pořídit testament nestanovila, i když důvodová zpráva dovodila diskreční právo kapitána</w:t>
      </w:r>
      <w:r w:rsidR="001650C5">
        <w:rPr>
          <w:szCs w:val="28"/>
        </w:rPr>
        <w:t>, aby vyhotovení závěti odmítnul</w:t>
      </w:r>
      <w:r w:rsidR="00164389">
        <w:rPr>
          <w:szCs w:val="28"/>
        </w:rPr>
        <w:t>.</w:t>
      </w:r>
      <w:r w:rsidR="001650C5">
        <w:rPr>
          <w:rStyle w:val="Znakapoznpodarou"/>
          <w:szCs w:val="28"/>
        </w:rPr>
        <w:footnoteReference w:id="120"/>
      </w:r>
      <w:r w:rsidR="00616172">
        <w:rPr>
          <w:szCs w:val="28"/>
        </w:rPr>
        <w:t xml:space="preserve"> </w:t>
      </w:r>
      <w:r w:rsidR="00E814D4">
        <w:rPr>
          <w:szCs w:val="28"/>
        </w:rPr>
        <w:t>Principu autonomie</w:t>
      </w:r>
      <w:r w:rsidR="00E754C9">
        <w:rPr>
          <w:szCs w:val="28"/>
        </w:rPr>
        <w:t xml:space="preserve"> vůle pořídit závěť za mimořádných podmínek </w:t>
      </w:r>
      <w:r w:rsidR="00782263">
        <w:rPr>
          <w:szCs w:val="28"/>
        </w:rPr>
        <w:t xml:space="preserve">na lodi nebo v letadle </w:t>
      </w:r>
      <w:r w:rsidR="00E754C9">
        <w:rPr>
          <w:szCs w:val="28"/>
        </w:rPr>
        <w:t>plněji odpovídá</w:t>
      </w:r>
      <w:r w:rsidR="00782263">
        <w:rPr>
          <w:szCs w:val="28"/>
        </w:rPr>
        <w:t xml:space="preserve"> polská úprava v čl. 953</w:t>
      </w:r>
      <w:r w:rsidR="00E814D4">
        <w:rPr>
          <w:szCs w:val="28"/>
        </w:rPr>
        <w:t xml:space="preserve"> KC, která kromě formálních náležitostí nestanoví ani pro zůstavitele ani pro velitele žádná omezení pro sepsání záznamu poslední vůle zůstavitele.</w:t>
      </w:r>
    </w:p>
    <w:p w:rsidR="00FC6752" w:rsidRDefault="00060B92" w:rsidP="00FA1ECC">
      <w:pPr>
        <w:spacing w:after="0"/>
        <w:ind w:firstLine="567"/>
        <w:rPr>
          <w:szCs w:val="28"/>
        </w:rPr>
      </w:pPr>
      <w:r>
        <w:rPr>
          <w:szCs w:val="28"/>
        </w:rPr>
        <w:t xml:space="preserve">Na první pohled se může </w:t>
      </w:r>
      <w:r w:rsidR="00A23997">
        <w:rPr>
          <w:szCs w:val="28"/>
        </w:rPr>
        <w:t xml:space="preserve">jevit </w:t>
      </w:r>
      <w:r>
        <w:rPr>
          <w:szCs w:val="28"/>
        </w:rPr>
        <w:t xml:space="preserve">zakotvení úpravy závěti </w:t>
      </w:r>
      <w:r w:rsidR="00A23997">
        <w:rPr>
          <w:szCs w:val="28"/>
        </w:rPr>
        <w:t>pořízené na palubě námořního</w:t>
      </w:r>
      <w:r>
        <w:rPr>
          <w:szCs w:val="28"/>
        </w:rPr>
        <w:t xml:space="preserve"> plavidla </w:t>
      </w:r>
      <w:r w:rsidR="00A23997">
        <w:rPr>
          <w:szCs w:val="28"/>
        </w:rPr>
        <w:t>jako nadbytečné, neboť v současnosti není v ČR registrovánu žádná</w:t>
      </w:r>
      <w:r w:rsidR="0095437D">
        <w:rPr>
          <w:szCs w:val="28"/>
        </w:rPr>
        <w:t xml:space="preserve"> námořní obchodní loď</w:t>
      </w:r>
      <w:r w:rsidR="0095437D" w:rsidRPr="000512A0">
        <w:rPr>
          <w:szCs w:val="28"/>
        </w:rPr>
        <w:t xml:space="preserve"> </w:t>
      </w:r>
      <w:r w:rsidR="00A23997">
        <w:rPr>
          <w:szCs w:val="28"/>
        </w:rPr>
        <w:t>v námořním rejstříku. Z</w:t>
      </w:r>
      <w:r w:rsidR="0095437D">
        <w:rPr>
          <w:szCs w:val="28"/>
        </w:rPr>
        <w:t>ákonodárce počítá s vyu</w:t>
      </w:r>
      <w:r w:rsidR="00A23997">
        <w:rPr>
          <w:szCs w:val="28"/>
        </w:rPr>
        <w:t xml:space="preserve">žitím takové úpravy pro </w:t>
      </w:r>
      <w:proofErr w:type="spellStart"/>
      <w:r w:rsidR="00A23997">
        <w:rPr>
          <w:szCs w:val="28"/>
        </w:rPr>
        <w:t>futuro</w:t>
      </w:r>
      <w:proofErr w:type="spellEnd"/>
      <w:r w:rsidR="00A23997">
        <w:rPr>
          <w:szCs w:val="28"/>
        </w:rPr>
        <w:t xml:space="preserve">. </w:t>
      </w:r>
      <w:r w:rsidR="0095437D">
        <w:rPr>
          <w:rStyle w:val="Znakapoznpodarou"/>
          <w:szCs w:val="28"/>
        </w:rPr>
        <w:footnoteReference w:id="121"/>
      </w:r>
      <w:r w:rsidR="0095437D">
        <w:rPr>
          <w:szCs w:val="28"/>
        </w:rPr>
        <w:t xml:space="preserve"> </w:t>
      </w:r>
      <w:r w:rsidR="002A0207">
        <w:rPr>
          <w:szCs w:val="28"/>
        </w:rPr>
        <w:t xml:space="preserve">Tato úprava však může </w:t>
      </w:r>
      <w:r w:rsidR="00E415FD">
        <w:rPr>
          <w:szCs w:val="28"/>
        </w:rPr>
        <w:t xml:space="preserve">být </w:t>
      </w:r>
      <w:r w:rsidR="002A0207">
        <w:rPr>
          <w:szCs w:val="28"/>
        </w:rPr>
        <w:t xml:space="preserve">využívána i v současné době, neboť podle § 2 odst. 2 </w:t>
      </w:r>
      <w:r w:rsidR="003D7A46">
        <w:rPr>
          <w:szCs w:val="28"/>
        </w:rPr>
        <w:t>ZNP</w:t>
      </w:r>
      <w:r w:rsidR="00E415FD">
        <w:rPr>
          <w:szCs w:val="28"/>
        </w:rPr>
        <w:t xml:space="preserve"> se považují za námořní plavidla také námořní jachty, jejichž registrovaný počet není zanedbatelný. Mimoto </w:t>
      </w:r>
      <w:r w:rsidR="0095437D">
        <w:rPr>
          <w:szCs w:val="28"/>
        </w:rPr>
        <w:t xml:space="preserve">ČR vlastní </w:t>
      </w:r>
      <w:r w:rsidR="00FA1ECC">
        <w:rPr>
          <w:szCs w:val="28"/>
        </w:rPr>
        <w:t xml:space="preserve">75 </w:t>
      </w:r>
      <w:r w:rsidR="0095437D" w:rsidRPr="003940F1">
        <w:rPr>
          <w:szCs w:val="28"/>
        </w:rPr>
        <w:t xml:space="preserve">000 </w:t>
      </w:r>
      <w:r w:rsidR="00EC41B0" w:rsidRPr="00EC41B0">
        <w:rPr>
          <w:rStyle w:val="Zvraznn"/>
          <w:bCs/>
          <w:i w:val="0"/>
          <w:iCs w:val="0"/>
          <w:shd w:val="clear" w:color="auto" w:fill="FFFFFF"/>
        </w:rPr>
        <w:t>km</w:t>
      </w:r>
      <w:r w:rsidR="00EC41B0" w:rsidRPr="00EC41B0">
        <w:rPr>
          <w:rStyle w:val="Zvraznn"/>
          <w:bCs/>
          <w:i w:val="0"/>
          <w:iCs w:val="0"/>
          <w:shd w:val="clear" w:color="auto" w:fill="FFFFFF"/>
          <w:vertAlign w:val="superscript"/>
        </w:rPr>
        <w:t>2</w:t>
      </w:r>
      <w:r w:rsidR="00EC41B0">
        <w:rPr>
          <w:rStyle w:val="Zvraznn"/>
          <w:bCs/>
          <w:i w:val="0"/>
          <w:iCs w:val="0"/>
          <w:shd w:val="clear" w:color="auto" w:fill="FFFFFF"/>
          <w:vertAlign w:val="superscript"/>
        </w:rPr>
        <w:t xml:space="preserve"> </w:t>
      </w:r>
      <w:r w:rsidR="00FA1ECC">
        <w:rPr>
          <w:szCs w:val="28"/>
        </w:rPr>
        <w:t xml:space="preserve">mořského dna </w:t>
      </w:r>
      <w:r w:rsidR="0095437D" w:rsidRPr="003940F1">
        <w:rPr>
          <w:szCs w:val="28"/>
        </w:rPr>
        <w:t>v Tichém oceánu</w:t>
      </w:r>
      <w:r w:rsidR="0095437D">
        <w:rPr>
          <w:szCs w:val="28"/>
        </w:rPr>
        <w:t>, kde se nacházejí bohatá ložiska p</w:t>
      </w:r>
      <w:r w:rsidR="0095437D" w:rsidRPr="0094577A">
        <w:rPr>
          <w:szCs w:val="28"/>
        </w:rPr>
        <w:t>olymetalické hlubokomořské konkrece</w:t>
      </w:r>
      <w:r w:rsidR="0095437D">
        <w:rPr>
          <w:szCs w:val="28"/>
        </w:rPr>
        <w:t xml:space="preserve">. </w:t>
      </w:r>
      <w:r w:rsidR="0095437D" w:rsidRPr="003940F1">
        <w:rPr>
          <w:szCs w:val="28"/>
        </w:rPr>
        <w:t xml:space="preserve">Případnou těžbu lze </w:t>
      </w:r>
      <w:r w:rsidR="0095437D">
        <w:rPr>
          <w:szCs w:val="28"/>
        </w:rPr>
        <w:t xml:space="preserve">s ohledem na výsledky podmořského průzkumu a vývoj světových cen zájmových kovů </w:t>
      </w:r>
      <w:r w:rsidR="0095437D" w:rsidRPr="003940F1">
        <w:rPr>
          <w:szCs w:val="28"/>
        </w:rPr>
        <w:t>očekávat v horizo</w:t>
      </w:r>
      <w:r w:rsidR="00374A16">
        <w:rPr>
          <w:szCs w:val="28"/>
        </w:rPr>
        <w:t xml:space="preserve">ntu </w:t>
      </w:r>
      <w:proofErr w:type="gramStart"/>
      <w:r w:rsidR="00374A16">
        <w:rPr>
          <w:szCs w:val="28"/>
        </w:rPr>
        <w:t>20-ti</w:t>
      </w:r>
      <w:proofErr w:type="gramEnd"/>
      <w:r w:rsidR="00374A16">
        <w:rPr>
          <w:szCs w:val="28"/>
        </w:rPr>
        <w:t xml:space="preserve"> let.</w:t>
      </w:r>
      <w:r w:rsidR="0095437D">
        <w:rPr>
          <w:rStyle w:val="Znakapoznpodarou"/>
          <w:szCs w:val="28"/>
        </w:rPr>
        <w:footnoteReference w:id="122"/>
      </w:r>
    </w:p>
    <w:p w:rsidR="0095437D" w:rsidRDefault="001F5067" w:rsidP="00FA1ECC">
      <w:pPr>
        <w:spacing w:after="0"/>
        <w:ind w:firstLine="567"/>
        <w:rPr>
          <w:szCs w:val="28"/>
        </w:rPr>
      </w:pPr>
      <w:r>
        <w:rPr>
          <w:szCs w:val="28"/>
        </w:rPr>
        <w:t>Lze konstatovat, že znovuzavedení této formy závěti je pozitivní</w:t>
      </w:r>
      <w:r w:rsidR="007E6E22">
        <w:rPr>
          <w:szCs w:val="28"/>
        </w:rPr>
        <w:t>m krokem, p</w:t>
      </w:r>
      <w:r w:rsidR="0095437D">
        <w:rPr>
          <w:szCs w:val="28"/>
        </w:rPr>
        <w:t>řesto</w:t>
      </w:r>
      <w:r w:rsidR="007E6E22">
        <w:rPr>
          <w:szCs w:val="28"/>
        </w:rPr>
        <w:t xml:space="preserve">že bude v praxi využíván zřejmě jen výjimečně. De lege </w:t>
      </w:r>
      <w:proofErr w:type="spellStart"/>
      <w:r w:rsidR="007E6E22">
        <w:rPr>
          <w:szCs w:val="28"/>
        </w:rPr>
        <w:t>ferenda</w:t>
      </w:r>
      <w:proofErr w:type="spellEnd"/>
      <w:r w:rsidR="007E6E22">
        <w:rPr>
          <w:szCs w:val="28"/>
        </w:rPr>
        <w:t xml:space="preserve"> by však bylo vhodné </w:t>
      </w:r>
      <w:r w:rsidR="001D183C">
        <w:rPr>
          <w:szCs w:val="28"/>
        </w:rPr>
        <w:t xml:space="preserve">upravit znění zákona </w:t>
      </w:r>
      <w:r w:rsidR="003B289A">
        <w:rPr>
          <w:szCs w:val="28"/>
        </w:rPr>
        <w:t>tak</w:t>
      </w:r>
      <w:r w:rsidR="001D183C">
        <w:rPr>
          <w:szCs w:val="28"/>
        </w:rPr>
        <w:t>,</w:t>
      </w:r>
      <w:r w:rsidR="003B289A">
        <w:rPr>
          <w:szCs w:val="28"/>
        </w:rPr>
        <w:t xml:space="preserve"> aby velitel </w:t>
      </w:r>
      <w:r w:rsidR="0034646F" w:rsidRPr="00C96F34">
        <w:rPr>
          <w:szCs w:val="28"/>
        </w:rPr>
        <w:t xml:space="preserve">námořního plavidla nebo </w:t>
      </w:r>
      <w:r w:rsidR="00C96F34" w:rsidRPr="00C96F34">
        <w:rPr>
          <w:szCs w:val="28"/>
        </w:rPr>
        <w:t xml:space="preserve">letadla </w:t>
      </w:r>
      <w:r w:rsidR="003B289A">
        <w:rPr>
          <w:szCs w:val="28"/>
        </w:rPr>
        <w:t>mohl odepřít sepsání záznamu o</w:t>
      </w:r>
      <w:r w:rsidR="004F0574">
        <w:t> </w:t>
      </w:r>
      <w:r w:rsidR="003B289A">
        <w:rPr>
          <w:szCs w:val="28"/>
        </w:rPr>
        <w:t xml:space="preserve"> poslední vůli zůstavitele</w:t>
      </w:r>
      <w:r w:rsidR="007E6E22">
        <w:rPr>
          <w:szCs w:val="28"/>
        </w:rPr>
        <w:t xml:space="preserve"> </w:t>
      </w:r>
      <w:r w:rsidR="003B289A">
        <w:rPr>
          <w:szCs w:val="28"/>
        </w:rPr>
        <w:t>jen z důvodu péče o bezpečnost plavby nebo letu.</w:t>
      </w:r>
      <w:r w:rsidR="007E6E22">
        <w:rPr>
          <w:szCs w:val="28"/>
        </w:rPr>
        <w:t xml:space="preserve"> </w:t>
      </w:r>
      <w:r w:rsidR="00FA1ECC">
        <w:rPr>
          <w:szCs w:val="28"/>
        </w:rPr>
        <w:t xml:space="preserve"> </w:t>
      </w:r>
    </w:p>
    <w:p w:rsidR="0095437D" w:rsidRPr="000C4569" w:rsidRDefault="000C4569" w:rsidP="008074AB">
      <w:pPr>
        <w:pStyle w:val="Nadpis2"/>
      </w:pPr>
      <w:bookmarkStart w:id="50" w:name="_Toc436779480"/>
      <w:bookmarkStart w:id="51" w:name="_Toc437225074"/>
      <w:r w:rsidRPr="000C4569">
        <w:t>4.4</w:t>
      </w:r>
      <w:r w:rsidR="00B96A77">
        <w:tab/>
      </w:r>
      <w:r w:rsidR="0095437D" w:rsidRPr="008074AB">
        <w:t>Vojenská</w:t>
      </w:r>
      <w:r w:rsidR="0095437D" w:rsidRPr="000C4569">
        <w:t xml:space="preserve"> závěť</w:t>
      </w:r>
      <w:bookmarkEnd w:id="50"/>
      <w:bookmarkEnd w:id="51"/>
    </w:p>
    <w:p w:rsidR="0095437D" w:rsidRDefault="003B0691" w:rsidP="00CD59DE">
      <w:pPr>
        <w:spacing w:after="0"/>
        <w:ind w:firstLine="567"/>
        <w:rPr>
          <w:color w:val="000000"/>
          <w:szCs w:val="28"/>
        </w:rPr>
      </w:pPr>
      <w:r>
        <w:rPr>
          <w:color w:val="000000"/>
          <w:szCs w:val="28"/>
        </w:rPr>
        <w:t xml:space="preserve">Podle </w:t>
      </w:r>
      <w:r w:rsidR="0095437D">
        <w:rPr>
          <w:color w:val="000000"/>
          <w:szCs w:val="28"/>
        </w:rPr>
        <w:t xml:space="preserve">§ 1545 NOZ </w:t>
      </w:r>
      <w:r w:rsidR="00E75CCF">
        <w:rPr>
          <w:color w:val="000000"/>
          <w:szCs w:val="28"/>
        </w:rPr>
        <w:t>je umožně</w:t>
      </w:r>
      <w:r>
        <w:rPr>
          <w:color w:val="000000"/>
          <w:szCs w:val="28"/>
        </w:rPr>
        <w:t>no</w:t>
      </w:r>
      <w:r w:rsidR="0095437D">
        <w:rPr>
          <w:color w:val="000000"/>
          <w:szCs w:val="28"/>
        </w:rPr>
        <w:t xml:space="preserve"> příslušníkům ozbrojených sil ČR pořídit vojenskou závěť při účasti v ozbrojeném konfliktu nebo vojenských operacích</w:t>
      </w:r>
      <w:r w:rsidR="0038259F">
        <w:rPr>
          <w:color w:val="000000"/>
          <w:szCs w:val="28"/>
        </w:rPr>
        <w:t>,</w:t>
      </w:r>
      <w:r w:rsidR="0095437D">
        <w:rPr>
          <w:color w:val="000000"/>
          <w:szCs w:val="28"/>
        </w:rPr>
        <w:t xml:space="preserve"> a to za přítomnosti </w:t>
      </w:r>
      <w:r w:rsidR="0038259F">
        <w:rPr>
          <w:color w:val="000000"/>
          <w:szCs w:val="28"/>
        </w:rPr>
        <w:t xml:space="preserve">dvou </w:t>
      </w:r>
      <w:r w:rsidR="001E1A54">
        <w:rPr>
          <w:color w:val="000000"/>
          <w:szCs w:val="28"/>
        </w:rPr>
        <w:t>svědků</w:t>
      </w:r>
      <w:r w:rsidR="0095437D">
        <w:rPr>
          <w:color w:val="000000"/>
          <w:szCs w:val="28"/>
        </w:rPr>
        <w:t xml:space="preserve"> před velitelem vojenské jednotky ČR nebo jiného vojáka v hodnosti důstojníka nebo vyšší. </w:t>
      </w:r>
      <w:r w:rsidR="00E75CCF">
        <w:rPr>
          <w:color w:val="000000"/>
          <w:szCs w:val="28"/>
        </w:rPr>
        <w:t xml:space="preserve">Zákon dále stanoví, že platnost takto pořízené závěti nelze popřít. </w:t>
      </w:r>
      <w:r w:rsidR="00FB49BD">
        <w:rPr>
          <w:color w:val="000000"/>
          <w:szCs w:val="28"/>
        </w:rPr>
        <w:t xml:space="preserve">Smyslem této úpravy </w:t>
      </w:r>
      <w:r w:rsidR="004539F9">
        <w:rPr>
          <w:color w:val="000000"/>
          <w:szCs w:val="28"/>
        </w:rPr>
        <w:lastRenderedPageBreak/>
        <w:t xml:space="preserve">je </w:t>
      </w:r>
      <w:r w:rsidR="00FB49BD">
        <w:rPr>
          <w:color w:val="000000"/>
          <w:szCs w:val="28"/>
        </w:rPr>
        <w:t>umožnit příslušníkům armády pořídit závěť i v</w:t>
      </w:r>
      <w:r w:rsidR="00E40AC4">
        <w:rPr>
          <w:color w:val="000000"/>
          <w:szCs w:val="28"/>
        </w:rPr>
        <w:t> případě, že nemaj</w:t>
      </w:r>
      <w:r w:rsidR="00052AA3">
        <w:rPr>
          <w:color w:val="000000"/>
          <w:szCs w:val="28"/>
        </w:rPr>
        <w:t>í možnost se obrátit na notáře.</w:t>
      </w:r>
      <w:r w:rsidR="00E40AC4">
        <w:rPr>
          <w:rStyle w:val="Znakapoznpodarou"/>
          <w:color w:val="000000"/>
          <w:szCs w:val="28"/>
        </w:rPr>
        <w:footnoteReference w:id="123"/>
      </w:r>
      <w:r w:rsidR="00E40AC4">
        <w:rPr>
          <w:color w:val="000000"/>
          <w:szCs w:val="28"/>
        </w:rPr>
        <w:t xml:space="preserve"> </w:t>
      </w:r>
      <w:r w:rsidR="00A048F5">
        <w:rPr>
          <w:color w:val="000000"/>
          <w:szCs w:val="28"/>
        </w:rPr>
        <w:t xml:space="preserve">Nemělo by hrát </w:t>
      </w:r>
      <w:r w:rsidR="00E75CCF">
        <w:rPr>
          <w:color w:val="000000"/>
          <w:szCs w:val="28"/>
        </w:rPr>
        <w:t xml:space="preserve">roli, zda </w:t>
      </w:r>
      <w:r w:rsidR="007710C1">
        <w:rPr>
          <w:color w:val="000000"/>
          <w:szCs w:val="28"/>
        </w:rPr>
        <w:t xml:space="preserve">pořizovatel </w:t>
      </w:r>
      <w:r w:rsidR="00117394">
        <w:rPr>
          <w:color w:val="000000"/>
          <w:szCs w:val="28"/>
        </w:rPr>
        <w:t xml:space="preserve">mohl </w:t>
      </w:r>
      <w:r w:rsidR="00F03417">
        <w:rPr>
          <w:color w:val="000000"/>
          <w:szCs w:val="28"/>
        </w:rPr>
        <w:t xml:space="preserve">notáře využít </w:t>
      </w:r>
      <w:r w:rsidR="007710C1">
        <w:rPr>
          <w:color w:val="000000"/>
          <w:szCs w:val="28"/>
        </w:rPr>
        <w:t xml:space="preserve">nebo </w:t>
      </w:r>
      <w:r w:rsidR="00F03417">
        <w:rPr>
          <w:color w:val="000000"/>
          <w:szCs w:val="28"/>
        </w:rPr>
        <w:t xml:space="preserve">zda </w:t>
      </w:r>
      <w:r w:rsidR="00E12189">
        <w:rPr>
          <w:color w:val="000000"/>
          <w:szCs w:val="28"/>
        </w:rPr>
        <w:t xml:space="preserve">mohl </w:t>
      </w:r>
      <w:r w:rsidR="007710C1">
        <w:rPr>
          <w:color w:val="000000"/>
          <w:szCs w:val="28"/>
        </w:rPr>
        <w:t>napsat závěť vlastnoručně</w:t>
      </w:r>
      <w:r w:rsidR="00685AAE">
        <w:rPr>
          <w:color w:val="000000"/>
          <w:szCs w:val="28"/>
        </w:rPr>
        <w:t>.</w:t>
      </w:r>
      <w:r w:rsidR="009D7621">
        <w:rPr>
          <w:rStyle w:val="Znakapoznpodarou"/>
          <w:color w:val="000000"/>
          <w:szCs w:val="28"/>
        </w:rPr>
        <w:footnoteReference w:id="124"/>
      </w:r>
      <w:r w:rsidR="00AF07E5">
        <w:rPr>
          <w:color w:val="000000"/>
          <w:szCs w:val="28"/>
        </w:rPr>
        <w:t xml:space="preserve"> </w:t>
      </w:r>
      <w:r w:rsidR="00117394">
        <w:rPr>
          <w:color w:val="000000"/>
          <w:szCs w:val="28"/>
        </w:rPr>
        <w:t xml:space="preserve">Rozhodující je pouze </w:t>
      </w:r>
      <w:r w:rsidR="009D7621">
        <w:rPr>
          <w:color w:val="000000"/>
          <w:szCs w:val="28"/>
        </w:rPr>
        <w:t xml:space="preserve">naplnění všech </w:t>
      </w:r>
      <w:r w:rsidR="00117394">
        <w:rPr>
          <w:color w:val="000000"/>
          <w:szCs w:val="28"/>
        </w:rPr>
        <w:t>předepsaných</w:t>
      </w:r>
      <w:r w:rsidR="0095437D">
        <w:rPr>
          <w:color w:val="000000"/>
          <w:szCs w:val="28"/>
        </w:rPr>
        <w:t xml:space="preserve"> formalit</w:t>
      </w:r>
      <w:r w:rsidR="009D7621">
        <w:rPr>
          <w:color w:val="000000"/>
          <w:szCs w:val="28"/>
        </w:rPr>
        <w:t xml:space="preserve"> podle</w:t>
      </w:r>
      <w:r w:rsidR="00A048F5">
        <w:rPr>
          <w:color w:val="000000"/>
          <w:szCs w:val="28"/>
        </w:rPr>
        <w:t xml:space="preserve"> § 1545</w:t>
      </w:r>
      <w:r>
        <w:rPr>
          <w:color w:val="000000"/>
          <w:szCs w:val="28"/>
        </w:rPr>
        <w:t xml:space="preserve"> odst. 1 NOZ</w:t>
      </w:r>
      <w:r w:rsidR="007710C1">
        <w:rPr>
          <w:color w:val="000000"/>
          <w:szCs w:val="28"/>
        </w:rPr>
        <w:t>.</w:t>
      </w:r>
    </w:p>
    <w:p w:rsidR="00A531F5" w:rsidRDefault="00F03417" w:rsidP="004539F9">
      <w:pPr>
        <w:spacing w:after="0"/>
        <w:ind w:firstLine="567"/>
        <w:rPr>
          <w:color w:val="000000"/>
          <w:szCs w:val="28"/>
        </w:rPr>
      </w:pPr>
      <w:r>
        <w:rPr>
          <w:color w:val="000000"/>
          <w:szCs w:val="28"/>
        </w:rPr>
        <w:t>N</w:t>
      </w:r>
      <w:r w:rsidR="0038724C" w:rsidRPr="0038724C">
        <w:rPr>
          <w:color w:val="000000"/>
          <w:szCs w:val="28"/>
        </w:rPr>
        <w:t xml:space="preserve">abízí </w:t>
      </w:r>
      <w:r>
        <w:rPr>
          <w:color w:val="000000"/>
          <w:szCs w:val="28"/>
        </w:rPr>
        <w:t xml:space="preserve">se </w:t>
      </w:r>
      <w:r w:rsidR="0038724C" w:rsidRPr="0038724C">
        <w:rPr>
          <w:color w:val="000000"/>
          <w:szCs w:val="28"/>
        </w:rPr>
        <w:t>otázka</w:t>
      </w:r>
      <w:r w:rsidR="0038724C">
        <w:rPr>
          <w:color w:val="000000"/>
          <w:szCs w:val="28"/>
        </w:rPr>
        <w:t xml:space="preserve">, zda </w:t>
      </w:r>
      <w:r w:rsidR="00221519">
        <w:rPr>
          <w:color w:val="000000"/>
          <w:szCs w:val="28"/>
        </w:rPr>
        <w:t xml:space="preserve">je </w:t>
      </w:r>
      <w:r>
        <w:rPr>
          <w:color w:val="000000"/>
          <w:szCs w:val="28"/>
        </w:rPr>
        <w:t xml:space="preserve">možné </w:t>
      </w:r>
      <w:r w:rsidR="00221519">
        <w:rPr>
          <w:color w:val="000000"/>
          <w:szCs w:val="28"/>
        </w:rPr>
        <w:t xml:space="preserve">pořídit </w:t>
      </w:r>
      <w:r w:rsidR="0038724C">
        <w:rPr>
          <w:color w:val="000000"/>
          <w:szCs w:val="28"/>
        </w:rPr>
        <w:t xml:space="preserve">tuto závěť </w:t>
      </w:r>
      <w:r w:rsidR="00A531F5">
        <w:rPr>
          <w:color w:val="000000"/>
          <w:szCs w:val="28"/>
        </w:rPr>
        <w:t xml:space="preserve">pouze </w:t>
      </w:r>
      <w:r w:rsidR="00DD280D">
        <w:rPr>
          <w:color w:val="000000"/>
          <w:szCs w:val="28"/>
        </w:rPr>
        <w:t xml:space="preserve">v boji nebo </w:t>
      </w:r>
      <w:r w:rsidR="00A531F5">
        <w:rPr>
          <w:color w:val="000000"/>
          <w:szCs w:val="28"/>
        </w:rPr>
        <w:t xml:space="preserve">i </w:t>
      </w:r>
      <w:r w:rsidR="00221519">
        <w:rPr>
          <w:color w:val="000000"/>
          <w:szCs w:val="28"/>
        </w:rPr>
        <w:t xml:space="preserve">za situace, kdy </w:t>
      </w:r>
      <w:r w:rsidR="00164389">
        <w:rPr>
          <w:color w:val="000000"/>
          <w:szCs w:val="28"/>
        </w:rPr>
        <w:t>momentálně žádný boj neprobíhá.</w:t>
      </w:r>
      <w:r w:rsidR="00221519">
        <w:rPr>
          <w:rStyle w:val="Znakapoznpodarou"/>
          <w:color w:val="000000"/>
          <w:szCs w:val="28"/>
        </w:rPr>
        <w:footnoteReference w:id="125"/>
      </w:r>
      <w:r w:rsidR="00A531F5">
        <w:rPr>
          <w:color w:val="000000"/>
          <w:szCs w:val="28"/>
        </w:rPr>
        <w:t xml:space="preserve"> Zákon </w:t>
      </w:r>
      <w:r w:rsidR="0040557F">
        <w:rPr>
          <w:color w:val="000000"/>
          <w:szCs w:val="28"/>
        </w:rPr>
        <w:t xml:space="preserve">se </w:t>
      </w:r>
      <w:r w:rsidR="00492D5B">
        <w:rPr>
          <w:color w:val="000000"/>
          <w:szCs w:val="28"/>
        </w:rPr>
        <w:t xml:space="preserve">obecně </w:t>
      </w:r>
      <w:r w:rsidR="0040557F">
        <w:rPr>
          <w:color w:val="000000"/>
          <w:szCs w:val="28"/>
        </w:rPr>
        <w:t xml:space="preserve">zmiňuje o </w:t>
      </w:r>
      <w:r w:rsidR="00F22C61">
        <w:rPr>
          <w:color w:val="000000"/>
          <w:szCs w:val="28"/>
        </w:rPr>
        <w:t xml:space="preserve">účasti v ozbrojeném konfliktu a vojenských operacích, </w:t>
      </w:r>
      <w:r w:rsidR="003B07ED">
        <w:rPr>
          <w:color w:val="000000"/>
          <w:szCs w:val="28"/>
        </w:rPr>
        <w:t xml:space="preserve">takže není vyloučeno </w:t>
      </w:r>
      <w:r w:rsidR="00A531F5">
        <w:rPr>
          <w:color w:val="000000"/>
          <w:szCs w:val="28"/>
        </w:rPr>
        <w:t xml:space="preserve">pořízení </w:t>
      </w:r>
      <w:r w:rsidR="00492D5B">
        <w:rPr>
          <w:color w:val="000000"/>
          <w:szCs w:val="28"/>
        </w:rPr>
        <w:t xml:space="preserve">této závěti </w:t>
      </w:r>
      <w:r w:rsidR="008A3B7D">
        <w:rPr>
          <w:color w:val="000000"/>
          <w:szCs w:val="28"/>
        </w:rPr>
        <w:t>nejen</w:t>
      </w:r>
      <w:r w:rsidR="00F22C61">
        <w:rPr>
          <w:color w:val="000000"/>
          <w:szCs w:val="28"/>
        </w:rPr>
        <w:t xml:space="preserve"> v průběhu boje, </w:t>
      </w:r>
      <w:r w:rsidR="008A3B7D">
        <w:rPr>
          <w:color w:val="000000"/>
          <w:szCs w:val="28"/>
        </w:rPr>
        <w:t>ale</w:t>
      </w:r>
      <w:r w:rsidR="00F22C61">
        <w:rPr>
          <w:color w:val="000000"/>
          <w:szCs w:val="28"/>
        </w:rPr>
        <w:t xml:space="preserve"> i</w:t>
      </w:r>
      <w:r w:rsidR="004F0574">
        <w:t> </w:t>
      </w:r>
      <w:r w:rsidR="00F22C61">
        <w:rPr>
          <w:color w:val="000000"/>
          <w:szCs w:val="28"/>
        </w:rPr>
        <w:t xml:space="preserve"> mimo něj. </w:t>
      </w:r>
      <w:r w:rsidR="003B07ED">
        <w:rPr>
          <w:color w:val="000000"/>
          <w:szCs w:val="28"/>
        </w:rPr>
        <w:t xml:space="preserve">Vyhotovení </w:t>
      </w:r>
      <w:r w:rsidR="00492D5B">
        <w:rPr>
          <w:color w:val="000000"/>
          <w:szCs w:val="28"/>
        </w:rPr>
        <w:t xml:space="preserve">písemného </w:t>
      </w:r>
      <w:r w:rsidR="00CA3B89">
        <w:rPr>
          <w:color w:val="000000"/>
          <w:szCs w:val="28"/>
        </w:rPr>
        <w:t xml:space="preserve">záznamu o poslední vůli </w:t>
      </w:r>
      <w:r w:rsidR="00492D5B">
        <w:rPr>
          <w:color w:val="000000"/>
          <w:szCs w:val="28"/>
        </w:rPr>
        <w:t>vojáka</w:t>
      </w:r>
      <w:r w:rsidR="00CA3B89">
        <w:rPr>
          <w:color w:val="000000"/>
          <w:szCs w:val="28"/>
        </w:rPr>
        <w:t xml:space="preserve"> </w:t>
      </w:r>
      <w:r w:rsidR="00492D5B">
        <w:rPr>
          <w:color w:val="000000"/>
          <w:szCs w:val="28"/>
        </w:rPr>
        <w:t xml:space="preserve">v průběhu boje </w:t>
      </w:r>
      <w:r w:rsidR="00CA3B89">
        <w:rPr>
          <w:color w:val="000000"/>
          <w:szCs w:val="28"/>
        </w:rPr>
        <w:t xml:space="preserve">však </w:t>
      </w:r>
      <w:r w:rsidR="0040557F">
        <w:rPr>
          <w:color w:val="000000"/>
          <w:szCs w:val="28"/>
        </w:rPr>
        <w:t>můž</w:t>
      </w:r>
      <w:r w:rsidR="00492D5B">
        <w:rPr>
          <w:color w:val="000000"/>
          <w:szCs w:val="28"/>
        </w:rPr>
        <w:t>e</w:t>
      </w:r>
      <w:r w:rsidR="0042770E">
        <w:rPr>
          <w:color w:val="000000"/>
          <w:szCs w:val="28"/>
        </w:rPr>
        <w:t xml:space="preserve"> </w:t>
      </w:r>
      <w:r w:rsidR="00F22C61">
        <w:rPr>
          <w:color w:val="000000"/>
          <w:szCs w:val="28"/>
        </w:rPr>
        <w:t>narazit</w:t>
      </w:r>
      <w:r w:rsidR="0040557F">
        <w:rPr>
          <w:color w:val="000000"/>
          <w:szCs w:val="28"/>
        </w:rPr>
        <w:t xml:space="preserve"> </w:t>
      </w:r>
      <w:r w:rsidR="00F22C61">
        <w:rPr>
          <w:color w:val="000000"/>
          <w:szCs w:val="28"/>
        </w:rPr>
        <w:t xml:space="preserve">na </w:t>
      </w:r>
      <w:r w:rsidR="0040557F">
        <w:rPr>
          <w:color w:val="000000"/>
          <w:szCs w:val="28"/>
        </w:rPr>
        <w:t>pravidla</w:t>
      </w:r>
      <w:r w:rsidR="00F22C61" w:rsidRPr="00F22C61">
        <w:rPr>
          <w:color w:val="000000"/>
          <w:szCs w:val="28"/>
        </w:rPr>
        <w:t xml:space="preserve"> </w:t>
      </w:r>
      <w:r w:rsidR="00F22C61">
        <w:rPr>
          <w:color w:val="000000"/>
          <w:szCs w:val="28"/>
        </w:rPr>
        <w:t>Armády ČR</w:t>
      </w:r>
      <w:r w:rsidR="0042770E">
        <w:rPr>
          <w:color w:val="000000"/>
          <w:szCs w:val="28"/>
        </w:rPr>
        <w:t xml:space="preserve">, </w:t>
      </w:r>
      <w:r w:rsidR="005D6189">
        <w:rPr>
          <w:color w:val="000000"/>
          <w:szCs w:val="28"/>
        </w:rPr>
        <w:t>která</w:t>
      </w:r>
      <w:r w:rsidR="00492D5B">
        <w:rPr>
          <w:color w:val="000000"/>
          <w:szCs w:val="28"/>
        </w:rPr>
        <w:t xml:space="preserve"> stanoví, že </w:t>
      </w:r>
      <w:r w:rsidR="0042770E">
        <w:rPr>
          <w:color w:val="000000"/>
          <w:szCs w:val="28"/>
        </w:rPr>
        <w:t xml:space="preserve">vojáci </w:t>
      </w:r>
      <w:r w:rsidR="00643C09">
        <w:rPr>
          <w:color w:val="000000"/>
          <w:szCs w:val="28"/>
        </w:rPr>
        <w:t xml:space="preserve">nesmí </w:t>
      </w:r>
      <w:r w:rsidR="00590A39">
        <w:rPr>
          <w:color w:val="000000"/>
          <w:szCs w:val="28"/>
        </w:rPr>
        <w:t xml:space="preserve">mít </w:t>
      </w:r>
      <w:r w:rsidR="0042770E">
        <w:rPr>
          <w:color w:val="000000"/>
          <w:szCs w:val="28"/>
        </w:rPr>
        <w:t>v</w:t>
      </w:r>
      <w:r w:rsidR="003B07ED">
        <w:rPr>
          <w:color w:val="000000"/>
          <w:szCs w:val="28"/>
        </w:rPr>
        <w:t xml:space="preserve"> rámci </w:t>
      </w:r>
      <w:r w:rsidR="008A3B7D">
        <w:rPr>
          <w:color w:val="000000"/>
          <w:szCs w:val="28"/>
        </w:rPr>
        <w:t xml:space="preserve">akce při sobě </w:t>
      </w:r>
      <w:r w:rsidR="003B07ED">
        <w:rPr>
          <w:color w:val="000000"/>
          <w:szCs w:val="28"/>
        </w:rPr>
        <w:t>ž</w:t>
      </w:r>
      <w:r w:rsidR="00643C09">
        <w:rPr>
          <w:color w:val="000000"/>
          <w:szCs w:val="28"/>
        </w:rPr>
        <w:t>ádné osobní doklady</w:t>
      </w:r>
      <w:r w:rsidR="00492D5B">
        <w:rPr>
          <w:color w:val="000000"/>
          <w:szCs w:val="28"/>
        </w:rPr>
        <w:t xml:space="preserve"> z důvodu možné identifikace nepřítelem</w:t>
      </w:r>
      <w:r w:rsidR="001A2EE7">
        <w:rPr>
          <w:color w:val="000000"/>
          <w:szCs w:val="28"/>
        </w:rPr>
        <w:t xml:space="preserve">. </w:t>
      </w:r>
      <w:r w:rsidR="00FC5FF9">
        <w:rPr>
          <w:color w:val="000000"/>
          <w:szCs w:val="28"/>
        </w:rPr>
        <w:t>Využití této formy závěti se jeví j</w:t>
      </w:r>
      <w:r w:rsidR="00A2652A">
        <w:rPr>
          <w:color w:val="000000"/>
          <w:szCs w:val="28"/>
        </w:rPr>
        <w:t>ako p</w:t>
      </w:r>
      <w:r w:rsidR="00FC5FF9">
        <w:rPr>
          <w:color w:val="000000"/>
          <w:szCs w:val="28"/>
        </w:rPr>
        <w:t xml:space="preserve">ravděpodobnější v </w:t>
      </w:r>
      <w:r w:rsidR="00A2652A">
        <w:rPr>
          <w:color w:val="000000"/>
          <w:szCs w:val="28"/>
        </w:rPr>
        <w:t xml:space="preserve">situacích </w:t>
      </w:r>
      <w:r w:rsidR="00C217BD">
        <w:rPr>
          <w:color w:val="000000"/>
          <w:szCs w:val="28"/>
        </w:rPr>
        <w:t>mimo bojiště</w:t>
      </w:r>
      <w:r w:rsidR="00FC5FF9">
        <w:rPr>
          <w:color w:val="000000"/>
          <w:szCs w:val="28"/>
        </w:rPr>
        <w:t>,</w:t>
      </w:r>
      <w:r w:rsidR="00C217BD">
        <w:rPr>
          <w:color w:val="000000"/>
          <w:szCs w:val="28"/>
        </w:rPr>
        <w:t xml:space="preserve"> </w:t>
      </w:r>
      <w:r w:rsidR="002D1BDA">
        <w:rPr>
          <w:color w:val="000000"/>
          <w:szCs w:val="28"/>
        </w:rPr>
        <w:t xml:space="preserve">např. </w:t>
      </w:r>
      <w:r w:rsidR="00A2652A">
        <w:rPr>
          <w:color w:val="000000"/>
          <w:szCs w:val="28"/>
        </w:rPr>
        <w:t xml:space="preserve">pokud </w:t>
      </w:r>
      <w:r w:rsidR="00243357">
        <w:rPr>
          <w:color w:val="000000"/>
          <w:szCs w:val="28"/>
        </w:rPr>
        <w:t>ji voják pořídí namísto</w:t>
      </w:r>
      <w:r w:rsidR="002D1BDA">
        <w:rPr>
          <w:color w:val="000000"/>
          <w:szCs w:val="28"/>
        </w:rPr>
        <w:t xml:space="preserve"> </w:t>
      </w:r>
      <w:r w:rsidR="00243357">
        <w:rPr>
          <w:color w:val="000000"/>
          <w:szCs w:val="28"/>
        </w:rPr>
        <w:t xml:space="preserve">sepsání holografní závěti na základně </w:t>
      </w:r>
      <w:r w:rsidR="00C217BD">
        <w:rPr>
          <w:color w:val="000000"/>
          <w:szCs w:val="28"/>
        </w:rPr>
        <w:t xml:space="preserve">nebo </w:t>
      </w:r>
      <w:r w:rsidR="00E909DF" w:rsidRPr="0038724C">
        <w:rPr>
          <w:color w:val="000000"/>
          <w:szCs w:val="28"/>
        </w:rPr>
        <w:t>v</w:t>
      </w:r>
      <w:r w:rsidR="00243357">
        <w:rPr>
          <w:color w:val="000000"/>
          <w:szCs w:val="28"/>
        </w:rPr>
        <w:t xml:space="preserve"> polní nemocnici v případě </w:t>
      </w:r>
      <w:r w:rsidR="00E909DF" w:rsidRPr="0038724C">
        <w:rPr>
          <w:color w:val="000000"/>
          <w:szCs w:val="28"/>
        </w:rPr>
        <w:t xml:space="preserve">vážného </w:t>
      </w:r>
      <w:r w:rsidR="00C217BD">
        <w:rPr>
          <w:color w:val="000000"/>
          <w:szCs w:val="28"/>
        </w:rPr>
        <w:t xml:space="preserve">devastujícího </w:t>
      </w:r>
      <w:r w:rsidR="00E909DF" w:rsidRPr="0038724C">
        <w:rPr>
          <w:color w:val="000000"/>
          <w:szCs w:val="28"/>
        </w:rPr>
        <w:t xml:space="preserve">zranění </w:t>
      </w:r>
      <w:r w:rsidR="005D6189">
        <w:rPr>
          <w:color w:val="000000"/>
          <w:szCs w:val="28"/>
        </w:rPr>
        <w:t>končetin</w:t>
      </w:r>
      <w:r w:rsidR="00C217BD">
        <w:rPr>
          <w:color w:val="000000"/>
          <w:szCs w:val="28"/>
        </w:rPr>
        <w:t>.</w:t>
      </w:r>
    </w:p>
    <w:p w:rsidR="00FA4173" w:rsidRPr="000C4569" w:rsidRDefault="000C4569" w:rsidP="008074AB">
      <w:pPr>
        <w:pStyle w:val="Nadpis2"/>
      </w:pPr>
      <w:bookmarkStart w:id="52" w:name="_Toc436779481"/>
      <w:bookmarkStart w:id="53" w:name="_Toc437225075"/>
      <w:r w:rsidRPr="000C4569">
        <w:t>4.5</w:t>
      </w:r>
      <w:r w:rsidR="00B96A77">
        <w:tab/>
      </w:r>
      <w:r w:rsidR="00A037A6" w:rsidRPr="000C4569">
        <w:t>Předepsané formali</w:t>
      </w:r>
      <w:r w:rsidR="00F83EDD" w:rsidRPr="000C4569">
        <w:t xml:space="preserve">ty a jejich </w:t>
      </w:r>
      <w:r w:rsidR="00F83EDD" w:rsidRPr="008074AB">
        <w:t>porušení</w:t>
      </w:r>
      <w:bookmarkEnd w:id="52"/>
      <w:bookmarkEnd w:id="53"/>
    </w:p>
    <w:p w:rsidR="00054F86" w:rsidRDefault="007A2C40" w:rsidP="00E83C6F">
      <w:pPr>
        <w:pStyle w:val="DiplTEXT"/>
        <w:tabs>
          <w:tab w:val="left" w:pos="567"/>
        </w:tabs>
        <w:spacing w:after="0"/>
        <w:ind w:firstLine="567"/>
      </w:pPr>
      <w:r w:rsidRPr="00747F12">
        <w:t xml:space="preserve">Další formální požadavky kladené na </w:t>
      </w:r>
      <w:r w:rsidR="00C2015C">
        <w:t>privilegované závěti</w:t>
      </w:r>
      <w:r w:rsidR="00747F12" w:rsidRPr="00747F12">
        <w:t xml:space="preserve">, </w:t>
      </w:r>
      <w:r w:rsidR="001A10DF" w:rsidRPr="00747F12">
        <w:t xml:space="preserve">mimo </w:t>
      </w:r>
      <w:r w:rsidR="00666078" w:rsidRPr="00747F12">
        <w:t>závěť</w:t>
      </w:r>
      <w:r w:rsidR="001A10DF" w:rsidRPr="00747F12">
        <w:t xml:space="preserve"> </w:t>
      </w:r>
      <w:r w:rsidR="008950EF">
        <w:t xml:space="preserve">pořízenou </w:t>
      </w:r>
      <w:r w:rsidRPr="00747F12">
        <w:t xml:space="preserve">podle </w:t>
      </w:r>
      <w:r w:rsidR="00AB7C41" w:rsidRPr="00747F12">
        <w:t>§ 1542</w:t>
      </w:r>
      <w:r w:rsidR="00747F12" w:rsidRPr="00747F12">
        <w:t xml:space="preserve"> NOZ</w:t>
      </w:r>
      <w:r w:rsidR="005D6189">
        <w:t>,</w:t>
      </w:r>
      <w:r w:rsidR="00747F12" w:rsidRPr="00747F12">
        <w:t xml:space="preserve"> jsou</w:t>
      </w:r>
      <w:r w:rsidR="00666078" w:rsidRPr="00747F12">
        <w:t xml:space="preserve"> </w:t>
      </w:r>
      <w:r w:rsidR="00C2015C">
        <w:t xml:space="preserve">vyjmenovány </w:t>
      </w:r>
      <w:r w:rsidR="00270412" w:rsidRPr="00747F12">
        <w:t>v</w:t>
      </w:r>
      <w:r w:rsidR="001A10DF" w:rsidRPr="00747F12">
        <w:t xml:space="preserve"> § 1547 odst. 1 NOZ</w:t>
      </w:r>
      <w:r w:rsidR="00666078">
        <w:t>. V</w:t>
      </w:r>
      <w:r w:rsidR="00E83C6F">
        <w:t>yžaduje</w:t>
      </w:r>
      <w:r w:rsidR="00666078">
        <w:t xml:space="preserve"> se</w:t>
      </w:r>
      <w:r w:rsidR="002E56B1">
        <w:t>, aby osoba, která pořídila záznam o ústní závěti</w:t>
      </w:r>
      <w:r w:rsidR="001051A0">
        <w:t>,</w:t>
      </w:r>
      <w:r w:rsidR="002E56B1">
        <w:t xml:space="preserve"> jej </w:t>
      </w:r>
      <w:r w:rsidR="00DB662E">
        <w:t xml:space="preserve">s oběma </w:t>
      </w:r>
      <w:r w:rsidR="001051A0">
        <w:t xml:space="preserve">svědky podepsala </w:t>
      </w:r>
      <w:r w:rsidR="00DB662E">
        <w:t xml:space="preserve">a přečetla </w:t>
      </w:r>
      <w:r w:rsidR="00C2015C">
        <w:t xml:space="preserve">zůstaviteli </w:t>
      </w:r>
      <w:r w:rsidR="00DB662E">
        <w:t xml:space="preserve">za přítomnosti obou svědků tak, aby zůstavitel mohl potvrdit, že se jedná o </w:t>
      </w:r>
      <w:r w:rsidR="00E83C6F">
        <w:t>projev jeho posl</w:t>
      </w:r>
      <w:r w:rsidR="001051A0">
        <w:t xml:space="preserve">ední vůle. </w:t>
      </w:r>
      <w:r w:rsidR="00747F12">
        <w:t>Takto pořízena závěť s</w:t>
      </w:r>
      <w:r w:rsidR="00054F86">
        <w:t>e považuje za veřejnou listinu.</w:t>
      </w:r>
    </w:p>
    <w:p w:rsidR="00C2015C" w:rsidRPr="00C44438" w:rsidRDefault="00C2015C" w:rsidP="00C2015C">
      <w:pPr>
        <w:pStyle w:val="DiplTEXT"/>
        <w:tabs>
          <w:tab w:val="left" w:pos="567"/>
        </w:tabs>
        <w:spacing w:after="0"/>
        <w:ind w:firstLine="567"/>
        <w:rPr>
          <w:color w:val="FF0000"/>
        </w:rPr>
      </w:pPr>
      <w:r>
        <w:t xml:space="preserve">Z dikce citovaného ustanovení zcela </w:t>
      </w:r>
      <w:r w:rsidR="005D6189">
        <w:t xml:space="preserve">jednoznačně </w:t>
      </w:r>
      <w:r>
        <w:t xml:space="preserve">nevyplývá, co zákonodárce myslí oním „potvrzením“, zda je jím podpis zůstavitele na záznamu nebo jen </w:t>
      </w:r>
      <w:r w:rsidR="00831A29">
        <w:t xml:space="preserve">jeho </w:t>
      </w:r>
      <w:r>
        <w:t xml:space="preserve">ústní </w:t>
      </w:r>
      <w:r w:rsidR="00831A29">
        <w:t xml:space="preserve">deklarování </w:t>
      </w:r>
      <w:r>
        <w:t>s uvedením této skutečnosti v záznamu. V § 1548 odst. 2 NOZ je stanoveno, že nepodepsání záznamu zůstavitelem, protože nemohl psát nebo pro jinou závažnou překážku</w:t>
      </w:r>
      <w:r w:rsidR="00754ACE">
        <w:t>,</w:t>
      </w:r>
      <w:r>
        <w:t xml:space="preserve"> není na újmu platnosti závěti, pokud je to v listině výslovně zaznamenáno. Důkazem a contrario z daného ustanovení lze mít za to, že zákon vyžaduje podpis zůstav</w:t>
      </w:r>
      <w:r w:rsidR="00164389">
        <w:t>itele na záznamu o jeho závěti</w:t>
      </w:r>
      <w:r w:rsidR="00C44438">
        <w:t>, aby šlo o veřejnou listinu</w:t>
      </w:r>
      <w:r w:rsidR="00164389">
        <w:t>.</w:t>
      </w:r>
      <w:r>
        <w:rPr>
          <w:rStyle w:val="Znakapoznpodarou"/>
        </w:rPr>
        <w:footnoteReference w:id="126"/>
      </w:r>
      <w:r w:rsidR="00F82F79">
        <w:t xml:space="preserve"> S tímto výkladem je možné se ztotožnit, u</w:t>
      </w:r>
      <w:r>
        <w:t>vedený závěr rovněž vyplývá z § 568 NOZ, podle kterého veřejná listina podepsaná zůstavitelem zakládá vůči každému plný důkaz o takovém projevu vůle.</w:t>
      </w:r>
    </w:p>
    <w:p w:rsidR="0034646F" w:rsidRDefault="00394586" w:rsidP="003346B1">
      <w:pPr>
        <w:pStyle w:val="DiplTEXT"/>
        <w:tabs>
          <w:tab w:val="left" w:pos="0"/>
        </w:tabs>
        <w:spacing w:after="0"/>
        <w:ind w:firstLine="567"/>
      </w:pPr>
      <w:r>
        <w:t>Dalším problematickým aspektem se jeví to</w:t>
      </w:r>
      <w:r w:rsidR="00054F86">
        <w:t xml:space="preserve">, zda </w:t>
      </w:r>
      <w:r w:rsidR="00153A3D">
        <w:t xml:space="preserve">zákon požaduje </w:t>
      </w:r>
      <w:r w:rsidR="00153A3D" w:rsidRPr="0038259F">
        <w:t>současnou přítomnost</w:t>
      </w:r>
      <w:r w:rsidR="00153A3D" w:rsidRPr="00F82F79">
        <w:rPr>
          <w:b/>
        </w:rPr>
        <w:t xml:space="preserve"> </w:t>
      </w:r>
      <w:r w:rsidR="00153A3D" w:rsidRPr="00394586">
        <w:t>ob</w:t>
      </w:r>
      <w:r w:rsidR="00E4117C" w:rsidRPr="00394586">
        <w:t>ou svědků při přečtení záznamu</w:t>
      </w:r>
      <w:r w:rsidR="00E4117C">
        <w:t xml:space="preserve"> a potvrzení vůle zůstavitele</w:t>
      </w:r>
      <w:r w:rsidR="0038259F">
        <w:t>,</w:t>
      </w:r>
      <w:r w:rsidR="00E4117C">
        <w:t xml:space="preserve"> </w:t>
      </w:r>
      <w:r w:rsidR="007A6995">
        <w:t>nebo může</w:t>
      </w:r>
      <w:r w:rsidR="00E4117C">
        <w:t xml:space="preserve"> dojít k těmto </w:t>
      </w:r>
      <w:r w:rsidR="00E4117C">
        <w:lastRenderedPageBreak/>
        <w:t>jednáním u každého svědka samostatně.</w:t>
      </w:r>
      <w:r w:rsidR="000321F4">
        <w:t xml:space="preserve"> </w:t>
      </w:r>
      <w:r w:rsidR="008518FA">
        <w:t xml:space="preserve">Podle R. Fialy a </w:t>
      </w:r>
      <w:r w:rsidR="00352C4C">
        <w:t>K. Beerové</w:t>
      </w:r>
      <w:r w:rsidR="003B6C16">
        <w:t xml:space="preserve"> zákon </w:t>
      </w:r>
      <w:r w:rsidR="0038259F">
        <w:t>vyžaduje současnou přítomnost dvou</w:t>
      </w:r>
      <w:r w:rsidR="00451BD6">
        <w:t xml:space="preserve"> nebo </w:t>
      </w:r>
      <w:r w:rsidR="0038259F">
        <w:t>tří</w:t>
      </w:r>
      <w:r w:rsidR="00451BD6">
        <w:t xml:space="preserve"> svědků pouze v případech </w:t>
      </w:r>
      <w:proofErr w:type="spellStart"/>
      <w:r w:rsidR="00451BD6">
        <w:t>allografních</w:t>
      </w:r>
      <w:proofErr w:type="spellEnd"/>
      <w:r w:rsidR="00451BD6">
        <w:t xml:space="preserve"> závětí a</w:t>
      </w:r>
      <w:r w:rsidR="00B96A77">
        <w:t> </w:t>
      </w:r>
      <w:r w:rsidR="00451BD6">
        <w:t>privilegované závěti podle § 1542 NOZ</w:t>
      </w:r>
      <w:r w:rsidR="00C26681">
        <w:t xml:space="preserve">. Navíc </w:t>
      </w:r>
      <w:r w:rsidR="00451BD6">
        <w:t xml:space="preserve">ani </w:t>
      </w:r>
      <w:r w:rsidR="00C26681">
        <w:t>z gramatického výkladu odst. 1 § 1547 NOZ</w:t>
      </w:r>
      <w:r w:rsidR="00451BD6">
        <w:t xml:space="preserve"> nevyplývá, že současná přítomnost obou svědků je nutná, jelikož zákon vyžaduje přítomnost svědků pouze při přečtení záznamu a při jeho potvrzení zůstavitelem, takže </w:t>
      </w:r>
      <w:r w:rsidR="005A5635">
        <w:t xml:space="preserve">k těmto jednáním může dojít </w:t>
      </w:r>
      <w:r w:rsidR="0038259F">
        <w:t>i</w:t>
      </w:r>
      <w:r w:rsidR="004F0574">
        <w:t> </w:t>
      </w:r>
      <w:r w:rsidR="0038259F">
        <w:t xml:space="preserve"> </w:t>
      </w:r>
      <w:r w:rsidR="005A5635">
        <w:t xml:space="preserve">každým </w:t>
      </w:r>
      <w:r w:rsidR="00164389">
        <w:t>svědkem zvlášť.</w:t>
      </w:r>
      <w:r w:rsidR="005A5635">
        <w:rPr>
          <w:rStyle w:val="Znakapoznpodarou"/>
        </w:rPr>
        <w:footnoteReference w:id="127"/>
      </w:r>
    </w:p>
    <w:p w:rsidR="008E7A51" w:rsidRPr="00D42D5F" w:rsidRDefault="005A5635" w:rsidP="00D42D5F">
      <w:pPr>
        <w:pStyle w:val="DiplTEXT"/>
        <w:tabs>
          <w:tab w:val="left" w:pos="0"/>
        </w:tabs>
        <w:spacing w:after="0"/>
        <w:ind w:firstLine="567"/>
        <w:rPr>
          <w:strike/>
        </w:rPr>
      </w:pPr>
      <w:r>
        <w:t xml:space="preserve">Autor diplomové práce se s uvedeným </w:t>
      </w:r>
      <w:r w:rsidR="00D1264E">
        <w:t>řešením</w:t>
      </w:r>
      <w:r>
        <w:t xml:space="preserve"> </w:t>
      </w:r>
      <w:r w:rsidR="0097447A">
        <w:t xml:space="preserve">neztotožňuje. </w:t>
      </w:r>
      <w:r w:rsidR="00D42D5F" w:rsidRPr="008E7A51">
        <w:t xml:space="preserve">Připustíme-li </w:t>
      </w:r>
      <w:r w:rsidR="00D1264E">
        <w:t>možnost</w:t>
      </w:r>
      <w:r w:rsidR="00D42D5F" w:rsidRPr="008E7A51">
        <w:t xml:space="preserve">, že svědkové mohou být u předmětných právních jednání přítomni každý samostatně, znamenalo by to, že by zůstaviteli musel být </w:t>
      </w:r>
      <w:r w:rsidR="00D42D5F">
        <w:t>záznam o poslední vůli přečten v přítomnosti každého svědka zvlášť</w:t>
      </w:r>
      <w:r w:rsidR="00D42D5F" w:rsidRPr="008E7A51">
        <w:t>, tj. dvakrát</w:t>
      </w:r>
      <w:r w:rsidR="00D42D5F">
        <w:t xml:space="preserve">, </w:t>
      </w:r>
      <w:r w:rsidR="00D42D5F" w:rsidRPr="008E7A51">
        <w:t>a zůstavitel by jej musel p</w:t>
      </w:r>
      <w:r w:rsidR="00D42D5F">
        <w:t>odpisem potvrdit rovněž dvakrát.</w:t>
      </w:r>
      <w:r w:rsidR="00D42D5F" w:rsidRPr="00D42D5F">
        <w:t xml:space="preserve"> </w:t>
      </w:r>
      <w:r w:rsidR="00AE4909">
        <w:t xml:space="preserve">Je otázkou, zda </w:t>
      </w:r>
      <w:r w:rsidR="00D1264E">
        <w:t xml:space="preserve">až takový rozsah úlevy je účelný, protože </w:t>
      </w:r>
      <w:r w:rsidR="00D42D5F">
        <w:t>v</w:t>
      </w:r>
      <w:r w:rsidR="0058146C">
        <w:t xml:space="preserve"> časové tísni </w:t>
      </w:r>
      <w:r w:rsidR="00D42D5F">
        <w:t xml:space="preserve">mimořádné </w:t>
      </w:r>
      <w:r w:rsidR="0058146C">
        <w:t>situace</w:t>
      </w:r>
      <w:r w:rsidR="000440CE">
        <w:t xml:space="preserve"> vyžadující</w:t>
      </w:r>
      <w:r w:rsidR="00D42D5F">
        <w:t xml:space="preserve"> rychlé řešení</w:t>
      </w:r>
      <w:r w:rsidR="000440CE">
        <w:t xml:space="preserve">, </w:t>
      </w:r>
      <w:r w:rsidR="00D1264E">
        <w:t>může paradoxně</w:t>
      </w:r>
      <w:r w:rsidR="000440CE">
        <w:t xml:space="preserve"> způsobit zbytečnou formální komplikaci nebo dokonce zne</w:t>
      </w:r>
      <w:r w:rsidR="00164389">
        <w:t>možnit pořízení samotné závěti.</w:t>
      </w:r>
      <w:r w:rsidR="000440CE">
        <w:rPr>
          <w:rStyle w:val="Znakapoznpodarou"/>
        </w:rPr>
        <w:footnoteReference w:id="128"/>
      </w:r>
      <w:r w:rsidR="009C3E57">
        <w:t xml:space="preserve"> Zákonná podmínka současné přítomnosti </w:t>
      </w:r>
      <w:r w:rsidR="0038259F">
        <w:t>dvou</w:t>
      </w:r>
      <w:r w:rsidR="009C3E57">
        <w:t xml:space="preserve"> svědků by měla být </w:t>
      </w:r>
      <w:r w:rsidR="00D1264E">
        <w:t xml:space="preserve">naopak </w:t>
      </w:r>
      <w:r w:rsidR="000D2058">
        <w:t xml:space="preserve">vyšší </w:t>
      </w:r>
      <w:r w:rsidR="009C3E57">
        <w:t>zárukou toho, že</w:t>
      </w:r>
      <w:r w:rsidR="000D2058">
        <w:t xml:space="preserve"> vůle zůstavitele bude řádně zachycena a že bude sníženo riziko následného napadení</w:t>
      </w:r>
      <w:r w:rsidR="009C3E57">
        <w:t xml:space="preserve"> platnosti závěti nebo jejího obsahu</w:t>
      </w:r>
      <w:r w:rsidR="000D2058">
        <w:t>.</w:t>
      </w:r>
      <w:r w:rsidR="000440CE">
        <w:t xml:space="preserve"> </w:t>
      </w:r>
      <w:r w:rsidR="0001587B">
        <w:t>Obdobně přistoupila k požadavku současné přítomnosti obou svědků německá právní úprava, která u nouzového testamentu před starostou (§ 2249 BGB)</w:t>
      </w:r>
      <w:r w:rsidR="007013DA">
        <w:t xml:space="preserve"> výslovně</w:t>
      </w:r>
      <w:r w:rsidR="0038259F">
        <w:t xml:space="preserve"> vyžaduje současnou přítomnost dvou</w:t>
      </w:r>
      <w:r w:rsidR="007013DA">
        <w:t xml:space="preserve"> svědků po celou </w:t>
      </w:r>
      <w:r w:rsidR="001904B4">
        <w:t>dobu pořizování záznamu o p</w:t>
      </w:r>
      <w:r w:rsidR="00164389">
        <w:t>oslední vůli zůstavitele.</w:t>
      </w:r>
      <w:r w:rsidR="001904B4">
        <w:rPr>
          <w:rStyle w:val="Znakapoznpodarou"/>
        </w:rPr>
        <w:footnoteReference w:id="129"/>
      </w:r>
      <w:r w:rsidR="000440CE">
        <w:t xml:space="preserve"> </w:t>
      </w:r>
    </w:p>
    <w:p w:rsidR="00E83C6F" w:rsidRPr="000D5912" w:rsidRDefault="008474CA" w:rsidP="00E83C6F">
      <w:pPr>
        <w:pStyle w:val="DiplTEXT"/>
        <w:tabs>
          <w:tab w:val="left" w:pos="567"/>
        </w:tabs>
        <w:spacing w:after="0"/>
        <w:ind w:firstLine="567"/>
        <w:rPr>
          <w:color w:val="FF0000"/>
        </w:rPr>
      </w:pPr>
      <w:r>
        <w:t>Prohlášení těchto závětí za veřejnou listinu dojde navíc k p</w:t>
      </w:r>
      <w:r w:rsidR="003C1647">
        <w:t>ře</w:t>
      </w:r>
      <w:r>
        <w:t>sunu důkazního břemene na osoby, které budou tvrdit neplatnost</w:t>
      </w:r>
      <w:r w:rsidR="00AC65AF">
        <w:t xml:space="preserve"> takových závětí. </w:t>
      </w:r>
      <w:r w:rsidR="00A77AF1">
        <w:t>Je o</w:t>
      </w:r>
      <w:r w:rsidR="00DE3D86">
        <w:t>tázkou, zda se tyto osoby nebudou v</w:t>
      </w:r>
      <w:r w:rsidR="00F2052D">
        <w:t> soudním řízení</w:t>
      </w:r>
      <w:r w:rsidR="00DE3D86">
        <w:t xml:space="preserve"> nacházet v důkazní </w:t>
      </w:r>
      <w:r w:rsidR="001D67EE">
        <w:t xml:space="preserve">nouzi, protože při </w:t>
      </w:r>
      <w:r w:rsidR="00DE3D86">
        <w:t xml:space="preserve">sepisu </w:t>
      </w:r>
      <w:r w:rsidR="001D67EE">
        <w:t xml:space="preserve">těchto listin </w:t>
      </w:r>
      <w:r w:rsidR="00DE3D86">
        <w:t>zpravidla nebyly přítomny. P</w:t>
      </w:r>
      <w:r w:rsidR="00DE3D86" w:rsidRPr="00DE3D86">
        <w:t xml:space="preserve">latnost závěti </w:t>
      </w:r>
      <w:r w:rsidR="00DE3D86">
        <w:t xml:space="preserve">by </w:t>
      </w:r>
      <w:r w:rsidR="00F2052D">
        <w:t>měly</w:t>
      </w:r>
      <w:r w:rsidR="00DE3D86" w:rsidRPr="00DE3D86">
        <w:t xml:space="preserve"> prokazovat spíše ty osoby, které se průběhu takového jednání účastnily, a mohly tak dosvědčit způsobilost zůstavitele a dodržení všech formalit.</w:t>
      </w:r>
      <w:r w:rsidR="001D67EE">
        <w:rPr>
          <w:rStyle w:val="Znakapoznpodarou"/>
        </w:rPr>
        <w:footnoteReference w:id="130"/>
      </w:r>
    </w:p>
    <w:p w:rsidR="00E83C6F" w:rsidRPr="000C4569" w:rsidRDefault="000C4569" w:rsidP="008074AB">
      <w:pPr>
        <w:pStyle w:val="Nadpis2"/>
      </w:pPr>
      <w:bookmarkStart w:id="54" w:name="_Toc436779482"/>
      <w:bookmarkStart w:id="55" w:name="_Toc437225076"/>
      <w:r w:rsidRPr="000C4569">
        <w:t>4.6</w:t>
      </w:r>
      <w:r w:rsidR="00B96A77">
        <w:tab/>
      </w:r>
      <w:r w:rsidR="001D67EE" w:rsidRPr="000C4569">
        <w:t>Svědkové závěti s</w:t>
      </w:r>
      <w:r w:rsidR="00F2052D" w:rsidRPr="000C4569">
        <w:t> </w:t>
      </w:r>
      <w:r w:rsidR="001D67EE" w:rsidRPr="008074AB">
        <w:t>úlevami</w:t>
      </w:r>
      <w:bookmarkEnd w:id="54"/>
      <w:bookmarkEnd w:id="55"/>
    </w:p>
    <w:p w:rsidR="00232B17" w:rsidRDefault="00185B2D" w:rsidP="00185B2D">
      <w:pPr>
        <w:pStyle w:val="DiplTEXT"/>
        <w:tabs>
          <w:tab w:val="left" w:pos="0"/>
        </w:tabs>
        <w:spacing w:after="0"/>
        <w:ind w:firstLine="567"/>
      </w:pPr>
      <w:r>
        <w:t xml:space="preserve">Významnou úlevou při pořízení všech závětí s úlevami je to, že podle § 1548 NOZ mohou být svědky i osoby starší 15 let nebo omezené ve svéprávnosti, pokud jsou způsobilé věrohodně popsat skutečnosti významné pro </w:t>
      </w:r>
      <w:r w:rsidR="005D3A4E">
        <w:t xml:space="preserve">platnost závěti. </w:t>
      </w:r>
      <w:r w:rsidR="00C14814">
        <w:t>Svědkem by neměla být o</w:t>
      </w:r>
      <w:r w:rsidR="004E6AA3">
        <w:t>soba</w:t>
      </w:r>
      <w:r w:rsidR="00C14814">
        <w:t xml:space="preserve">, </w:t>
      </w:r>
      <w:r w:rsidR="00C14814">
        <w:lastRenderedPageBreak/>
        <w:t>která je pořizování závěti jen náhodně přítomna a není touto funkcí pověřena</w:t>
      </w:r>
      <w:r w:rsidR="00164389">
        <w:t xml:space="preserve"> a s tímto pověřením srozuměna.</w:t>
      </w:r>
      <w:r w:rsidR="00C14814">
        <w:rPr>
          <w:rStyle w:val="Znakapoznpodarou"/>
        </w:rPr>
        <w:footnoteReference w:id="131"/>
      </w:r>
    </w:p>
    <w:p w:rsidR="00F2052D" w:rsidRPr="00104BA5" w:rsidRDefault="005D3A4E" w:rsidP="00185B2D">
      <w:pPr>
        <w:pStyle w:val="DiplTEXT"/>
        <w:tabs>
          <w:tab w:val="left" w:pos="0"/>
        </w:tabs>
        <w:spacing w:after="0"/>
        <w:ind w:firstLine="567"/>
      </w:pPr>
      <w:r>
        <w:t xml:space="preserve">Otázkou je, jak posoudit situaci, kdy </w:t>
      </w:r>
      <w:r w:rsidR="00104BA5" w:rsidRPr="00104BA5">
        <w:rPr>
          <w:color w:val="000000"/>
          <w:szCs w:val="28"/>
        </w:rPr>
        <w:t xml:space="preserve">jedním z přítomných svědků bude dědic nebo </w:t>
      </w:r>
      <w:proofErr w:type="spellStart"/>
      <w:r w:rsidR="00104BA5" w:rsidRPr="00104BA5">
        <w:rPr>
          <w:color w:val="000000"/>
          <w:szCs w:val="28"/>
        </w:rPr>
        <w:t>odkazovník</w:t>
      </w:r>
      <w:proofErr w:type="spellEnd"/>
      <w:r w:rsidR="00104BA5" w:rsidRPr="00104BA5">
        <w:rPr>
          <w:color w:val="000000"/>
          <w:szCs w:val="28"/>
        </w:rPr>
        <w:t xml:space="preserve"> zůstavitele</w:t>
      </w:r>
      <w:r w:rsidR="00852433">
        <w:rPr>
          <w:color w:val="000000"/>
          <w:szCs w:val="28"/>
        </w:rPr>
        <w:t xml:space="preserve">. Vzhledem k tomu že úprava privilegovaných závětí neobsahuje žádné speciální ustanovení o nezpůsobilosti dědice nebo </w:t>
      </w:r>
      <w:proofErr w:type="spellStart"/>
      <w:r w:rsidR="00852433">
        <w:rPr>
          <w:color w:val="000000"/>
          <w:szCs w:val="28"/>
        </w:rPr>
        <w:t>odkazovníka</w:t>
      </w:r>
      <w:proofErr w:type="spellEnd"/>
      <w:r w:rsidR="00852433">
        <w:rPr>
          <w:color w:val="000000"/>
          <w:szCs w:val="28"/>
        </w:rPr>
        <w:t xml:space="preserve"> svědčit, lze se domnívat, že </w:t>
      </w:r>
      <w:r w:rsidR="00C22F84">
        <w:rPr>
          <w:color w:val="000000"/>
          <w:szCs w:val="28"/>
        </w:rPr>
        <w:t>za použití § 1540 NOZ</w:t>
      </w:r>
      <w:r w:rsidR="00B03DB3">
        <w:rPr>
          <w:color w:val="000000"/>
          <w:szCs w:val="28"/>
        </w:rPr>
        <w:t xml:space="preserve"> jako obecné úpravy budou t</w:t>
      </w:r>
      <w:r w:rsidR="00CC3A73">
        <w:rPr>
          <w:color w:val="000000"/>
          <w:szCs w:val="28"/>
        </w:rPr>
        <w:t>yto osoby svědecky nezpůsobilé.</w:t>
      </w:r>
    </w:p>
    <w:p w:rsidR="00252361" w:rsidRDefault="00252361">
      <w:pPr>
        <w:spacing w:after="0" w:line="240" w:lineRule="auto"/>
        <w:jc w:val="left"/>
        <w:rPr>
          <w:b/>
          <w:sz w:val="32"/>
        </w:rPr>
      </w:pPr>
      <w:bookmarkStart w:id="56" w:name="_Toc436779483"/>
      <w:r>
        <w:br w:type="page"/>
      </w:r>
    </w:p>
    <w:p w:rsidR="007A1270" w:rsidRPr="00690965" w:rsidRDefault="00690965" w:rsidP="008074AB">
      <w:pPr>
        <w:pStyle w:val="Nadpis1"/>
      </w:pPr>
      <w:bookmarkStart w:id="57" w:name="_Toc437225077"/>
      <w:r w:rsidRPr="00690965">
        <w:lastRenderedPageBreak/>
        <w:t>5</w:t>
      </w:r>
      <w:r w:rsidR="00B96A77">
        <w:tab/>
      </w:r>
      <w:r w:rsidR="00A26502" w:rsidRPr="00690965">
        <w:t xml:space="preserve">Vybrané </w:t>
      </w:r>
      <w:r w:rsidR="00A26502" w:rsidRPr="008074AB">
        <w:t>o</w:t>
      </w:r>
      <w:r w:rsidR="009E583F" w:rsidRPr="008074AB">
        <w:t>bsahové</w:t>
      </w:r>
      <w:r w:rsidR="00502319">
        <w:t xml:space="preserve"> náležitosti závěti</w:t>
      </w:r>
      <w:r w:rsidR="0095437D" w:rsidRPr="00690965">
        <w:t xml:space="preserve"> a jejich problematické aspekty</w:t>
      </w:r>
      <w:bookmarkEnd w:id="56"/>
      <w:bookmarkEnd w:id="57"/>
    </w:p>
    <w:p w:rsidR="00365F56" w:rsidRPr="00307E7B" w:rsidRDefault="00690965" w:rsidP="008074AB">
      <w:pPr>
        <w:pStyle w:val="Nadpis2"/>
      </w:pPr>
      <w:bookmarkStart w:id="58" w:name="_Toc436779484"/>
      <w:bookmarkStart w:id="59" w:name="_Toc437225078"/>
      <w:r w:rsidRPr="00307E7B">
        <w:t>5</w:t>
      </w:r>
      <w:r w:rsidR="00F83EDD" w:rsidRPr="00307E7B">
        <w:t>.</w:t>
      </w:r>
      <w:r w:rsidR="00B014C2" w:rsidRPr="00307E7B">
        <w:t>1</w:t>
      </w:r>
      <w:r w:rsidR="00B96A77">
        <w:tab/>
      </w:r>
      <w:r w:rsidR="00127628" w:rsidRPr="00307E7B">
        <w:t xml:space="preserve">Rozlišení </w:t>
      </w:r>
      <w:r w:rsidR="00127628" w:rsidRPr="008074AB">
        <w:t>d</w:t>
      </w:r>
      <w:r w:rsidR="00636933" w:rsidRPr="008074AB">
        <w:t>ědic</w:t>
      </w:r>
      <w:r w:rsidR="00127628" w:rsidRPr="008074AB">
        <w:t>e</w:t>
      </w:r>
      <w:r w:rsidR="00127628" w:rsidRPr="00307E7B">
        <w:t xml:space="preserve"> a </w:t>
      </w:r>
      <w:proofErr w:type="spellStart"/>
      <w:r w:rsidR="00365F56" w:rsidRPr="00252361">
        <w:t>odkazovník</w:t>
      </w:r>
      <w:r w:rsidR="00127628" w:rsidRPr="00252361">
        <w:t>a</w:t>
      </w:r>
      <w:bookmarkEnd w:id="58"/>
      <w:bookmarkEnd w:id="59"/>
      <w:proofErr w:type="spellEnd"/>
    </w:p>
    <w:p w:rsidR="00317F9F" w:rsidRDefault="00C43E1C" w:rsidP="00C659E8">
      <w:pPr>
        <w:pStyle w:val="DiplTEXT"/>
        <w:spacing w:after="0"/>
        <w:ind w:firstLine="567"/>
        <w:rPr>
          <w:shd w:val="clear" w:color="auto" w:fill="FFFFFF"/>
        </w:rPr>
      </w:pPr>
      <w:r>
        <w:rPr>
          <w:shd w:val="clear" w:color="auto" w:fill="FFFFFF"/>
        </w:rPr>
        <w:t xml:space="preserve">Z § 1494 odst. 1 NOZ vyplývá, že </w:t>
      </w:r>
      <w:r w:rsidR="00B30EE5">
        <w:rPr>
          <w:shd w:val="clear" w:color="auto" w:fill="FFFFFF"/>
        </w:rPr>
        <w:t>obligatorní</w:t>
      </w:r>
      <w:r w:rsidR="00490F61" w:rsidRPr="00490F61">
        <w:rPr>
          <w:shd w:val="clear" w:color="auto" w:fill="FFFFFF"/>
        </w:rPr>
        <w:t xml:space="preserve"> obsahovou náležitostí ka</w:t>
      </w:r>
      <w:r w:rsidR="00164389">
        <w:rPr>
          <w:shd w:val="clear" w:color="auto" w:fill="FFFFFF"/>
        </w:rPr>
        <w:t>ždé závěti je ustanovení dědice</w:t>
      </w:r>
      <w:r w:rsidR="00937AD2">
        <w:rPr>
          <w:shd w:val="clear" w:color="auto" w:fill="FFFFFF"/>
        </w:rPr>
        <w:t xml:space="preserve"> </w:t>
      </w:r>
      <w:r w:rsidR="00490F61" w:rsidRPr="00490F61">
        <w:rPr>
          <w:shd w:val="clear" w:color="auto" w:fill="FFFFFF"/>
        </w:rPr>
        <w:t>(jednoho nebo více)</w:t>
      </w:r>
      <w:r w:rsidR="00650BCF">
        <w:rPr>
          <w:shd w:val="clear" w:color="auto" w:fill="FFFFFF"/>
        </w:rPr>
        <w:t xml:space="preserve"> alespoň </w:t>
      </w:r>
      <w:r w:rsidR="00FA5D9A">
        <w:rPr>
          <w:shd w:val="clear" w:color="auto" w:fill="FFFFFF"/>
        </w:rPr>
        <w:t>k podílu na pozůstalosti</w:t>
      </w:r>
      <w:r w:rsidR="00490F61" w:rsidRPr="00490F61">
        <w:rPr>
          <w:shd w:val="clear" w:color="auto" w:fill="FFFFFF"/>
        </w:rPr>
        <w:t xml:space="preserve">. </w:t>
      </w:r>
      <w:r w:rsidR="00B30EE5">
        <w:rPr>
          <w:shd w:val="clear" w:color="auto" w:fill="FFFFFF"/>
        </w:rPr>
        <w:t>Fakultativní</w:t>
      </w:r>
      <w:r w:rsidR="0007218A">
        <w:rPr>
          <w:shd w:val="clear" w:color="auto" w:fill="FFFFFF"/>
        </w:rPr>
        <w:t xml:space="preserve"> </w:t>
      </w:r>
      <w:r w:rsidR="00B30EE5">
        <w:rPr>
          <w:shd w:val="clear" w:color="auto" w:fill="FFFFFF"/>
        </w:rPr>
        <w:t>náležitostí</w:t>
      </w:r>
      <w:r w:rsidR="005C1F1B">
        <w:rPr>
          <w:shd w:val="clear" w:color="auto" w:fill="FFFFFF"/>
        </w:rPr>
        <w:t xml:space="preserve"> závěti je především</w:t>
      </w:r>
      <w:r w:rsidR="0007218A">
        <w:rPr>
          <w:shd w:val="clear" w:color="auto" w:fill="FFFFFF"/>
        </w:rPr>
        <w:t xml:space="preserve"> zřízení odkazu, ale jen za podmínky, že zůstavitel ustanoví jednoho či více dědiců alespoň k části pozůstalosti, jinak by se jednalo o </w:t>
      </w:r>
      <w:r>
        <w:rPr>
          <w:shd w:val="clear" w:color="auto" w:fill="FFFFFF"/>
        </w:rPr>
        <w:t>dovětek podle §</w:t>
      </w:r>
      <w:r w:rsidR="00B96A77">
        <w:rPr>
          <w:shd w:val="clear" w:color="auto" w:fill="FFFFFF"/>
        </w:rPr>
        <w:t> </w:t>
      </w:r>
      <w:r>
        <w:rPr>
          <w:shd w:val="clear" w:color="auto" w:fill="FFFFFF"/>
        </w:rPr>
        <w:t>1498 NOZ.</w:t>
      </w:r>
      <w:r w:rsidR="0007218A" w:rsidRPr="00490F61">
        <w:rPr>
          <w:shd w:val="clear" w:color="auto" w:fill="FFFFFF"/>
        </w:rPr>
        <w:t xml:space="preserve"> </w:t>
      </w:r>
      <w:r w:rsidR="00490F61" w:rsidRPr="00490F61">
        <w:rPr>
          <w:shd w:val="clear" w:color="auto" w:fill="FFFFFF"/>
        </w:rPr>
        <w:t xml:space="preserve">V </w:t>
      </w:r>
      <w:r>
        <w:rPr>
          <w:shd w:val="clear" w:color="auto" w:fill="FFFFFF"/>
        </w:rPr>
        <w:t xml:space="preserve">§ 1475 odst. 3 NOZ se </w:t>
      </w:r>
      <w:r w:rsidR="00490F61" w:rsidRPr="00490F61">
        <w:rPr>
          <w:shd w:val="clear" w:color="auto" w:fill="FFFFFF"/>
        </w:rPr>
        <w:t xml:space="preserve">stanoví, že dědicem je ten, komu náleží dědické právo, naopak </w:t>
      </w:r>
      <w:r w:rsidR="00C659E8" w:rsidRPr="00490F61">
        <w:rPr>
          <w:shd w:val="clear" w:color="auto" w:fill="FFFFFF"/>
        </w:rPr>
        <w:t xml:space="preserve">v § 1477 odst. 2 NOZ </w:t>
      </w:r>
      <w:r w:rsidR="00490F61" w:rsidRPr="00490F61">
        <w:rPr>
          <w:shd w:val="clear" w:color="auto" w:fill="FFFFFF"/>
        </w:rPr>
        <w:t xml:space="preserve">je výslovně zdůrazněno, že dědicem není </w:t>
      </w:r>
      <w:proofErr w:type="spellStart"/>
      <w:r w:rsidR="00490F61" w:rsidRPr="00490F61">
        <w:rPr>
          <w:shd w:val="clear" w:color="auto" w:fill="FFFFFF"/>
        </w:rPr>
        <w:t>odkazovník</w:t>
      </w:r>
      <w:proofErr w:type="spellEnd"/>
      <w:r w:rsidR="00490F61" w:rsidRPr="00490F61">
        <w:rPr>
          <w:shd w:val="clear" w:color="auto" w:fill="FFFFFF"/>
        </w:rPr>
        <w:t xml:space="preserve">. </w:t>
      </w:r>
      <w:r w:rsidR="00A5167F">
        <w:rPr>
          <w:shd w:val="clear" w:color="auto" w:fill="FFFFFF"/>
        </w:rPr>
        <w:t>Rozlišení mezi ustanovením dědice a nařízení</w:t>
      </w:r>
      <w:r w:rsidR="005C1F1B">
        <w:rPr>
          <w:shd w:val="clear" w:color="auto" w:fill="FFFFFF"/>
        </w:rPr>
        <w:t>m</w:t>
      </w:r>
      <w:r w:rsidR="00A5167F">
        <w:rPr>
          <w:shd w:val="clear" w:color="auto" w:fill="FFFFFF"/>
        </w:rPr>
        <w:t xml:space="preserve"> odkazu je jedním zásadních problematických aspektů dědění ze závěti vzhledem k tomu, že </w:t>
      </w:r>
      <w:proofErr w:type="spellStart"/>
      <w:r w:rsidR="00380737">
        <w:rPr>
          <w:shd w:val="clear" w:color="auto" w:fill="FFFFFF"/>
        </w:rPr>
        <w:t>odkazovník</w:t>
      </w:r>
      <w:proofErr w:type="spellEnd"/>
      <w:r w:rsidR="00380737">
        <w:rPr>
          <w:shd w:val="clear" w:color="auto" w:fill="FFFFFF"/>
        </w:rPr>
        <w:t xml:space="preserve"> nemá právo na pozůstalost nebo </w:t>
      </w:r>
      <w:r w:rsidR="00C85603">
        <w:rPr>
          <w:shd w:val="clear" w:color="auto" w:fill="FFFFFF"/>
        </w:rPr>
        <w:t xml:space="preserve">na </w:t>
      </w:r>
      <w:r w:rsidR="00380737">
        <w:rPr>
          <w:shd w:val="clear" w:color="auto" w:fill="FFFFFF"/>
        </w:rPr>
        <w:t>poměrný podíl z ní, ale pouze na pohledávku vůči dědicům na vydání předmětu odkazu</w:t>
      </w:r>
      <w:r w:rsidR="005C1F1B" w:rsidRPr="005C1F1B">
        <w:rPr>
          <w:shd w:val="clear" w:color="auto" w:fill="FFFFFF"/>
        </w:rPr>
        <w:t xml:space="preserve"> </w:t>
      </w:r>
      <w:r w:rsidR="005C1F1B" w:rsidRPr="00490F61">
        <w:rPr>
          <w:shd w:val="clear" w:color="auto" w:fill="FFFFFF"/>
        </w:rPr>
        <w:t>nebo na zřízení určitého práva</w:t>
      </w:r>
      <w:r w:rsidR="00380737">
        <w:rPr>
          <w:shd w:val="clear" w:color="auto" w:fill="FFFFFF"/>
        </w:rPr>
        <w:t>.</w:t>
      </w:r>
      <w:r w:rsidR="00FA5D9A">
        <w:rPr>
          <w:shd w:val="clear" w:color="auto" w:fill="FFFFFF"/>
        </w:rPr>
        <w:t xml:space="preserve"> </w:t>
      </w:r>
    </w:p>
    <w:p w:rsidR="005F568A" w:rsidRDefault="00052989" w:rsidP="000E6786">
      <w:pPr>
        <w:pStyle w:val="DiplTEXT"/>
        <w:spacing w:after="0"/>
        <w:ind w:firstLine="567"/>
        <w:rPr>
          <w:shd w:val="clear" w:color="auto" w:fill="FFFFFF"/>
        </w:rPr>
      </w:pPr>
      <w:r>
        <w:rPr>
          <w:shd w:val="clear" w:color="auto" w:fill="FFFFFF"/>
        </w:rPr>
        <w:t xml:space="preserve">V průběhu historického vývoje došlo ke sbližování </w:t>
      </w:r>
      <w:r w:rsidR="003A2BC0">
        <w:rPr>
          <w:shd w:val="clear" w:color="auto" w:fill="FFFFFF"/>
        </w:rPr>
        <w:t>institutů d</w:t>
      </w:r>
      <w:r>
        <w:rPr>
          <w:shd w:val="clear" w:color="auto" w:fill="FFFFFF"/>
        </w:rPr>
        <w:t>ědictví a odkazu, což rezultovalo až k jejich splynutí v úpravě § 477 OZ6</w:t>
      </w:r>
      <w:r w:rsidR="006D2A54">
        <w:rPr>
          <w:shd w:val="clear" w:color="auto" w:fill="FFFFFF"/>
        </w:rPr>
        <w:t>4. To se odrazilo v povědomí nejenom laické</w:t>
      </w:r>
      <w:r w:rsidR="003A2BC0">
        <w:rPr>
          <w:shd w:val="clear" w:color="auto" w:fill="FFFFFF"/>
        </w:rPr>
        <w:t xml:space="preserve"> veřejnosti</w:t>
      </w:r>
      <w:r w:rsidR="006D2A54">
        <w:rPr>
          <w:shd w:val="clear" w:color="auto" w:fill="FFFFFF"/>
        </w:rPr>
        <w:t xml:space="preserve"> tak, že </w:t>
      </w:r>
      <w:r w:rsidR="003A2BC0">
        <w:rPr>
          <w:shd w:val="clear" w:color="auto" w:fill="FFFFFF"/>
        </w:rPr>
        <w:t xml:space="preserve">při sepisu závětí </w:t>
      </w:r>
      <w:r w:rsidR="00C20DD2">
        <w:rPr>
          <w:shd w:val="clear" w:color="auto" w:fill="FFFFFF"/>
        </w:rPr>
        <w:t xml:space="preserve">se </w:t>
      </w:r>
      <w:r w:rsidR="003A2BC0">
        <w:rPr>
          <w:shd w:val="clear" w:color="auto" w:fill="FFFFFF"/>
        </w:rPr>
        <w:t>př</w:t>
      </w:r>
      <w:r w:rsidR="006D2A54">
        <w:rPr>
          <w:shd w:val="clear" w:color="auto" w:fill="FFFFFF"/>
        </w:rPr>
        <w:t>estal</w:t>
      </w:r>
      <w:r w:rsidR="009F2CE0">
        <w:rPr>
          <w:shd w:val="clear" w:color="auto" w:fill="FFFFFF"/>
        </w:rPr>
        <w:t xml:space="preserve"> </w:t>
      </w:r>
      <w:r w:rsidR="00C20DD2">
        <w:rPr>
          <w:shd w:val="clear" w:color="auto" w:fill="FFFFFF"/>
        </w:rPr>
        <w:t xml:space="preserve">rozlišovat </w:t>
      </w:r>
      <w:r w:rsidR="00B6286E">
        <w:rPr>
          <w:shd w:val="clear" w:color="auto" w:fill="FFFFFF"/>
        </w:rPr>
        <w:t>právní význam</w:t>
      </w:r>
      <w:r w:rsidR="006D2A54">
        <w:rPr>
          <w:shd w:val="clear" w:color="auto" w:fill="FFFFFF"/>
        </w:rPr>
        <w:t xml:space="preserve"> těchto institutů</w:t>
      </w:r>
      <w:r w:rsidR="00B6286E">
        <w:rPr>
          <w:shd w:val="clear" w:color="auto" w:fill="FFFFFF"/>
        </w:rPr>
        <w:t xml:space="preserve">. </w:t>
      </w:r>
      <w:r w:rsidR="009F2CE0">
        <w:rPr>
          <w:shd w:val="clear" w:color="auto" w:fill="FFFFFF"/>
        </w:rPr>
        <w:t xml:space="preserve">Nebylo proto vyloučeno, že zůstavitel formuloval svou závěť </w:t>
      </w:r>
      <w:r w:rsidR="006D2A54">
        <w:rPr>
          <w:shd w:val="clear" w:color="auto" w:fill="FFFFFF"/>
        </w:rPr>
        <w:t>tím způsobem</w:t>
      </w:r>
      <w:r w:rsidR="009F2CE0">
        <w:rPr>
          <w:shd w:val="clear" w:color="auto" w:fill="FFFFFF"/>
        </w:rPr>
        <w:t xml:space="preserve">, že </w:t>
      </w:r>
      <w:r w:rsidR="00B6286E">
        <w:rPr>
          <w:shd w:val="clear" w:color="auto" w:fill="FFFFFF"/>
        </w:rPr>
        <w:t>povolal dědice použitím slova</w:t>
      </w:r>
      <w:r w:rsidR="009F2CE0">
        <w:rPr>
          <w:shd w:val="clear" w:color="auto" w:fill="FFFFFF"/>
        </w:rPr>
        <w:t xml:space="preserve"> „odkazuji“ </w:t>
      </w:r>
      <w:r w:rsidR="00922165">
        <w:rPr>
          <w:shd w:val="clear" w:color="auto" w:fill="FFFFFF"/>
        </w:rPr>
        <w:t>nejenom ve vztahu k celému dědictví, ale i k jednotlivým věcem nebo právům</w:t>
      </w:r>
      <w:r w:rsidR="00EE49EF">
        <w:rPr>
          <w:shd w:val="clear" w:color="auto" w:fill="FFFFFF"/>
        </w:rPr>
        <w:t>, které mají dědicům připadnout, přičemž zůstavitelov</w:t>
      </w:r>
      <w:r w:rsidR="006D2A54">
        <w:rPr>
          <w:shd w:val="clear" w:color="auto" w:fill="FFFFFF"/>
        </w:rPr>
        <w:t>ým úmyslem nebylo zřídit odkaz.</w:t>
      </w:r>
      <w:r w:rsidR="006D2A54">
        <w:rPr>
          <w:rStyle w:val="Znakapoznpodarou"/>
          <w:shd w:val="clear" w:color="auto" w:fill="FFFFFF"/>
        </w:rPr>
        <w:footnoteReference w:id="132"/>
      </w:r>
    </w:p>
    <w:p w:rsidR="00CC3A73" w:rsidRDefault="005F568A" w:rsidP="000E6786">
      <w:pPr>
        <w:pStyle w:val="DiplTEXT"/>
        <w:spacing w:after="0"/>
        <w:ind w:firstLine="567"/>
        <w:rPr>
          <w:shd w:val="clear" w:color="auto" w:fill="FFFFFF"/>
        </w:rPr>
      </w:pPr>
      <w:r>
        <w:rPr>
          <w:shd w:val="clear" w:color="auto" w:fill="FFFFFF"/>
        </w:rPr>
        <w:t xml:space="preserve">Lze předpokládat, že </w:t>
      </w:r>
      <w:r w:rsidR="00DB3221">
        <w:rPr>
          <w:shd w:val="clear" w:color="auto" w:fill="FFFFFF"/>
        </w:rPr>
        <w:t xml:space="preserve">vzhledem k diskontinuitě právní úpravy může </w:t>
      </w:r>
      <w:r>
        <w:rPr>
          <w:shd w:val="clear" w:color="auto" w:fill="FFFFFF"/>
        </w:rPr>
        <w:t>z</w:t>
      </w:r>
      <w:r w:rsidR="00011448">
        <w:rPr>
          <w:shd w:val="clear" w:color="auto" w:fill="FFFFFF"/>
        </w:rPr>
        <w:t xml:space="preserve"> výše </w:t>
      </w:r>
      <w:r w:rsidR="00DB3221">
        <w:rPr>
          <w:shd w:val="clear" w:color="auto" w:fill="FFFFFF"/>
        </w:rPr>
        <w:t xml:space="preserve">uvedených důvodů docházet v budoucnu </w:t>
      </w:r>
      <w:r w:rsidR="00612F7C">
        <w:rPr>
          <w:shd w:val="clear" w:color="auto" w:fill="FFFFFF"/>
        </w:rPr>
        <w:t>k</w:t>
      </w:r>
      <w:r w:rsidR="00DB3221">
        <w:rPr>
          <w:shd w:val="clear" w:color="auto" w:fill="FFFFFF"/>
        </w:rPr>
        <w:t xml:space="preserve"> výkladovým </w:t>
      </w:r>
      <w:r w:rsidR="007E2F06">
        <w:rPr>
          <w:shd w:val="clear" w:color="auto" w:fill="FFFFFF"/>
        </w:rPr>
        <w:t xml:space="preserve">problémům </w:t>
      </w:r>
      <w:r w:rsidR="00612F7C">
        <w:rPr>
          <w:shd w:val="clear" w:color="auto" w:fill="FFFFFF"/>
        </w:rPr>
        <w:t>právního</w:t>
      </w:r>
      <w:r>
        <w:rPr>
          <w:shd w:val="clear" w:color="auto" w:fill="FFFFFF"/>
        </w:rPr>
        <w:t xml:space="preserve"> jednání zůstavi</w:t>
      </w:r>
      <w:r w:rsidR="00612F7C">
        <w:rPr>
          <w:shd w:val="clear" w:color="auto" w:fill="FFFFFF"/>
        </w:rPr>
        <w:t>tele učiněného v závěti</w:t>
      </w:r>
      <w:r>
        <w:rPr>
          <w:shd w:val="clear" w:color="auto" w:fill="FFFFFF"/>
        </w:rPr>
        <w:t xml:space="preserve"> před</w:t>
      </w:r>
      <w:r w:rsidR="00DB3221">
        <w:rPr>
          <w:shd w:val="clear" w:color="auto" w:fill="FFFFFF"/>
        </w:rPr>
        <w:t xml:space="preserve"> 1. 1. 2014, tj. před účinností N</w:t>
      </w:r>
      <w:r w:rsidR="009619B9">
        <w:rPr>
          <w:shd w:val="clear" w:color="auto" w:fill="FFFFFF"/>
        </w:rPr>
        <w:t>OZ.</w:t>
      </w:r>
      <w:r w:rsidR="00970D92">
        <w:rPr>
          <w:shd w:val="clear" w:color="auto" w:fill="FFFFFF"/>
        </w:rPr>
        <w:t xml:space="preserve"> </w:t>
      </w:r>
      <w:r w:rsidR="00C5417B">
        <w:rPr>
          <w:shd w:val="clear" w:color="auto" w:fill="FFFFFF"/>
        </w:rPr>
        <w:t xml:space="preserve">V přechodných ustanoveních k NOZ se stanoví v § 3070 </w:t>
      </w:r>
      <w:r w:rsidR="00F5274A">
        <w:rPr>
          <w:shd w:val="clear" w:color="auto" w:fill="FFFFFF"/>
        </w:rPr>
        <w:t xml:space="preserve">NOZ </w:t>
      </w:r>
      <w:r w:rsidR="00C5417B">
        <w:rPr>
          <w:shd w:val="clear" w:color="auto" w:fill="FFFFFF"/>
        </w:rPr>
        <w:t xml:space="preserve">nepravá zpětná retroaktivita k pořízením </w:t>
      </w:r>
      <w:r w:rsidR="00F5274A">
        <w:rPr>
          <w:shd w:val="clear" w:color="auto" w:fill="FFFFFF"/>
        </w:rPr>
        <w:t xml:space="preserve">pro případ smrti </w:t>
      </w:r>
      <w:r w:rsidR="007E2F06">
        <w:rPr>
          <w:shd w:val="clear" w:color="auto" w:fill="FFFFFF"/>
        </w:rPr>
        <w:t>učiněným</w:t>
      </w:r>
      <w:r w:rsidR="00C5417B">
        <w:rPr>
          <w:shd w:val="clear" w:color="auto" w:fill="FFFFFF"/>
        </w:rPr>
        <w:t xml:space="preserve"> před 1. 1. 2014</w:t>
      </w:r>
      <w:r w:rsidR="00D365D8">
        <w:rPr>
          <w:shd w:val="clear" w:color="auto" w:fill="FFFFFF"/>
        </w:rPr>
        <w:t>, zemře-li zůstavitel po tomto datu</w:t>
      </w:r>
      <w:r w:rsidR="00C5417B">
        <w:rPr>
          <w:shd w:val="clear" w:color="auto" w:fill="FFFFFF"/>
        </w:rPr>
        <w:t>.</w:t>
      </w:r>
      <w:r w:rsidR="007E2F06">
        <w:rPr>
          <w:shd w:val="clear" w:color="auto" w:fill="FFFFFF"/>
        </w:rPr>
        <w:t xml:space="preserve"> Z</w:t>
      </w:r>
      <w:r w:rsidR="00F5274A">
        <w:rPr>
          <w:shd w:val="clear" w:color="auto" w:fill="FFFFFF"/>
        </w:rPr>
        <w:t>e znění citovaného ustanovení</w:t>
      </w:r>
      <w:r w:rsidR="007E2F06">
        <w:rPr>
          <w:shd w:val="clear" w:color="auto" w:fill="FFFFFF"/>
        </w:rPr>
        <w:t xml:space="preserve"> vyplývá, že nová právní úprava</w:t>
      </w:r>
      <w:r w:rsidR="00F5274A">
        <w:rPr>
          <w:shd w:val="clear" w:color="auto" w:fill="FFFFFF"/>
        </w:rPr>
        <w:t xml:space="preserve"> </w:t>
      </w:r>
      <w:r w:rsidR="00D365D8">
        <w:rPr>
          <w:shd w:val="clear" w:color="auto" w:fill="FFFFFF"/>
        </w:rPr>
        <w:t>přičítá</w:t>
      </w:r>
      <w:r w:rsidR="00F5274A">
        <w:rPr>
          <w:shd w:val="clear" w:color="auto" w:fill="FFFFFF"/>
        </w:rPr>
        <w:t xml:space="preserve"> práv</w:t>
      </w:r>
      <w:r w:rsidR="00D365D8">
        <w:rPr>
          <w:shd w:val="clear" w:color="auto" w:fill="FFFFFF"/>
        </w:rPr>
        <w:t>ní následky jednáním, která sice odporovala předchozí právní úpravě pořízení pro případ smrti, ale vyhovuje úpravě NOZ</w:t>
      </w:r>
      <w:r w:rsidR="00CC3A73">
        <w:rPr>
          <w:shd w:val="clear" w:color="auto" w:fill="FFFFFF"/>
        </w:rPr>
        <w:t>.</w:t>
      </w:r>
    </w:p>
    <w:p w:rsidR="00116973" w:rsidRPr="00307E7B" w:rsidRDefault="006F0F45" w:rsidP="000E6786">
      <w:pPr>
        <w:pStyle w:val="DiplTEXT"/>
        <w:spacing w:after="0"/>
        <w:ind w:firstLine="567"/>
        <w:rPr>
          <w:shd w:val="clear" w:color="auto" w:fill="FFFFFF"/>
        </w:rPr>
      </w:pPr>
      <w:r>
        <w:rPr>
          <w:shd w:val="clear" w:color="auto" w:fill="FFFFFF"/>
        </w:rPr>
        <w:t>Otázkou je</w:t>
      </w:r>
      <w:r w:rsidR="00991060">
        <w:rPr>
          <w:shd w:val="clear" w:color="auto" w:fill="FFFFFF"/>
        </w:rPr>
        <w:t xml:space="preserve">, zda </w:t>
      </w:r>
      <w:r>
        <w:rPr>
          <w:shd w:val="clear" w:color="auto" w:fill="FFFFFF"/>
        </w:rPr>
        <w:t xml:space="preserve">zůstavitel </w:t>
      </w:r>
      <w:r w:rsidR="00991060">
        <w:rPr>
          <w:shd w:val="clear" w:color="auto" w:fill="FFFFFF"/>
        </w:rPr>
        <w:t xml:space="preserve">mohl </w:t>
      </w:r>
      <w:r w:rsidR="00C637F8">
        <w:rPr>
          <w:shd w:val="clear" w:color="auto" w:fill="FFFFFF"/>
        </w:rPr>
        <w:t xml:space="preserve">ustanovit někoho </w:t>
      </w:r>
      <w:proofErr w:type="spellStart"/>
      <w:r>
        <w:rPr>
          <w:shd w:val="clear" w:color="auto" w:fill="FFFFFF"/>
        </w:rPr>
        <w:t>odkaz</w:t>
      </w:r>
      <w:r w:rsidR="00C637F8">
        <w:rPr>
          <w:shd w:val="clear" w:color="auto" w:fill="FFFFFF"/>
        </w:rPr>
        <w:t>ovníkem</w:t>
      </w:r>
      <w:proofErr w:type="spellEnd"/>
      <w:r>
        <w:rPr>
          <w:shd w:val="clear" w:color="auto" w:fill="FFFFFF"/>
        </w:rPr>
        <w:t xml:space="preserve"> v době, kdy právní úprava institut odkazu </w:t>
      </w:r>
      <w:r w:rsidR="00991060">
        <w:rPr>
          <w:shd w:val="clear" w:color="auto" w:fill="FFFFFF"/>
        </w:rPr>
        <w:t xml:space="preserve">ve smyslu NOZ vůbec </w:t>
      </w:r>
      <w:r>
        <w:rPr>
          <w:shd w:val="clear" w:color="auto" w:fill="FFFFFF"/>
        </w:rPr>
        <w:t>neznala.</w:t>
      </w:r>
      <w:r w:rsidR="00991060">
        <w:rPr>
          <w:shd w:val="clear" w:color="auto" w:fill="FFFFFF"/>
        </w:rPr>
        <w:t xml:space="preserve"> </w:t>
      </w:r>
      <w:r w:rsidR="00991060" w:rsidRPr="00C96E08">
        <w:rPr>
          <w:shd w:val="clear" w:color="auto" w:fill="FFFFFF"/>
        </w:rPr>
        <w:t>Podle L. Muziká</w:t>
      </w:r>
      <w:r w:rsidR="00C637F8" w:rsidRPr="00C96E08">
        <w:rPr>
          <w:shd w:val="clear" w:color="auto" w:fill="FFFFFF"/>
        </w:rPr>
        <w:t xml:space="preserve">ře </w:t>
      </w:r>
      <w:r w:rsidR="00C96E08" w:rsidRPr="00C96E08">
        <w:rPr>
          <w:shd w:val="clear" w:color="auto" w:fill="FFFFFF"/>
        </w:rPr>
        <w:t>má</w:t>
      </w:r>
      <w:r w:rsidR="00C637F8" w:rsidRPr="00C96E08">
        <w:rPr>
          <w:shd w:val="clear" w:color="auto" w:fill="FFFFFF"/>
        </w:rPr>
        <w:t xml:space="preserve"> pro </w:t>
      </w:r>
      <w:r w:rsidR="00B14DD8" w:rsidRPr="00C96E08">
        <w:rPr>
          <w:shd w:val="clear" w:color="auto" w:fill="FFFFFF"/>
        </w:rPr>
        <w:t>odpověď na tuto otázku</w:t>
      </w:r>
      <w:r w:rsidR="00C637F8" w:rsidRPr="00C96E08">
        <w:rPr>
          <w:shd w:val="clear" w:color="auto" w:fill="FFFFFF"/>
        </w:rPr>
        <w:t xml:space="preserve"> </w:t>
      </w:r>
      <w:r w:rsidR="00C96E08" w:rsidRPr="00C96E08">
        <w:rPr>
          <w:shd w:val="clear" w:color="auto" w:fill="FFFFFF"/>
        </w:rPr>
        <w:t>přednost</w:t>
      </w:r>
      <w:r w:rsidR="009F530F" w:rsidRPr="00C96E08">
        <w:rPr>
          <w:shd w:val="clear" w:color="auto" w:fill="FFFFFF"/>
        </w:rPr>
        <w:t xml:space="preserve"> </w:t>
      </w:r>
      <w:r w:rsidR="00B14DD8" w:rsidRPr="00C96E08">
        <w:rPr>
          <w:shd w:val="clear" w:color="auto" w:fill="FFFFFF"/>
        </w:rPr>
        <w:t xml:space="preserve">použití výkladového pravidla v § 1494 odst. 2 NOZ </w:t>
      </w:r>
      <w:r w:rsidR="009F530F" w:rsidRPr="00C96E08">
        <w:rPr>
          <w:shd w:val="clear" w:color="auto" w:fill="FFFFFF"/>
        </w:rPr>
        <w:t xml:space="preserve">před aplikací § 3070 NOZ </w:t>
      </w:r>
      <w:r w:rsidR="00B14DD8" w:rsidRPr="00C96E08">
        <w:rPr>
          <w:shd w:val="clear" w:color="auto" w:fill="FFFFFF"/>
        </w:rPr>
        <w:t>tak, aby se maximálně vyhovělo vůli zůstavitele</w:t>
      </w:r>
      <w:r w:rsidR="00852AD8" w:rsidRPr="00C96E08">
        <w:rPr>
          <w:shd w:val="clear" w:color="auto" w:fill="FFFFFF"/>
        </w:rPr>
        <w:t>.</w:t>
      </w:r>
      <w:r w:rsidR="00852AD8">
        <w:rPr>
          <w:shd w:val="clear" w:color="auto" w:fill="FFFFFF"/>
        </w:rPr>
        <w:t xml:space="preserve"> </w:t>
      </w:r>
      <w:r w:rsidR="00402063" w:rsidRPr="00307E7B">
        <w:rPr>
          <w:shd w:val="clear" w:color="auto" w:fill="FFFFFF"/>
        </w:rPr>
        <w:t xml:space="preserve">Zřízení </w:t>
      </w:r>
      <w:r w:rsidR="00E44713" w:rsidRPr="00307E7B">
        <w:rPr>
          <w:shd w:val="clear" w:color="auto" w:fill="FFFFFF"/>
        </w:rPr>
        <w:t xml:space="preserve">odkazu by bylo možno </w:t>
      </w:r>
      <w:r w:rsidR="00E44713" w:rsidRPr="00307E7B">
        <w:rPr>
          <w:shd w:val="clear" w:color="auto" w:fill="FFFFFF"/>
        </w:rPr>
        <w:lastRenderedPageBreak/>
        <w:t>připustit</w:t>
      </w:r>
      <w:r w:rsidR="00197029" w:rsidRPr="00307E7B">
        <w:rPr>
          <w:shd w:val="clear" w:color="auto" w:fill="FFFFFF"/>
        </w:rPr>
        <w:t xml:space="preserve"> </w:t>
      </w:r>
      <w:r w:rsidR="00402063" w:rsidRPr="00307E7B">
        <w:rPr>
          <w:shd w:val="clear" w:color="auto" w:fill="FFFFFF"/>
        </w:rPr>
        <w:t>z</w:t>
      </w:r>
      <w:r w:rsidR="003B6CCF" w:rsidRPr="00307E7B">
        <w:rPr>
          <w:shd w:val="clear" w:color="auto" w:fill="FFFFFF"/>
        </w:rPr>
        <w:t>cela v</w:t>
      </w:r>
      <w:r w:rsidR="00402063" w:rsidRPr="00307E7B">
        <w:rPr>
          <w:shd w:val="clear" w:color="auto" w:fill="FFFFFF"/>
        </w:rPr>
        <w:t xml:space="preserve">ýjimečně i </w:t>
      </w:r>
      <w:r w:rsidR="00500945" w:rsidRPr="00307E7B">
        <w:rPr>
          <w:shd w:val="clear" w:color="auto" w:fill="FFFFFF"/>
        </w:rPr>
        <w:t>za účinnosti OZ64 a to</w:t>
      </w:r>
      <w:r w:rsidR="003B6CCF" w:rsidRPr="00307E7B">
        <w:rPr>
          <w:shd w:val="clear" w:color="auto" w:fill="FFFFFF"/>
        </w:rPr>
        <w:t xml:space="preserve"> způsobem, který </w:t>
      </w:r>
      <w:r w:rsidR="00E44713" w:rsidRPr="00307E7B">
        <w:rPr>
          <w:shd w:val="clear" w:color="auto" w:fill="FFFFFF"/>
        </w:rPr>
        <w:t>by podle § 1594 NOZ nevzbuzoval pochybnost</w:t>
      </w:r>
      <w:r w:rsidR="003B6CCF" w:rsidRPr="00307E7B">
        <w:rPr>
          <w:shd w:val="clear" w:color="auto" w:fill="FFFFFF"/>
        </w:rPr>
        <w:t xml:space="preserve"> o zřízení odkazu.</w:t>
      </w:r>
      <w:r w:rsidR="00500945" w:rsidRPr="00307E7B">
        <w:rPr>
          <w:rStyle w:val="Znakapoznpodarou"/>
          <w:shd w:val="clear" w:color="auto" w:fill="FFFFFF"/>
        </w:rPr>
        <w:footnoteReference w:id="133"/>
      </w:r>
    </w:p>
    <w:p w:rsidR="005212DC" w:rsidRDefault="00C96E08" w:rsidP="00754285">
      <w:pPr>
        <w:pStyle w:val="DiplTEXT"/>
        <w:spacing w:after="0"/>
        <w:ind w:firstLine="709"/>
        <w:rPr>
          <w:shd w:val="clear" w:color="auto" w:fill="FFFFFF"/>
        </w:rPr>
      </w:pPr>
      <w:r>
        <w:rPr>
          <w:shd w:val="clear" w:color="auto" w:fill="FFFFFF"/>
        </w:rPr>
        <w:t xml:space="preserve">Rozlišení dědice od </w:t>
      </w:r>
      <w:proofErr w:type="spellStart"/>
      <w:r>
        <w:rPr>
          <w:shd w:val="clear" w:color="auto" w:fill="FFFFFF"/>
        </w:rPr>
        <w:t>odkazovníka</w:t>
      </w:r>
      <w:proofErr w:type="spellEnd"/>
      <w:r>
        <w:rPr>
          <w:shd w:val="clear" w:color="auto" w:fill="FFFFFF"/>
        </w:rPr>
        <w:t xml:space="preserve"> zůstává problematickým aspektem dědění </w:t>
      </w:r>
      <w:r w:rsidR="00BC4726">
        <w:rPr>
          <w:shd w:val="clear" w:color="auto" w:fill="FFFFFF"/>
        </w:rPr>
        <w:t>i pro</w:t>
      </w:r>
      <w:r>
        <w:rPr>
          <w:shd w:val="clear" w:color="auto" w:fill="FFFFFF"/>
        </w:rPr>
        <w:t xml:space="preserve"> závěti </w:t>
      </w:r>
      <w:r w:rsidR="00BC4726">
        <w:rPr>
          <w:shd w:val="clear" w:color="auto" w:fill="FFFFFF"/>
        </w:rPr>
        <w:t>sepsané po nabytí</w:t>
      </w:r>
      <w:r w:rsidR="00867B23">
        <w:rPr>
          <w:shd w:val="clear" w:color="auto" w:fill="FFFFFF"/>
        </w:rPr>
        <w:t xml:space="preserve"> ú</w:t>
      </w:r>
      <w:r w:rsidR="00B33EBA">
        <w:rPr>
          <w:shd w:val="clear" w:color="auto" w:fill="FFFFFF"/>
        </w:rPr>
        <w:t>činnosti NOZ. N</w:t>
      </w:r>
      <w:r w:rsidR="001534B0">
        <w:rPr>
          <w:shd w:val="clear" w:color="auto" w:fill="FFFFFF"/>
        </w:rPr>
        <w:t xml:space="preserve">a rozdíl od § 477 OZ64 </w:t>
      </w:r>
      <w:r w:rsidR="00F169F5">
        <w:rPr>
          <w:shd w:val="clear" w:color="auto" w:fill="FFFFFF"/>
        </w:rPr>
        <w:t xml:space="preserve">právní úprava </w:t>
      </w:r>
      <w:r w:rsidR="00754285">
        <w:rPr>
          <w:shd w:val="clear" w:color="auto" w:fill="FFFFFF"/>
        </w:rPr>
        <w:t xml:space="preserve">závěti </w:t>
      </w:r>
      <w:r w:rsidR="00F169F5">
        <w:rPr>
          <w:shd w:val="clear" w:color="auto" w:fill="FFFFFF"/>
        </w:rPr>
        <w:t xml:space="preserve">v NOZ </w:t>
      </w:r>
      <w:r w:rsidR="00DA6679">
        <w:rPr>
          <w:shd w:val="clear" w:color="auto" w:fill="FFFFFF"/>
        </w:rPr>
        <w:t xml:space="preserve">výslovně </w:t>
      </w:r>
      <w:r w:rsidR="003A4620">
        <w:rPr>
          <w:shd w:val="clear" w:color="auto" w:fill="FFFFFF"/>
        </w:rPr>
        <w:t xml:space="preserve">neuvádí </w:t>
      </w:r>
      <w:r w:rsidR="001534B0">
        <w:rPr>
          <w:shd w:val="clear" w:color="auto" w:fill="FFFFFF"/>
        </w:rPr>
        <w:t>možnost povolat dědice k jednotlivým věcem nebo právům</w:t>
      </w:r>
      <w:r w:rsidR="00F169F5">
        <w:rPr>
          <w:shd w:val="clear" w:color="auto" w:fill="FFFFFF"/>
        </w:rPr>
        <w:t>,</w:t>
      </w:r>
      <w:r w:rsidR="003B1AFE">
        <w:rPr>
          <w:shd w:val="clear" w:color="auto" w:fill="FFFFFF"/>
        </w:rPr>
        <w:t xml:space="preserve"> přičemž</w:t>
      </w:r>
      <w:r w:rsidR="003A4620">
        <w:rPr>
          <w:shd w:val="clear" w:color="auto" w:fill="FFFFFF"/>
        </w:rPr>
        <w:t xml:space="preserve"> o</w:t>
      </w:r>
      <w:r w:rsidR="00F169F5">
        <w:rPr>
          <w:shd w:val="clear" w:color="auto" w:fill="FFFFFF"/>
        </w:rPr>
        <w:t> </w:t>
      </w:r>
      <w:r w:rsidR="00244046">
        <w:rPr>
          <w:shd w:val="clear" w:color="auto" w:fill="FFFFFF"/>
        </w:rPr>
        <w:t>přidělení</w:t>
      </w:r>
      <w:r w:rsidR="00F169F5">
        <w:rPr>
          <w:shd w:val="clear" w:color="auto" w:fill="FFFFFF"/>
        </w:rPr>
        <w:t xml:space="preserve"> jednotlivé věci </w:t>
      </w:r>
      <w:r w:rsidR="004A1B49">
        <w:rPr>
          <w:shd w:val="clear" w:color="auto" w:fill="FFFFFF"/>
        </w:rPr>
        <w:t xml:space="preserve">dědicům ze </w:t>
      </w:r>
      <w:r w:rsidR="00F169F5">
        <w:rPr>
          <w:shd w:val="clear" w:color="auto" w:fill="FFFFFF"/>
        </w:rPr>
        <w:t xml:space="preserve">jmění </w:t>
      </w:r>
      <w:r w:rsidR="004A1B49">
        <w:rPr>
          <w:shd w:val="clear" w:color="auto" w:fill="FFFFFF"/>
        </w:rPr>
        <w:t xml:space="preserve">zůstavitele </w:t>
      </w:r>
      <w:r w:rsidR="003A4620">
        <w:rPr>
          <w:shd w:val="clear" w:color="auto" w:fill="FFFFFF"/>
        </w:rPr>
        <w:t>se zmiňuje</w:t>
      </w:r>
      <w:r w:rsidR="003B1AFE">
        <w:rPr>
          <w:shd w:val="clear" w:color="auto" w:fill="FFFFFF"/>
        </w:rPr>
        <w:t xml:space="preserve"> </w:t>
      </w:r>
      <w:r w:rsidR="003A4620">
        <w:rPr>
          <w:shd w:val="clear" w:color="auto" w:fill="FFFFFF"/>
        </w:rPr>
        <w:t xml:space="preserve">až </w:t>
      </w:r>
      <w:r w:rsidR="00A25502">
        <w:rPr>
          <w:shd w:val="clear" w:color="auto" w:fill="FFFFFF"/>
        </w:rPr>
        <w:t>§ 1694 odst. 2</w:t>
      </w:r>
      <w:r w:rsidR="00B96A77">
        <w:rPr>
          <w:shd w:val="clear" w:color="auto" w:fill="FFFFFF"/>
        </w:rPr>
        <w:t> </w:t>
      </w:r>
      <w:r w:rsidR="00F169F5">
        <w:rPr>
          <w:shd w:val="clear" w:color="auto" w:fill="FFFFFF"/>
        </w:rPr>
        <w:t>NOZ. </w:t>
      </w:r>
      <w:r w:rsidR="00244046">
        <w:rPr>
          <w:shd w:val="clear" w:color="auto" w:fill="FFFFFF"/>
        </w:rPr>
        <w:t xml:space="preserve">To může vést k závěru, že pokud zůstavitel v závěti povolá určitou osobu k jednotlivé věci nebo právu a přitom použije formulaci „odkazuji“, půjde vždy o odkaz ve smyslu § 1594 NOZ. K jednotlivé věci nebo právu </w:t>
      </w:r>
      <w:r w:rsidR="005212DC">
        <w:rPr>
          <w:shd w:val="clear" w:color="auto" w:fill="FFFFFF"/>
        </w:rPr>
        <w:t xml:space="preserve">však </w:t>
      </w:r>
      <w:r w:rsidR="00244046">
        <w:rPr>
          <w:shd w:val="clear" w:color="auto" w:fill="FFFFFF"/>
        </w:rPr>
        <w:t xml:space="preserve">může zůstavitel v závěti povolat </w:t>
      </w:r>
      <w:r w:rsidR="005212DC">
        <w:rPr>
          <w:shd w:val="clear" w:color="auto" w:fill="FFFFFF"/>
        </w:rPr>
        <w:t>jak dědice, tak i</w:t>
      </w:r>
      <w:r w:rsidR="004F0574">
        <w:t> </w:t>
      </w:r>
      <w:r w:rsidR="005212DC">
        <w:rPr>
          <w:shd w:val="clear" w:color="auto" w:fill="FFFFFF"/>
        </w:rPr>
        <w:t xml:space="preserve"> </w:t>
      </w:r>
      <w:proofErr w:type="spellStart"/>
      <w:r w:rsidR="005212DC">
        <w:rPr>
          <w:shd w:val="clear" w:color="auto" w:fill="FFFFFF"/>
        </w:rPr>
        <w:t>odkazovníka</w:t>
      </w:r>
      <w:proofErr w:type="spellEnd"/>
      <w:r w:rsidR="005212DC">
        <w:rPr>
          <w:shd w:val="clear" w:color="auto" w:fill="FFFFFF"/>
        </w:rPr>
        <w:t>.</w:t>
      </w:r>
      <w:r w:rsidR="008212CC">
        <w:rPr>
          <w:rStyle w:val="Znakapoznpodarou"/>
          <w:shd w:val="clear" w:color="auto" w:fill="FFFFFF"/>
        </w:rPr>
        <w:footnoteReference w:id="134"/>
      </w:r>
    </w:p>
    <w:p w:rsidR="00533421" w:rsidRDefault="00332EEF" w:rsidP="00332EEF">
      <w:pPr>
        <w:pStyle w:val="DiplTEXT"/>
        <w:spacing w:after="0"/>
        <w:ind w:firstLine="567"/>
        <w:rPr>
          <w:shd w:val="clear" w:color="auto" w:fill="FFFFFF"/>
        </w:rPr>
      </w:pPr>
      <w:r>
        <w:rPr>
          <w:shd w:val="clear" w:color="auto" w:fill="FFFFFF"/>
        </w:rPr>
        <w:t xml:space="preserve">Důvodová zpráva k §§ 1594 – 1596 NOZ </w:t>
      </w:r>
      <w:r w:rsidR="00962DB8">
        <w:rPr>
          <w:shd w:val="clear" w:color="auto" w:fill="FFFFFF"/>
        </w:rPr>
        <w:t xml:space="preserve">nabízí výkladové pravidlo </w:t>
      </w:r>
      <w:r w:rsidR="00CB4E17">
        <w:rPr>
          <w:shd w:val="clear" w:color="auto" w:fill="FFFFFF"/>
        </w:rPr>
        <w:t xml:space="preserve">pro odlišení dědice od </w:t>
      </w:r>
      <w:proofErr w:type="spellStart"/>
      <w:r w:rsidR="00CB4E17">
        <w:rPr>
          <w:shd w:val="clear" w:color="auto" w:fill="FFFFFF"/>
        </w:rPr>
        <w:t>odkazovníka</w:t>
      </w:r>
      <w:proofErr w:type="spellEnd"/>
      <w:r w:rsidR="00962DB8">
        <w:rPr>
          <w:shd w:val="clear" w:color="auto" w:fill="FFFFFF"/>
        </w:rPr>
        <w:t>. Odkáže-li zůstavitel</w:t>
      </w:r>
      <w:r w:rsidR="00272E00">
        <w:rPr>
          <w:shd w:val="clear" w:color="auto" w:fill="FFFFFF"/>
        </w:rPr>
        <w:t xml:space="preserve"> konkrétní věci určitým osobám </w:t>
      </w:r>
      <w:r w:rsidR="00962DB8">
        <w:rPr>
          <w:shd w:val="clear" w:color="auto" w:fill="FFFFFF"/>
        </w:rPr>
        <w:t>tak</w:t>
      </w:r>
      <w:r w:rsidR="00272E00">
        <w:rPr>
          <w:shd w:val="clear" w:color="auto" w:fill="FFFFFF"/>
        </w:rPr>
        <w:t>,</w:t>
      </w:r>
      <w:r w:rsidR="00962DB8">
        <w:rPr>
          <w:shd w:val="clear" w:color="auto" w:fill="FFFFFF"/>
        </w:rPr>
        <w:t xml:space="preserve"> že </w:t>
      </w:r>
      <w:r w:rsidR="00272E00">
        <w:rPr>
          <w:shd w:val="clear" w:color="auto" w:fill="FFFFFF"/>
        </w:rPr>
        <w:t xml:space="preserve">tím </w:t>
      </w:r>
      <w:r w:rsidR="00962DB8">
        <w:rPr>
          <w:shd w:val="clear" w:color="auto" w:fill="FFFFFF"/>
        </w:rPr>
        <w:t>v</w:t>
      </w:r>
      <w:r w:rsidR="00A93B9D">
        <w:rPr>
          <w:shd w:val="clear" w:color="auto" w:fill="FFFFFF"/>
        </w:rPr>
        <w:t>yčerpá podstatnou část pozůstalosti</w:t>
      </w:r>
      <w:r w:rsidR="00470F8E">
        <w:rPr>
          <w:shd w:val="clear" w:color="auto" w:fill="FFFFFF"/>
        </w:rPr>
        <w:t xml:space="preserve">, budou tyto </w:t>
      </w:r>
      <w:r w:rsidR="00A93B9D">
        <w:rPr>
          <w:shd w:val="clear" w:color="auto" w:fill="FFFFFF"/>
        </w:rPr>
        <w:t xml:space="preserve">osoby </w:t>
      </w:r>
      <w:r w:rsidR="00470F8E">
        <w:rPr>
          <w:shd w:val="clear" w:color="auto" w:fill="FFFFFF"/>
        </w:rPr>
        <w:t xml:space="preserve">považovány za dědice. </w:t>
      </w:r>
      <w:r w:rsidR="00562FD7">
        <w:rPr>
          <w:shd w:val="clear" w:color="auto" w:fill="FFFFFF"/>
        </w:rPr>
        <w:t>B</w:t>
      </w:r>
      <w:r w:rsidR="00354788">
        <w:rPr>
          <w:shd w:val="clear" w:color="auto" w:fill="FFFFFF"/>
        </w:rPr>
        <w:t xml:space="preserve">ude-li však pozůstalost </w:t>
      </w:r>
      <w:r w:rsidR="002D7658">
        <w:rPr>
          <w:shd w:val="clear" w:color="auto" w:fill="FFFFFF"/>
        </w:rPr>
        <w:t>hodnotou konkrétně určených</w:t>
      </w:r>
      <w:r w:rsidR="00E32E18">
        <w:rPr>
          <w:shd w:val="clear" w:color="auto" w:fill="FFFFFF"/>
        </w:rPr>
        <w:t xml:space="preserve"> věcí </w:t>
      </w:r>
      <w:r w:rsidR="00354788">
        <w:rPr>
          <w:shd w:val="clear" w:color="auto" w:fill="FFFFFF"/>
        </w:rPr>
        <w:t>vyčerpána</w:t>
      </w:r>
      <w:r w:rsidR="00562FD7">
        <w:rPr>
          <w:shd w:val="clear" w:color="auto" w:fill="FFFFFF"/>
        </w:rPr>
        <w:t xml:space="preserve"> pouze z části</w:t>
      </w:r>
      <w:r w:rsidR="00354788">
        <w:rPr>
          <w:shd w:val="clear" w:color="auto" w:fill="FFFFFF"/>
        </w:rPr>
        <w:t xml:space="preserve">, budou </w:t>
      </w:r>
      <w:r w:rsidR="002D7658">
        <w:rPr>
          <w:shd w:val="clear" w:color="auto" w:fill="FFFFFF"/>
        </w:rPr>
        <w:t>subjekty</w:t>
      </w:r>
      <w:r w:rsidR="00354788">
        <w:rPr>
          <w:shd w:val="clear" w:color="auto" w:fill="FFFFFF"/>
        </w:rPr>
        <w:t xml:space="preserve"> </w:t>
      </w:r>
      <w:r w:rsidR="001028E8">
        <w:rPr>
          <w:shd w:val="clear" w:color="auto" w:fill="FFFFFF"/>
        </w:rPr>
        <w:t xml:space="preserve">takto </w:t>
      </w:r>
      <w:r w:rsidR="00354788">
        <w:rPr>
          <w:shd w:val="clear" w:color="auto" w:fill="FFFFFF"/>
        </w:rPr>
        <w:t xml:space="preserve">povolané </w:t>
      </w:r>
      <w:r w:rsidR="002D7658">
        <w:rPr>
          <w:shd w:val="clear" w:color="auto" w:fill="FFFFFF"/>
        </w:rPr>
        <w:t>závětí</w:t>
      </w:r>
      <w:r w:rsidR="00354788">
        <w:rPr>
          <w:shd w:val="clear" w:color="auto" w:fill="FFFFFF"/>
        </w:rPr>
        <w:t xml:space="preserve"> v </w:t>
      </w:r>
      <w:r w:rsidR="00562FD7">
        <w:rPr>
          <w:shd w:val="clear" w:color="auto" w:fill="FFFFFF"/>
        </w:rPr>
        <w:t xml:space="preserve">postavení </w:t>
      </w:r>
      <w:proofErr w:type="spellStart"/>
      <w:r w:rsidR="00562FD7">
        <w:rPr>
          <w:shd w:val="clear" w:color="auto" w:fill="FFFFFF"/>
        </w:rPr>
        <w:t>odkazovníků</w:t>
      </w:r>
      <w:proofErr w:type="spellEnd"/>
      <w:r w:rsidR="00354788">
        <w:rPr>
          <w:shd w:val="clear" w:color="auto" w:fill="FFFFFF"/>
        </w:rPr>
        <w:t>.</w:t>
      </w:r>
      <w:r w:rsidR="00E32E18">
        <w:rPr>
          <w:rStyle w:val="Znakapoznpodarou"/>
          <w:shd w:val="clear" w:color="auto" w:fill="FFFFFF"/>
        </w:rPr>
        <w:footnoteReference w:id="135"/>
      </w:r>
    </w:p>
    <w:p w:rsidR="006E5630" w:rsidRDefault="002803FD" w:rsidP="002803FD">
      <w:pPr>
        <w:pStyle w:val="DiplTEXT"/>
        <w:spacing w:after="0"/>
        <w:ind w:firstLine="567"/>
        <w:rPr>
          <w:shd w:val="clear" w:color="auto" w:fill="FFFFFF"/>
        </w:rPr>
      </w:pPr>
      <w:r w:rsidRPr="002803FD">
        <w:rPr>
          <w:shd w:val="clear" w:color="auto" w:fill="FFFFFF"/>
        </w:rPr>
        <w:t>Poněvadž je poměr dědictví a odkazu tradičně spornou záležitostí, nemělo by se vycházet při řešení této otázky pouze z jed</w:t>
      </w:r>
      <w:r w:rsidR="00676758">
        <w:rPr>
          <w:shd w:val="clear" w:color="auto" w:fill="FFFFFF"/>
        </w:rPr>
        <w:t>iné</w:t>
      </w:r>
      <w:r>
        <w:rPr>
          <w:shd w:val="clear" w:color="auto" w:fill="FFFFFF"/>
        </w:rPr>
        <w:t>ho krité</w:t>
      </w:r>
      <w:r w:rsidR="00164389">
        <w:rPr>
          <w:shd w:val="clear" w:color="auto" w:fill="FFFFFF"/>
        </w:rPr>
        <w:t>ria.</w:t>
      </w:r>
      <w:r w:rsidR="001C288D">
        <w:rPr>
          <w:rStyle w:val="Znakapoznpodarou"/>
          <w:shd w:val="clear" w:color="auto" w:fill="FFFFFF"/>
        </w:rPr>
        <w:footnoteReference w:id="136"/>
      </w:r>
      <w:r w:rsidR="00676758">
        <w:rPr>
          <w:shd w:val="clear" w:color="auto" w:fill="FFFFFF"/>
        </w:rPr>
        <w:t xml:space="preserve"> </w:t>
      </w:r>
      <w:r w:rsidR="00ED4C37">
        <w:rPr>
          <w:shd w:val="clear" w:color="auto" w:fill="FFFFFF"/>
        </w:rPr>
        <w:t>O.</w:t>
      </w:r>
      <w:r w:rsidRPr="002803FD">
        <w:rPr>
          <w:shd w:val="clear" w:color="auto" w:fill="FFFFFF"/>
        </w:rPr>
        <w:t xml:space="preserve"> Horák nabízí </w:t>
      </w:r>
      <w:r w:rsidR="00890CC8">
        <w:rPr>
          <w:shd w:val="clear" w:color="auto" w:fill="FFFFFF"/>
        </w:rPr>
        <w:t xml:space="preserve">jako </w:t>
      </w:r>
      <w:r w:rsidRPr="002803FD">
        <w:rPr>
          <w:shd w:val="clear" w:color="auto" w:fill="FFFFFF"/>
        </w:rPr>
        <w:t>výkladové východisko prioritu dědění před odkazem s tím, že nepřesně vyjádřený úmysl zůstavitele je možno vyložit podle hodnoty jednotlivě určené věci ve vztahu k hodnotě celé pozůstalost</w:t>
      </w:r>
      <w:r w:rsidR="006E5630">
        <w:rPr>
          <w:shd w:val="clear" w:color="auto" w:fill="FFFFFF"/>
        </w:rPr>
        <w:t>i, přičemž rozhraničujícím krité</w:t>
      </w:r>
      <w:r w:rsidRPr="002803FD">
        <w:rPr>
          <w:shd w:val="clear" w:color="auto" w:fill="FFFFFF"/>
        </w:rPr>
        <w:t xml:space="preserve">riem může být </w:t>
      </w:r>
      <w:proofErr w:type="spellStart"/>
      <w:r w:rsidRPr="002803FD">
        <w:rPr>
          <w:shd w:val="clear" w:color="auto" w:fill="FFFFFF"/>
        </w:rPr>
        <w:t>falcidiánská</w:t>
      </w:r>
      <w:proofErr w:type="spellEnd"/>
      <w:r w:rsidRPr="002803FD">
        <w:rPr>
          <w:shd w:val="clear" w:color="auto" w:fill="FFFFFF"/>
        </w:rPr>
        <w:t xml:space="preserve"> kvarta. Z toho vyplývá, že věc nižší hodnoty bude mít charakter odkazu, přičemž věc vyšší hodnoty bude považována</w:t>
      </w:r>
      <w:r w:rsidR="006E5630">
        <w:rPr>
          <w:shd w:val="clear" w:color="auto" w:fill="FFFFFF"/>
        </w:rPr>
        <w:t xml:space="preserve"> za dědění. Použití tohoto krité</w:t>
      </w:r>
      <w:r w:rsidRPr="002803FD">
        <w:rPr>
          <w:shd w:val="clear" w:color="auto" w:fill="FFFFFF"/>
        </w:rPr>
        <w:t>ria by mohlo v některých případech vést k odlišným závěrům o</w:t>
      </w:r>
      <w:r w:rsidR="00B96A77">
        <w:rPr>
          <w:shd w:val="clear" w:color="auto" w:fill="FFFFFF"/>
        </w:rPr>
        <w:t> </w:t>
      </w:r>
      <w:r w:rsidRPr="002803FD">
        <w:rPr>
          <w:shd w:val="clear" w:color="auto" w:fill="FFFFFF"/>
        </w:rPr>
        <w:t xml:space="preserve">tom, kdo je dědicem a kdo </w:t>
      </w:r>
      <w:proofErr w:type="spellStart"/>
      <w:r w:rsidRPr="002803FD">
        <w:rPr>
          <w:shd w:val="clear" w:color="auto" w:fill="FFFFFF"/>
        </w:rPr>
        <w:t>odk</w:t>
      </w:r>
      <w:r w:rsidR="005E5E0E">
        <w:rPr>
          <w:shd w:val="clear" w:color="auto" w:fill="FFFFFF"/>
        </w:rPr>
        <w:t>azovníkem</w:t>
      </w:r>
      <w:proofErr w:type="spellEnd"/>
      <w:r w:rsidR="005E5E0E">
        <w:rPr>
          <w:shd w:val="clear" w:color="auto" w:fill="FFFFFF"/>
        </w:rPr>
        <w:t>.</w:t>
      </w:r>
      <w:r w:rsidR="006E5630">
        <w:rPr>
          <w:rStyle w:val="Znakapoznpodarou"/>
          <w:shd w:val="clear" w:color="auto" w:fill="FFFFFF"/>
        </w:rPr>
        <w:footnoteReference w:id="137"/>
      </w:r>
      <w:r w:rsidR="00E71D58">
        <w:rPr>
          <w:shd w:val="clear" w:color="auto" w:fill="FFFFFF"/>
        </w:rPr>
        <w:t xml:space="preserve"> </w:t>
      </w:r>
      <w:r w:rsidRPr="002803FD">
        <w:rPr>
          <w:shd w:val="clear" w:color="auto" w:fill="FFFFFF"/>
        </w:rPr>
        <w:t>Posouzení toho, jaké kritérium bude s</w:t>
      </w:r>
      <w:r w:rsidR="00B96A77">
        <w:rPr>
          <w:shd w:val="clear" w:color="auto" w:fill="FFFFFF"/>
        </w:rPr>
        <w:t> </w:t>
      </w:r>
      <w:r w:rsidRPr="002803FD">
        <w:rPr>
          <w:shd w:val="clear" w:color="auto" w:fill="FFFFFF"/>
        </w:rPr>
        <w:t xml:space="preserve">ohledem na konkrétní okolnosti aplikováno, bude </w:t>
      </w:r>
      <w:r w:rsidR="0058775A">
        <w:rPr>
          <w:shd w:val="clear" w:color="auto" w:fill="FFFFFF"/>
        </w:rPr>
        <w:t xml:space="preserve">nepochybně </w:t>
      </w:r>
      <w:r w:rsidRPr="002803FD">
        <w:rPr>
          <w:shd w:val="clear" w:color="auto" w:fill="FFFFFF"/>
        </w:rPr>
        <w:t>předmět</w:t>
      </w:r>
      <w:r w:rsidR="006E5630">
        <w:rPr>
          <w:shd w:val="clear" w:color="auto" w:fill="FFFFFF"/>
        </w:rPr>
        <w:t xml:space="preserve">em </w:t>
      </w:r>
      <w:r w:rsidR="003D1508">
        <w:rPr>
          <w:shd w:val="clear" w:color="auto" w:fill="FFFFFF"/>
        </w:rPr>
        <w:t xml:space="preserve">budoucí </w:t>
      </w:r>
      <w:r w:rsidR="006E5630">
        <w:rPr>
          <w:shd w:val="clear" w:color="auto" w:fill="FFFFFF"/>
        </w:rPr>
        <w:t>judikaturní činnosti soudů.</w:t>
      </w:r>
    </w:p>
    <w:p w:rsidR="002803FD" w:rsidRPr="002803FD" w:rsidRDefault="002803FD" w:rsidP="002803FD">
      <w:pPr>
        <w:pStyle w:val="DiplTEXT"/>
        <w:spacing w:after="0"/>
        <w:ind w:firstLine="567"/>
        <w:rPr>
          <w:shd w:val="clear" w:color="auto" w:fill="FFFFFF"/>
        </w:rPr>
      </w:pPr>
      <w:r w:rsidRPr="002803FD">
        <w:rPr>
          <w:shd w:val="clear" w:color="auto" w:fill="FFFFFF"/>
        </w:rPr>
        <w:t xml:space="preserve">Vzhledem k tomu, že na rozdíl od OZO přijal NOZ v § 1598 </w:t>
      </w:r>
      <w:proofErr w:type="spellStart"/>
      <w:r w:rsidRPr="002803FD">
        <w:rPr>
          <w:shd w:val="clear" w:color="auto" w:fill="FFFFFF"/>
        </w:rPr>
        <w:t>falcidiánskou</w:t>
      </w:r>
      <w:proofErr w:type="spellEnd"/>
      <w:r w:rsidRPr="002803FD">
        <w:rPr>
          <w:shd w:val="clear" w:color="auto" w:fill="FFFFFF"/>
        </w:rPr>
        <w:t xml:space="preserve">  kvartu, lze předvídat další výkladové komplikace a nejasnosti. NOZ používá pravidlo kvarty na všechny dědice bez omezení.  Mohlo by se například stát, že vůle zůstavitele by nemusela být plně naplněna v situaci, kdy nemá žádné blízké příbuzné a odkáže konkrétní věc tvořící celý jeho </w:t>
      </w:r>
      <w:r w:rsidRPr="002803FD">
        <w:rPr>
          <w:shd w:val="clear" w:color="auto" w:fill="FFFFFF"/>
        </w:rPr>
        <w:lastRenderedPageBreak/>
        <w:t>majetek určité osobě, takže čtvrtinový podíl na pozůstalosti by musel povinně připadnout jeho vzdálenému zákonnému dědici. Jedním z řešení by mohlo být zákonné omezení kvarty jen na nejbližší zákonné dědice (na</w:t>
      </w:r>
      <w:r w:rsidR="00397449">
        <w:rPr>
          <w:shd w:val="clear" w:color="auto" w:fill="FFFFFF"/>
        </w:rPr>
        <w:t>př. 1. a 2. třídy).</w:t>
      </w:r>
      <w:r w:rsidR="00397449">
        <w:rPr>
          <w:rStyle w:val="Znakapoznpodarou"/>
          <w:shd w:val="clear" w:color="auto" w:fill="FFFFFF"/>
        </w:rPr>
        <w:footnoteReference w:id="138"/>
      </w:r>
      <w:r w:rsidR="00397449">
        <w:rPr>
          <w:shd w:val="clear" w:color="auto" w:fill="FFFFFF"/>
        </w:rPr>
        <w:t xml:space="preserve"> S tímto </w:t>
      </w:r>
      <w:r w:rsidRPr="002803FD">
        <w:rPr>
          <w:shd w:val="clear" w:color="auto" w:fill="FFFFFF"/>
        </w:rPr>
        <w:t>názorem je možno se ztotožnit, poněvadž ponechání takové ochrany jen pro nejbližší dědice zůstavitele lépe odpovídá spravedlivému uspořádání mezigeneračních vztahů.</w:t>
      </w:r>
    </w:p>
    <w:p w:rsidR="002803FD" w:rsidRPr="002803FD" w:rsidRDefault="002803FD" w:rsidP="002803FD">
      <w:pPr>
        <w:pStyle w:val="DiplTEXT"/>
        <w:spacing w:after="0"/>
        <w:ind w:firstLine="567"/>
        <w:rPr>
          <w:shd w:val="clear" w:color="auto" w:fill="FFFFFF"/>
        </w:rPr>
      </w:pPr>
      <w:r w:rsidRPr="002803FD">
        <w:rPr>
          <w:shd w:val="clear" w:color="auto" w:fill="FFFFFF"/>
        </w:rPr>
        <w:t xml:space="preserve">Odlišení osoby </w:t>
      </w:r>
      <w:proofErr w:type="spellStart"/>
      <w:r w:rsidRPr="002803FD">
        <w:rPr>
          <w:shd w:val="clear" w:color="auto" w:fill="FFFFFF"/>
        </w:rPr>
        <w:t>odkazovníka</w:t>
      </w:r>
      <w:proofErr w:type="spellEnd"/>
      <w:r w:rsidRPr="002803FD">
        <w:rPr>
          <w:shd w:val="clear" w:color="auto" w:fill="FFFFFF"/>
        </w:rPr>
        <w:t xml:space="preserve"> od dědice je natolik klíčové, že dokonce podmiňuje vydání usnesení v řízení o pozůstalosti. Dědictví bude totiž dědicům potvrzeno až poté</w:t>
      </w:r>
      <w:r w:rsidR="00350B92">
        <w:rPr>
          <w:shd w:val="clear" w:color="auto" w:fill="FFFFFF"/>
        </w:rPr>
        <w:t>,</w:t>
      </w:r>
      <w:r w:rsidRPr="002803FD">
        <w:rPr>
          <w:shd w:val="clear" w:color="auto" w:fill="FFFFFF"/>
        </w:rPr>
        <w:t xml:space="preserve"> co budou podle § 1691 NOZ splněny povinnosti vůči </w:t>
      </w:r>
      <w:proofErr w:type="spellStart"/>
      <w:r w:rsidRPr="002803FD">
        <w:rPr>
          <w:shd w:val="clear" w:color="auto" w:fill="FFFFFF"/>
        </w:rPr>
        <w:t>odkazovníkům</w:t>
      </w:r>
      <w:proofErr w:type="spellEnd"/>
      <w:r w:rsidRPr="002803FD">
        <w:rPr>
          <w:shd w:val="clear" w:color="auto" w:fill="FFFFFF"/>
        </w:rPr>
        <w:t xml:space="preserve">. Postavení </w:t>
      </w:r>
      <w:proofErr w:type="spellStart"/>
      <w:r w:rsidRPr="002803FD">
        <w:rPr>
          <w:shd w:val="clear" w:color="auto" w:fill="FFFFFF"/>
        </w:rPr>
        <w:t>odkazovníka</w:t>
      </w:r>
      <w:proofErr w:type="spellEnd"/>
      <w:r w:rsidRPr="002803FD">
        <w:rPr>
          <w:shd w:val="clear" w:color="auto" w:fill="FFFFFF"/>
        </w:rPr>
        <w:t xml:space="preserve"> je na rozdíl o</w:t>
      </w:r>
      <w:r w:rsidR="004F0574">
        <w:t> </w:t>
      </w:r>
      <w:r w:rsidRPr="002803FD">
        <w:rPr>
          <w:shd w:val="clear" w:color="auto" w:fill="FFFFFF"/>
        </w:rPr>
        <w:t xml:space="preserve"> dědice výhodnější, protože se nemusí podílet na dluzích zůstavitele (§ 1701 NOZ). Pořídil-li zůstavitel ve prospěch více osob, může proto některá z nich tvrdit, že je </w:t>
      </w:r>
      <w:proofErr w:type="spellStart"/>
      <w:r w:rsidRPr="002803FD">
        <w:rPr>
          <w:shd w:val="clear" w:color="auto" w:fill="FFFFFF"/>
        </w:rPr>
        <w:t>odkazovníkem</w:t>
      </w:r>
      <w:proofErr w:type="spellEnd"/>
      <w:r w:rsidRPr="002803FD">
        <w:rPr>
          <w:shd w:val="clear" w:color="auto" w:fill="FFFFFF"/>
        </w:rPr>
        <w:t xml:space="preserve">, nikoliv dědicem. Je </w:t>
      </w:r>
      <w:r w:rsidR="00397449">
        <w:rPr>
          <w:shd w:val="clear" w:color="auto" w:fill="FFFFFF"/>
        </w:rPr>
        <w:t xml:space="preserve">tedy </w:t>
      </w:r>
      <w:r w:rsidRPr="002803FD">
        <w:rPr>
          <w:shd w:val="clear" w:color="auto" w:fill="FFFFFF"/>
        </w:rPr>
        <w:t>otázkou, jakým způsobem bude tento problém v</w:t>
      </w:r>
      <w:r w:rsidR="00B96A77">
        <w:rPr>
          <w:shd w:val="clear" w:color="auto" w:fill="FFFFFF"/>
        </w:rPr>
        <w:t> </w:t>
      </w:r>
      <w:r w:rsidRPr="002803FD">
        <w:rPr>
          <w:shd w:val="clear" w:color="auto" w:fill="FFFFFF"/>
        </w:rPr>
        <w:t>rámci řízení o</w:t>
      </w:r>
      <w:r w:rsidR="004F0574">
        <w:t> </w:t>
      </w:r>
      <w:r w:rsidRPr="002803FD">
        <w:rPr>
          <w:shd w:val="clear" w:color="auto" w:fill="FFFFFF"/>
        </w:rPr>
        <w:t xml:space="preserve">pozůstalosti vyřešen, když takové osobě nelze nařídit, aby se domáhala určení toho, že je </w:t>
      </w:r>
      <w:proofErr w:type="spellStart"/>
      <w:r w:rsidRPr="002803FD">
        <w:rPr>
          <w:shd w:val="clear" w:color="auto" w:fill="FFFFFF"/>
        </w:rPr>
        <w:t>odkazovníkem</w:t>
      </w:r>
      <w:proofErr w:type="spellEnd"/>
      <w:r w:rsidRPr="002803FD">
        <w:rPr>
          <w:shd w:val="clear" w:color="auto" w:fill="FFFFFF"/>
        </w:rPr>
        <w:t xml:space="preserve">, protože § 1672 NOZ mluví pouze o sporech o dědické právo. </w:t>
      </w:r>
    </w:p>
    <w:p w:rsidR="002803FD" w:rsidRPr="00EC41B0" w:rsidRDefault="002803FD" w:rsidP="002803FD">
      <w:pPr>
        <w:pStyle w:val="DiplTEXT"/>
        <w:spacing w:after="0"/>
        <w:ind w:firstLine="567"/>
        <w:rPr>
          <w:shd w:val="clear" w:color="auto" w:fill="FFFFFF"/>
        </w:rPr>
      </w:pPr>
      <w:r w:rsidRPr="00EC41B0">
        <w:rPr>
          <w:shd w:val="clear" w:color="auto" w:fill="FFFFFF"/>
        </w:rPr>
        <w:t>Aby se předešlo výkladovým nejasnostem</w:t>
      </w:r>
      <w:r w:rsidR="007D7288" w:rsidRPr="00EC41B0">
        <w:rPr>
          <w:shd w:val="clear" w:color="auto" w:fill="FFFFFF"/>
        </w:rPr>
        <w:t xml:space="preserve"> a budoucím sporům o dědické právo</w:t>
      </w:r>
      <w:r w:rsidRPr="00EC41B0">
        <w:rPr>
          <w:shd w:val="clear" w:color="auto" w:fill="FFFFFF"/>
        </w:rPr>
        <w:t xml:space="preserve">, </w:t>
      </w:r>
      <w:r w:rsidR="00546AB4" w:rsidRPr="00EC41B0">
        <w:rPr>
          <w:shd w:val="clear" w:color="auto" w:fill="FFFFFF"/>
        </w:rPr>
        <w:t>je nutné</w:t>
      </w:r>
      <w:r w:rsidR="001B59E0" w:rsidRPr="00EC41B0">
        <w:rPr>
          <w:shd w:val="clear" w:color="auto" w:fill="FFFFFF"/>
        </w:rPr>
        <w:t xml:space="preserve">, aby zůstavitel </w:t>
      </w:r>
      <w:r w:rsidR="00693ACD" w:rsidRPr="00EC41B0">
        <w:rPr>
          <w:shd w:val="clear" w:color="auto" w:fill="FFFFFF"/>
        </w:rPr>
        <w:t xml:space="preserve">– právní laik – </w:t>
      </w:r>
      <w:r w:rsidR="001B59E0" w:rsidRPr="00EC41B0">
        <w:rPr>
          <w:shd w:val="clear" w:color="auto" w:fill="FFFFFF"/>
        </w:rPr>
        <w:t>formuloval svou skutečnou</w:t>
      </w:r>
      <w:r w:rsidR="00C4152C" w:rsidRPr="00EC41B0">
        <w:rPr>
          <w:shd w:val="clear" w:color="auto" w:fill="FFFFFF"/>
        </w:rPr>
        <w:t xml:space="preserve"> </w:t>
      </w:r>
      <w:r w:rsidR="001B59E0" w:rsidRPr="00EC41B0">
        <w:rPr>
          <w:shd w:val="clear" w:color="auto" w:fill="FFFFFF"/>
        </w:rPr>
        <w:t xml:space="preserve">poslední vůli </w:t>
      </w:r>
      <w:r w:rsidRPr="00EC41B0">
        <w:rPr>
          <w:shd w:val="clear" w:color="auto" w:fill="FFFFFF"/>
        </w:rPr>
        <w:t>jednoznačně</w:t>
      </w:r>
      <w:r w:rsidR="00C4152C" w:rsidRPr="00EC41B0">
        <w:rPr>
          <w:shd w:val="clear" w:color="auto" w:fill="FFFFFF"/>
        </w:rPr>
        <w:t xml:space="preserve">. </w:t>
      </w:r>
      <w:r w:rsidR="00693ACD" w:rsidRPr="00EC41B0">
        <w:rPr>
          <w:shd w:val="clear" w:color="auto" w:fill="FFFFFF"/>
        </w:rPr>
        <w:t xml:space="preserve">Zvýšenou pozornost by důslednému odlišení dědice od </w:t>
      </w:r>
      <w:proofErr w:type="spellStart"/>
      <w:r w:rsidR="00693ACD" w:rsidRPr="00EC41B0">
        <w:rPr>
          <w:shd w:val="clear" w:color="auto" w:fill="FFFFFF"/>
        </w:rPr>
        <w:t>odkazovníka</w:t>
      </w:r>
      <w:proofErr w:type="spellEnd"/>
      <w:r w:rsidR="008C258D" w:rsidRPr="00EC41B0">
        <w:rPr>
          <w:shd w:val="clear" w:color="auto" w:fill="FFFFFF"/>
        </w:rPr>
        <w:t xml:space="preserve"> měli věnov</w:t>
      </w:r>
      <w:r w:rsidR="006161EE" w:rsidRPr="00EC41B0">
        <w:rPr>
          <w:shd w:val="clear" w:color="auto" w:fill="FFFFFF"/>
        </w:rPr>
        <w:t>at i</w:t>
      </w:r>
      <w:r w:rsidR="00B96A77">
        <w:rPr>
          <w:shd w:val="clear" w:color="auto" w:fill="FFFFFF"/>
        </w:rPr>
        <w:t> </w:t>
      </w:r>
      <w:r w:rsidR="008C258D" w:rsidRPr="00EC41B0">
        <w:rPr>
          <w:shd w:val="clear" w:color="auto" w:fill="FFFFFF"/>
        </w:rPr>
        <w:t>profesionálové</w:t>
      </w:r>
      <w:r w:rsidR="006161EE" w:rsidRPr="00EC41B0">
        <w:rPr>
          <w:shd w:val="clear" w:color="auto" w:fill="FFFFFF"/>
        </w:rPr>
        <w:t xml:space="preserve"> z řad právníků</w:t>
      </w:r>
      <w:r w:rsidR="006B3E51" w:rsidRPr="00EC41B0">
        <w:rPr>
          <w:shd w:val="clear" w:color="auto" w:fill="FFFFFF"/>
        </w:rPr>
        <w:t xml:space="preserve">, kteří budou zůstavitelem požádání o právní radu nebo sepsání závěti notářským zápisem. </w:t>
      </w:r>
      <w:r w:rsidR="001B59E0" w:rsidRPr="00EC41B0">
        <w:rPr>
          <w:shd w:val="clear" w:color="auto" w:fill="FFFFFF"/>
        </w:rPr>
        <w:t>V případě pochybností bude nutné</w:t>
      </w:r>
      <w:r w:rsidRPr="00EC41B0">
        <w:rPr>
          <w:shd w:val="clear" w:color="auto" w:fill="FFFFFF"/>
        </w:rPr>
        <w:t xml:space="preserve"> </w:t>
      </w:r>
      <w:r w:rsidR="00970E51" w:rsidRPr="00EC41B0">
        <w:rPr>
          <w:shd w:val="clear" w:color="auto" w:fill="FFFFFF"/>
        </w:rPr>
        <w:t xml:space="preserve">vyložit </w:t>
      </w:r>
      <w:r w:rsidR="001B59E0" w:rsidRPr="00EC41B0">
        <w:rPr>
          <w:shd w:val="clear" w:color="auto" w:fill="FFFFFF"/>
        </w:rPr>
        <w:t xml:space="preserve">vůli </w:t>
      </w:r>
      <w:r w:rsidR="00970E51" w:rsidRPr="00EC41B0">
        <w:rPr>
          <w:shd w:val="clear" w:color="auto" w:fill="FFFFFF"/>
        </w:rPr>
        <w:t xml:space="preserve">zůstavitele </w:t>
      </w:r>
      <w:r w:rsidR="004F1DEB" w:rsidRPr="00EC41B0">
        <w:rPr>
          <w:shd w:val="clear" w:color="auto" w:fill="FFFFFF"/>
        </w:rPr>
        <w:t xml:space="preserve">s ohledem na obsah závěti a </w:t>
      </w:r>
      <w:r w:rsidR="00164389">
        <w:rPr>
          <w:shd w:val="clear" w:color="auto" w:fill="FFFFFF"/>
        </w:rPr>
        <w:t>jím použité slovní spojení.</w:t>
      </w:r>
      <w:r w:rsidR="00197029" w:rsidRPr="00EC41B0">
        <w:rPr>
          <w:rStyle w:val="Znakapoznpodarou"/>
          <w:shd w:val="clear" w:color="auto" w:fill="FFFFFF"/>
        </w:rPr>
        <w:footnoteReference w:id="139"/>
      </w:r>
    </w:p>
    <w:p w:rsidR="00E0443D" w:rsidRPr="00AA3BEA" w:rsidRDefault="00307E7B" w:rsidP="008074AB">
      <w:pPr>
        <w:pStyle w:val="Nadpis2"/>
      </w:pPr>
      <w:bookmarkStart w:id="60" w:name="_Toc436779485"/>
      <w:bookmarkStart w:id="61" w:name="_Toc437225079"/>
      <w:r>
        <w:t>5</w:t>
      </w:r>
      <w:r w:rsidR="00B014C2" w:rsidRPr="00AA3BEA">
        <w:t>.2</w:t>
      </w:r>
      <w:r w:rsidR="000A2CDF">
        <w:tab/>
      </w:r>
      <w:r w:rsidR="00E0443D" w:rsidRPr="008074AB">
        <w:t>Nepominutelný</w:t>
      </w:r>
      <w:r w:rsidR="00E0443D" w:rsidRPr="00AA3BEA">
        <w:t xml:space="preserve"> dědic a jeho ochrana</w:t>
      </w:r>
      <w:bookmarkEnd w:id="60"/>
      <w:bookmarkEnd w:id="61"/>
    </w:p>
    <w:p w:rsidR="003F10C4" w:rsidRPr="00307E7B" w:rsidRDefault="00307E7B" w:rsidP="008074AB">
      <w:pPr>
        <w:pStyle w:val="Nadpis3"/>
      </w:pPr>
      <w:bookmarkStart w:id="62" w:name="_Toc436779486"/>
      <w:bookmarkStart w:id="63" w:name="_Toc437225080"/>
      <w:r w:rsidRPr="00307E7B">
        <w:t>5</w:t>
      </w:r>
      <w:r w:rsidR="00F83EDD" w:rsidRPr="00307E7B">
        <w:t>.2.1</w:t>
      </w:r>
      <w:r w:rsidR="000A2CDF">
        <w:tab/>
      </w:r>
      <w:r w:rsidR="003F10C4" w:rsidRPr="00307E7B">
        <w:t xml:space="preserve">Právo na </w:t>
      </w:r>
      <w:r w:rsidR="003F10C4" w:rsidRPr="008074AB">
        <w:t>povinný</w:t>
      </w:r>
      <w:r w:rsidR="003F10C4" w:rsidRPr="00307E7B">
        <w:t xml:space="preserve"> díl</w:t>
      </w:r>
      <w:bookmarkEnd w:id="62"/>
      <w:bookmarkEnd w:id="63"/>
    </w:p>
    <w:p w:rsidR="00260720" w:rsidRPr="001D3A5C" w:rsidRDefault="00E0443D" w:rsidP="00260720">
      <w:pPr>
        <w:pStyle w:val="DiplTEXT"/>
        <w:spacing w:after="0"/>
        <w:ind w:firstLine="567"/>
      </w:pPr>
      <w:r>
        <w:t>Nepominutelný dědic je osoba, která je v blízkém vztahu k z</w:t>
      </w:r>
      <w:r w:rsidR="0058775A">
        <w:t>ůstaviteli a z toho důvodu se jí</w:t>
      </w:r>
      <w:r>
        <w:t xml:space="preserve"> poskytuje zvýšená ochrana spočívající v právu na povinný díl z dědi</w:t>
      </w:r>
      <w:r w:rsidR="00D273BF">
        <w:t>ctví nebo na jeho hodnotě</w:t>
      </w:r>
      <w:r w:rsidR="00BE24C3">
        <w:t>.</w:t>
      </w:r>
      <w:r w:rsidR="002A03DB">
        <w:t xml:space="preserve"> </w:t>
      </w:r>
      <w:r w:rsidR="00260720">
        <w:t>Právo na povinný díl nebo jeho doplnění náleží takovému nepominutelnému dědici, který se nezřeknul dědického práva, je dědicky způsobilý a nebyl platně vyděděn, jestliže jej zůstavitel opomenul buď vědomě, omylem nebo proto, že o něm při pořízení pro případ smrti nevěděl</w:t>
      </w:r>
      <w:r w:rsidR="00017AAE">
        <w:t xml:space="preserve"> </w:t>
      </w:r>
      <w:r w:rsidR="00640E7C" w:rsidRPr="002A03DB">
        <w:t>(§ 1492</w:t>
      </w:r>
      <w:r w:rsidR="002A03DB">
        <w:t xml:space="preserve"> NOZ</w:t>
      </w:r>
      <w:r w:rsidR="00017AAE" w:rsidRPr="002A03DB">
        <w:t>)</w:t>
      </w:r>
      <w:r w:rsidR="00260720" w:rsidRPr="002A03DB">
        <w:t xml:space="preserve">. </w:t>
      </w:r>
      <w:r w:rsidR="00260720" w:rsidRPr="001D3A5C">
        <w:t>Na rozdíl od předchozích právních úprav, kdy měli nepominutelní dědicové v rozsahu svého povinného podílu postavení zákonných dě</w:t>
      </w:r>
      <w:r w:rsidR="00350B92">
        <w:t>diců první dědické třídy</w:t>
      </w:r>
      <w:r w:rsidR="00260720" w:rsidRPr="001D3A5C">
        <w:t xml:space="preserve"> a</w:t>
      </w:r>
      <w:r w:rsidR="004F0574">
        <w:t> </w:t>
      </w:r>
      <w:r w:rsidR="00260720" w:rsidRPr="001D3A5C">
        <w:t xml:space="preserve">svůj podíl nabývali stejně jako dědicové zákonní, NOZ v § 1654 odst. 1 uvádí, že </w:t>
      </w:r>
      <w:r w:rsidR="00260720" w:rsidRPr="001D3A5C">
        <w:lastRenderedPageBreak/>
        <w:t>nepominutelný dědic nemá právo na podíl z pozůstalosti, ale jen na peněžní částku rovnající se hodnotě jeho povinného dílu.</w:t>
      </w:r>
      <w:r w:rsidR="007D32ED" w:rsidRPr="001D3A5C">
        <w:rPr>
          <w:rStyle w:val="Znakapoznpodarou"/>
        </w:rPr>
        <w:footnoteReference w:id="140"/>
      </w:r>
    </w:p>
    <w:p w:rsidR="00BE24C3" w:rsidRDefault="00BE24C3" w:rsidP="00E0443D">
      <w:pPr>
        <w:pStyle w:val="DiplTEXT"/>
        <w:spacing w:after="0"/>
        <w:ind w:firstLine="567"/>
      </w:pPr>
      <w:r>
        <w:t xml:space="preserve">NOZ </w:t>
      </w:r>
      <w:r w:rsidR="00082A4A">
        <w:t>n</w:t>
      </w:r>
      <w:r w:rsidR="00082A4A" w:rsidRPr="00D273BF">
        <w:t>avazuje na koncepci ochrany práv neopomenutelných dědiců zakotvenou v</w:t>
      </w:r>
      <w:r w:rsidR="00082A4A">
        <w:t xml:space="preserve"> našich socialistických kodexech a </w:t>
      </w:r>
      <w:r>
        <w:t>v § 1643 odst. 1 stanoví, že těmito osobami jsou děti zůstavitele</w:t>
      </w:r>
      <w:r w:rsidR="006B3047">
        <w:t>,</w:t>
      </w:r>
      <w:r>
        <w:t xml:space="preserve"> a</w:t>
      </w:r>
      <w:r w:rsidR="004F0574">
        <w:t> </w:t>
      </w:r>
      <w:r>
        <w:t xml:space="preserve"> nedědí-l</w:t>
      </w:r>
      <w:r w:rsidR="00590219">
        <w:t>i, pak jsou jimi jejich potomci.</w:t>
      </w:r>
      <w:r w:rsidR="00082A4A" w:rsidRPr="00082A4A">
        <w:t xml:space="preserve"> </w:t>
      </w:r>
      <w:r w:rsidR="00082A4A" w:rsidRPr="005658A7">
        <w:t>Ač se NOZ hlásí k návratu k evropským právním tradicím, nerozšiřuje okruh nepominutelných dědiců zejména o manžela</w:t>
      </w:r>
      <w:r w:rsidR="00EA5976">
        <w:t>,</w:t>
      </w:r>
      <w:r w:rsidR="00082A4A" w:rsidRPr="005658A7">
        <w:t xml:space="preserve"> jak je tomu v okolních evropských zemích, což bylo v rámci</w:t>
      </w:r>
      <w:r w:rsidR="00082A4A">
        <w:t xml:space="preserve"> rekodifikace navrhováno, ale ke</w:t>
      </w:r>
      <w:r w:rsidR="00082A4A" w:rsidRPr="005658A7">
        <w:t xml:space="preserve"> škodě věci neakceptováno. Uvedené bylo kritizováno i částí odborné veřejnosti</w:t>
      </w:r>
      <w:r w:rsidR="00082A4A">
        <w:t>, včetně autora NOZ K.</w:t>
      </w:r>
      <w:r w:rsidR="00AE2300">
        <w:t> </w:t>
      </w:r>
      <w:r w:rsidR="00082A4A" w:rsidRPr="005658A7">
        <w:t>Eliáše</w:t>
      </w:r>
      <w:r w:rsidR="00082A4A" w:rsidRPr="005658A7">
        <w:rPr>
          <w:rStyle w:val="Znakapoznpodarou"/>
        </w:rPr>
        <w:footnoteReference w:id="141"/>
      </w:r>
      <w:r w:rsidR="00082A4A">
        <w:t>, poněvadž vypořádání SJM pozůstalému manželi negarantuje jeho dostatečné majetkové zajištění.</w:t>
      </w:r>
      <w:r w:rsidR="00082A4A">
        <w:rPr>
          <w:rStyle w:val="Znakapoznpodarou"/>
        </w:rPr>
        <w:footnoteReference w:id="142"/>
      </w:r>
    </w:p>
    <w:p w:rsidR="006217CD" w:rsidRPr="008B3FBB" w:rsidRDefault="00755515" w:rsidP="006217CD">
      <w:pPr>
        <w:pStyle w:val="DiplTEXT"/>
        <w:spacing w:after="0"/>
        <w:ind w:firstLine="567"/>
      </w:pPr>
      <w:r w:rsidRPr="005658A7">
        <w:t>V odborné</w:t>
      </w:r>
      <w:r w:rsidR="007A3455" w:rsidRPr="005658A7">
        <w:t xml:space="preserve"> literatuře</w:t>
      </w:r>
      <w:r w:rsidR="00565B31" w:rsidRPr="005658A7">
        <w:t xml:space="preserve"> </w:t>
      </w:r>
      <w:r w:rsidR="007A3455" w:rsidRPr="005658A7">
        <w:t xml:space="preserve">se objevují názory, které důvodnost </w:t>
      </w:r>
      <w:r w:rsidR="007A3455" w:rsidRPr="006B3047">
        <w:t xml:space="preserve">existence </w:t>
      </w:r>
      <w:r w:rsidR="00E0443D" w:rsidRPr="006B3047">
        <w:t>i</w:t>
      </w:r>
      <w:r w:rsidR="007A3455" w:rsidRPr="006B3047">
        <w:t xml:space="preserve">nstitutu nepominutelných dědiců </w:t>
      </w:r>
      <w:r w:rsidR="004A1831" w:rsidRPr="006B3047">
        <w:t>zpochybňují</w:t>
      </w:r>
      <w:r w:rsidR="00E0443D" w:rsidRPr="005658A7">
        <w:t>.</w:t>
      </w:r>
      <w:r w:rsidR="007A3455" w:rsidRPr="005658A7">
        <w:t xml:space="preserve"> Praxe poukazuje na případy, kdy </w:t>
      </w:r>
      <w:r w:rsidR="00E0443D" w:rsidRPr="005658A7">
        <w:t>děti</w:t>
      </w:r>
      <w:r w:rsidR="007A3455" w:rsidRPr="005658A7">
        <w:t xml:space="preserve"> zůstavitele</w:t>
      </w:r>
      <w:r w:rsidR="00E0443D" w:rsidRPr="005658A7">
        <w:t>, o</w:t>
      </w:r>
      <w:r w:rsidR="000A2CDF">
        <w:t> </w:t>
      </w:r>
      <w:r w:rsidR="00E0443D" w:rsidRPr="005658A7">
        <w:t>nichž celý život nevěděl, mají výhodnější postavení než manželka nebo družka, se kterými zůstavitel strávil podstatnou část života a jsou mu proto bližší</w:t>
      </w:r>
      <w:r w:rsidR="00001A7D" w:rsidRPr="005658A7">
        <w:t xml:space="preserve">, </w:t>
      </w:r>
      <w:r w:rsidR="006B3047">
        <w:t>ale</w:t>
      </w:r>
      <w:r w:rsidR="00001A7D" w:rsidRPr="005658A7">
        <w:t xml:space="preserve"> do okruhu ne</w:t>
      </w:r>
      <w:r w:rsidR="001F3E06">
        <w:t>opominutelných dědiců nespadají</w:t>
      </w:r>
      <w:r w:rsidRPr="005658A7">
        <w:t>.</w:t>
      </w:r>
      <w:r w:rsidR="006217CD" w:rsidRPr="005658A7">
        <w:rPr>
          <w:rStyle w:val="Znakapoznpodarou"/>
        </w:rPr>
        <w:footnoteReference w:id="143"/>
      </w:r>
      <w:r w:rsidR="006217CD" w:rsidRPr="006217CD">
        <w:t xml:space="preserve"> </w:t>
      </w:r>
      <w:r w:rsidR="00FF68A8">
        <w:t>Někt</w:t>
      </w:r>
      <w:r w:rsidR="00B2011E">
        <w:t xml:space="preserve">eré názory </w:t>
      </w:r>
      <w:r w:rsidR="00FF68A8">
        <w:t>dokonce považují</w:t>
      </w:r>
      <w:r w:rsidR="006217CD" w:rsidRPr="008B3FBB">
        <w:t xml:space="preserve"> institut neopomenutelného dědice v kontextu dnešních oslabených mezilidských vztahů a morálky </w:t>
      </w:r>
      <w:r w:rsidR="006217CD" w:rsidRPr="006B3047">
        <w:t>za přežitý,</w:t>
      </w:r>
      <w:r w:rsidR="006217CD" w:rsidRPr="008B3FBB">
        <w:t xml:space="preserve"> jelikož zbytečně omezuje pořizovací volnost zůstavitele. Zůstaviteli by mělo být proto umožněno</w:t>
      </w:r>
      <w:r w:rsidR="006B3047">
        <w:t xml:space="preserve"> vědomě opomenout svého potomka</w:t>
      </w:r>
      <w:r w:rsidR="006217CD" w:rsidRPr="008B3FBB">
        <w:t xml:space="preserve"> tak</w:t>
      </w:r>
      <w:r w:rsidR="006B3047">
        <w:t>,</w:t>
      </w:r>
      <w:r w:rsidR="006217CD" w:rsidRPr="008B3FBB">
        <w:t xml:space="preserve"> aby nebyl svázán velikostí povinných podílů za situace, kdy důvody pro vydědění nebudou dostatečně silné.</w:t>
      </w:r>
      <w:r w:rsidR="006217CD" w:rsidRPr="008B3FBB">
        <w:rPr>
          <w:rStyle w:val="Znakapoznpodarou"/>
        </w:rPr>
        <w:footnoteReference w:id="144"/>
      </w:r>
    </w:p>
    <w:p w:rsidR="00E0443D" w:rsidRPr="00505534" w:rsidRDefault="00670913" w:rsidP="00017AAE">
      <w:pPr>
        <w:pStyle w:val="DiplTEXT"/>
        <w:spacing w:after="0"/>
        <w:ind w:firstLine="567"/>
        <w:rPr>
          <w:strike/>
        </w:rPr>
      </w:pPr>
      <w:r w:rsidRPr="00505534">
        <w:t>Závěrem lze shrnout, že i v našem společenském, ekonomickém a právním prostředí převažují důvody pro zachování institutu neopominutelného dědice nad jeho zrušením. Diskutabilním může být ot</w:t>
      </w:r>
      <w:r w:rsidR="004059CF" w:rsidRPr="00505534">
        <w:t>ázka okruhu těchto dědiců, tj.</w:t>
      </w:r>
      <w:r w:rsidRPr="00505534">
        <w:t xml:space="preserve"> rozšíření o manžela zůstavitele, </w:t>
      </w:r>
      <w:r w:rsidR="001B4EFE" w:rsidRPr="00505534">
        <w:t xml:space="preserve">jehož </w:t>
      </w:r>
      <w:r w:rsidR="001B4EFE" w:rsidRPr="00505534">
        <w:lastRenderedPageBreak/>
        <w:t>pouhé právo na slušnou výživu nebo nutné zaopatření ve smyslu § 1666 NOZ, navíc časově omezené je nedostatečné. Manželu zůstavitele by měl být zákonem garantován povinný díl z pozůstalosti, jehož výši by mohlo reflektovat to, zda je či není schopen se sám živit. Inspirací by mohla být např. polská úprava v</w:t>
      </w:r>
      <w:r w:rsidR="009F7EE0">
        <w:t> art. 991</w:t>
      </w:r>
      <w:r w:rsidR="001871D4" w:rsidRPr="00505534">
        <w:t xml:space="preserve"> KC.</w:t>
      </w:r>
    </w:p>
    <w:p w:rsidR="00E0443D" w:rsidRPr="00307E7B" w:rsidRDefault="00307E7B" w:rsidP="008074AB">
      <w:pPr>
        <w:pStyle w:val="Nadpis3"/>
      </w:pPr>
      <w:bookmarkStart w:id="64" w:name="_Toc436779487"/>
      <w:bookmarkStart w:id="65" w:name="_Toc437225081"/>
      <w:r w:rsidRPr="00307E7B">
        <w:t>5</w:t>
      </w:r>
      <w:r w:rsidR="00B014C2" w:rsidRPr="00307E7B">
        <w:t>.2.</w:t>
      </w:r>
      <w:r w:rsidR="00F62B41" w:rsidRPr="00307E7B">
        <w:t>2</w:t>
      </w:r>
      <w:r w:rsidR="000A2CDF">
        <w:tab/>
      </w:r>
      <w:r w:rsidR="00102047" w:rsidRPr="008074AB">
        <w:t>Zkrácení</w:t>
      </w:r>
      <w:r w:rsidR="00102047" w:rsidRPr="00307E7B">
        <w:t xml:space="preserve"> povinného dílu</w:t>
      </w:r>
      <w:r w:rsidR="008237F7" w:rsidRPr="00307E7B">
        <w:t xml:space="preserve"> </w:t>
      </w:r>
      <w:r w:rsidR="00E57DC5" w:rsidRPr="00307E7B">
        <w:t>darováním pro případ smrti</w:t>
      </w:r>
      <w:bookmarkEnd w:id="64"/>
      <w:bookmarkEnd w:id="65"/>
      <w:r w:rsidR="00E57DC5" w:rsidRPr="00307E7B">
        <w:t xml:space="preserve"> </w:t>
      </w:r>
    </w:p>
    <w:p w:rsidR="00442AAE" w:rsidRDefault="0001242D" w:rsidP="00CF6013">
      <w:pPr>
        <w:pStyle w:val="DiplTEXT"/>
        <w:spacing w:after="0"/>
        <w:ind w:firstLine="567"/>
      </w:pPr>
      <w:r w:rsidRPr="00034A66">
        <w:t xml:space="preserve">V odborné literatuře </w:t>
      </w:r>
      <w:r w:rsidR="009E3B76">
        <w:t>vyvstala otázka</w:t>
      </w:r>
      <w:r>
        <w:t xml:space="preserve">, zda darování pro případ smrti </w:t>
      </w:r>
      <w:r w:rsidR="00A65A4A">
        <w:t xml:space="preserve">učiněné zůstavitelem </w:t>
      </w:r>
      <w:r w:rsidR="00270ED6">
        <w:t>podle § 2063 NOZ</w:t>
      </w:r>
      <w:r w:rsidR="0051439A">
        <w:t xml:space="preserve"> osobě odlišné od nepominutelného dědice </w:t>
      </w:r>
      <w:r>
        <w:t xml:space="preserve">nepovede </w:t>
      </w:r>
      <w:r w:rsidR="00BC07EE">
        <w:t>ke zkrácení povinného dílu nepominutelného dědice</w:t>
      </w:r>
      <w:r w:rsidR="00374A16">
        <w:t>.</w:t>
      </w:r>
      <w:r w:rsidR="0051439A">
        <w:rPr>
          <w:rStyle w:val="Znakapoznpodarou"/>
        </w:rPr>
        <w:footnoteReference w:id="145"/>
      </w:r>
      <w:r w:rsidR="00E0137B">
        <w:t xml:space="preserve"> </w:t>
      </w:r>
      <w:r w:rsidR="00AE5640">
        <w:t xml:space="preserve">Důvodem je skutečnost, že darování pro případ smrti je </w:t>
      </w:r>
      <w:r w:rsidR="006D3511">
        <w:t>obligačním</w:t>
      </w:r>
      <w:r w:rsidR="00AE5640">
        <w:t xml:space="preserve"> vztah</w:t>
      </w:r>
      <w:r w:rsidR="006D3511">
        <w:t>em</w:t>
      </w:r>
      <w:r w:rsidR="00AE5640">
        <w:t xml:space="preserve"> mezi dárcem a obdarovaným, kdy obdarovaný figuruje jako věřitel pozůstalosti, přičemž závazek z</w:t>
      </w:r>
      <w:r w:rsidR="006D3511">
        <w:t> </w:t>
      </w:r>
      <w:r w:rsidR="00AE5640">
        <w:t>tohoto</w:t>
      </w:r>
      <w:r w:rsidR="006D3511">
        <w:t xml:space="preserve"> právního jednání přechází na dědice </w:t>
      </w:r>
      <w:r w:rsidR="00B77CCD">
        <w:t>mimo dědickou poslou</w:t>
      </w:r>
      <w:r w:rsidR="00A76FDA">
        <w:t xml:space="preserve">pnost. V případě </w:t>
      </w:r>
      <w:r w:rsidR="0021596E">
        <w:t xml:space="preserve">takového darování se neuplatní </w:t>
      </w:r>
      <w:r w:rsidR="006A704E">
        <w:t>omezující ustanovení dědického práva na ochranu nepominutelných dědiců</w:t>
      </w:r>
      <w:r w:rsidR="006A541E">
        <w:t>,</w:t>
      </w:r>
      <w:r w:rsidR="006A704E">
        <w:t xml:space="preserve"> a proto </w:t>
      </w:r>
      <w:r w:rsidR="00A76FDA">
        <w:t xml:space="preserve">nelze vyloučit </w:t>
      </w:r>
      <w:r w:rsidR="006A541E">
        <w:t xml:space="preserve">ani </w:t>
      </w:r>
      <w:r w:rsidR="00A76FDA">
        <w:t>obejití</w:t>
      </w:r>
      <w:r w:rsidR="006A704E">
        <w:t xml:space="preserve"> </w:t>
      </w:r>
      <w:r w:rsidR="0021596E">
        <w:t xml:space="preserve">jejich </w:t>
      </w:r>
      <w:r w:rsidR="00FA110B">
        <w:t>práv</w:t>
      </w:r>
      <w:r w:rsidR="0021596E">
        <w:t>a</w:t>
      </w:r>
      <w:r w:rsidR="00A76FDA">
        <w:t xml:space="preserve"> na povinný díl </w:t>
      </w:r>
      <w:r>
        <w:t>podle § 1492 NOZ</w:t>
      </w:r>
      <w:r w:rsidR="0021596E">
        <w:t xml:space="preserve"> ze strany zůstavitele</w:t>
      </w:r>
      <w:r w:rsidR="00091592">
        <w:t xml:space="preserve">. </w:t>
      </w:r>
      <w:r w:rsidR="00372D68" w:rsidRPr="00342304">
        <w:t>Navíc není zůstavitel ve své dispozici takřka vůbe</w:t>
      </w:r>
      <w:r w:rsidR="00BD77AA" w:rsidRPr="00342304">
        <w:t xml:space="preserve">c omezen a může darovat třeba </w:t>
      </w:r>
      <w:r w:rsidR="00372D68" w:rsidRPr="00342304">
        <w:t>všechen svůj současný majetek</w:t>
      </w:r>
      <w:r w:rsidR="00BD77AA" w:rsidRPr="00342304">
        <w:t>, ale nejvýše polovinu budoucího majetku.</w:t>
      </w:r>
      <w:r w:rsidR="00BD77AA">
        <w:rPr>
          <w:color w:val="FF0000"/>
        </w:rPr>
        <w:t xml:space="preserve"> </w:t>
      </w:r>
      <w:r w:rsidR="00134A1F" w:rsidRPr="00CF6013">
        <w:t>Obcházení dědického práva</w:t>
      </w:r>
      <w:r w:rsidR="00342304" w:rsidRPr="00CF6013">
        <w:t xml:space="preserve"> by </w:t>
      </w:r>
      <w:r w:rsidR="00053FC7" w:rsidRPr="00CF6013">
        <w:t>mohl</w:t>
      </w:r>
      <w:r w:rsidR="007B3143" w:rsidRPr="00CF6013">
        <w:t>o</w:t>
      </w:r>
      <w:r w:rsidR="00053FC7" w:rsidRPr="00CF6013">
        <w:t xml:space="preserve"> nahrávat</w:t>
      </w:r>
      <w:r w:rsidR="00134A1F" w:rsidRPr="00CF6013">
        <w:t xml:space="preserve"> i znění </w:t>
      </w:r>
      <w:r w:rsidR="00053FC7" w:rsidRPr="00CF6013">
        <w:t>věty první § 2036 NOZ</w:t>
      </w:r>
      <w:r w:rsidR="00134A1F" w:rsidRPr="00CF6013">
        <w:t>, ze kterého</w:t>
      </w:r>
      <w:r w:rsidR="006E0245" w:rsidRPr="00CF6013">
        <w:t xml:space="preserve"> výslovně nevyplývá povinnost</w:t>
      </w:r>
      <w:r w:rsidR="00134A1F" w:rsidRPr="00CF6013">
        <w:t xml:space="preserve"> splnění formálních </w:t>
      </w:r>
      <w:r w:rsidR="007B3143" w:rsidRPr="00CF6013">
        <w:t>požadavků některého pořízení pro případ smrti</w:t>
      </w:r>
      <w:r w:rsidR="00134A1F" w:rsidRPr="00CF6013">
        <w:t xml:space="preserve"> </w:t>
      </w:r>
      <w:r w:rsidR="007B3143" w:rsidRPr="00CF6013">
        <w:t>pro</w:t>
      </w:r>
      <w:r w:rsidR="00134A1F" w:rsidRPr="00CF6013">
        <w:t xml:space="preserve"> zřízení odkazu.</w:t>
      </w:r>
      <w:r w:rsidR="00CF6013" w:rsidRPr="00CF6013">
        <w:rPr>
          <w:rStyle w:val="Znakapoznpodarou"/>
        </w:rPr>
        <w:footnoteReference w:id="146"/>
      </w:r>
      <w:r w:rsidR="00CF6013">
        <w:t xml:space="preserve"> </w:t>
      </w:r>
    </w:p>
    <w:p w:rsidR="00372612" w:rsidRDefault="006D3511" w:rsidP="00D651B8">
      <w:pPr>
        <w:pStyle w:val="DiplTEXT"/>
        <w:spacing w:after="0"/>
        <w:ind w:firstLine="567"/>
      </w:pPr>
      <w:r>
        <w:t xml:space="preserve">Povinný díl </w:t>
      </w:r>
      <w:r w:rsidR="00FA110B">
        <w:t xml:space="preserve">nepominutelných </w:t>
      </w:r>
      <w:r w:rsidR="005B2ACB">
        <w:t xml:space="preserve">dědiců </w:t>
      </w:r>
      <w:r>
        <w:t xml:space="preserve">se </w:t>
      </w:r>
      <w:r w:rsidR="00E976CE">
        <w:t xml:space="preserve">podle § 1655 </w:t>
      </w:r>
      <w:r w:rsidR="00CF1F8D">
        <w:t xml:space="preserve">NOZ </w:t>
      </w:r>
      <w:r w:rsidR="00E976CE">
        <w:t>stanoví</w:t>
      </w:r>
      <w:r>
        <w:t xml:space="preserve"> z čisté hodnoty pozůstalosti </w:t>
      </w:r>
      <w:r w:rsidR="00E976CE">
        <w:t xml:space="preserve">navýšené o to, co jim má být podle §§ 1660-1661 </w:t>
      </w:r>
      <w:r w:rsidR="007E34E6">
        <w:t xml:space="preserve">na </w:t>
      </w:r>
      <w:r w:rsidR="00CF1F8D">
        <w:t>povinný díl zapo</w:t>
      </w:r>
      <w:r w:rsidR="00C4719F">
        <w:t>čteno.</w:t>
      </w:r>
      <w:r w:rsidR="00D651B8">
        <w:t xml:space="preserve"> </w:t>
      </w:r>
      <w:r w:rsidR="0031165E">
        <w:t xml:space="preserve">Na základě výše uvedených skutečností </w:t>
      </w:r>
      <w:r w:rsidR="00CF1F8D">
        <w:t xml:space="preserve">není </w:t>
      </w:r>
      <w:r w:rsidR="00A44D99">
        <w:t xml:space="preserve">zcela jisté, zda </w:t>
      </w:r>
      <w:r w:rsidR="007D6133">
        <w:t xml:space="preserve">se </w:t>
      </w:r>
      <w:r w:rsidR="0031165E">
        <w:t xml:space="preserve">darování pro případ smrti </w:t>
      </w:r>
      <w:r w:rsidR="000E4C06">
        <w:t xml:space="preserve">vůbec </w:t>
      </w:r>
      <w:r w:rsidR="007D6133">
        <w:t xml:space="preserve">promítne </w:t>
      </w:r>
      <w:r w:rsidR="000E4C06">
        <w:t xml:space="preserve">do pozůstalosti </w:t>
      </w:r>
      <w:r w:rsidR="00EA65B6">
        <w:t xml:space="preserve">a </w:t>
      </w:r>
      <w:r w:rsidR="007D6133">
        <w:t>tím pádem i do výše</w:t>
      </w:r>
      <w:r w:rsidR="007C52BA">
        <w:t xml:space="preserve"> povinného dílu nepominutelného dědice</w:t>
      </w:r>
      <w:r w:rsidR="00372612">
        <w:t>,</w:t>
      </w:r>
      <w:r w:rsidR="007D6133">
        <w:t xml:space="preserve"> nebo nikoliv</w:t>
      </w:r>
      <w:r w:rsidR="00C4719F">
        <w:t xml:space="preserve">. </w:t>
      </w:r>
      <w:r w:rsidR="00C8735F">
        <w:t xml:space="preserve">Právo na pozůstalost vzniká </w:t>
      </w:r>
      <w:r w:rsidR="00C4719F">
        <w:t xml:space="preserve">podle § 1479 NOZ smrtí zůstavitele. Okamžikem smrti zůstavitele rovněž přechází </w:t>
      </w:r>
      <w:r w:rsidR="0082453B">
        <w:t>vlastnické právo k předmětu da</w:t>
      </w:r>
      <w:r w:rsidR="00C4719F">
        <w:t xml:space="preserve">rování </w:t>
      </w:r>
      <w:r w:rsidR="002B7B73">
        <w:t xml:space="preserve">pro případ smrti </w:t>
      </w:r>
      <w:r w:rsidR="00C4719F">
        <w:t>na obdarovaného</w:t>
      </w:r>
      <w:r w:rsidR="008512B6">
        <w:t xml:space="preserve">, takže by darovaná věc neměla být součástí pozůstalosti. </w:t>
      </w:r>
      <w:r w:rsidR="00EA5976">
        <w:t>Podle A.</w:t>
      </w:r>
      <w:r w:rsidR="00782035">
        <w:t xml:space="preserve"> </w:t>
      </w:r>
      <w:proofErr w:type="spellStart"/>
      <w:r w:rsidR="00782035">
        <w:t>Talandy</w:t>
      </w:r>
      <w:proofErr w:type="spellEnd"/>
      <w:r w:rsidR="00782035">
        <w:t xml:space="preserve"> se p</w:t>
      </w:r>
      <w:r w:rsidR="008512B6">
        <w:t>ředmět daru</w:t>
      </w:r>
      <w:r w:rsidR="00782035">
        <w:t xml:space="preserve"> pro případ smrti posoudí ve smyslu § 1655 </w:t>
      </w:r>
      <w:r w:rsidR="000D5EFD">
        <w:t xml:space="preserve">NOZ </w:t>
      </w:r>
      <w:r w:rsidR="00782035">
        <w:t xml:space="preserve">jako závada, která vázne na </w:t>
      </w:r>
      <w:r w:rsidR="007179B1">
        <w:t>majetku zůstavitele již v době zůstavitelovy smrti,</w:t>
      </w:r>
      <w:r w:rsidR="008512B6">
        <w:t xml:space="preserve"> </w:t>
      </w:r>
      <w:r w:rsidR="007179B1">
        <w:t xml:space="preserve">a tudíž by se od hodnoty majetku měla odečíst. </w:t>
      </w:r>
      <w:r w:rsidR="008C2697">
        <w:t xml:space="preserve">Jedinou možností obrany zkráceného </w:t>
      </w:r>
      <w:r w:rsidR="00A301F2">
        <w:t xml:space="preserve">nepominutelného dědice </w:t>
      </w:r>
      <w:r w:rsidR="00807690">
        <w:t xml:space="preserve">by </w:t>
      </w:r>
      <w:r w:rsidR="008C2697">
        <w:t xml:space="preserve">tak </w:t>
      </w:r>
      <w:r w:rsidR="00807690">
        <w:t>bylo</w:t>
      </w:r>
      <w:r w:rsidR="001A592C">
        <w:t xml:space="preserve"> napadení platnosti darování pro případ smrti</w:t>
      </w:r>
      <w:r w:rsidR="00374A16">
        <w:t xml:space="preserve"> ve sporném soudním řízení.</w:t>
      </w:r>
      <w:r w:rsidR="000D5EFD">
        <w:rPr>
          <w:rStyle w:val="Znakapoznpodarou"/>
        </w:rPr>
        <w:footnoteReference w:id="147"/>
      </w:r>
      <w:r w:rsidR="000D5EFD">
        <w:t xml:space="preserve"> </w:t>
      </w:r>
      <w:r w:rsidR="007179B1">
        <w:t xml:space="preserve">Opačný názor </w:t>
      </w:r>
      <w:r w:rsidR="000D5EFD">
        <w:t xml:space="preserve">zastává </w:t>
      </w:r>
      <w:r w:rsidR="000D5EFD">
        <w:lastRenderedPageBreak/>
        <w:t>M.</w:t>
      </w:r>
      <w:r w:rsidR="004F0574">
        <w:t> </w:t>
      </w:r>
      <w:r w:rsidR="000D5EFD">
        <w:t xml:space="preserve"> </w:t>
      </w:r>
      <w:proofErr w:type="spellStart"/>
      <w:r w:rsidR="000D5EFD">
        <w:t>Šešina</w:t>
      </w:r>
      <w:proofErr w:type="spellEnd"/>
      <w:r w:rsidR="00985BE7">
        <w:t>, který se s</w:t>
      </w:r>
      <w:r w:rsidR="00E34C08">
        <w:t> </w:t>
      </w:r>
      <w:r w:rsidR="00985BE7">
        <w:t>ohledem</w:t>
      </w:r>
      <w:r w:rsidR="00E34C08">
        <w:t xml:space="preserve"> na prvorepublikovou judikaturu </w:t>
      </w:r>
      <w:r w:rsidR="00985BE7">
        <w:t xml:space="preserve">přiklání k tomu, aby </w:t>
      </w:r>
      <w:r w:rsidR="009E7800">
        <w:t>se</w:t>
      </w:r>
      <w:r w:rsidR="00985BE7">
        <w:t xml:space="preserve"> </w:t>
      </w:r>
      <w:r w:rsidR="00E34C08">
        <w:t xml:space="preserve">povinný díl </w:t>
      </w:r>
      <w:r w:rsidR="009E7800">
        <w:t>vypočítal</w:t>
      </w:r>
      <w:r w:rsidR="00487CB7">
        <w:t xml:space="preserve"> </w:t>
      </w:r>
      <w:r w:rsidR="00713147">
        <w:t xml:space="preserve">i </w:t>
      </w:r>
      <w:r w:rsidR="00C86554">
        <w:t>z</w:t>
      </w:r>
      <w:r w:rsidR="00487CB7">
        <w:t> hodnoty tohoto darování</w:t>
      </w:r>
      <w:r w:rsidR="00374A16">
        <w:t>.</w:t>
      </w:r>
      <w:r w:rsidR="0051439A">
        <w:rPr>
          <w:rStyle w:val="Znakapoznpodarou"/>
        </w:rPr>
        <w:footnoteReference w:id="148"/>
      </w:r>
      <w:r w:rsidR="00F04649">
        <w:t xml:space="preserve"> Podobné</w:t>
      </w:r>
      <w:r w:rsidR="00D33E95">
        <w:t xml:space="preserve"> stanovisko zastává</w:t>
      </w:r>
      <w:r w:rsidR="009E7800">
        <w:t xml:space="preserve"> </w:t>
      </w:r>
      <w:r w:rsidR="00F04649">
        <w:t xml:space="preserve">rovněž </w:t>
      </w:r>
      <w:r w:rsidR="00D33E95">
        <w:t>rakousk</w:t>
      </w:r>
      <w:r w:rsidR="00F04649">
        <w:t>á</w:t>
      </w:r>
      <w:r w:rsidR="00F16788">
        <w:t xml:space="preserve"> </w:t>
      </w:r>
      <w:r w:rsidR="009D562D">
        <w:t>právní</w:t>
      </w:r>
      <w:r w:rsidR="000B47FC">
        <w:t xml:space="preserve"> literatur</w:t>
      </w:r>
      <w:r w:rsidR="00F04649">
        <w:t>a</w:t>
      </w:r>
      <w:r w:rsidR="009D562D">
        <w:t>, která považuje</w:t>
      </w:r>
      <w:r w:rsidR="00F04649">
        <w:t xml:space="preserve"> </w:t>
      </w:r>
      <w:r w:rsidR="008237F7">
        <w:t>darovanou věc pro případ smrti</w:t>
      </w:r>
      <w:r w:rsidR="00D21B09">
        <w:t xml:space="preserve"> stále za součást pozůstalosti</w:t>
      </w:r>
      <w:r w:rsidR="008237F7">
        <w:t xml:space="preserve">, takže </w:t>
      </w:r>
      <w:r w:rsidR="003572C9">
        <w:t xml:space="preserve">se </w:t>
      </w:r>
      <w:r w:rsidR="00E615AE">
        <w:t>započítává do výše základu pro výpočet povinného díl</w:t>
      </w:r>
      <w:r w:rsidR="008237F7">
        <w:t>u nepominutelného dědice</w:t>
      </w:r>
      <w:r w:rsidR="00372612">
        <w:t>.</w:t>
      </w:r>
      <w:r w:rsidR="00181131">
        <w:rPr>
          <w:rStyle w:val="Znakapoznpodarou"/>
        </w:rPr>
        <w:footnoteReference w:id="149"/>
      </w:r>
    </w:p>
    <w:p w:rsidR="00307E7B" w:rsidRDefault="009E7800" w:rsidP="00D651B8">
      <w:pPr>
        <w:pStyle w:val="DiplTEXT"/>
        <w:spacing w:after="0"/>
        <w:ind w:firstLine="567"/>
      </w:pPr>
      <w:r>
        <w:t>Tímto sm</w:t>
      </w:r>
      <w:r w:rsidR="00E615AE">
        <w:t xml:space="preserve">ěrem by se </w:t>
      </w:r>
      <w:r w:rsidR="00442AAE">
        <w:t xml:space="preserve">zřejmě </w:t>
      </w:r>
      <w:r w:rsidR="00E615AE">
        <w:t xml:space="preserve">měla odvíjet i </w:t>
      </w:r>
      <w:r>
        <w:t>judikatura</w:t>
      </w:r>
      <w:r w:rsidR="00E615AE">
        <w:t xml:space="preserve"> českých soudů</w:t>
      </w:r>
      <w:r>
        <w:t xml:space="preserve">, aby bylo zabráněno </w:t>
      </w:r>
      <w:r w:rsidR="00E829A4">
        <w:t>přílišnému oslabení</w:t>
      </w:r>
      <w:r w:rsidR="00181131">
        <w:t>, resp. obcházení</w:t>
      </w:r>
      <w:r w:rsidR="00E829A4">
        <w:t xml:space="preserve"> ochrany nepominutelných dědiců. </w:t>
      </w:r>
      <w:r w:rsidR="008C2697">
        <w:t>Jiným v</w:t>
      </w:r>
      <w:r w:rsidR="00F16788">
        <w:t xml:space="preserve">ýchodiskem z uvedené </w:t>
      </w:r>
      <w:r w:rsidR="00181131">
        <w:t>situace by bylo</w:t>
      </w:r>
      <w:r w:rsidR="008C2697">
        <w:t xml:space="preserve"> </w:t>
      </w:r>
      <w:r w:rsidR="00181131">
        <w:t xml:space="preserve">buď úplné zrušení </w:t>
      </w:r>
      <w:r w:rsidR="008C2697">
        <w:t>institutu darování pro případ smrti</w:t>
      </w:r>
      <w:r w:rsidR="002A51DB">
        <w:rPr>
          <w:rStyle w:val="Znakapoznpodarou"/>
        </w:rPr>
        <w:footnoteReference w:id="150"/>
      </w:r>
      <w:r w:rsidR="00372612">
        <w:t xml:space="preserve">, </w:t>
      </w:r>
      <w:r w:rsidR="00A16F7E">
        <w:t xml:space="preserve">nebo </w:t>
      </w:r>
      <w:r w:rsidR="008C2697">
        <w:t xml:space="preserve">jeho </w:t>
      </w:r>
      <w:r w:rsidR="00F16788">
        <w:t>novelizac</w:t>
      </w:r>
      <w:r w:rsidR="008C2697">
        <w:t>e</w:t>
      </w:r>
      <w:r w:rsidR="00EA5976">
        <w:t xml:space="preserve"> </w:t>
      </w:r>
      <w:r w:rsidR="008C2697">
        <w:t>tak</w:t>
      </w:r>
      <w:r w:rsidR="00EA5976">
        <w:t>,</w:t>
      </w:r>
      <w:r w:rsidR="002A51DB">
        <w:t xml:space="preserve"> aby se vyřešil problém s obcház</w:t>
      </w:r>
      <w:r w:rsidR="00372612">
        <w:t>ením ustanovení dědického práva</w:t>
      </w:r>
      <w:r w:rsidR="002A51DB">
        <w:t xml:space="preserve"> tím</w:t>
      </w:r>
      <w:r w:rsidR="00372612">
        <w:t>,</w:t>
      </w:r>
      <w:r w:rsidR="002A51DB">
        <w:t xml:space="preserve"> že by se darování pro případ smrti řídilo úpravou odkazů včetně opatřen</w:t>
      </w:r>
      <w:r w:rsidR="00374A16">
        <w:t>í proti přetížení pozůstalosti.</w:t>
      </w:r>
      <w:r w:rsidR="002A51DB">
        <w:rPr>
          <w:rStyle w:val="Znakapoznpodarou"/>
        </w:rPr>
        <w:footnoteReference w:id="151"/>
      </w:r>
    </w:p>
    <w:p w:rsidR="00750B13" w:rsidRPr="00554571" w:rsidRDefault="00307E7B" w:rsidP="008074AB">
      <w:pPr>
        <w:pStyle w:val="Nadpis3"/>
      </w:pPr>
      <w:bookmarkStart w:id="66" w:name="_Toc436779488"/>
      <w:bookmarkStart w:id="67" w:name="_Toc437225082"/>
      <w:r>
        <w:t>5</w:t>
      </w:r>
      <w:r w:rsidR="00750B13" w:rsidRPr="00554571">
        <w:t>.</w:t>
      </w:r>
      <w:r w:rsidR="00B014C2" w:rsidRPr="00554571">
        <w:t>2.</w:t>
      </w:r>
      <w:r w:rsidR="00750B13" w:rsidRPr="00554571">
        <w:t>3</w:t>
      </w:r>
      <w:r w:rsidR="000A2CDF">
        <w:tab/>
      </w:r>
      <w:r w:rsidR="0043464C">
        <w:t>O</w:t>
      </w:r>
      <w:r w:rsidR="00B54DA0" w:rsidRPr="00554571">
        <w:t>dvolání daru pro zkrácení povinného</w:t>
      </w:r>
      <w:r w:rsidR="00750B13" w:rsidRPr="00554571">
        <w:t xml:space="preserve"> díl</w:t>
      </w:r>
      <w:r w:rsidR="00B54DA0" w:rsidRPr="00554571">
        <w:t>u</w:t>
      </w:r>
      <w:bookmarkEnd w:id="66"/>
      <w:bookmarkEnd w:id="67"/>
    </w:p>
    <w:p w:rsidR="009A139B" w:rsidRPr="00D24424" w:rsidRDefault="00B54DA0" w:rsidP="00FA08F6">
      <w:pPr>
        <w:pStyle w:val="DiplTEXT"/>
        <w:spacing w:after="0"/>
        <w:ind w:firstLine="567"/>
      </w:pPr>
      <w:r w:rsidRPr="00D24424">
        <w:t>Účelem právní úpravy započten</w:t>
      </w:r>
      <w:r w:rsidR="00D13B09">
        <w:t xml:space="preserve">í na povinný díl a </w:t>
      </w:r>
      <w:r w:rsidRPr="00D24424">
        <w:t xml:space="preserve">dědický podíl je naplnění principu spravedlnosti mezi jednotlivými dědici, spočívající ve snaze o srovnání jejich majetkových rozdílů s ohledem na to, co od zůstavitele jednotliví dědicové ještě za jeho života bezplatně </w:t>
      </w:r>
      <w:proofErr w:type="spellStart"/>
      <w:r w:rsidRPr="00D24424">
        <w:t>nabudou</w:t>
      </w:r>
      <w:proofErr w:type="spellEnd"/>
      <w:r w:rsidR="007E49FC" w:rsidRPr="00D24424">
        <w:t>.</w:t>
      </w:r>
      <w:r w:rsidR="00B8076F">
        <w:t xml:space="preserve"> </w:t>
      </w:r>
      <w:r w:rsidR="00FA5C32">
        <w:t xml:space="preserve">V § </w:t>
      </w:r>
      <w:r w:rsidR="00B640B3">
        <w:t>1660</w:t>
      </w:r>
      <w:r w:rsidR="00C0166F">
        <w:t xml:space="preserve"> </w:t>
      </w:r>
      <w:r w:rsidR="00B640B3">
        <w:t xml:space="preserve">NOZ je upraveno, že se na povinný díl započte jen to, co nepominutelný dědic od zůstavitele </w:t>
      </w:r>
      <w:r w:rsidR="00B178E6">
        <w:t xml:space="preserve">bezplatně </w:t>
      </w:r>
      <w:r w:rsidR="00B640B3">
        <w:t>obdržel</w:t>
      </w:r>
      <w:r w:rsidR="00B178E6">
        <w:t xml:space="preserve"> v posledních třech letech</w:t>
      </w:r>
      <w:r w:rsidR="00F72207">
        <w:t xml:space="preserve"> před jeho smrtí</w:t>
      </w:r>
      <w:r w:rsidR="00C0166F">
        <w:t>, ledaže zůstavitel přikáže provedení započtení za delší dobu</w:t>
      </w:r>
      <w:r w:rsidR="00696AE1">
        <w:t>,</w:t>
      </w:r>
      <w:r w:rsidR="00C0166F">
        <w:t xml:space="preserve"> podle § 1661 NOZ i </w:t>
      </w:r>
      <w:r w:rsidR="00F72207">
        <w:t>v</w:t>
      </w:r>
      <w:r w:rsidR="00C0166F">
        <w:t xml:space="preserve"> dalších </w:t>
      </w:r>
      <w:r w:rsidR="00F72207">
        <w:t>případech</w:t>
      </w:r>
      <w:r w:rsidR="00C0166F">
        <w:t>.</w:t>
      </w:r>
      <w:r w:rsidR="008A69B3">
        <w:t xml:space="preserve"> Nová právní úprava však z hlediska výpočtu povinného dílu nezohledňuje </w:t>
      </w:r>
      <w:r w:rsidR="00696AE1">
        <w:t xml:space="preserve">darování osobám odlišným od nepominutelného dědice, což </w:t>
      </w:r>
      <w:r w:rsidR="00E708C0">
        <w:t xml:space="preserve">může </w:t>
      </w:r>
      <w:r w:rsidR="00A45927">
        <w:t>vzhledem k</w:t>
      </w:r>
      <w:r w:rsidR="00EF1292">
        <w:t>e znění</w:t>
      </w:r>
      <w:r w:rsidR="00A45927">
        <w:t xml:space="preserve"> § 1658 NOZ narušit vazbu mezi darováním a děděním a oslabit ochranu nepominutelných dědiců.</w:t>
      </w:r>
    </w:p>
    <w:p w:rsidR="00FA08F6" w:rsidRDefault="00FA08F6" w:rsidP="00FA08F6">
      <w:pPr>
        <w:pStyle w:val="DiplTEXT"/>
        <w:spacing w:after="0"/>
        <w:ind w:firstLine="567"/>
      </w:pPr>
      <w:r>
        <w:t>V § 1658 NOZ je upravena zásada, že započtení nezakládá povinnost něco vydat</w:t>
      </w:r>
      <w:r w:rsidR="00C517AA">
        <w:t>, tzn. vracet do pozůstalosti</w:t>
      </w:r>
      <w:r>
        <w:t>, ledaže se jedná o odvolání daru pro nevděk podle § 2072 NOZ. Oproti původnímu návrhu osnovy K.</w:t>
      </w:r>
      <w:r w:rsidR="00D74F15">
        <w:t xml:space="preserve"> </w:t>
      </w:r>
      <w:r w:rsidR="00374A16">
        <w:t>Eliáše</w:t>
      </w:r>
      <w:r w:rsidR="000D617F">
        <w:rPr>
          <w:rStyle w:val="Znakapoznpodarou"/>
        </w:rPr>
        <w:footnoteReference w:id="152"/>
      </w:r>
      <w:r>
        <w:t xml:space="preserve">, však v nové právní úpravě chybí </w:t>
      </w:r>
      <w:r w:rsidR="00CE782F">
        <w:t xml:space="preserve">institut odvolatelnosti daru pro zkrácení povinného dílu, jakožto </w:t>
      </w:r>
      <w:r w:rsidR="00647CB8">
        <w:t>významný</w:t>
      </w:r>
      <w:r w:rsidR="00CE782F">
        <w:t xml:space="preserve"> prostředek ochrany nepominutelných dědiců</w:t>
      </w:r>
      <w:r w:rsidR="00EF1292">
        <w:t>.</w:t>
      </w:r>
      <w:r w:rsidR="00CE782F">
        <w:t xml:space="preserve"> </w:t>
      </w:r>
      <w:r>
        <w:t xml:space="preserve">O. </w:t>
      </w:r>
      <w:r w:rsidR="00647CB8">
        <w:t>Horák</w:t>
      </w:r>
      <w:r>
        <w:t xml:space="preserve"> </w:t>
      </w:r>
      <w:r w:rsidR="00647CB8">
        <w:t xml:space="preserve">považuje absenci tohoto institutu </w:t>
      </w:r>
      <w:r>
        <w:t>za výrazné oslabení ochrany nepominutelných dědiců a snížení významu a dosahu povinného dílu</w:t>
      </w:r>
      <w:r w:rsidR="001237B7">
        <w:t xml:space="preserve">, </w:t>
      </w:r>
      <w:r w:rsidR="00540503">
        <w:t xml:space="preserve">protože bude </w:t>
      </w:r>
      <w:r w:rsidR="00540503">
        <w:lastRenderedPageBreak/>
        <w:t xml:space="preserve">možné dispozicemi </w:t>
      </w:r>
      <w:r w:rsidR="00FA1FDE">
        <w:t xml:space="preserve">mezi živými </w:t>
      </w:r>
      <w:r w:rsidR="003E612E">
        <w:t>obcházet zákonnou úpravu vydědění</w:t>
      </w:r>
      <w:r>
        <w:t>.</w:t>
      </w:r>
      <w:r>
        <w:rPr>
          <w:rStyle w:val="Znakapoznpodarou"/>
        </w:rPr>
        <w:footnoteReference w:id="153"/>
      </w:r>
      <w:r w:rsidR="007D7621">
        <w:t xml:space="preserve"> </w:t>
      </w:r>
      <w:r w:rsidR="00064F19">
        <w:t>Tento</w:t>
      </w:r>
      <w:r w:rsidR="006F7A87">
        <w:t xml:space="preserve"> au</w:t>
      </w:r>
      <w:r w:rsidR="00B77BA8">
        <w:t>tor dá</w:t>
      </w:r>
      <w:r w:rsidR="00C52941">
        <w:t>le</w:t>
      </w:r>
      <w:r w:rsidR="006F7A87">
        <w:t xml:space="preserve"> uvádí, že § 1658 NOZ je </w:t>
      </w:r>
      <w:r w:rsidR="00A218EA">
        <w:t xml:space="preserve">nutno vyložit podle </w:t>
      </w:r>
      <w:r w:rsidR="005A4E65">
        <w:t xml:space="preserve">§ 2 NOZ tak, že vyloučení </w:t>
      </w:r>
      <w:proofErr w:type="gramStart"/>
      <w:r w:rsidR="005A4E65">
        <w:t>povinn</w:t>
      </w:r>
      <w:r w:rsidR="00A218EA">
        <w:t>osti ,,něco</w:t>
      </w:r>
      <w:proofErr w:type="gramEnd"/>
      <w:r w:rsidR="00A218EA">
        <w:t xml:space="preserve"> vydat“ se týká pouze předmětu daru, ale nikoliv jeho hodnoty, která by se naopak měla zkrácenému dědici na doplnění jeho povinného dílu</w:t>
      </w:r>
      <w:r w:rsidR="00A218EA" w:rsidRPr="00B479B1">
        <w:t xml:space="preserve"> </w:t>
      </w:r>
      <w:r w:rsidR="00A218EA">
        <w:t>vydat. Chybějící úprava vráce</w:t>
      </w:r>
      <w:r w:rsidR="00176C4A">
        <w:t xml:space="preserve">ní daru na povinný díl je </w:t>
      </w:r>
      <w:r w:rsidR="009A0685">
        <w:t xml:space="preserve">po dle něj </w:t>
      </w:r>
      <w:r w:rsidR="00A218EA">
        <w:t>učebnicový</w:t>
      </w:r>
      <w:r w:rsidR="00176C4A">
        <w:t>m</w:t>
      </w:r>
      <w:r w:rsidR="00A218EA">
        <w:t xml:space="preserve"> příklad</w:t>
      </w:r>
      <w:r w:rsidR="00176C4A">
        <w:t>em</w:t>
      </w:r>
      <w:r w:rsidR="00A218EA">
        <w:t xml:space="preserve"> tzv. mezery v</w:t>
      </w:r>
      <w:r w:rsidR="00176C4A">
        <w:t> </w:t>
      </w:r>
      <w:proofErr w:type="gramStart"/>
      <w:r w:rsidR="00A218EA">
        <w:t>zákoně</w:t>
      </w:r>
      <w:r w:rsidR="00176C4A">
        <w:rPr>
          <w:rStyle w:val="Znakapoznpodarou"/>
          <w:vertAlign w:val="baseline"/>
        </w:rPr>
        <w:t>,</w:t>
      </w:r>
      <w:r w:rsidR="00B72454">
        <w:rPr>
          <w:rStyle w:val="Znakapoznpodarou"/>
          <w:vertAlign w:val="baseline"/>
        </w:rPr>
        <w:t xml:space="preserve"> </w:t>
      </w:r>
      <w:r w:rsidR="00176C4A">
        <w:t>kterou</w:t>
      </w:r>
      <w:proofErr w:type="gramEnd"/>
      <w:r w:rsidR="00176C4A">
        <w:t xml:space="preserve"> je po</w:t>
      </w:r>
      <w:r w:rsidR="007F2E7F">
        <w:t>t</w:t>
      </w:r>
      <w:r w:rsidR="00176C4A">
        <w:t>řeba vyplnit nejlépe za použití</w:t>
      </w:r>
      <w:r w:rsidR="00064F19">
        <w:t xml:space="preserve"> § 10 odst. 2 NOZ a vyložit </w:t>
      </w:r>
      <w:r w:rsidR="00176C4A">
        <w:t>podle principů spravedlnosti a zásad, na</w:t>
      </w:r>
      <w:r w:rsidR="00064F19">
        <w:t xml:space="preserve"> nichž spočívá občanský zákoník</w:t>
      </w:r>
      <w:r w:rsidR="00176C4A">
        <w:t xml:space="preserve"> tak</w:t>
      </w:r>
      <w:r w:rsidR="00064F19">
        <w:t>,</w:t>
      </w:r>
      <w:r w:rsidR="00176C4A">
        <w:t xml:space="preserve"> aby se dospělo se zřetelem na zvyklosti soukromého života a</w:t>
      </w:r>
      <w:r w:rsidR="004F0574">
        <w:t> </w:t>
      </w:r>
      <w:r w:rsidR="00176C4A">
        <w:t xml:space="preserve"> s přihlédnutím ke stavu právní nauky i ustálené rozhodovací praxi k dobrém</w:t>
      </w:r>
      <w:r w:rsidR="00374A16">
        <w:t>u uspořádání práv a povinností.</w:t>
      </w:r>
      <w:r w:rsidR="00A218EA">
        <w:rPr>
          <w:rStyle w:val="Znakapoznpodarou"/>
        </w:rPr>
        <w:footnoteReference w:id="154"/>
      </w:r>
      <w:r w:rsidR="007F2E7F">
        <w:t xml:space="preserve"> </w:t>
      </w:r>
    </w:p>
    <w:p w:rsidR="00E51953" w:rsidRDefault="009A0685" w:rsidP="00FA08F6">
      <w:pPr>
        <w:pStyle w:val="DiplTEXT"/>
        <w:spacing w:after="0"/>
        <w:ind w:firstLine="567"/>
      </w:pPr>
      <w:r>
        <w:t>S</w:t>
      </w:r>
      <w:r w:rsidR="006F7A87">
        <w:t> výše uvedeným názorem se striktně rozchází J. Svoboda, který uvádí, že české dědické právo zvolilo jinou koncepci</w:t>
      </w:r>
      <w:r w:rsidR="00A92B74">
        <w:t xml:space="preserve"> práv neopominutelných dědiců, podle které </w:t>
      </w:r>
      <w:r w:rsidR="00FE5F18">
        <w:t xml:space="preserve">nepominutelní dědici </w:t>
      </w:r>
      <w:r w:rsidR="00102496">
        <w:t>nemohou</w:t>
      </w:r>
      <w:r w:rsidR="00FE5F18">
        <w:t xml:space="preserve"> úspěšně požadovat z důvodu ochrany svých práv</w:t>
      </w:r>
      <w:r w:rsidR="00102496">
        <w:t xml:space="preserve"> vrácení daru, které zůstavitel učinil za života do majetkové podstaty pozůstalosti.</w:t>
      </w:r>
      <w:r w:rsidR="001440FC">
        <w:t xml:space="preserve"> </w:t>
      </w:r>
      <w:r w:rsidR="00201330">
        <w:t>Důvodová zpráva</w:t>
      </w:r>
      <w:r w:rsidR="00A75E3C">
        <w:t xml:space="preserve"> </w:t>
      </w:r>
      <w:r w:rsidR="007B4CCE">
        <w:t>k</w:t>
      </w:r>
      <w:r w:rsidR="000A2CDF">
        <w:t> </w:t>
      </w:r>
      <w:r w:rsidR="007B4CCE">
        <w:t>§</w:t>
      </w:r>
      <w:r w:rsidR="000A2CDF">
        <w:t> </w:t>
      </w:r>
      <w:r w:rsidR="007B4CCE">
        <w:t xml:space="preserve">1568 NOZ </w:t>
      </w:r>
      <w:r w:rsidR="00A75E3C">
        <w:t>zjevně neodpovídá textu zákona</w:t>
      </w:r>
      <w:r w:rsidR="00201330">
        <w:t xml:space="preserve">, </w:t>
      </w:r>
      <w:r w:rsidR="00391DC2">
        <w:t xml:space="preserve">protože dar </w:t>
      </w:r>
      <w:r w:rsidR="00E21A3C">
        <w:t xml:space="preserve">lze </w:t>
      </w:r>
      <w:r w:rsidR="00391DC2">
        <w:t xml:space="preserve">odvolat </w:t>
      </w:r>
      <w:r w:rsidR="00E21A3C">
        <w:t>pouze pro nouzi nebo nevděk</w:t>
      </w:r>
      <w:r w:rsidR="00064F19">
        <w:t>,</w:t>
      </w:r>
      <w:r w:rsidR="00E21A3C">
        <w:t xml:space="preserve"> a ne pro zkrácení povinného dílu, jak to umožňovala právní úprav</w:t>
      </w:r>
      <w:r w:rsidR="00097950">
        <w:t>a</w:t>
      </w:r>
      <w:r w:rsidR="00E21A3C">
        <w:t xml:space="preserve"> podle § 951 </w:t>
      </w:r>
      <w:r w:rsidR="007B4CCE">
        <w:t xml:space="preserve">OZO. </w:t>
      </w:r>
      <w:r w:rsidR="00201330">
        <w:t>Z</w:t>
      </w:r>
      <w:r w:rsidR="00E21A3C">
        <w:t xml:space="preserve"> toho důvodu </w:t>
      </w:r>
      <w:r w:rsidR="007B4CCE">
        <w:t xml:space="preserve">nelze dovozovat, že se </w:t>
      </w:r>
      <w:r w:rsidR="00201330">
        <w:t>j</w:t>
      </w:r>
      <w:r w:rsidR="007B4CCE">
        <w:t>e</w:t>
      </w:r>
      <w:r w:rsidR="00201330">
        <w:t xml:space="preserve">dná o </w:t>
      </w:r>
      <w:r w:rsidR="008F5F73">
        <w:t xml:space="preserve">tzv. </w:t>
      </w:r>
      <w:r w:rsidR="00201330">
        <w:t>mezeru v</w:t>
      </w:r>
      <w:r w:rsidR="00097950">
        <w:t> </w:t>
      </w:r>
      <w:r w:rsidR="00201330">
        <w:t>zákoně</w:t>
      </w:r>
      <w:r w:rsidR="00097950">
        <w:t xml:space="preserve">, kterou by bylo nutno zaplnit </w:t>
      </w:r>
      <w:r w:rsidR="008F5F73">
        <w:t>na základě úmyslu zákonodárce upravit odvolání da</w:t>
      </w:r>
      <w:r w:rsidR="00961F17">
        <w:t xml:space="preserve">ru pro zkrácení povinného dílu </w:t>
      </w:r>
      <w:r w:rsidR="008F5F73">
        <w:t xml:space="preserve">podle § 951 OZO v rámci přípravných prací na NOZ nebo na základě historického výkladu. </w:t>
      </w:r>
      <w:r w:rsidR="007D54DD">
        <w:t xml:space="preserve">Z dikce § 1568 NOZ nelze ani za použití § 2 NOZ dovodit, že by se měla hodnota daru vydat na doplnění </w:t>
      </w:r>
      <w:r w:rsidR="00B03FC7">
        <w:t xml:space="preserve">povinného dílu, protože české dědické právo není založeno na koncepci </w:t>
      </w:r>
      <w:r w:rsidR="00B03FC7" w:rsidRPr="008415BC">
        <w:rPr>
          <w:i/>
        </w:rPr>
        <w:t>„</w:t>
      </w:r>
      <w:proofErr w:type="spellStart"/>
      <w:r w:rsidR="00B03FC7" w:rsidRPr="008415BC">
        <w:rPr>
          <w:i/>
        </w:rPr>
        <w:t>fictive</w:t>
      </w:r>
      <w:proofErr w:type="spellEnd"/>
      <w:r w:rsidR="00B03FC7" w:rsidRPr="008415BC">
        <w:rPr>
          <w:i/>
        </w:rPr>
        <w:t xml:space="preserve"> </w:t>
      </w:r>
      <w:proofErr w:type="spellStart"/>
      <w:r w:rsidR="00B03FC7" w:rsidRPr="008415BC">
        <w:rPr>
          <w:i/>
        </w:rPr>
        <w:t>hereditary</w:t>
      </w:r>
      <w:proofErr w:type="spellEnd"/>
      <w:r w:rsidR="00B03FC7" w:rsidRPr="008415BC">
        <w:rPr>
          <w:i/>
        </w:rPr>
        <w:t xml:space="preserve"> </w:t>
      </w:r>
      <w:proofErr w:type="spellStart"/>
      <w:r w:rsidR="00B03FC7" w:rsidRPr="008415BC">
        <w:rPr>
          <w:i/>
        </w:rPr>
        <w:t>mass</w:t>
      </w:r>
      <w:proofErr w:type="spellEnd"/>
      <w:r w:rsidR="00B03FC7" w:rsidRPr="008415BC">
        <w:rPr>
          <w:i/>
        </w:rPr>
        <w:t>“</w:t>
      </w:r>
      <w:r w:rsidR="00B03FC7">
        <w:t xml:space="preserve">, podle které pozůstalost tvoří souhrn majetku </w:t>
      </w:r>
      <w:r w:rsidR="007976AF">
        <w:t>existujícího v okamžiku smrti</w:t>
      </w:r>
      <w:r w:rsidR="005172E7">
        <w:t xml:space="preserve"> zůstavitele a darů, které zůstavitel učinil za svého života, přičemž se do pozůstalosti vrací po</w:t>
      </w:r>
      <w:r w:rsidR="00374A16">
        <w:t>skytnutý dar nebo jeho hodnota.</w:t>
      </w:r>
      <w:r w:rsidR="005172E7">
        <w:rPr>
          <w:rStyle w:val="Znakapoznpodarou"/>
        </w:rPr>
        <w:footnoteReference w:id="155"/>
      </w:r>
    </w:p>
    <w:p w:rsidR="00017315" w:rsidRDefault="00416C79" w:rsidP="008F461F">
      <w:pPr>
        <w:pStyle w:val="DiplTEXT"/>
        <w:spacing w:after="0"/>
        <w:ind w:firstLine="567"/>
      </w:pPr>
      <w:r>
        <w:t>I</w:t>
      </w:r>
      <w:r w:rsidR="00FA08F6" w:rsidRPr="00BC43AA">
        <w:t xml:space="preserve">nstitut </w:t>
      </w:r>
      <w:r w:rsidR="00290CDC">
        <w:t xml:space="preserve">vrácení daru na povinný díl </w:t>
      </w:r>
      <w:r w:rsidR="00FA08F6" w:rsidRPr="00BC43AA">
        <w:t>byl znám již v římském právu v podobě žaloby (</w:t>
      </w:r>
      <w:proofErr w:type="spellStart"/>
      <w:r w:rsidR="00FA08F6" w:rsidRPr="00BC43AA">
        <w:t>kverely</w:t>
      </w:r>
      <w:proofErr w:type="spellEnd"/>
      <w:r w:rsidR="00FA08F6" w:rsidRPr="00BC43AA">
        <w:t>) na doplnění toho, co oprávněnému mělo být jako povinný díl zanecháno</w:t>
      </w:r>
      <w:r w:rsidR="00FA08F6" w:rsidRPr="00BC43AA">
        <w:rPr>
          <w:rStyle w:val="Znakapoznpodarou"/>
        </w:rPr>
        <w:footnoteReference w:id="156"/>
      </w:r>
      <w:r w:rsidR="00FA08F6" w:rsidRPr="00BC43AA">
        <w:t>, zakotven byl rovněž v §</w:t>
      </w:r>
      <w:r w:rsidR="00804C80">
        <w:t>§</w:t>
      </w:r>
      <w:r w:rsidR="00FA08F6" w:rsidRPr="00BC43AA">
        <w:t xml:space="preserve"> 951</w:t>
      </w:r>
      <w:r w:rsidR="00804C80">
        <w:t>-952</w:t>
      </w:r>
      <w:r w:rsidR="00FA08F6" w:rsidRPr="00BC43AA">
        <w:t xml:space="preserve"> OZO</w:t>
      </w:r>
      <w:r w:rsidR="000E1F80">
        <w:t xml:space="preserve"> a </w:t>
      </w:r>
      <w:r w:rsidR="008F461F">
        <w:t xml:space="preserve">§§ 796-797 </w:t>
      </w:r>
      <w:r w:rsidR="000E1F80">
        <w:t>VN37</w:t>
      </w:r>
      <w:r w:rsidR="00FA08F6" w:rsidRPr="00BC43AA">
        <w:t xml:space="preserve">. Právní úprava vrácení daru na povinný díl vycházela ze situace, kdy zůstavitel rozdělil majetek formou darů již za svého života z důvodu obcházení zákonné úpravy vydědění. Z důvodu ochrany nepominutelného dědice a naplnění principu spravedlnosti bylo smyslem tohoto institutu zajistit vyrovnání jednotlivých dědiců tak, aby zkrácený nepominutelný dědic mohl požadovat vydání daru ke </w:t>
      </w:r>
      <w:r w:rsidR="00FA08F6" w:rsidRPr="00BC43AA">
        <w:lastRenderedPageBreak/>
        <w:t xml:space="preserve">krytí svého schodku v případě, že pozůstalost navýšená o dary </w:t>
      </w:r>
      <w:r w:rsidR="00017315">
        <w:t xml:space="preserve">podle § 785 OZO </w:t>
      </w:r>
      <w:r w:rsidR="00FA08F6" w:rsidRPr="00BC43AA">
        <w:t>nepostačí k úhradě j</w:t>
      </w:r>
      <w:r w:rsidR="007F2E7F" w:rsidRPr="00BC43AA">
        <w:t>eho povinného dílu</w:t>
      </w:r>
      <w:r w:rsidR="00804C80">
        <w:t>.</w:t>
      </w:r>
      <w:r w:rsidR="00550280">
        <w:rPr>
          <w:rStyle w:val="Znakapoznpodarou"/>
        </w:rPr>
        <w:footnoteReference w:id="157"/>
      </w:r>
    </w:p>
    <w:p w:rsidR="00064F19" w:rsidRDefault="00D63420" w:rsidP="008F461F">
      <w:pPr>
        <w:pStyle w:val="DiplTEXT"/>
        <w:spacing w:after="0"/>
        <w:ind w:firstLine="567"/>
      </w:pPr>
      <w:r>
        <w:t>Princip p</w:t>
      </w:r>
      <w:r w:rsidR="00883410">
        <w:t>ořizovací volnost</w:t>
      </w:r>
      <w:r>
        <w:t>i</w:t>
      </w:r>
      <w:r w:rsidR="00883410">
        <w:t xml:space="preserve"> zůstavitele není </w:t>
      </w:r>
      <w:r>
        <w:t>absolutní</w:t>
      </w:r>
      <w:r w:rsidR="000A7F94">
        <w:t xml:space="preserve">. Průlomem do této zásady </w:t>
      </w:r>
      <w:r w:rsidR="00C2345F">
        <w:t>je z</w:t>
      </w:r>
      <w:r w:rsidR="00C77EC1">
        <w:t xml:space="preserve">anechání </w:t>
      </w:r>
      <w:r w:rsidR="00944CA2">
        <w:t>zákonem stanoveného povinného dílu zákonným dědicům, tzv. nepominutelným dědicům</w:t>
      </w:r>
      <w:r w:rsidR="00C2345F">
        <w:t xml:space="preserve"> bez ohledu na </w:t>
      </w:r>
      <w:r w:rsidR="00DC20B6">
        <w:t xml:space="preserve">zůstavitelovo ustanovení </w:t>
      </w:r>
      <w:r w:rsidR="00B95AAA">
        <w:t>v závěti</w:t>
      </w:r>
      <w:r w:rsidR="00374A16">
        <w:t>.</w:t>
      </w:r>
      <w:r w:rsidR="00DC20B6">
        <w:rPr>
          <w:rStyle w:val="Znakapoznpodarou"/>
        </w:rPr>
        <w:footnoteReference w:id="158"/>
      </w:r>
    </w:p>
    <w:p w:rsidR="000A7F94" w:rsidRDefault="00B2011E" w:rsidP="008F461F">
      <w:pPr>
        <w:pStyle w:val="DiplTEXT"/>
        <w:spacing w:after="0"/>
        <w:ind w:firstLine="567"/>
      </w:pPr>
      <w:r>
        <w:t xml:space="preserve">Přestože </w:t>
      </w:r>
      <w:r w:rsidR="008E0F0B">
        <w:t>je úprava institutu nepominutelného dědice podle tvůrců NOZ „nejlepším kompromisem mezi chtěným</w:t>
      </w:r>
      <w:r w:rsidR="00550280">
        <w:t xml:space="preserve"> a</w:t>
      </w:r>
      <w:r w:rsidR="004F0574">
        <w:t> </w:t>
      </w:r>
      <w:r w:rsidR="00550280">
        <w:t xml:space="preserve"> možným, jakého se podařilo do</w:t>
      </w:r>
      <w:r w:rsidR="008E0F0B">
        <w:t>sáhnout“</w:t>
      </w:r>
      <w:r w:rsidR="00FA5C32">
        <w:rPr>
          <w:rStyle w:val="Znakapoznpodarou"/>
        </w:rPr>
        <w:footnoteReference w:id="159"/>
      </w:r>
      <w:r w:rsidR="008E0F0B">
        <w:t xml:space="preserve">, je nutné ji </w:t>
      </w:r>
      <w:r w:rsidR="003A3CEF">
        <w:t>podle a</w:t>
      </w:r>
      <w:r w:rsidR="003A3CEF" w:rsidRPr="00127259">
        <w:t>u</w:t>
      </w:r>
      <w:r w:rsidR="003A3CEF">
        <w:t xml:space="preserve">tora diplomové práce v zájmu </w:t>
      </w:r>
      <w:r w:rsidR="00B52AD1">
        <w:t xml:space="preserve">jejího </w:t>
      </w:r>
      <w:r w:rsidR="003A3CEF">
        <w:t>efektivníh</w:t>
      </w:r>
      <w:r w:rsidR="00C93D0E">
        <w:t xml:space="preserve">o uplatňování </w:t>
      </w:r>
      <w:r w:rsidR="003A3CEF">
        <w:t xml:space="preserve">doplnit </w:t>
      </w:r>
      <w:r w:rsidR="00550280">
        <w:t xml:space="preserve">o institut odvolání </w:t>
      </w:r>
      <w:r w:rsidR="00846DE1">
        <w:t>daru pro</w:t>
      </w:r>
      <w:r w:rsidR="00BD2556">
        <w:t xml:space="preserve"> zkrácení povinného dílu</w:t>
      </w:r>
      <w:r w:rsidR="0035005A">
        <w:t xml:space="preserve"> a</w:t>
      </w:r>
      <w:r w:rsidR="004F0574">
        <w:t> </w:t>
      </w:r>
      <w:r w:rsidR="0035005A">
        <w:t xml:space="preserve"> </w:t>
      </w:r>
      <w:r w:rsidR="00966E0A">
        <w:t>u</w:t>
      </w:r>
      <w:r w:rsidR="00064F19">
        <w:t>pravit započtení na povinný díl</w:t>
      </w:r>
      <w:r w:rsidR="00966E0A">
        <w:t xml:space="preserve"> tak</w:t>
      </w:r>
      <w:r w:rsidR="00064F19">
        <w:t>,</w:t>
      </w:r>
      <w:r w:rsidR="00966E0A">
        <w:t xml:space="preserve"> aby se do základu pozůstalosti podle §</w:t>
      </w:r>
      <w:r w:rsidR="000A2CDF">
        <w:t> </w:t>
      </w:r>
      <w:r w:rsidR="00966E0A">
        <w:t xml:space="preserve">1655 NOZ připočetly i dary poskytnuté osobám odlišným od </w:t>
      </w:r>
      <w:r w:rsidR="00B52AD1">
        <w:t>nepominutelných dědiců</w:t>
      </w:r>
      <w:r w:rsidR="003A3CEF">
        <w:t xml:space="preserve">. </w:t>
      </w:r>
      <w:r w:rsidR="001B5691">
        <w:t>V</w:t>
      </w:r>
      <w:r w:rsidR="000A2CDF">
        <w:t> </w:t>
      </w:r>
      <w:r w:rsidR="001B5691">
        <w:t xml:space="preserve">opačném případě by </w:t>
      </w:r>
      <w:r w:rsidR="003A3CEF">
        <w:t>právní úprava ochrany</w:t>
      </w:r>
      <w:r w:rsidR="00804C80">
        <w:t xml:space="preserve"> </w:t>
      </w:r>
      <w:r>
        <w:t xml:space="preserve">nepominutelných dědiců </w:t>
      </w:r>
      <w:r w:rsidR="003A3CEF">
        <w:t>v důsledku jejího obcházení</w:t>
      </w:r>
      <w:r w:rsidR="00BD2556">
        <w:t xml:space="preserve"> </w:t>
      </w:r>
      <w:r w:rsidR="00B52AD1">
        <w:t xml:space="preserve">dispozicemi za života </w:t>
      </w:r>
      <w:r w:rsidR="00BD2556">
        <w:t xml:space="preserve">zůstavitele </w:t>
      </w:r>
      <w:r w:rsidR="003A3CEF">
        <w:t xml:space="preserve">mohla pro </w:t>
      </w:r>
      <w:proofErr w:type="spellStart"/>
      <w:r w:rsidR="003A3CEF">
        <w:t>futuro</w:t>
      </w:r>
      <w:proofErr w:type="spellEnd"/>
      <w:r w:rsidR="003A3CEF">
        <w:t xml:space="preserve"> </w:t>
      </w:r>
      <w:r w:rsidR="00BD2556">
        <w:t xml:space="preserve">ztratit svůj </w:t>
      </w:r>
      <w:r w:rsidR="00804C80">
        <w:t>smys</w:t>
      </w:r>
      <w:r w:rsidR="00550280">
        <w:t>l.</w:t>
      </w:r>
    </w:p>
    <w:p w:rsidR="00B9776F" w:rsidRPr="00C60850" w:rsidRDefault="00C60850" w:rsidP="008074AB">
      <w:pPr>
        <w:pStyle w:val="Nadpis2"/>
      </w:pPr>
      <w:bookmarkStart w:id="68" w:name="_Toc436779489"/>
      <w:bookmarkStart w:id="69" w:name="_Toc437225083"/>
      <w:r w:rsidRPr="00C60850">
        <w:t>5</w:t>
      </w:r>
      <w:r w:rsidR="00B014C2" w:rsidRPr="00C60850">
        <w:t>.3</w:t>
      </w:r>
      <w:r w:rsidR="000A2CDF">
        <w:tab/>
      </w:r>
      <w:r w:rsidR="00B9776F" w:rsidRPr="00C60850">
        <w:t xml:space="preserve">Vedlejší </w:t>
      </w:r>
      <w:r w:rsidR="00B9776F" w:rsidRPr="008074AB">
        <w:t>doložky</w:t>
      </w:r>
      <w:r w:rsidR="00B9776F" w:rsidRPr="00C60850">
        <w:t xml:space="preserve"> v</w:t>
      </w:r>
      <w:r w:rsidR="002B637A" w:rsidRPr="00C60850">
        <w:t> </w:t>
      </w:r>
      <w:r w:rsidR="00B9776F" w:rsidRPr="00C60850">
        <w:t>závěti</w:t>
      </w:r>
      <w:bookmarkEnd w:id="68"/>
      <w:bookmarkEnd w:id="69"/>
    </w:p>
    <w:p w:rsidR="00A305F2" w:rsidRDefault="00B9776F" w:rsidP="00A305F2">
      <w:pPr>
        <w:pStyle w:val="DiplTEXT"/>
        <w:spacing w:after="0"/>
        <w:ind w:firstLine="567"/>
        <w:rPr>
          <w:color w:val="FF0000"/>
        </w:rPr>
      </w:pPr>
      <w:r>
        <w:t>Termín vedlejší doložky v závěti je souhrn</w:t>
      </w:r>
      <w:r w:rsidR="0016082C">
        <w:t>n</w:t>
      </w:r>
      <w:r>
        <w:t>ý název pro úpravu podmínek, doložení času nebo příkazu</w:t>
      </w:r>
      <w:r w:rsidR="00AE468C">
        <w:t>,</w:t>
      </w:r>
      <w:r>
        <w:t xml:space="preserve"> </w:t>
      </w:r>
      <w:r w:rsidR="00AE468C">
        <w:t>jakož i</w:t>
      </w:r>
      <w:r w:rsidRPr="00AE468C">
        <w:t xml:space="preserve"> povolání vykonavatele závěti a správce pozůstalosti</w:t>
      </w:r>
      <w:r>
        <w:t xml:space="preserve">. </w:t>
      </w:r>
      <w:r w:rsidR="003B4EED" w:rsidRPr="003B4EED">
        <w:t xml:space="preserve">NOZ se </w:t>
      </w:r>
      <w:r w:rsidR="003B4EED">
        <w:t xml:space="preserve">jejich </w:t>
      </w:r>
      <w:r w:rsidR="003B4EED" w:rsidRPr="003B4EED">
        <w:t>úpra</w:t>
      </w:r>
      <w:r w:rsidR="003B4EED">
        <w:t xml:space="preserve">vou </w:t>
      </w:r>
      <w:r w:rsidR="003B4EED" w:rsidRPr="003B4EED">
        <w:t xml:space="preserve">vrací ke standardnímu modelu právní úpravy, která respektuje dispoziční svobodu zůstavitele rozhodnout o svém majetku pro případ smrti. </w:t>
      </w:r>
      <w:r w:rsidR="00E6683A">
        <w:t>Inspiruje se přitom předlohou VN</w:t>
      </w:r>
      <w:r w:rsidR="003B4EED" w:rsidRPr="003B4EED">
        <w:t>37 s přihlédnutím ke standardním evropským zákoníkům</w:t>
      </w:r>
      <w:r w:rsidR="0091141F">
        <w:t>.</w:t>
      </w:r>
      <w:r w:rsidR="0091141F" w:rsidRPr="003B4EED">
        <w:rPr>
          <w:rStyle w:val="Znakapoznpodarou"/>
        </w:rPr>
        <w:footnoteReference w:id="160"/>
      </w:r>
    </w:p>
    <w:p w:rsidR="00B9776F" w:rsidRPr="00B956CE" w:rsidRDefault="00B9776F" w:rsidP="00B956CE">
      <w:pPr>
        <w:pStyle w:val="DiplTEXT"/>
        <w:spacing w:after="0"/>
        <w:ind w:firstLine="567"/>
        <w:rPr>
          <w:strike/>
          <w:color w:val="FF0000"/>
        </w:rPr>
      </w:pPr>
      <w:r>
        <w:t>V § 1551 odst. 1 NOZ jsou vyjmenovány vedlejší doložky, za které jsou označeny podmí</w:t>
      </w:r>
      <w:r w:rsidR="00887287">
        <w:t xml:space="preserve">nky, doložení času nebo příkaz. </w:t>
      </w:r>
      <w:r w:rsidR="00B956CE">
        <w:t>Určitou nesystematičnost zákonodárce, lze spatřovat v tom, že v uvedeném</w:t>
      </w:r>
      <w:r w:rsidR="00A305F2">
        <w:t xml:space="preserve"> výčtu chybí </w:t>
      </w:r>
      <w:r w:rsidR="004B55D7">
        <w:t> </w:t>
      </w:r>
      <w:r w:rsidR="00B956CE">
        <w:t>úprava vykonavatele závěti a správce pozůstalosti, ač jsou zařazeni do téhož pododdílu 3</w:t>
      </w:r>
      <w:r w:rsidR="00CF053F">
        <w:t xml:space="preserve"> NOZ</w:t>
      </w:r>
      <w:r w:rsidR="00B956CE">
        <w:t>.</w:t>
      </w:r>
    </w:p>
    <w:p w:rsidR="003442A7" w:rsidRPr="00C60850" w:rsidRDefault="00C60850" w:rsidP="008074AB">
      <w:pPr>
        <w:pStyle w:val="Nadpis3"/>
      </w:pPr>
      <w:bookmarkStart w:id="70" w:name="_Toc436779490"/>
      <w:bookmarkStart w:id="71" w:name="_Toc437225084"/>
      <w:r w:rsidRPr="00C60850">
        <w:t>5</w:t>
      </w:r>
      <w:r w:rsidR="00B014C2" w:rsidRPr="00C60850">
        <w:t>.3</w:t>
      </w:r>
      <w:r w:rsidR="000D56C6" w:rsidRPr="00C60850">
        <w:t>.</w:t>
      </w:r>
      <w:r w:rsidR="00F400E1" w:rsidRPr="00C60850">
        <w:t>1</w:t>
      </w:r>
      <w:r w:rsidR="000A2CDF">
        <w:tab/>
      </w:r>
      <w:r w:rsidR="003442A7" w:rsidRPr="008074AB">
        <w:t>Vykonavatel</w:t>
      </w:r>
      <w:r w:rsidR="003442A7" w:rsidRPr="00C60850">
        <w:t xml:space="preserve"> závěti</w:t>
      </w:r>
      <w:bookmarkEnd w:id="70"/>
      <w:bookmarkEnd w:id="71"/>
      <w:r w:rsidR="00B956CE">
        <w:t xml:space="preserve"> </w:t>
      </w:r>
    </w:p>
    <w:p w:rsidR="004422C3" w:rsidRPr="00E6683A" w:rsidRDefault="00B9776F" w:rsidP="00B9776F">
      <w:pPr>
        <w:pStyle w:val="DiplTEXT"/>
        <w:spacing w:after="0"/>
        <w:ind w:firstLine="567"/>
      </w:pPr>
      <w:r w:rsidRPr="000A53FC">
        <w:t>V souladu se záměrem zákonod</w:t>
      </w:r>
      <w:r w:rsidR="00E94F93">
        <w:t xml:space="preserve">árce umožnit větší průchod </w:t>
      </w:r>
      <w:r w:rsidRPr="000A53FC">
        <w:t xml:space="preserve">projevu poslední vůle zůstavitele byl </w:t>
      </w:r>
      <w:r w:rsidR="00E94F93" w:rsidRPr="000A53FC">
        <w:t xml:space="preserve">v §§ 1553-1555 NOZ </w:t>
      </w:r>
      <w:r w:rsidRPr="000A53FC">
        <w:t xml:space="preserve">obnoven staronový institut vykonavatele závěti. </w:t>
      </w:r>
      <w:r w:rsidR="00E94F93">
        <w:t xml:space="preserve">Jeho úkolem </w:t>
      </w:r>
      <w:r w:rsidRPr="000A53FC">
        <w:t xml:space="preserve">je nejenom dohlédnout na řádné splnění závěti, ale </w:t>
      </w:r>
      <w:r w:rsidR="00A70E04">
        <w:t xml:space="preserve">významná je </w:t>
      </w:r>
      <w:r w:rsidRPr="000A53FC">
        <w:t xml:space="preserve">i jeho mediační funkce spočívající v odstranění </w:t>
      </w:r>
      <w:r w:rsidR="00A70E04">
        <w:t xml:space="preserve">případných </w:t>
      </w:r>
      <w:r>
        <w:t>neshod mezi dědici</w:t>
      </w:r>
      <w:r w:rsidR="00374A16">
        <w:t>.</w:t>
      </w:r>
      <w:r w:rsidR="003A644F" w:rsidRPr="00E6683A">
        <w:rPr>
          <w:rStyle w:val="Znakapoznpodarou"/>
        </w:rPr>
        <w:footnoteReference w:id="161"/>
      </w:r>
      <w:r w:rsidR="00D17EA2" w:rsidRPr="00E6683A">
        <w:t xml:space="preserve"> </w:t>
      </w:r>
    </w:p>
    <w:p w:rsidR="00345A65" w:rsidRDefault="0027605D" w:rsidP="00B9776F">
      <w:pPr>
        <w:pStyle w:val="DiplTEXT"/>
        <w:spacing w:after="0"/>
        <w:ind w:firstLine="567"/>
      </w:pPr>
      <w:r>
        <w:lastRenderedPageBreak/>
        <w:t>Otázkou</w:t>
      </w:r>
      <w:r w:rsidR="004E3162">
        <w:t xml:space="preserve"> je, zda lze platně povolat vykonavatele závěti </w:t>
      </w:r>
      <w:r w:rsidR="007D121A">
        <w:t>také dovětkem</w:t>
      </w:r>
      <w:r w:rsidR="00F10321">
        <w:t xml:space="preserve"> podle § 1498 NOZ. </w:t>
      </w:r>
      <w:r w:rsidR="00AD7593">
        <w:t xml:space="preserve">J. Svoboda možnost povolat vykonavatele </w:t>
      </w:r>
      <w:r w:rsidR="00570CB3">
        <w:t xml:space="preserve">závěti </w:t>
      </w:r>
      <w:r w:rsidR="00AD7593">
        <w:t xml:space="preserve">jinak než </w:t>
      </w:r>
      <w:r w:rsidR="00F400B7">
        <w:t>ve formě</w:t>
      </w:r>
      <w:r w:rsidR="00AD7593">
        <w:t xml:space="preserve"> závěti</w:t>
      </w:r>
      <w:r w:rsidR="00AD7593" w:rsidRPr="00AD7593">
        <w:t xml:space="preserve"> </w:t>
      </w:r>
      <w:r w:rsidR="00374A16">
        <w:t>vylučuje.</w:t>
      </w:r>
      <w:r w:rsidR="00AD7593">
        <w:rPr>
          <w:rStyle w:val="Znakapoznpodarou"/>
        </w:rPr>
        <w:footnoteReference w:id="162"/>
      </w:r>
      <w:r w:rsidR="00AD7593">
        <w:t xml:space="preserve"> Naproti tomu </w:t>
      </w:r>
      <w:r w:rsidR="00E55BBB">
        <w:t xml:space="preserve">L. Muzikář uvádí, že </w:t>
      </w:r>
      <w:r w:rsidR="00AD7593">
        <w:t>ačkoliv</w:t>
      </w:r>
      <w:r w:rsidR="00DD37CE">
        <w:t xml:space="preserve"> </w:t>
      </w:r>
      <w:r w:rsidR="00AD7593">
        <w:t xml:space="preserve">se </w:t>
      </w:r>
      <w:r w:rsidR="00E55BBB">
        <w:t xml:space="preserve">§ 1553 NOZ </w:t>
      </w:r>
      <w:r w:rsidR="00DD37CE">
        <w:t>zmiňuje</w:t>
      </w:r>
      <w:r w:rsidR="00E55BBB">
        <w:t xml:space="preserve"> pouze </w:t>
      </w:r>
      <w:r w:rsidR="00780E4A">
        <w:t>o</w:t>
      </w:r>
      <w:r w:rsidR="004F0574">
        <w:t> </w:t>
      </w:r>
      <w:r w:rsidR="00780E4A">
        <w:t xml:space="preserve"> </w:t>
      </w:r>
      <w:r w:rsidR="00E55BBB">
        <w:t>zá</w:t>
      </w:r>
      <w:r w:rsidR="00780E4A">
        <w:t>věti</w:t>
      </w:r>
      <w:r w:rsidR="00E55BBB">
        <w:t xml:space="preserve">, není vyloučeno, aby </w:t>
      </w:r>
      <w:r w:rsidR="00DD37CE">
        <w:t xml:space="preserve">zůstavitel povolal vykonavatele závěti </w:t>
      </w:r>
      <w:r w:rsidR="00E55BBB">
        <w:t xml:space="preserve">i </w:t>
      </w:r>
      <w:r w:rsidR="00DD37CE">
        <w:t>dovětkem</w:t>
      </w:r>
      <w:r w:rsidR="00C32835">
        <w:t>,</w:t>
      </w:r>
      <w:r w:rsidR="00DD37CE">
        <w:t xml:space="preserve"> a to i přesto, že § 1498 NOZ vyko</w:t>
      </w:r>
      <w:r w:rsidR="00780E4A">
        <w:t>navatel</w:t>
      </w:r>
      <w:r w:rsidR="00C32835">
        <w:t>e</w:t>
      </w:r>
      <w:r w:rsidR="00A13D4D">
        <w:t xml:space="preserve"> závěti </w:t>
      </w:r>
      <w:r w:rsidR="00780E4A">
        <w:t xml:space="preserve">v taxativním výčtu </w:t>
      </w:r>
      <w:r w:rsidR="00C32835">
        <w:t>výslovně neuvádí</w:t>
      </w:r>
      <w:r w:rsidR="00A13D4D">
        <w:t>.</w:t>
      </w:r>
      <w:r w:rsidR="00714DF6">
        <w:rPr>
          <w:rStyle w:val="Znakapoznpodarou"/>
        </w:rPr>
        <w:footnoteReference w:id="163"/>
      </w:r>
    </w:p>
    <w:p w:rsidR="00CD785C" w:rsidRDefault="009E1A4E" w:rsidP="00B9776F">
      <w:pPr>
        <w:pStyle w:val="DiplTEXT"/>
        <w:spacing w:after="0"/>
        <w:ind w:firstLine="567"/>
      </w:pPr>
      <w:r>
        <w:t>Autor diplomové práce zastává názor, že povolat vykonavate</w:t>
      </w:r>
      <w:r w:rsidR="00E474C7">
        <w:t xml:space="preserve">le závěti </w:t>
      </w:r>
      <w:r w:rsidR="00345A65">
        <w:t xml:space="preserve">dovětkem </w:t>
      </w:r>
      <w:r w:rsidR="00E474C7">
        <w:t>lze</w:t>
      </w:r>
      <w:r w:rsidRPr="005E60C3">
        <w:t xml:space="preserve">. </w:t>
      </w:r>
      <w:r w:rsidR="00F965C7" w:rsidRPr="005E60C3">
        <w:t>Pokud zá</w:t>
      </w:r>
      <w:r w:rsidR="00F965C7">
        <w:t xml:space="preserve">konodárce </w:t>
      </w:r>
      <w:r w:rsidR="00613513">
        <w:t xml:space="preserve">řadí povolání vykonavatele závěti mezi ustanovení o vedlejších doložkách a </w:t>
      </w:r>
      <w:r w:rsidR="00F965C7">
        <w:t xml:space="preserve">ve větě druhé § 1498 </w:t>
      </w:r>
      <w:r w:rsidR="00DA5804">
        <w:t xml:space="preserve">NOZ </w:t>
      </w:r>
      <w:r w:rsidR="00F965C7">
        <w:t xml:space="preserve">umožňuje pro dovětek </w:t>
      </w:r>
      <w:r w:rsidR="00516387">
        <w:t xml:space="preserve">obdobné </w:t>
      </w:r>
      <w:r w:rsidR="00F965C7">
        <w:t xml:space="preserve">použití ustanovení o závěti, </w:t>
      </w:r>
      <w:r w:rsidR="00DA5804">
        <w:t>nic nebrání tomu, aby v</w:t>
      </w:r>
      <w:r w:rsidR="00375A02">
        <w:t> tomto ustanovení byl analogií</w:t>
      </w:r>
      <w:r w:rsidR="00DA5804">
        <w:t xml:space="preserve"> rozšířen taxativní výčet</w:t>
      </w:r>
      <w:r w:rsidR="00186BA6">
        <w:rPr>
          <w:rStyle w:val="Znakapoznpodarou"/>
        </w:rPr>
        <w:footnoteReference w:id="164"/>
      </w:r>
      <w:r w:rsidR="00186BA6">
        <w:t xml:space="preserve"> </w:t>
      </w:r>
      <w:r w:rsidR="00374A16">
        <w:t>i o vykonavatele závěti.</w:t>
      </w:r>
      <w:r w:rsidR="00B4767E">
        <w:t xml:space="preserve"> </w:t>
      </w:r>
      <w:r w:rsidR="00FF6247">
        <w:t>I p</w:t>
      </w:r>
      <w:r w:rsidR="000E0541">
        <w:t xml:space="preserve">rvorepubliková judikatura považovala </w:t>
      </w:r>
      <w:r w:rsidR="000E0541" w:rsidRPr="00402B26">
        <w:t xml:space="preserve">ustanovení </w:t>
      </w:r>
      <w:r w:rsidR="000E0541">
        <w:t>vykonavatele poslední vůle vlastně za příkaz.</w:t>
      </w:r>
      <w:r w:rsidR="000E0541">
        <w:rPr>
          <w:rStyle w:val="Znakapoznpodarou"/>
        </w:rPr>
        <w:footnoteReference w:id="165"/>
      </w:r>
      <w:r w:rsidR="00CD785C" w:rsidRPr="00CD785C">
        <w:t xml:space="preserve"> </w:t>
      </w:r>
      <w:r w:rsidR="00CD785C">
        <w:t>V opačném případě by musel zůstavitel k povolání vykonavatele závěti svou původní závěť</w:t>
      </w:r>
      <w:r w:rsidR="00CD785C" w:rsidRPr="00FF6247">
        <w:t xml:space="preserve"> </w:t>
      </w:r>
      <w:r w:rsidR="00CD785C">
        <w:t>změnit.</w:t>
      </w:r>
    </w:p>
    <w:p w:rsidR="00B4767E" w:rsidRPr="00136FB4" w:rsidRDefault="00136FB4" w:rsidP="00B9776F">
      <w:pPr>
        <w:pStyle w:val="DiplTEXT"/>
        <w:spacing w:after="0"/>
        <w:ind w:firstLine="567"/>
      </w:pPr>
      <w:r>
        <w:t xml:space="preserve">Připustíme-li povolání vykonavatele závěti dovětkem, vyvstává další otázka, zda tak lze učinit dovětkem testamentárním i intestátním. Někteří autoři připouštějí povolání </w:t>
      </w:r>
      <w:r w:rsidRPr="00136FB4">
        <w:t>vykonavatele závěti pouze dovětkem testamentárním, ve vztahu k určité závěti, kterou zůstavitel povolal dědice.</w:t>
      </w:r>
      <w:r w:rsidRPr="00136FB4">
        <w:rPr>
          <w:rStyle w:val="Znakapoznpodarou"/>
        </w:rPr>
        <w:footnoteReference w:id="166"/>
      </w:r>
      <w:r w:rsidR="00CD785C">
        <w:t xml:space="preserve"> Uvedenému názoru sice přisvědčuje znění § 1533 odst. 1</w:t>
      </w:r>
      <w:r w:rsidR="00AC7EBB">
        <w:t xml:space="preserve"> NOZ: </w:t>
      </w:r>
      <w:r w:rsidR="00AC7EBB" w:rsidRPr="00206E8B">
        <w:rPr>
          <w:i/>
        </w:rPr>
        <w:t xml:space="preserve">„Zůstavitel </w:t>
      </w:r>
      <w:r w:rsidR="00CD785C" w:rsidRPr="00206E8B">
        <w:rPr>
          <w:i/>
        </w:rPr>
        <w:t>může závětí povolat vykonavatele závěti…“</w:t>
      </w:r>
      <w:r w:rsidR="00AC7EBB">
        <w:t xml:space="preserve">, ale </w:t>
      </w:r>
      <w:r w:rsidR="008E090F">
        <w:t xml:space="preserve">vůli zákonodárce by </w:t>
      </w:r>
      <w:r w:rsidR="00AC7EBB">
        <w:t xml:space="preserve">odporovalo neumožnit zůstaviteli, který intestátním dovětkem zatíží zákonné dědice, aby týmž dovětkem současně povolal vykonavatele závěti k zajištění řádného splnění </w:t>
      </w:r>
      <w:r w:rsidR="008E090F">
        <w:t>své</w:t>
      </w:r>
      <w:r w:rsidR="00AC7EBB">
        <w:t xml:space="preserve"> poslední vůle.</w:t>
      </w:r>
      <w:r w:rsidR="008E090F">
        <w:t xml:space="preserve"> Jinak by totiž zůstavitel musel k dosažení téhož účelu pořídit závěť, kterou by povolal a </w:t>
      </w:r>
      <w:r w:rsidR="00B110E1">
        <w:t>omezil</w:t>
      </w:r>
      <w:r w:rsidR="008E090F">
        <w:t xml:space="preserve"> zákonné dědice.</w:t>
      </w:r>
    </w:p>
    <w:p w:rsidR="00864A22" w:rsidRPr="00585E79" w:rsidRDefault="00B4767E" w:rsidP="00B9776F">
      <w:pPr>
        <w:pStyle w:val="DiplTEXT"/>
        <w:spacing w:after="0"/>
        <w:ind w:firstLine="567"/>
        <w:rPr>
          <w:i/>
          <w:sz w:val="16"/>
          <w:szCs w:val="16"/>
        </w:rPr>
      </w:pPr>
      <w:r w:rsidRPr="00585E79">
        <w:t>Celkově lze konstatovat, že ač zařazení ustanovení o povolání vykonavatele závěti se může j</w:t>
      </w:r>
      <w:r w:rsidR="008D5046" w:rsidRPr="00585E79">
        <w:t xml:space="preserve">evit jako nadbytečné především </w:t>
      </w:r>
      <w:r w:rsidR="003A4493" w:rsidRPr="00585E79">
        <w:t xml:space="preserve">ve vztahu k právnímu postavení </w:t>
      </w:r>
      <w:r w:rsidRPr="00585E79">
        <w:t>správce pozůstalosti</w:t>
      </w:r>
      <w:r w:rsidR="003A4493" w:rsidRPr="00585E79">
        <w:t>, je zn</w:t>
      </w:r>
      <w:r w:rsidR="008D5046" w:rsidRPr="00585E79">
        <w:t xml:space="preserve">ovuzavedení tohoto institutu nepochybně </w:t>
      </w:r>
      <w:r w:rsidR="003A4493" w:rsidRPr="00585E79">
        <w:t xml:space="preserve">vyjádřením </w:t>
      </w:r>
      <w:r w:rsidRPr="00585E79">
        <w:t>respekt</w:t>
      </w:r>
      <w:r w:rsidR="003A4493" w:rsidRPr="00585E79">
        <w:t>u</w:t>
      </w:r>
      <w:r w:rsidRPr="00585E79">
        <w:t xml:space="preserve"> k autonomii vůle</w:t>
      </w:r>
      <w:r w:rsidR="003A4493" w:rsidRPr="00585E79">
        <w:t xml:space="preserve"> zůstavitele. </w:t>
      </w:r>
    </w:p>
    <w:p w:rsidR="00CB5C67" w:rsidRPr="00C60850" w:rsidRDefault="00C60850" w:rsidP="008074AB">
      <w:pPr>
        <w:pStyle w:val="Nadpis3"/>
      </w:pPr>
      <w:bookmarkStart w:id="72" w:name="_Toc436779491"/>
      <w:bookmarkStart w:id="73" w:name="_Toc437225085"/>
      <w:r w:rsidRPr="00C60850">
        <w:t>5</w:t>
      </w:r>
      <w:r w:rsidR="00B014C2" w:rsidRPr="00C60850">
        <w:t>.3</w:t>
      </w:r>
      <w:r w:rsidR="000D56C6" w:rsidRPr="00C60850">
        <w:t>.</w:t>
      </w:r>
      <w:r w:rsidR="00F400E1" w:rsidRPr="00C60850">
        <w:t>2</w:t>
      </w:r>
      <w:r w:rsidR="000A2CDF">
        <w:tab/>
      </w:r>
      <w:r w:rsidR="00B65CCE" w:rsidRPr="00C60850">
        <w:t>Příkaz a odkaz</w:t>
      </w:r>
      <w:bookmarkEnd w:id="72"/>
      <w:bookmarkEnd w:id="73"/>
    </w:p>
    <w:p w:rsidR="00375A02" w:rsidRDefault="00B65CCE" w:rsidP="00EE6398">
      <w:pPr>
        <w:pStyle w:val="DiplTEXT"/>
        <w:spacing w:after="0"/>
        <w:ind w:firstLine="567"/>
      </w:pPr>
      <w:r>
        <w:t xml:space="preserve">Institut příkazu je upraven v § 1569 a násl. NOZ. </w:t>
      </w:r>
      <w:r w:rsidR="00A42B1A">
        <w:t>Podstata</w:t>
      </w:r>
      <w:r w:rsidR="00A42B1A" w:rsidRPr="00A42B1A">
        <w:t xml:space="preserve"> příkazu</w:t>
      </w:r>
      <w:r w:rsidR="00A42B1A">
        <w:t xml:space="preserve"> spočívá </w:t>
      </w:r>
      <w:r w:rsidR="00C13EDA">
        <w:t>v tom, že zůstavitel nařídí v závěti dědici</w:t>
      </w:r>
      <w:r w:rsidR="007C75F5">
        <w:t xml:space="preserve"> nebo </w:t>
      </w:r>
      <w:proofErr w:type="spellStart"/>
      <w:r w:rsidR="007C75F5">
        <w:t>odkazovníkovi</w:t>
      </w:r>
      <w:proofErr w:type="spellEnd"/>
      <w:r w:rsidR="00954677">
        <w:t>, aby se zanechaným jměním nakládal určitým způsobem anebo aby něco vykonal, popř. opominul.</w:t>
      </w:r>
      <w:r w:rsidR="007C75F5">
        <w:rPr>
          <w:rStyle w:val="Znakapoznpodarou"/>
        </w:rPr>
        <w:footnoteReference w:id="167"/>
      </w:r>
    </w:p>
    <w:p w:rsidR="0047044F" w:rsidRDefault="003F138F" w:rsidP="00EE6398">
      <w:pPr>
        <w:pStyle w:val="DiplTEXT"/>
        <w:spacing w:after="0"/>
        <w:ind w:firstLine="567"/>
      </w:pPr>
      <w:r>
        <w:lastRenderedPageBreak/>
        <w:t xml:space="preserve">Výkladové potíže může </w:t>
      </w:r>
      <w:r w:rsidR="002758AB">
        <w:t xml:space="preserve">v praxi </w:t>
      </w:r>
      <w:r>
        <w:t xml:space="preserve">činit </w:t>
      </w:r>
      <w:r w:rsidR="006C3EDF">
        <w:t>rozlišení mezi příkazem a odkazem</w:t>
      </w:r>
      <w:r w:rsidR="00483F02">
        <w:t xml:space="preserve"> a </w:t>
      </w:r>
      <w:r w:rsidR="00BE2C2A">
        <w:t xml:space="preserve">to </w:t>
      </w:r>
      <w:r w:rsidR="00483F02">
        <w:t xml:space="preserve">s ohledem na nutnost vyložit závěť tak, aby bylo </w:t>
      </w:r>
      <w:r w:rsidR="00186B40">
        <w:t xml:space="preserve">ve smyslu § 1494 </w:t>
      </w:r>
      <w:r w:rsidR="00375A02">
        <w:t xml:space="preserve">NOZ vyhověno vůli zůstavitele. Důvodem je </w:t>
      </w:r>
      <w:r w:rsidR="007B69BC">
        <w:t xml:space="preserve">definice odkazu uvedená </w:t>
      </w:r>
      <w:r w:rsidR="00767A82">
        <w:t>v</w:t>
      </w:r>
      <w:r w:rsidR="007B69BC">
        <w:t xml:space="preserve"> </w:t>
      </w:r>
      <w:r w:rsidR="00767A82">
        <w:t>první větě § 1594 odst. 1 NOZ</w:t>
      </w:r>
      <w:r w:rsidR="007B69BC">
        <w:t xml:space="preserve">, kterou zůstavitel </w:t>
      </w:r>
      <w:r w:rsidR="008F0D64">
        <w:t xml:space="preserve">nařídí </w:t>
      </w:r>
      <w:r w:rsidR="007B69BC">
        <w:t>určité osobě</w:t>
      </w:r>
      <w:r w:rsidR="00E34DD7">
        <w:t xml:space="preserve">, aby </w:t>
      </w:r>
      <w:proofErr w:type="spellStart"/>
      <w:r w:rsidR="00E34DD7">
        <w:t>odkazovníku</w:t>
      </w:r>
      <w:proofErr w:type="spellEnd"/>
      <w:r w:rsidR="00FC3951">
        <w:t xml:space="preserve"> </w:t>
      </w:r>
      <w:r w:rsidR="008F0D64">
        <w:t>vydala</w:t>
      </w:r>
      <w:r w:rsidR="00FC3951">
        <w:t xml:space="preserve"> předmět odkazu</w:t>
      </w:r>
      <w:r w:rsidR="007B69BC">
        <w:t xml:space="preserve">. </w:t>
      </w:r>
      <w:r w:rsidR="008F0D64">
        <w:t>Užití slova „nařídí“ lze považovat za matoucí</w:t>
      </w:r>
      <w:r w:rsidR="008F0D64">
        <w:rPr>
          <w:rStyle w:val="Znakapoznpodarou"/>
        </w:rPr>
        <w:footnoteReference w:id="168"/>
      </w:r>
      <w:r w:rsidR="008F0D64">
        <w:t xml:space="preserve">, protože </w:t>
      </w:r>
      <w:r w:rsidR="008A00B9">
        <w:t>při gramatickém porovnání slov „nařídit“ a „přikázat“ se jedná o</w:t>
      </w:r>
      <w:r w:rsidR="004F0574">
        <w:t> </w:t>
      </w:r>
      <w:r w:rsidR="008A00B9">
        <w:t xml:space="preserve"> významově shodné pojmy. </w:t>
      </w:r>
      <w:r w:rsidR="00A90880">
        <w:t>Rozdíly</w:t>
      </w:r>
      <w:r w:rsidR="008A00B9">
        <w:t xml:space="preserve"> mezi těmito instituty </w:t>
      </w:r>
      <w:r w:rsidR="00A90880">
        <w:t xml:space="preserve">je nutno hledat v jiných znacích, čímž </w:t>
      </w:r>
      <w:r w:rsidR="008A00B9">
        <w:t>se zabývala již předválečná judikatura NS</w:t>
      </w:r>
      <w:r w:rsidR="008028AA">
        <w:t xml:space="preserve">, která konstatovala, že účelem odkazu je vždy majetkový prospěch obmyšlené osoby, zatímco u příkazu je primární zatížení toho, komu byl uložen příkaz. </w:t>
      </w:r>
      <w:r w:rsidR="00F80D72" w:rsidRPr="00F80D72">
        <w:t>U příkazu dále schází oprávněný, který by mohl vymáhat plnění</w:t>
      </w:r>
      <w:r w:rsidR="008A00B9">
        <w:t xml:space="preserve"> </w:t>
      </w:r>
      <w:r w:rsidR="00F80D72" w:rsidRPr="00F80D72">
        <w:t>na osobě zatížené příkazem</w:t>
      </w:r>
      <w:r w:rsidR="00374A16">
        <w:t>.</w:t>
      </w:r>
      <w:r w:rsidR="00F80D72">
        <w:rPr>
          <w:rStyle w:val="Znakapoznpodarou"/>
        </w:rPr>
        <w:footnoteReference w:id="169"/>
      </w:r>
    </w:p>
    <w:p w:rsidR="00EF7844" w:rsidRPr="00A42B1A" w:rsidRDefault="00C47803" w:rsidP="00EE6398">
      <w:pPr>
        <w:pStyle w:val="DiplTEXT"/>
        <w:spacing w:after="0"/>
        <w:ind w:firstLine="567"/>
      </w:pPr>
      <w:r>
        <w:t>Dalším rozdílem jsou různé právní následky spojené s nesplněním příkazu a odkazu. Nesplnění příkazu vede ke ztrátě dědického práva, zatímco nesplnění</w:t>
      </w:r>
      <w:r w:rsidR="00E34DD7">
        <w:t>m</w:t>
      </w:r>
      <w:r>
        <w:t xml:space="preserve"> odkazu vzniká pouze žalovatelný nárok vůči obtíženému dědici. </w:t>
      </w:r>
      <w:r w:rsidR="00E34DD7">
        <w:t>Splnění příkazu lze ovšem podle § 1571 NOZ rovněž vymáhat, čímž se odl</w:t>
      </w:r>
      <w:r w:rsidR="0047044F">
        <w:t>išnost obou institutů zmenšuje.</w:t>
      </w:r>
    </w:p>
    <w:p w:rsidR="003A2C1E" w:rsidRPr="00C60850" w:rsidRDefault="00C60850" w:rsidP="008074AB">
      <w:pPr>
        <w:pStyle w:val="Nadpis3"/>
      </w:pPr>
      <w:bookmarkStart w:id="74" w:name="_Toc436779492"/>
      <w:bookmarkStart w:id="75" w:name="_Toc437225086"/>
      <w:r w:rsidRPr="00C60850">
        <w:t>5</w:t>
      </w:r>
      <w:r w:rsidR="00B014C2" w:rsidRPr="00C60850">
        <w:t>.3</w:t>
      </w:r>
      <w:r w:rsidR="000D56C6" w:rsidRPr="00C60850">
        <w:t>.</w:t>
      </w:r>
      <w:r w:rsidR="00F400E1" w:rsidRPr="00C60850">
        <w:t>3</w:t>
      </w:r>
      <w:r w:rsidR="000A2CDF">
        <w:tab/>
      </w:r>
      <w:r w:rsidR="00AE2D5C" w:rsidRPr="008074AB">
        <w:t>Podmínka</w:t>
      </w:r>
      <w:r w:rsidR="003A2C1E" w:rsidRPr="00C60850">
        <w:t xml:space="preserve"> a doložení času</w:t>
      </w:r>
      <w:bookmarkEnd w:id="74"/>
      <w:bookmarkEnd w:id="75"/>
    </w:p>
    <w:p w:rsidR="00AE2D5C" w:rsidRDefault="00887EFA" w:rsidP="00030683">
      <w:pPr>
        <w:pStyle w:val="DiplTEXT"/>
        <w:spacing w:after="0"/>
        <w:ind w:firstLine="567"/>
        <w:rPr>
          <w:color w:val="FF0000"/>
        </w:rPr>
      </w:pPr>
      <w:r w:rsidRPr="00030683">
        <w:t xml:space="preserve">NOZ </w:t>
      </w:r>
      <w:r w:rsidR="00E34DD7">
        <w:t xml:space="preserve">nově </w:t>
      </w:r>
      <w:r w:rsidRPr="00030683">
        <w:t>umožňuje zůstaviteli v závěti nebo dovětku podmínit nabytí dědictví nebo odkazu splněním podmínky</w:t>
      </w:r>
      <w:r w:rsidR="0066571B">
        <w:t xml:space="preserve"> nebo doložením času</w:t>
      </w:r>
      <w:r w:rsidRPr="00030683">
        <w:t>,</w:t>
      </w:r>
      <w:r w:rsidR="008B0CD3" w:rsidRPr="00030683">
        <w:t xml:space="preserve"> s n</w:t>
      </w:r>
      <w:r w:rsidR="0066571B">
        <w:t>imiž</w:t>
      </w:r>
      <w:r w:rsidR="008B0CD3" w:rsidRPr="00030683">
        <w:t xml:space="preserve"> zůstavitel spojí vznik nebo zánik dědického práva.</w:t>
      </w:r>
      <w:r w:rsidR="001A38AF">
        <w:t xml:space="preserve"> </w:t>
      </w:r>
      <w:r w:rsidR="00D5268C">
        <w:t>Závětní dědic je těmito doložkami omezen ve svém dědickém právu, buď povinností k</w:t>
      </w:r>
      <w:r w:rsidR="00E74A61">
        <w:t> </w:t>
      </w:r>
      <w:r w:rsidR="00D5268C">
        <w:t>ur</w:t>
      </w:r>
      <w:r w:rsidR="00E74A61">
        <w:t xml:space="preserve">čitému jednání či nekonání, nebo časovým hlediskem, přičemž toto omezení může mít odkladný nebo rozvazovací účinek. Pro oblast dědického práva jsou podmínky upraveny v </w:t>
      </w:r>
      <w:r w:rsidR="008B0CD3" w:rsidRPr="00030683">
        <w:t>§§ 1561 – 1563 NOZ</w:t>
      </w:r>
      <w:r w:rsidR="00E74A61">
        <w:t xml:space="preserve"> jako ustanoveních speciálních k obecné úpravě § 548 a násl. NOZ. I</w:t>
      </w:r>
      <w:r w:rsidR="00A26E25">
        <w:t xml:space="preserve">nstitut </w:t>
      </w:r>
      <w:r w:rsidR="008B0CD3" w:rsidRPr="00030683">
        <w:t>doložení času</w:t>
      </w:r>
      <w:r w:rsidR="00030683">
        <w:t xml:space="preserve"> </w:t>
      </w:r>
      <w:r w:rsidR="00E74A61">
        <w:t xml:space="preserve">řeší </w:t>
      </w:r>
      <w:r w:rsidR="00030683">
        <w:t xml:space="preserve">§§ 1564 – 1566 </w:t>
      </w:r>
      <w:r w:rsidR="00FC3110">
        <w:t>NOZ</w:t>
      </w:r>
      <w:r w:rsidR="00E74A61">
        <w:t xml:space="preserve"> navazující na § 550 NOZ</w:t>
      </w:r>
      <w:r w:rsidR="00FC3110">
        <w:t xml:space="preserve">. </w:t>
      </w:r>
    </w:p>
    <w:p w:rsidR="003575F8" w:rsidRDefault="00E74A61" w:rsidP="009B471F">
      <w:pPr>
        <w:pStyle w:val="DiplTEXT"/>
        <w:spacing w:after="0"/>
        <w:ind w:firstLine="567"/>
      </w:pPr>
      <w:r w:rsidRPr="003575F8">
        <w:t>Jedním z problematických aspektů</w:t>
      </w:r>
      <w:r w:rsidR="003E6209">
        <w:t xml:space="preserve"> se jeví povinnost opakování podmínky </w:t>
      </w:r>
      <w:r w:rsidR="00250EAB">
        <w:t xml:space="preserve">směřující </w:t>
      </w:r>
      <w:r w:rsidR="003E6209">
        <w:t xml:space="preserve">k jednání dědice nebo </w:t>
      </w:r>
      <w:proofErr w:type="spellStart"/>
      <w:r w:rsidR="003E6209">
        <w:t>odkazovníka</w:t>
      </w:r>
      <w:proofErr w:type="spellEnd"/>
      <w:r w:rsidR="003E6209">
        <w:t xml:space="preserve"> po smrti z</w:t>
      </w:r>
      <w:r w:rsidR="00B52C17">
        <w:t xml:space="preserve">ůstavitele, splněné </w:t>
      </w:r>
      <w:r w:rsidR="003E6209">
        <w:t>již za zů</w:t>
      </w:r>
      <w:r w:rsidR="00433CF1">
        <w:t>stavitelova života. V</w:t>
      </w:r>
      <w:r w:rsidR="004F0574">
        <w:t> </w:t>
      </w:r>
      <w:r w:rsidR="003E6209">
        <w:t xml:space="preserve"> § 1561 NOZ </w:t>
      </w:r>
      <w:r w:rsidR="00433CF1">
        <w:t xml:space="preserve">se </w:t>
      </w:r>
      <w:r w:rsidR="003E6209" w:rsidRPr="003575F8">
        <w:t xml:space="preserve">obligatorně </w:t>
      </w:r>
      <w:r w:rsidR="003E6209">
        <w:t xml:space="preserve">stanoví povinnost </w:t>
      </w:r>
      <w:r w:rsidR="00433CF1">
        <w:t xml:space="preserve">opakovat </w:t>
      </w:r>
      <w:r w:rsidR="003E6209">
        <w:t xml:space="preserve">splnění téže podmínky </w:t>
      </w:r>
      <w:r w:rsidR="00433CF1">
        <w:t>po smrti zůstavitele</w:t>
      </w:r>
      <w:r w:rsidR="003E6209">
        <w:t xml:space="preserve">, ledaže </w:t>
      </w:r>
      <w:r w:rsidR="00250EAB">
        <w:t xml:space="preserve">by </w:t>
      </w:r>
      <w:r w:rsidR="00433CF1">
        <w:t xml:space="preserve">zůstavitel </w:t>
      </w:r>
      <w:r w:rsidR="00250EAB">
        <w:t xml:space="preserve">projevil zřejmě </w:t>
      </w:r>
      <w:r w:rsidR="003E6209">
        <w:t>jinou vůli</w:t>
      </w:r>
      <w:r w:rsidR="00E12001">
        <w:t xml:space="preserve">. Může jít </w:t>
      </w:r>
      <w:r w:rsidR="00520C49">
        <w:t>o podmínku, jejíž opakované splně</w:t>
      </w:r>
      <w:r w:rsidR="00EF06AA">
        <w:t xml:space="preserve">ní by bylo ve svém důsledku </w:t>
      </w:r>
      <w:r w:rsidR="00D166E6">
        <w:t xml:space="preserve">např. </w:t>
      </w:r>
      <w:r w:rsidR="00EF06AA">
        <w:t>zbytečné nebo absurdní</w:t>
      </w:r>
      <w:r w:rsidR="008A2EF5">
        <w:t>,</w:t>
      </w:r>
      <w:r w:rsidR="00F32972">
        <w:t xml:space="preserve"> přičemž by ale nešlo o </w:t>
      </w:r>
      <w:r w:rsidR="00B752E9">
        <w:t>vedlejší doložku</w:t>
      </w:r>
      <w:r w:rsidR="00F32972">
        <w:t xml:space="preserve">, k níž se ve smyslu § 1551 odst. </w:t>
      </w:r>
      <w:r w:rsidR="005D77A2">
        <w:t>2</w:t>
      </w:r>
      <w:r w:rsidR="00F32972">
        <w:t xml:space="preserve"> NOZ </w:t>
      </w:r>
      <w:r w:rsidR="00D166E6">
        <w:t>nepřihlíží</w:t>
      </w:r>
      <w:r w:rsidR="00C6199E">
        <w:t xml:space="preserve">, a zůstavitel jinou vůli neprojevil. </w:t>
      </w:r>
      <w:r w:rsidR="00B52C17">
        <w:t xml:space="preserve">Při striktním výkladu by musel pro </w:t>
      </w:r>
      <w:r w:rsidR="00E2567B">
        <w:t xml:space="preserve">nabytí dědictví </w:t>
      </w:r>
      <w:r w:rsidR="00E12001">
        <w:t>následný dědic tuto podmínku</w:t>
      </w:r>
      <w:r w:rsidR="00C6199E">
        <w:t xml:space="preserve"> přesto </w:t>
      </w:r>
      <w:r w:rsidR="00E12001">
        <w:t>opakovaně splnit, což nemusí být</w:t>
      </w:r>
      <w:r w:rsidR="000A3166">
        <w:t xml:space="preserve"> odrazem skutečné vůle</w:t>
      </w:r>
      <w:r w:rsidR="00EF06AA">
        <w:t xml:space="preserve"> zů</w:t>
      </w:r>
      <w:r w:rsidR="000A3166">
        <w:t>stavitele</w:t>
      </w:r>
      <w:r w:rsidR="00C6199E">
        <w:t xml:space="preserve"> </w:t>
      </w:r>
      <w:r w:rsidR="000A3166">
        <w:t>při pořizování závěti.</w:t>
      </w:r>
    </w:p>
    <w:p w:rsidR="00C6199E" w:rsidRDefault="00E839B2" w:rsidP="009B471F">
      <w:pPr>
        <w:pStyle w:val="DiplTEXT"/>
        <w:spacing w:after="0"/>
        <w:ind w:firstLine="567"/>
      </w:pPr>
      <w:r>
        <w:lastRenderedPageBreak/>
        <w:t xml:space="preserve">Podle autora diplomové práce by se při rozhodování o povinnosti opakování jednání mělo vycházet nejen z výkladu vůle zůstavitele zřejmé ze všech okolností pořízení a z objektivních </w:t>
      </w:r>
      <w:r w:rsidR="00616EB6">
        <w:t>možností opakování jednání, ale též z obecně uznatelných subjektivních možností následného dědice. Upřednostněn by měl být extenzivní výklad § 1561 NOZ, umožňující v některých uznatelných případech považovat podmínku za spln</w:t>
      </w:r>
      <w:r w:rsidR="00374A16">
        <w:t>ěnou již za života zůstavitele.</w:t>
      </w:r>
      <w:r w:rsidR="00616EB6">
        <w:rPr>
          <w:rStyle w:val="Znakapoznpodarou"/>
        </w:rPr>
        <w:footnoteReference w:id="170"/>
      </w:r>
    </w:p>
    <w:p w:rsidR="009B471F" w:rsidRDefault="004C380B" w:rsidP="009B471F">
      <w:pPr>
        <w:pStyle w:val="DiplTEXT"/>
        <w:spacing w:after="0"/>
        <w:ind w:firstLine="567"/>
      </w:pPr>
      <w:r>
        <w:t>V</w:t>
      </w:r>
      <w:r w:rsidR="009B471F">
        <w:t>hodnější</w:t>
      </w:r>
      <w:r>
        <w:t>m</w:t>
      </w:r>
      <w:r w:rsidR="00AB6C94">
        <w:t xml:space="preserve"> řešení</w:t>
      </w:r>
      <w:r>
        <w:t xml:space="preserve">m </w:t>
      </w:r>
      <w:r w:rsidR="00965170">
        <w:t>by bylo nestanovit v zákoně povinnost opakovat splnění podmínky obligatorně, ale vázat ji pouze</w:t>
      </w:r>
      <w:r w:rsidR="00800DB8">
        <w:t xml:space="preserve"> na výslovnou vůli zůstavitele</w:t>
      </w:r>
      <w:r w:rsidR="00965170">
        <w:t>.</w:t>
      </w:r>
      <w:r w:rsidR="00AB6C94">
        <w:t xml:space="preserve"> V takovém případě by se dědicem stal</w:t>
      </w:r>
      <w:r w:rsidR="00965170">
        <w:t xml:space="preserve"> přímo </w:t>
      </w:r>
      <w:r w:rsidR="00AF201E">
        <w:t>dědic následný</w:t>
      </w:r>
      <w:r w:rsidR="00B532AB">
        <w:t>, ledaže by zůstavitel vázal nabytí dědictví až na opakované splnění podmínky.</w:t>
      </w:r>
      <w:r w:rsidR="00B532AB">
        <w:rPr>
          <w:rStyle w:val="Znakapoznpodarou"/>
        </w:rPr>
        <w:footnoteReference w:id="171"/>
      </w:r>
    </w:p>
    <w:p w:rsidR="00076669" w:rsidRPr="00474022" w:rsidRDefault="00076669" w:rsidP="009B471F">
      <w:pPr>
        <w:pStyle w:val="DiplTEXT"/>
        <w:spacing w:after="0"/>
        <w:ind w:firstLine="567"/>
      </w:pPr>
      <w:r w:rsidRPr="00474022">
        <w:t>Byla-li závěť pořízena s odkládací podmínkou, v odborné literatuře se vyskytla otázka, komu bude svědčit dědické právo po dobu od smrti zůstavitele do splnění této podmínky, jestliže zůst</w:t>
      </w:r>
      <w:r w:rsidR="00374A16">
        <w:t>avitel předního dědice neurčil.</w:t>
      </w:r>
      <w:r w:rsidR="00E0174C" w:rsidRPr="00474022">
        <w:rPr>
          <w:rStyle w:val="Znakapoznpodarou"/>
        </w:rPr>
        <w:footnoteReference w:id="172"/>
      </w:r>
      <w:r w:rsidR="00C16671" w:rsidRPr="00474022">
        <w:t xml:space="preserve"> </w:t>
      </w:r>
      <w:r w:rsidRPr="00474022">
        <w:t xml:space="preserve">Autor diplomové práce </w:t>
      </w:r>
      <w:r w:rsidR="00C16671" w:rsidRPr="00474022">
        <w:t xml:space="preserve">přisvědčuje názoru, </w:t>
      </w:r>
      <w:r w:rsidRPr="00474022">
        <w:t>že by jím měl být ve smyslu § 1633 NOZ zákonný dědic.</w:t>
      </w:r>
      <w:r w:rsidR="00283994" w:rsidRPr="00474022">
        <w:rPr>
          <w:rStyle w:val="Znakapoznpodarou"/>
        </w:rPr>
        <w:footnoteReference w:id="173"/>
      </w:r>
      <w:r w:rsidR="004A567F" w:rsidRPr="00474022">
        <w:t xml:space="preserve"> U závěti s odkládací podmínkou se s</w:t>
      </w:r>
      <w:r w:rsidR="004F0574">
        <w:t> </w:t>
      </w:r>
      <w:r w:rsidR="004A567F" w:rsidRPr="00474022">
        <w:t xml:space="preserve"> ohledem na § 1562 NOZ ještě nabízí otázka, ke kterému okamžiku musí být dědic nebo </w:t>
      </w:r>
      <w:proofErr w:type="spellStart"/>
      <w:r w:rsidR="004A567F" w:rsidRPr="00474022">
        <w:t>odkazovník</w:t>
      </w:r>
      <w:proofErr w:type="spellEnd"/>
      <w:r w:rsidR="004A567F" w:rsidRPr="00474022">
        <w:t xml:space="preserve"> dědicky způsobilý, zda ke dni smrti zůstavitele nebo ke dni splnění odkládací podmínky. Lze se ztotožnit s názorem, že dědická způsobilost musí být dána k oběma uvedeným okamžikům</w:t>
      </w:r>
      <w:r w:rsidR="00374A16">
        <w:t>.</w:t>
      </w:r>
      <w:r w:rsidR="00474022" w:rsidRPr="00474022">
        <w:rPr>
          <w:rStyle w:val="Znakapoznpodarou"/>
        </w:rPr>
        <w:footnoteReference w:id="174"/>
      </w:r>
    </w:p>
    <w:p w:rsidR="00E8429F" w:rsidRPr="00FC3110" w:rsidRDefault="00712F33" w:rsidP="00E2567B">
      <w:pPr>
        <w:pStyle w:val="DiplTEXT"/>
        <w:spacing w:after="0"/>
        <w:ind w:firstLine="567"/>
      </w:pPr>
      <w:r>
        <w:t>Vyskytly se rovněž názory, zpochybňující znovuzavedení institutu doložení času</w:t>
      </w:r>
      <w:r w:rsidR="00FF1FBE">
        <w:t xml:space="preserve"> s odůvodněním, že </w:t>
      </w:r>
      <w:r w:rsidR="00C8632D">
        <w:t xml:space="preserve">přední dědic není </w:t>
      </w:r>
      <w:r w:rsidR="00FF1FBE">
        <w:t xml:space="preserve">ve skutečnosti </w:t>
      </w:r>
      <w:r w:rsidR="00C8632D">
        <w:t xml:space="preserve">dědicem, kterému náleží dědické </w:t>
      </w:r>
      <w:r w:rsidR="003660A0">
        <w:t>p</w:t>
      </w:r>
      <w:r w:rsidR="00C8632D">
        <w:t>rávo</w:t>
      </w:r>
      <w:r w:rsidR="00DE0708">
        <w:t>.</w:t>
      </w:r>
      <w:r w:rsidR="00F245C6">
        <w:t xml:space="preserve"> Spíše se </w:t>
      </w:r>
      <w:r w:rsidR="00F5459D">
        <w:t xml:space="preserve">však </w:t>
      </w:r>
      <w:r w:rsidR="00F245C6">
        <w:t xml:space="preserve">jedná </w:t>
      </w:r>
      <w:r w:rsidR="00C8632D">
        <w:t xml:space="preserve">o institut bezúročné půjčky, resp. </w:t>
      </w:r>
      <w:r w:rsidR="003660A0">
        <w:t>výpůjčky, kterou poskytuje pořizovatel, ale</w:t>
      </w:r>
      <w:r w:rsidR="009C498D">
        <w:t xml:space="preserve"> která se </w:t>
      </w:r>
      <w:r w:rsidR="003660A0">
        <w:t>vrací dědici, popř. dalšímu přednímu dědici</w:t>
      </w:r>
      <w:r w:rsidR="00DE0708">
        <w:t xml:space="preserve">, </w:t>
      </w:r>
      <w:r w:rsidR="00F5459D">
        <w:t xml:space="preserve">což </w:t>
      </w:r>
      <w:r w:rsidR="00DE0708">
        <w:t>umožňuje</w:t>
      </w:r>
      <w:r w:rsidR="006D044F">
        <w:t xml:space="preserve"> dosáhnout stejného cíle.</w:t>
      </w:r>
      <w:r w:rsidR="00DE0708">
        <w:t xml:space="preserve"> </w:t>
      </w:r>
      <w:r w:rsidR="00EE2C04">
        <w:t xml:space="preserve">Bylo by </w:t>
      </w:r>
      <w:r w:rsidR="00F5459D">
        <w:t xml:space="preserve">proto </w:t>
      </w:r>
      <w:r w:rsidR="00EE2C04">
        <w:t xml:space="preserve">nutné zakotvit </w:t>
      </w:r>
      <w:r w:rsidR="00EE0DBA">
        <w:t xml:space="preserve">v zákoně možnost </w:t>
      </w:r>
      <w:r w:rsidR="00F245C6">
        <w:t xml:space="preserve">využití těchto institutů </w:t>
      </w:r>
      <w:r w:rsidR="00EE0DBA">
        <w:t>i pro „</w:t>
      </w:r>
      <w:proofErr w:type="spellStart"/>
      <w:r w:rsidR="00EE0DBA">
        <w:t>mortis</w:t>
      </w:r>
      <w:proofErr w:type="spellEnd"/>
      <w:r w:rsidR="00EE0DBA">
        <w:t xml:space="preserve"> causa“</w:t>
      </w:r>
      <w:r w:rsidR="00F245C6">
        <w:t>.</w:t>
      </w:r>
      <w:r w:rsidR="00F245C6">
        <w:rPr>
          <w:rStyle w:val="Znakapoznpodarou"/>
        </w:rPr>
        <w:footnoteReference w:id="175"/>
      </w:r>
      <w:r w:rsidR="00F5459D">
        <w:t xml:space="preserve"> </w:t>
      </w:r>
      <w:r w:rsidR="004605CD">
        <w:t xml:space="preserve">Ačkoliv se jedná o zajímavou myšlenku, zavedením </w:t>
      </w:r>
      <w:r w:rsidR="00A3396F">
        <w:t>této</w:t>
      </w:r>
      <w:r w:rsidR="004605CD">
        <w:t xml:space="preserve"> koncepce by mimo jiné došlo k dalšímu prolomení základní zásady dědického práva, která zakazuje</w:t>
      </w:r>
      <w:r w:rsidR="00567819">
        <w:t xml:space="preserve"> smluvní vázanost „</w:t>
      </w:r>
      <w:proofErr w:type="spellStart"/>
      <w:r w:rsidR="00567819">
        <w:t>mortis</w:t>
      </w:r>
      <w:proofErr w:type="spellEnd"/>
      <w:r w:rsidR="00567819">
        <w:t xml:space="preserve"> causa“. Tím by ovšem ne</w:t>
      </w:r>
      <w:r w:rsidR="004605CD">
        <w:t xml:space="preserve">došlo </w:t>
      </w:r>
      <w:r w:rsidR="00E648FB">
        <w:t xml:space="preserve">k ospravedlnitelnému rozšíření autonomie vůle zůstavitele, ale pouze k efektivnější úpravě právního vztahu mezi předním a </w:t>
      </w:r>
      <w:r w:rsidR="00567819">
        <w:t>následným</w:t>
      </w:r>
      <w:r w:rsidR="00E648FB">
        <w:t xml:space="preserve"> dědicem.</w:t>
      </w:r>
      <w:r w:rsidR="004605CD">
        <w:t xml:space="preserve"> </w:t>
      </w:r>
    </w:p>
    <w:p w:rsidR="00252361" w:rsidRDefault="00252361">
      <w:pPr>
        <w:spacing w:after="0" w:line="240" w:lineRule="auto"/>
        <w:jc w:val="left"/>
        <w:rPr>
          <w:b/>
          <w:sz w:val="32"/>
        </w:rPr>
      </w:pPr>
      <w:bookmarkStart w:id="76" w:name="_Toc436779493"/>
      <w:r>
        <w:br w:type="page"/>
      </w:r>
    </w:p>
    <w:p w:rsidR="00B9776F" w:rsidRPr="00C60850" w:rsidRDefault="004B5DED" w:rsidP="008074AB">
      <w:pPr>
        <w:pStyle w:val="Nadpis1"/>
      </w:pPr>
      <w:bookmarkStart w:id="77" w:name="_Toc437225087"/>
      <w:r w:rsidRPr="00C60850">
        <w:lastRenderedPageBreak/>
        <w:t>6</w:t>
      </w:r>
      <w:r w:rsidR="000A2CDF">
        <w:tab/>
      </w:r>
      <w:r w:rsidR="000D56C6" w:rsidRPr="00C60850">
        <w:t xml:space="preserve">Problematické aspekty </w:t>
      </w:r>
      <w:r w:rsidR="000D56C6" w:rsidRPr="008074AB">
        <w:t>z</w:t>
      </w:r>
      <w:r w:rsidR="00B9776F" w:rsidRPr="008074AB">
        <w:t>rušení</w:t>
      </w:r>
      <w:r w:rsidR="00B9776F" w:rsidRPr="00C60850">
        <w:t xml:space="preserve"> závěti</w:t>
      </w:r>
      <w:bookmarkEnd w:id="76"/>
      <w:bookmarkEnd w:id="77"/>
    </w:p>
    <w:p w:rsidR="00474022" w:rsidRDefault="00645486" w:rsidP="00645486">
      <w:pPr>
        <w:pStyle w:val="DiplTEXT"/>
        <w:spacing w:after="0"/>
        <w:ind w:firstLine="567"/>
      </w:pPr>
      <w:r>
        <w:t>Výrazem zásady testovací volnosti je právo pořizovatele v průběhu života závěť nebo její jednotlivá ustanovení kdykoliv podle své vůle zrušit. NOZ přináší úpravu zrušení závěti v</w:t>
      </w:r>
      <w:r w:rsidR="004F0574">
        <w:t> </w:t>
      </w:r>
      <w:r>
        <w:t xml:space="preserve"> §§</w:t>
      </w:r>
      <w:r w:rsidR="004F0574">
        <w:t> </w:t>
      </w:r>
      <w:r>
        <w:t xml:space="preserve"> 1575-1581, jíž částečně navazuje na strohou úpravu obsaženou v 480 OZ64, kterou doplňuje, a současně zapracovává některá nová pravidla. I zde byl</w:t>
      </w:r>
      <w:r w:rsidR="0090677C">
        <w:t>o</w:t>
      </w:r>
      <w:r>
        <w:t xml:space="preserve"> inspirací zrušení závěti uvedené v §§ 713-723 OZO.</w:t>
      </w:r>
    </w:p>
    <w:p w:rsidR="00645486" w:rsidRPr="00645486" w:rsidRDefault="00645486" w:rsidP="00645486">
      <w:pPr>
        <w:pStyle w:val="DiplTEXT"/>
        <w:spacing w:after="0"/>
        <w:ind w:firstLine="567"/>
      </w:pPr>
      <w:r>
        <w:t>Závěť lze zrušit jejím odvoláním nebo pořízením pozdější závěti, přičemž odvolání může být učiněno výslovně nebo mlčky. Nově lze odvolat závěť pořízenou veřejnou listinou jejím vydáním pořizovateli na jeho žádost (§ 1579 odst. 1 NOZ), vydání závěti nepořízené veřejnou listinou</w:t>
      </w:r>
      <w:r w:rsidR="00481E0F">
        <w:t xml:space="preserve"> pořizovateli z úřední úschovy však zrušením závěti není. Nově je zařazena do § 1581 NOZ neúčinná zrušovací doložka.</w:t>
      </w:r>
    </w:p>
    <w:p w:rsidR="000D56C6" w:rsidRPr="00554571" w:rsidRDefault="004B5DED" w:rsidP="008074AB">
      <w:pPr>
        <w:pStyle w:val="Nadpis2"/>
      </w:pPr>
      <w:bookmarkStart w:id="78" w:name="_Toc436779494"/>
      <w:bookmarkStart w:id="79" w:name="_Toc437225088"/>
      <w:r w:rsidRPr="00554571">
        <w:t>6</w:t>
      </w:r>
      <w:r w:rsidR="008C3441">
        <w:t>.</w:t>
      </w:r>
      <w:r w:rsidR="000D56C6" w:rsidRPr="00554571">
        <w:t>1</w:t>
      </w:r>
      <w:r w:rsidR="00DF7CCC">
        <w:tab/>
      </w:r>
      <w:r w:rsidR="000D56C6" w:rsidRPr="00554571">
        <w:t xml:space="preserve">Culpa in </w:t>
      </w:r>
      <w:proofErr w:type="spellStart"/>
      <w:r w:rsidR="000D56C6" w:rsidRPr="008074AB">
        <w:t>testando</w:t>
      </w:r>
      <w:bookmarkEnd w:id="78"/>
      <w:bookmarkEnd w:id="79"/>
      <w:proofErr w:type="spellEnd"/>
    </w:p>
    <w:p w:rsidR="00AB6B58" w:rsidRDefault="007470CC" w:rsidP="00B9776F">
      <w:pPr>
        <w:pStyle w:val="DiplTEXT"/>
        <w:spacing w:after="0"/>
        <w:ind w:firstLine="567"/>
      </w:pPr>
      <w:r>
        <w:t xml:space="preserve">Z definice závěti v § 1494 odst. 1 NOZ vyplývá, že závěť je </w:t>
      </w:r>
      <w:r w:rsidR="00B34F8F">
        <w:t xml:space="preserve">kdykoliv odvolatelné </w:t>
      </w:r>
      <w:r w:rsidR="00B9776F">
        <w:t xml:space="preserve">jednostranné právní jednání pro případ smrti, </w:t>
      </w:r>
      <w:r w:rsidR="00B34F8F">
        <w:t xml:space="preserve">jehož účinky nastávají </w:t>
      </w:r>
      <w:r w:rsidR="002D63AA">
        <w:t xml:space="preserve">až smrtí zůstavitele. </w:t>
      </w:r>
      <w:r w:rsidR="00481E0F">
        <w:t>Zásada testovací svobody znamená, že pořizovatel není obsahem závěti vázán, může jej měnit i</w:t>
      </w:r>
      <w:r w:rsidR="004F0574">
        <w:t> </w:t>
      </w:r>
      <w:r w:rsidR="00481E0F">
        <w:t xml:space="preserve"> opakovaně.</w:t>
      </w:r>
    </w:p>
    <w:p w:rsidR="000D56C6" w:rsidRDefault="00020249" w:rsidP="00B9776F">
      <w:pPr>
        <w:pStyle w:val="DiplTEXT"/>
        <w:spacing w:after="0"/>
        <w:ind w:firstLine="567"/>
      </w:pPr>
      <w:r>
        <w:t>Z</w:t>
      </w:r>
      <w:r w:rsidR="007413D2">
        <w:t>aj</w:t>
      </w:r>
      <w:r>
        <w:t xml:space="preserve">ímavou konstrukcí </w:t>
      </w:r>
      <w:r w:rsidR="00275766">
        <w:t xml:space="preserve">se </w:t>
      </w:r>
      <w:r>
        <w:t xml:space="preserve">jeví uměle vytvořený </w:t>
      </w:r>
      <w:r w:rsidR="007A0DAB">
        <w:t>pojem</w:t>
      </w:r>
      <w:r>
        <w:t xml:space="preserve"> tzv.</w:t>
      </w:r>
      <w:r w:rsidR="007A0DAB">
        <w:t xml:space="preserve"> </w:t>
      </w:r>
      <w:r w:rsidR="00481E0F">
        <w:t>„</w:t>
      </w:r>
      <w:proofErr w:type="spellStart"/>
      <w:r w:rsidR="007A0DAB">
        <w:rPr>
          <w:i/>
        </w:rPr>
        <w:t>culpy</w:t>
      </w:r>
      <w:proofErr w:type="spellEnd"/>
      <w:r w:rsidR="007A0DAB">
        <w:rPr>
          <w:i/>
        </w:rPr>
        <w:t xml:space="preserve"> in </w:t>
      </w:r>
      <w:proofErr w:type="spellStart"/>
      <w:r w:rsidR="007A0DAB">
        <w:rPr>
          <w:i/>
        </w:rPr>
        <w:t>te</w:t>
      </w:r>
      <w:r w:rsidR="007A0DAB" w:rsidRPr="007A0DAB">
        <w:rPr>
          <w:i/>
        </w:rPr>
        <w:t>sta</w:t>
      </w:r>
      <w:r w:rsidR="007A0DAB">
        <w:rPr>
          <w:i/>
        </w:rPr>
        <w:t>n</w:t>
      </w:r>
      <w:r w:rsidR="007A0DAB" w:rsidRPr="007A0DAB">
        <w:rPr>
          <w:i/>
        </w:rPr>
        <w:t>do</w:t>
      </w:r>
      <w:proofErr w:type="spellEnd"/>
      <w:r w:rsidR="00481E0F">
        <w:rPr>
          <w:i/>
        </w:rPr>
        <w:t>“</w:t>
      </w:r>
      <w:r w:rsidR="00481E0F">
        <w:t xml:space="preserve">. Podstatou je, že </w:t>
      </w:r>
      <w:proofErr w:type="spellStart"/>
      <w:r w:rsidR="00481E0F">
        <w:t>slíbi-li</w:t>
      </w:r>
      <w:proofErr w:type="spellEnd"/>
      <w:r w:rsidR="00481E0F">
        <w:t xml:space="preserve"> zůstavitel jiné osobě za přijaté plnění, že ji ustanoví za dědice, tento slib nedodrží, závěť změní nebo zruší, nesplní povinnost péče a informační, vzniká povinnost nahradit újmu vzniklou této osobě za porušený slib. Svým způsobem</w:t>
      </w:r>
      <w:r w:rsidR="00E80BDF">
        <w:t xml:space="preserve"> tak dochází k „narušení“ testovací svobody zůstavitele ve smyslu nepříznivým právních následků při realizaci jeho práva závěť kdykoliv zrušit. Z pohledu našeho práva se </w:t>
      </w:r>
      <w:r w:rsidR="00FF4356">
        <w:t>slib opírá o zásadu uvedenou v</w:t>
      </w:r>
      <w:r w:rsidR="00DF7CCC">
        <w:t> </w:t>
      </w:r>
      <w:r w:rsidR="00FF4356">
        <w:t>§</w:t>
      </w:r>
      <w:r w:rsidR="00DF7CCC">
        <w:t> </w:t>
      </w:r>
      <w:r w:rsidR="00FF4356">
        <w:t>3</w:t>
      </w:r>
      <w:r w:rsidR="00DF7CCC">
        <w:t> </w:t>
      </w:r>
      <w:r w:rsidR="00FF4356">
        <w:t>odst. 2</w:t>
      </w:r>
      <w:r w:rsidR="00E80BDF">
        <w:t xml:space="preserve">, písm. d) </w:t>
      </w:r>
      <w:r w:rsidR="00FF4356">
        <w:t xml:space="preserve">NOZ, s jejímž porušením </w:t>
      </w:r>
      <w:r w:rsidR="00E80BDF">
        <w:t>způsobem odporujícím právnímu předpisu může být spojen vznik náhrady újmy</w:t>
      </w:r>
      <w:r w:rsidR="00FF4356">
        <w:t>.</w:t>
      </w:r>
      <w:r w:rsidR="00E80BDF" w:rsidRPr="00E80BDF">
        <w:rPr>
          <w:rStyle w:val="Znakapoznpodarou"/>
        </w:rPr>
        <w:footnoteReference w:id="176"/>
      </w:r>
      <w:r w:rsidR="00E80BDF">
        <w:t xml:space="preserve"> </w:t>
      </w:r>
      <w:r w:rsidR="003F38E1">
        <w:t xml:space="preserve">Je otázkou, zda se tato doktrína </w:t>
      </w:r>
      <w:r w:rsidR="00E80BDF" w:rsidRPr="00E80BDF">
        <w:rPr>
          <w:i/>
        </w:rPr>
        <w:t xml:space="preserve">„culpa in </w:t>
      </w:r>
      <w:proofErr w:type="spellStart"/>
      <w:r w:rsidR="00E80BDF" w:rsidRPr="00E80BDF">
        <w:rPr>
          <w:i/>
        </w:rPr>
        <w:t>testando</w:t>
      </w:r>
      <w:proofErr w:type="spellEnd"/>
      <w:r w:rsidR="00E80BDF" w:rsidRPr="00E80BDF">
        <w:rPr>
          <w:i/>
        </w:rPr>
        <w:t>“</w:t>
      </w:r>
      <w:r w:rsidR="00E80BDF">
        <w:t xml:space="preserve"> </w:t>
      </w:r>
      <w:r w:rsidR="003F38E1">
        <w:t>uplatní v kontextu našeho dědického práva</w:t>
      </w:r>
      <w:r w:rsidR="00E80BDF">
        <w:t xml:space="preserve">, což ukáže až </w:t>
      </w:r>
      <w:proofErr w:type="spellStart"/>
      <w:r w:rsidR="00E80BDF">
        <w:t>judikatorní</w:t>
      </w:r>
      <w:proofErr w:type="spellEnd"/>
      <w:r w:rsidR="00E80BDF">
        <w:t xml:space="preserve"> činnost našich soudů</w:t>
      </w:r>
      <w:r w:rsidR="003070A9" w:rsidRPr="00E80BDF">
        <w:t>.</w:t>
      </w:r>
      <w:r w:rsidR="003070A9">
        <w:rPr>
          <w:color w:val="FF0000"/>
        </w:rPr>
        <w:t xml:space="preserve"> </w:t>
      </w:r>
      <w:r w:rsidR="00E80BDF" w:rsidRPr="00E80BDF">
        <w:t>NOZ k tomu určitý prostor dává.</w:t>
      </w:r>
    </w:p>
    <w:p w:rsidR="00E66DD7" w:rsidRPr="00554571" w:rsidRDefault="00E66DD7" w:rsidP="008074AB">
      <w:pPr>
        <w:pStyle w:val="Nadpis2"/>
      </w:pPr>
      <w:bookmarkStart w:id="80" w:name="_Toc436779495"/>
      <w:bookmarkStart w:id="81" w:name="_Toc437225089"/>
      <w:r w:rsidRPr="00554571">
        <w:t>6</w:t>
      </w:r>
      <w:r w:rsidR="008C3441">
        <w:t>.</w:t>
      </w:r>
      <w:r>
        <w:t>2</w:t>
      </w:r>
      <w:r w:rsidR="00DF7CCC">
        <w:tab/>
      </w:r>
      <w:r w:rsidRPr="00554571">
        <w:t xml:space="preserve">Zrušení závěti pořízením platné </w:t>
      </w:r>
      <w:r w:rsidRPr="008074AB">
        <w:t>závěti</w:t>
      </w:r>
      <w:r w:rsidRPr="00554571">
        <w:t xml:space="preserve"> novější</w:t>
      </w:r>
      <w:bookmarkEnd w:id="80"/>
      <w:bookmarkEnd w:id="81"/>
    </w:p>
    <w:p w:rsidR="00275766" w:rsidRDefault="00E66DD7" w:rsidP="00E66DD7">
      <w:pPr>
        <w:pStyle w:val="DiplTEXT"/>
        <w:spacing w:after="0"/>
        <w:ind w:firstLine="567"/>
      </w:pPr>
      <w:r w:rsidRPr="00C51C4D">
        <w:t>Podle § 1576 NOZ platná pozdější závěť zruší dřívější závěť v rozsahu, v jakém nemůže vedle pozdější závěti obstát. Stejné pravidlo platilo i podle § 480 OZ64. Nemožností dvou závětí vedle sebe obstát se mysl</w:t>
      </w:r>
      <w:r w:rsidR="00275766">
        <w:t>í jejich vzájemný věcný rozpor.</w:t>
      </w:r>
    </w:p>
    <w:p w:rsidR="00E66DD7" w:rsidRPr="00C51C4D" w:rsidRDefault="00E66DD7" w:rsidP="00E66DD7">
      <w:pPr>
        <w:pStyle w:val="DiplTEXT"/>
        <w:spacing w:after="0"/>
        <w:ind w:firstLine="567"/>
      </w:pPr>
      <w:r w:rsidRPr="00C51C4D">
        <w:lastRenderedPageBreak/>
        <w:t xml:space="preserve">Otázkou je, k jakému okamžiku se má toto obstání posuzovat. Judikatura </w:t>
      </w:r>
      <w:r>
        <w:t>konstatovala</w:t>
      </w:r>
      <w:r w:rsidRPr="00C51C4D">
        <w:t>, že: „platná závěť</w:t>
      </w:r>
      <w:r>
        <w:rPr>
          <w:color w:val="FF0000"/>
        </w:rPr>
        <w:t xml:space="preserve"> </w:t>
      </w:r>
      <w:r w:rsidRPr="00C51C4D">
        <w:t>pozdější zrušuje závěť předcházející, pokud vedle ní nemůže obstát, již okamžikem, kdy byla zřízena“.</w:t>
      </w:r>
      <w:r w:rsidRPr="00C51C4D">
        <w:rPr>
          <w:rStyle w:val="Znakapoznpodarou"/>
        </w:rPr>
        <w:footnoteReference w:id="177"/>
      </w:r>
      <w:r w:rsidRPr="00C51C4D">
        <w:t xml:space="preserve"> S </w:t>
      </w:r>
      <w:r>
        <w:t>uvedeným závěrem KS</w:t>
      </w:r>
      <w:r w:rsidRPr="00C51C4D">
        <w:t xml:space="preserve"> se nelze ztotožnit. Pro správné pos</w:t>
      </w:r>
      <w:r>
        <w:t>o</w:t>
      </w:r>
      <w:r w:rsidRPr="00C51C4D">
        <w:t xml:space="preserve">uzení této otázky je nutné vyjít z povahy závěti jako právního jednání </w:t>
      </w:r>
      <w:proofErr w:type="spellStart"/>
      <w:r w:rsidRPr="00C51C4D">
        <w:t>mortis</w:t>
      </w:r>
      <w:proofErr w:type="spellEnd"/>
      <w:r w:rsidRPr="00C51C4D">
        <w:t xml:space="preserve"> causa, u</w:t>
      </w:r>
      <w:r w:rsidR="004F0574">
        <w:t> </w:t>
      </w:r>
      <w:r w:rsidRPr="00C51C4D">
        <w:t xml:space="preserve"> kterého je nutné rozlišovat jeho platnost a účinnost. Závěť se stává platným právním jednáním okamžikem splnění všech zákonných požadavků kladených na toto právní jednání. Schopnost závěti způsobit zamýšlené právní následky se však váže až k její účinnosti, která nastává smrtí zůstavitele. Zůstaviteli proto nic nebrání, aby za života pořídil libovolné množství platných, ale neúčinných závětí, které se navzájem vylučují. Z výše uvedeného tedy vyplývá, že rozhodujícím okamžikem, ke kterému se má posuzovat, zda vedle sebe závěti obstojí nebo ne, musí být smrt zůstavitele, nikoliv doba pořízení závěti, zakládající pouze její platnost.</w:t>
      </w:r>
      <w:r w:rsidRPr="00C51C4D">
        <w:rPr>
          <w:rStyle w:val="Znakapoznpodarou"/>
        </w:rPr>
        <w:footnoteReference w:id="178"/>
      </w:r>
      <w:r w:rsidRPr="00C51C4D">
        <w:t xml:space="preserve"> Opačný výklad by mimo jiné vylučoval možnost obnovy dřívější závěti upravené v § 1577 NOZ. </w:t>
      </w:r>
    </w:p>
    <w:p w:rsidR="00E66DD7" w:rsidRDefault="00E66DD7" w:rsidP="00E66DD7">
      <w:pPr>
        <w:pStyle w:val="DiplTEXT"/>
        <w:spacing w:after="0"/>
        <w:ind w:firstLine="567"/>
        <w:rPr>
          <w:color w:val="FF0000"/>
        </w:rPr>
      </w:pPr>
      <w:r w:rsidRPr="0059565E">
        <w:t xml:space="preserve">V průběhu </w:t>
      </w:r>
      <w:proofErr w:type="spellStart"/>
      <w:r w:rsidRPr="0059565E">
        <w:t>rekodifikačních</w:t>
      </w:r>
      <w:proofErr w:type="spellEnd"/>
      <w:r w:rsidRPr="0059565E">
        <w:t xml:space="preserve"> diskusí bylo navrhováno, aby zákon výslovně upravil pravidlo pro posouzení závětí, které byly pořízeny ve stejný den a současně vedle sebe </w:t>
      </w:r>
      <w:r>
        <w:t>nemohou obstát.</w:t>
      </w:r>
      <w:r>
        <w:rPr>
          <w:rStyle w:val="Znakapoznpodarou"/>
        </w:rPr>
        <w:footnoteReference w:id="179"/>
      </w:r>
      <w:r>
        <w:t xml:space="preserve"> </w:t>
      </w:r>
      <w:r w:rsidRPr="0059565E">
        <w:t xml:space="preserve">Ačkoliv výskyt takové kolizní situace nelze v praxi vyloučit, lze se domnívat, že půjde </w:t>
      </w:r>
      <w:r w:rsidR="00C332E4">
        <w:t>však</w:t>
      </w:r>
      <w:r w:rsidRPr="0059565E">
        <w:t xml:space="preserve"> o ojedinělé případy. Absence zákonného řešení této otázky nelze považovat za nedostatek </w:t>
      </w:r>
      <w:r>
        <w:t>NOZ</w:t>
      </w:r>
      <w:r w:rsidRPr="0059565E">
        <w:t>, ale o zá</w:t>
      </w:r>
      <w:r>
        <w:t>měr</w:t>
      </w:r>
      <w:r w:rsidRPr="0059565E">
        <w:t xml:space="preserve"> zákonodárce </w:t>
      </w:r>
      <w:r>
        <w:t xml:space="preserve">vyloučit zákonnou úpravu </w:t>
      </w:r>
      <w:r w:rsidRPr="0059565E">
        <w:t>vzácně se vyskytujících případů z ustanovení zákona.</w:t>
      </w:r>
      <w:r w:rsidRPr="0059565E">
        <w:rPr>
          <w:rStyle w:val="Znakapoznpodarou"/>
        </w:rPr>
        <w:footnoteReference w:id="180"/>
      </w:r>
    </w:p>
    <w:p w:rsidR="00E66DD7" w:rsidRPr="007A30FF" w:rsidRDefault="00E66DD7" w:rsidP="00E66DD7">
      <w:pPr>
        <w:pStyle w:val="DiplTEXT"/>
        <w:spacing w:after="0"/>
        <w:ind w:firstLine="567"/>
      </w:pPr>
      <w:r w:rsidRPr="007A30FF">
        <w:t xml:space="preserve">V kontextu pořízení nové závěti a § 1576 NOZ je markantně vidět, jak významnou roli hraje řádná datace závěti včetně </w:t>
      </w:r>
      <w:r>
        <w:t xml:space="preserve">uvedení i </w:t>
      </w:r>
      <w:r w:rsidRPr="007A30FF">
        <w:t>hodinového údaje.</w:t>
      </w:r>
    </w:p>
    <w:p w:rsidR="00BA1EB0" w:rsidRPr="00647927" w:rsidRDefault="004B5DED" w:rsidP="008074AB">
      <w:pPr>
        <w:pStyle w:val="Nadpis2"/>
      </w:pPr>
      <w:bookmarkStart w:id="82" w:name="_Toc436779496"/>
      <w:bookmarkStart w:id="83" w:name="_Toc437225090"/>
      <w:r w:rsidRPr="00647927">
        <w:t>6</w:t>
      </w:r>
      <w:r w:rsidR="008C3441">
        <w:t>.</w:t>
      </w:r>
      <w:r w:rsidR="00647927" w:rsidRPr="00647927">
        <w:t>3</w:t>
      </w:r>
      <w:r w:rsidR="00DF7CCC">
        <w:tab/>
      </w:r>
      <w:r w:rsidR="00A005FA" w:rsidRPr="00647927">
        <w:t xml:space="preserve">Odvolání </w:t>
      </w:r>
      <w:r w:rsidR="00BA1EB0" w:rsidRPr="008074AB">
        <w:t>závěti</w:t>
      </w:r>
      <w:r w:rsidR="00AB6B58" w:rsidRPr="00647927">
        <w:t xml:space="preserve"> jejím zničením</w:t>
      </w:r>
      <w:bookmarkEnd w:id="82"/>
      <w:bookmarkEnd w:id="83"/>
    </w:p>
    <w:p w:rsidR="00585EAA" w:rsidRDefault="007A30FF" w:rsidP="0025649B">
      <w:pPr>
        <w:pStyle w:val="normlntext"/>
        <w:spacing w:before="0"/>
        <w:ind w:firstLine="567"/>
      </w:pPr>
      <w:r>
        <w:t>K odvolání závěti konkludentně se vyžaduje podle § 1578 NOZ zničení listiny, na níž je závěť napsána. Zničení listiny znamená je</w:t>
      </w:r>
      <w:r w:rsidR="00275766">
        <w:t>jí</w:t>
      </w:r>
      <w:r>
        <w:t xml:space="preserve"> materiální</w:t>
      </w:r>
      <w:r w:rsidR="00A914F1">
        <w:t xml:space="preserve"> likvidaci jakýmkoliv způsobem (</w:t>
      </w:r>
      <w:r>
        <w:t>např. roztrháním, spálením apod.</w:t>
      </w:r>
      <w:r w:rsidR="00A914F1">
        <w:t>).</w:t>
      </w:r>
    </w:p>
    <w:p w:rsidR="00A914F1" w:rsidRPr="00B437AA" w:rsidRDefault="00A914F1" w:rsidP="0025649B">
      <w:pPr>
        <w:pStyle w:val="normlntext"/>
        <w:spacing w:before="0"/>
        <w:ind w:firstLine="567"/>
        <w:rPr>
          <w:strike/>
        </w:rPr>
      </w:pPr>
      <w:r>
        <w:t>Formulace první věty odst. 1 § 1578 NOZ</w:t>
      </w:r>
      <w:r w:rsidR="005706C5">
        <w:t>,</w:t>
      </w:r>
      <w:r>
        <w:t xml:space="preserve"> nezmiňující zůstavitele na rozdíl od dalšího textu</w:t>
      </w:r>
      <w:r w:rsidR="005706C5">
        <w:t>,</w:t>
      </w:r>
      <w:r>
        <w:t xml:space="preserve"> vyvolává otázku, zda listinu může zničit sám pořizovatel závěti nebo tak může učinit i</w:t>
      </w:r>
      <w:r w:rsidR="004F0574">
        <w:t> </w:t>
      </w:r>
      <w:r>
        <w:t xml:space="preserve"> jiná osoba. Úmyslem zákonodárce nebylo </w:t>
      </w:r>
      <w:r w:rsidR="005706C5">
        <w:t xml:space="preserve">se </w:t>
      </w:r>
      <w:r>
        <w:t>odch</w:t>
      </w:r>
      <w:r w:rsidR="005706C5">
        <w:t xml:space="preserve">ýlit </w:t>
      </w:r>
      <w:r w:rsidR="00374A16">
        <w:t>od dosavadní judikatury</w:t>
      </w:r>
      <w:r>
        <w:rPr>
          <w:rStyle w:val="Znakapoznpodarou"/>
        </w:rPr>
        <w:footnoteReference w:id="181"/>
      </w:r>
      <w:r>
        <w:t xml:space="preserve"> </w:t>
      </w:r>
      <w:r>
        <w:lastRenderedPageBreak/>
        <w:t>vycházející z</w:t>
      </w:r>
      <w:r w:rsidR="004F0574">
        <w:t> </w:t>
      </w:r>
      <w:r>
        <w:t>§ 480 odst. 2 OZ64, proto by gramatický výklad neměl být rozhodující. Zničení listiny osobně zůstavitelem by mělo být proto vždy podmínkou platného odvolání závěti</w:t>
      </w:r>
      <w:r w:rsidR="0032163F">
        <w:t>.</w:t>
      </w:r>
      <w:r w:rsidR="00940391">
        <w:rPr>
          <w:rStyle w:val="Znakapoznpodarou"/>
        </w:rPr>
        <w:footnoteReference w:id="182"/>
      </w:r>
    </w:p>
    <w:p w:rsidR="00877F40" w:rsidRDefault="00B437AA" w:rsidP="00062727">
      <w:pPr>
        <w:pStyle w:val="normlntext"/>
        <w:spacing w:before="0"/>
        <w:ind w:firstLine="567"/>
      </w:pPr>
      <w:r>
        <w:t>Problematickým aspekte</w:t>
      </w:r>
      <w:r w:rsidR="00153307">
        <w:t>m se jeví případ, kdy závěť byla pořízena v několika stejnopisech a zůstavitel zničí jen jeden z </w:t>
      </w:r>
      <w:r w:rsidR="00877F40">
        <w:t>nich</w:t>
      </w:r>
      <w:r w:rsidR="00153307">
        <w:t xml:space="preserve">, přičemž podle </w:t>
      </w:r>
      <w:r w:rsidR="00F86C0D">
        <w:t xml:space="preserve">§ 1578 odst. 1, </w:t>
      </w:r>
      <w:r w:rsidR="00AF2C77">
        <w:t xml:space="preserve">věty druhé </w:t>
      </w:r>
      <w:r w:rsidR="00153307">
        <w:t xml:space="preserve">NOZ </w:t>
      </w:r>
      <w:r w:rsidR="001363EB">
        <w:t xml:space="preserve">z toho ještě </w:t>
      </w:r>
      <w:r w:rsidR="00153307">
        <w:t xml:space="preserve">nelze </w:t>
      </w:r>
      <w:r w:rsidR="001363EB">
        <w:t>usuzovat na její odvolání</w:t>
      </w:r>
      <w:r w:rsidR="002F45ED">
        <w:t>.</w:t>
      </w:r>
      <w:r w:rsidR="00F83657">
        <w:rPr>
          <w:rStyle w:val="Znakapoznpodarou"/>
        </w:rPr>
        <w:footnoteReference w:id="183"/>
      </w:r>
      <w:r w:rsidR="008B7CA6">
        <w:t xml:space="preserve"> </w:t>
      </w:r>
      <w:r w:rsidR="00B50C29">
        <w:t>Zákon přitom blíže neuvádí, jaké okolnost</w:t>
      </w:r>
      <w:r w:rsidR="001335A4">
        <w:t>i</w:t>
      </w:r>
      <w:r w:rsidR="00B50C29">
        <w:t xml:space="preserve"> ve vztahu k vědomí zůstavitele mohou mít vliv na odvolání závěti</w:t>
      </w:r>
      <w:r w:rsidR="001335A4">
        <w:t xml:space="preserve">. </w:t>
      </w:r>
      <w:r w:rsidR="00991D86">
        <w:t xml:space="preserve">Pokud </w:t>
      </w:r>
      <w:r w:rsidR="00493464">
        <w:t xml:space="preserve">pořizovatel </w:t>
      </w:r>
      <w:r w:rsidR="007774E9">
        <w:t xml:space="preserve">nezničí všechny </w:t>
      </w:r>
      <w:r w:rsidR="00BA5C4C">
        <w:t>stejnopisy</w:t>
      </w:r>
      <w:r w:rsidR="007774E9">
        <w:t xml:space="preserve">, </w:t>
      </w:r>
      <w:r w:rsidR="00591F8C">
        <w:t xml:space="preserve">protože </w:t>
      </w:r>
      <w:r w:rsidR="00ED16C9">
        <w:t>o existenci další</w:t>
      </w:r>
      <w:r w:rsidR="00DD0C63">
        <w:t>ch</w:t>
      </w:r>
      <w:r w:rsidR="00AD742E">
        <w:t xml:space="preserve"> vyhotovení </w:t>
      </w:r>
      <w:r w:rsidR="00591F8C">
        <w:t>nevěděl</w:t>
      </w:r>
      <w:r w:rsidR="005706C5">
        <w:t xml:space="preserve">, lze </w:t>
      </w:r>
      <w:r w:rsidR="00ED16C9">
        <w:t>usuzova</w:t>
      </w:r>
      <w:r w:rsidR="00080F50">
        <w:t xml:space="preserve">t, že k odvolání </w:t>
      </w:r>
      <w:r w:rsidR="00ED16C9">
        <w:t xml:space="preserve">závěti </w:t>
      </w:r>
      <w:r w:rsidR="00DD0C63">
        <w:t>došlo</w:t>
      </w:r>
      <w:r w:rsidR="00AD742E">
        <w:t xml:space="preserve">. </w:t>
      </w:r>
      <w:r w:rsidR="00ED16C9">
        <w:t xml:space="preserve">Naopak, jestliže zůstavitel </w:t>
      </w:r>
      <w:r w:rsidR="00DD0C63">
        <w:t>věděl, že existují další stejnopisy závěti a</w:t>
      </w:r>
      <w:r w:rsidR="004F0574">
        <w:t> </w:t>
      </w:r>
      <w:r w:rsidR="00DD0C63">
        <w:t xml:space="preserve"> všechny jej nezničil, pak k odvolání </w:t>
      </w:r>
      <w:r w:rsidR="00F67303">
        <w:t xml:space="preserve">závěti </w:t>
      </w:r>
      <w:r w:rsidR="008427E0">
        <w:t xml:space="preserve">dojít </w:t>
      </w:r>
      <w:r w:rsidR="00F67303">
        <w:t>nemohlo.</w:t>
      </w:r>
      <w:r w:rsidR="00DD0C63">
        <w:rPr>
          <w:rStyle w:val="Znakapoznpodarou"/>
        </w:rPr>
        <w:footnoteReference w:id="184"/>
      </w:r>
      <w:r w:rsidR="00F67303">
        <w:rPr>
          <w:color w:val="FF0000"/>
        </w:rPr>
        <w:t xml:space="preserve"> </w:t>
      </w:r>
      <w:r w:rsidR="00F42029">
        <w:t xml:space="preserve">Zajímavou úvahu </w:t>
      </w:r>
      <w:r w:rsidR="00983301">
        <w:t>publikoval</w:t>
      </w:r>
      <w:r w:rsidR="00062727">
        <w:t xml:space="preserve"> </w:t>
      </w:r>
      <w:r w:rsidR="00C63A7C">
        <w:t>O</w:t>
      </w:r>
      <w:r w:rsidR="003C343E">
        <w:t xml:space="preserve">. </w:t>
      </w:r>
      <w:proofErr w:type="spellStart"/>
      <w:r w:rsidR="00062727">
        <w:t>Choděra</w:t>
      </w:r>
      <w:proofErr w:type="spellEnd"/>
      <w:r w:rsidR="008A59DC">
        <w:t xml:space="preserve">, který uvedl, že </w:t>
      </w:r>
      <w:r w:rsidR="00B159EB">
        <w:t xml:space="preserve">zničení pouze jednoho vyhotovení závěti </w:t>
      </w:r>
      <w:r w:rsidR="007219C6">
        <w:t>pořizovatele</w:t>
      </w:r>
      <w:r w:rsidR="00B159EB">
        <w:t>m</w:t>
      </w:r>
      <w:r w:rsidR="007219C6">
        <w:t xml:space="preserve"> v úmyslu </w:t>
      </w:r>
      <w:r w:rsidR="00B159EB">
        <w:t xml:space="preserve">odvolat svoji závěť </w:t>
      </w:r>
      <w:r w:rsidR="008A59DC">
        <w:t xml:space="preserve">se </w:t>
      </w:r>
      <w:r w:rsidR="004D24BA">
        <w:t>automaticky odrazí</w:t>
      </w:r>
      <w:r w:rsidR="008A59DC">
        <w:t xml:space="preserve"> i </w:t>
      </w:r>
      <w:r w:rsidR="005706C5">
        <w:t>na ostatní stejnopisy, takže</w:t>
      </w:r>
      <w:r w:rsidR="004D24BA">
        <w:t xml:space="preserve"> </w:t>
      </w:r>
      <w:r w:rsidR="008A59DC">
        <w:t>závěť do nic</w:t>
      </w:r>
      <w:r w:rsidR="004D24BA">
        <w:t xml:space="preserve">h vtělená </w:t>
      </w:r>
      <w:r w:rsidR="005706C5">
        <w:t xml:space="preserve">tak bude </w:t>
      </w:r>
      <w:r w:rsidR="004D24BA">
        <w:t>zrušena</w:t>
      </w:r>
      <w:r w:rsidR="008A59DC">
        <w:t>.</w:t>
      </w:r>
      <w:r w:rsidR="00D2014F">
        <w:t xml:space="preserve"> Podle jeho názoru je třeba vyjít s odlišení závěti jako právního jednání, které musí splňovat zákonné požada</w:t>
      </w:r>
      <w:r w:rsidR="00983301">
        <w:t>vky na obsah a formu od listiny, na které je napsána.</w:t>
      </w:r>
      <w:r w:rsidR="00F178AA">
        <w:rPr>
          <w:rStyle w:val="Znakapoznpodarou"/>
        </w:rPr>
        <w:footnoteReference w:id="185"/>
      </w:r>
    </w:p>
    <w:p w:rsidR="00F67303" w:rsidRDefault="001670DC" w:rsidP="00062727">
      <w:pPr>
        <w:pStyle w:val="normlntext"/>
        <w:spacing w:before="0"/>
        <w:ind w:firstLine="567"/>
        <w:rPr>
          <w:strike/>
        </w:rPr>
      </w:pPr>
      <w:r>
        <w:t xml:space="preserve">Nelze se ztotožnit s názorem, že vědomí zůstavitele o existenci nebo neexistenci dalších stejnopisů by mělo být </w:t>
      </w:r>
      <w:r w:rsidR="00F70F1F">
        <w:t>v případě</w:t>
      </w:r>
      <w:r>
        <w:t xml:space="preserve"> zrušení jen jednoho z nich zůstavitelem rozhodujícím kritériem pro to, zda závěť byla odvolána či ne. </w:t>
      </w:r>
      <w:r w:rsidR="00F70F1F">
        <w:t xml:space="preserve">Naopak rozhodujícím kritériem by měl být jen úmysl zůstavitele </w:t>
      </w:r>
      <w:r w:rsidR="003C343E">
        <w:t xml:space="preserve">zrušením jednoho stejnopisu zrušit </w:t>
      </w:r>
      <w:r w:rsidR="00F70F1F">
        <w:t xml:space="preserve">závěť, </w:t>
      </w:r>
      <w:r w:rsidR="003C343E">
        <w:t>bez ohledu na ostatní stejnopisy</w:t>
      </w:r>
      <w:r w:rsidR="005A1269">
        <w:t>.</w:t>
      </w:r>
      <w:r w:rsidR="00F83657">
        <w:rPr>
          <w:rStyle w:val="Znakapoznpodarou"/>
        </w:rPr>
        <w:footnoteReference w:id="186"/>
      </w:r>
      <w:r w:rsidR="005A1269">
        <w:t xml:space="preserve"> Z</w:t>
      </w:r>
      <w:r w:rsidR="00F70F1F">
        <w:t xml:space="preserve">ákon </w:t>
      </w:r>
      <w:r w:rsidR="005A1269">
        <w:t xml:space="preserve">bohužel </w:t>
      </w:r>
      <w:r w:rsidR="00F70F1F">
        <w:t xml:space="preserve">žádná </w:t>
      </w:r>
      <w:r w:rsidR="005A1269">
        <w:t xml:space="preserve">bližší </w:t>
      </w:r>
      <w:r w:rsidR="00F70F1F">
        <w:t xml:space="preserve">kritéria pro posuzování této otázky přímo neuvádí. </w:t>
      </w:r>
    </w:p>
    <w:p w:rsidR="003E53F8" w:rsidRPr="00647927" w:rsidRDefault="004B5DED" w:rsidP="008074AB">
      <w:pPr>
        <w:pStyle w:val="Nadpis2"/>
      </w:pPr>
      <w:bookmarkStart w:id="84" w:name="_Toc436779497"/>
      <w:bookmarkStart w:id="85" w:name="_Toc437225091"/>
      <w:r w:rsidRPr="00647927">
        <w:t>6</w:t>
      </w:r>
      <w:r w:rsidR="00B014C2" w:rsidRPr="00647927">
        <w:t>.</w:t>
      </w:r>
      <w:r w:rsidR="00647927" w:rsidRPr="00647927">
        <w:t>4</w:t>
      </w:r>
      <w:r w:rsidR="00DF7CCC">
        <w:tab/>
      </w:r>
      <w:r w:rsidR="003E53F8" w:rsidRPr="00647927">
        <w:t>Obnova dřívější závěti</w:t>
      </w:r>
      <w:bookmarkEnd w:id="84"/>
      <w:bookmarkEnd w:id="85"/>
    </w:p>
    <w:p w:rsidR="007E1EB2" w:rsidRDefault="00367706" w:rsidP="00C10EEE">
      <w:pPr>
        <w:pStyle w:val="normlntext"/>
        <w:spacing w:before="0"/>
        <w:ind w:firstLine="567"/>
      </w:pPr>
      <w:r>
        <w:t xml:space="preserve">O obnově neboli „obživnutí“ dřívější závěti </w:t>
      </w:r>
      <w:r w:rsidR="00AB2BE6">
        <w:t>se mluví</w:t>
      </w:r>
      <w:r>
        <w:t xml:space="preserve"> v případě,</w:t>
      </w:r>
      <w:r w:rsidR="002625D0">
        <w:t xml:space="preserve"> </w:t>
      </w:r>
      <w:r w:rsidR="00905FDB">
        <w:t>kdy</w:t>
      </w:r>
      <w:r w:rsidR="002625D0">
        <w:t xml:space="preserve"> dojde ke zrušení pozdější závěti nebo ke zrušení </w:t>
      </w:r>
      <w:r w:rsidR="00AB2BE6">
        <w:t xml:space="preserve">odvolání </w:t>
      </w:r>
      <w:r w:rsidR="002625D0">
        <w:t>závěti</w:t>
      </w:r>
      <w:r w:rsidR="00AB2BE6">
        <w:t xml:space="preserve"> a není zřejmá jiná vůle zůstavitele</w:t>
      </w:r>
      <w:r w:rsidR="002625D0">
        <w:t xml:space="preserve">. </w:t>
      </w:r>
      <w:r w:rsidR="00A12F63">
        <w:t xml:space="preserve">Nově tuto možnost </w:t>
      </w:r>
      <w:r w:rsidR="00AB2BE6">
        <w:t>upravuje § 1580 NOZ za podmínek, že zůstavitel novější závětí zrušil dřívější závěť v</w:t>
      </w:r>
      <w:r w:rsidR="00F043D5">
        <w:t> </w:t>
      </w:r>
      <w:r w:rsidR="00AB2BE6">
        <w:t>rozsahu</w:t>
      </w:r>
      <w:r w:rsidR="00F043D5">
        <w:t>,</w:t>
      </w:r>
      <w:r w:rsidR="00AB2BE6">
        <w:t xml:space="preserve"> ve kterém nemohou vedle sebe obstát (§ 1576 NOZ), zrušil novější závěť</w:t>
      </w:r>
      <w:r w:rsidR="0081730C">
        <w:t xml:space="preserve">, ale dřívější závěť uchoval a přitom neprojevil jinou vůli o zachování její platnosti. Inspirací </w:t>
      </w:r>
      <w:r w:rsidR="00AE0978">
        <w:t>p</w:t>
      </w:r>
      <w:r w:rsidR="0081730C">
        <w:t>r</w:t>
      </w:r>
      <w:r w:rsidR="00AE0978">
        <w:t>o</w:t>
      </w:r>
      <w:r w:rsidR="0081730C">
        <w:t xml:space="preserve"> zákonodárce byl </w:t>
      </w:r>
      <w:r w:rsidR="00AE0978">
        <w:t>§ 723 OZO</w:t>
      </w:r>
      <w:r w:rsidR="0081730C">
        <w:t xml:space="preserve">, který ovšem bez dalších podmínek umožnil obživnutí písemné neporušené dřívější závěti, jestliže pozdější závěť zničil. NOZ takovou koncepci </w:t>
      </w:r>
      <w:r w:rsidR="007E1EB2">
        <w:t>nepřevzal.</w:t>
      </w:r>
    </w:p>
    <w:p w:rsidR="00CB4599" w:rsidRPr="00234515" w:rsidRDefault="00E17DBC" w:rsidP="00C10EEE">
      <w:pPr>
        <w:pStyle w:val="normlntext"/>
        <w:spacing w:before="0"/>
        <w:ind w:firstLine="567"/>
      </w:pPr>
      <w:r>
        <w:t xml:space="preserve">Nová právní úprava se </w:t>
      </w:r>
      <w:r w:rsidR="005835E8">
        <w:t xml:space="preserve">rovněž </w:t>
      </w:r>
      <w:r>
        <w:t xml:space="preserve">rozchází </w:t>
      </w:r>
      <w:r w:rsidR="00C13131">
        <w:t xml:space="preserve">se </w:t>
      </w:r>
      <w:r w:rsidR="004C207A">
        <w:t>závěry dosavadní</w:t>
      </w:r>
      <w:r w:rsidR="00C13131">
        <w:t xml:space="preserve"> judikatury</w:t>
      </w:r>
      <w:r w:rsidR="00A559ED">
        <w:t xml:space="preserve"> i teorie</w:t>
      </w:r>
      <w:r w:rsidR="005835E8">
        <w:t>, která nesprávně dovodila</w:t>
      </w:r>
      <w:r w:rsidR="00BC6D82">
        <w:t xml:space="preserve">, že ke zrušení </w:t>
      </w:r>
      <w:r w:rsidR="00312DE9">
        <w:t xml:space="preserve">dřívější </w:t>
      </w:r>
      <w:r w:rsidR="00BC6D82">
        <w:t>závěti dojde</w:t>
      </w:r>
      <w:r w:rsidR="00E2388C">
        <w:t xml:space="preserve"> již okamžikem jejího zrušení </w:t>
      </w:r>
      <w:r w:rsidR="00312DE9">
        <w:t xml:space="preserve">závětí </w:t>
      </w:r>
      <w:r w:rsidR="00312DE9">
        <w:lastRenderedPageBreak/>
        <w:t xml:space="preserve">pozdější </w:t>
      </w:r>
      <w:r w:rsidR="00E2388C">
        <w:t>podle § 480 odst. 1, 2 OZ64</w:t>
      </w:r>
      <w:r w:rsidR="0046463C">
        <w:t xml:space="preserve"> bez ohledu na to, zda bude pozdější závěť za života zůstavitele</w:t>
      </w:r>
      <w:r w:rsidR="00C93CE1">
        <w:t xml:space="preserve"> zrušena další závětí, zničena nebo odvolána</w:t>
      </w:r>
      <w:r w:rsidR="00416B0D">
        <w:rPr>
          <w:rStyle w:val="Znakapoznpodarou"/>
        </w:rPr>
        <w:footnoteReference w:id="187"/>
      </w:r>
      <w:r w:rsidR="00C93CE1">
        <w:t xml:space="preserve">, takže nemůže dojít </w:t>
      </w:r>
      <w:r w:rsidR="00A91651">
        <w:t xml:space="preserve">ani </w:t>
      </w:r>
      <w:r w:rsidR="00C93CE1">
        <w:t>k obnovení účinnosti</w:t>
      </w:r>
      <w:r w:rsidR="00416B0D">
        <w:t xml:space="preserve"> závěti původní</w:t>
      </w:r>
      <w:r w:rsidR="00416B0D">
        <w:rPr>
          <w:rStyle w:val="Znakapoznpodarou"/>
        </w:rPr>
        <w:footnoteReference w:id="188"/>
      </w:r>
      <w:r w:rsidR="007E1EB2">
        <w:t>. Uvedený závěr byl předmětem kritiky některých autorů.</w:t>
      </w:r>
      <w:r w:rsidR="008C6C9A">
        <w:rPr>
          <w:rStyle w:val="Znakapoznpodarou"/>
        </w:rPr>
        <w:footnoteReference w:id="189"/>
      </w:r>
      <w:r w:rsidR="00C93CE1">
        <w:t xml:space="preserve"> </w:t>
      </w:r>
    </w:p>
    <w:p w:rsidR="0065383A" w:rsidRDefault="002B1D92" w:rsidP="004738E4">
      <w:pPr>
        <w:pStyle w:val="normlntext"/>
        <w:spacing w:before="0"/>
        <w:ind w:firstLine="567"/>
      </w:pPr>
      <w:r w:rsidRPr="00332B77">
        <w:t>P</w:t>
      </w:r>
      <w:r w:rsidR="004738E4" w:rsidRPr="00332B77">
        <w:t>odmín</w:t>
      </w:r>
      <w:r w:rsidRPr="00332B77">
        <w:t>kou</w:t>
      </w:r>
      <w:r w:rsidR="00ED01D3" w:rsidRPr="00332B77">
        <w:t xml:space="preserve"> obnovení </w:t>
      </w:r>
      <w:r w:rsidR="008A1FFB" w:rsidRPr="00332B77">
        <w:t xml:space="preserve">platnosti </w:t>
      </w:r>
      <w:r w:rsidR="00ED01D3" w:rsidRPr="00332B77">
        <w:t>dřívější závěti</w:t>
      </w:r>
      <w:r w:rsidR="004A02D8" w:rsidRPr="00332B77">
        <w:t xml:space="preserve"> </w:t>
      </w:r>
      <w:r w:rsidR="000922AB">
        <w:t xml:space="preserve">podle § 1580 NOZ </w:t>
      </w:r>
      <w:r w:rsidR="004A02D8" w:rsidRPr="00332B77">
        <w:t>je její</w:t>
      </w:r>
      <w:r w:rsidR="004738E4" w:rsidRPr="00332B77">
        <w:t xml:space="preserve"> </w:t>
      </w:r>
      <w:r w:rsidR="004738E4" w:rsidRPr="00275766">
        <w:t xml:space="preserve">uchování </w:t>
      </w:r>
      <w:r w:rsidR="00273B0F">
        <w:t>zůstavitelem. To</w:t>
      </w:r>
      <w:r w:rsidR="00D671D6" w:rsidRPr="00332B77">
        <w:t xml:space="preserve"> </w:t>
      </w:r>
      <w:r w:rsidR="00D4788D" w:rsidRPr="00332B77">
        <w:t xml:space="preserve">je vyloučeno v případě </w:t>
      </w:r>
      <w:r w:rsidR="00034C33" w:rsidRPr="00332B77">
        <w:t xml:space="preserve">zničení </w:t>
      </w:r>
      <w:r w:rsidR="00273B0F">
        <w:t xml:space="preserve">závěti </w:t>
      </w:r>
      <w:r w:rsidR="00E17071" w:rsidRPr="00332B77">
        <w:t xml:space="preserve">nebo </w:t>
      </w:r>
      <w:r w:rsidR="00273B0F">
        <w:t>při vydání</w:t>
      </w:r>
      <w:r w:rsidR="00E17071" w:rsidRPr="00332B77">
        <w:t xml:space="preserve"> veřejné listiny o </w:t>
      </w:r>
      <w:r w:rsidR="00D4788D" w:rsidRPr="00332B77">
        <w:t>závěti</w:t>
      </w:r>
      <w:r w:rsidR="00E17071" w:rsidRPr="00332B77">
        <w:t xml:space="preserve"> </w:t>
      </w:r>
      <w:r w:rsidR="00034C33" w:rsidRPr="00332B77">
        <w:t>pořizovateli podle § 1579 odst. 1 NOZ</w:t>
      </w:r>
      <w:r w:rsidR="00B0486B" w:rsidRPr="00332B77">
        <w:t xml:space="preserve">. </w:t>
      </w:r>
      <w:r w:rsidR="00466664" w:rsidRPr="00332B77">
        <w:t>Otázkou je</w:t>
      </w:r>
      <w:r w:rsidR="00E17071" w:rsidRPr="00332B77">
        <w:t xml:space="preserve">, zda </w:t>
      </w:r>
      <w:r w:rsidR="000D5D62" w:rsidRPr="00332B77">
        <w:t xml:space="preserve">k obnově platnosti dřívější závěti </w:t>
      </w:r>
      <w:r w:rsidR="00E17071" w:rsidRPr="00332B77">
        <w:t xml:space="preserve">postačí </w:t>
      </w:r>
      <w:r w:rsidR="000F7E0A" w:rsidRPr="00332B77">
        <w:t xml:space="preserve">jen její </w:t>
      </w:r>
      <w:r w:rsidR="000D5D62" w:rsidRPr="00332B77">
        <w:t xml:space="preserve">faktické </w:t>
      </w:r>
      <w:r w:rsidR="00E17071" w:rsidRPr="00332B77">
        <w:t>zachování</w:t>
      </w:r>
      <w:r w:rsidR="00275766">
        <w:t>,</w:t>
      </w:r>
      <w:r w:rsidR="00E17071" w:rsidRPr="00332B77">
        <w:t xml:space="preserve"> </w:t>
      </w:r>
      <w:r w:rsidR="000D5D62" w:rsidRPr="00332B77">
        <w:t>nebo</w:t>
      </w:r>
      <w:r w:rsidR="00185ECE" w:rsidRPr="00332B77">
        <w:t xml:space="preserve"> zda </w:t>
      </w:r>
      <w:r w:rsidR="00466664" w:rsidRPr="00332B77">
        <w:t>je zapotřebí, aby zůstavitel</w:t>
      </w:r>
      <w:r w:rsidR="00185ECE" w:rsidRPr="00332B77">
        <w:t xml:space="preserve"> </w:t>
      </w:r>
      <w:r w:rsidR="000F7E0A" w:rsidRPr="00332B77">
        <w:t xml:space="preserve">navíc </w:t>
      </w:r>
      <w:r w:rsidR="00466664" w:rsidRPr="00332B77">
        <w:t>vyjádřil</w:t>
      </w:r>
      <w:r w:rsidR="00185ECE" w:rsidRPr="00332B77">
        <w:t xml:space="preserve"> úmysl obnovit její platnost. </w:t>
      </w:r>
      <w:r w:rsidR="00EC20CD" w:rsidRPr="00332B77">
        <w:t xml:space="preserve">Podle </w:t>
      </w:r>
      <w:r w:rsidR="009C36C0" w:rsidRPr="00332B77">
        <w:t xml:space="preserve">L. Muzikáře </w:t>
      </w:r>
      <w:r w:rsidR="00466664" w:rsidRPr="00332B77">
        <w:t>připadá v úvahu pouze druhá možnost,</w:t>
      </w:r>
      <w:r w:rsidR="00947BFC" w:rsidRPr="00332B77">
        <w:t xml:space="preserve"> protože rozhodující je v</w:t>
      </w:r>
      <w:r w:rsidR="00CA5C5F">
        <w:t>ždy respekt k vůli zůstavitele.</w:t>
      </w:r>
      <w:r w:rsidR="00947BFC" w:rsidRPr="00332B77">
        <w:rPr>
          <w:rStyle w:val="Znakapoznpodarou"/>
        </w:rPr>
        <w:footnoteReference w:id="190"/>
      </w:r>
      <w:r w:rsidR="00947BFC" w:rsidRPr="00332B77">
        <w:t xml:space="preserve"> V opačném případě </w:t>
      </w:r>
      <w:r w:rsidR="00332B77" w:rsidRPr="00332B77">
        <w:t xml:space="preserve">by </w:t>
      </w:r>
      <w:r w:rsidR="00332B77">
        <w:t>uvedené ustanovení vytvořilo fikci</w:t>
      </w:r>
      <w:r w:rsidR="00332B77" w:rsidRPr="00332B77">
        <w:t xml:space="preserve"> platnosti právního jednání, které si zůstavitel </w:t>
      </w:r>
      <w:r w:rsidR="00586367">
        <w:t xml:space="preserve">zřejmě </w:t>
      </w:r>
      <w:r w:rsidR="00CA5C5F">
        <w:t>vůbec nepřál.</w:t>
      </w:r>
      <w:r w:rsidR="00332B77" w:rsidRPr="00332B77">
        <w:rPr>
          <w:rStyle w:val="Znakapoznpodarou"/>
        </w:rPr>
        <w:footnoteReference w:id="191"/>
      </w:r>
      <w:r w:rsidR="00513192">
        <w:t xml:space="preserve"> </w:t>
      </w:r>
      <w:r w:rsidR="0065383A">
        <w:t xml:space="preserve">S tímto stanoviskem se lze plně ztotožnit. </w:t>
      </w:r>
    </w:p>
    <w:p w:rsidR="00474A2F" w:rsidRDefault="00587A0D" w:rsidP="004738E4">
      <w:pPr>
        <w:pStyle w:val="normlntext"/>
        <w:spacing w:before="0"/>
        <w:ind w:firstLine="567"/>
      </w:pPr>
      <w:r>
        <w:t>Úmysl</w:t>
      </w:r>
      <w:r w:rsidR="00513192">
        <w:t xml:space="preserve"> zůstavitele </w:t>
      </w:r>
      <w:r>
        <w:t>směřující k obnovení</w:t>
      </w:r>
      <w:r w:rsidR="00513192" w:rsidRPr="00513192">
        <w:t xml:space="preserve"> platnost</w:t>
      </w:r>
      <w:r>
        <w:t>i</w:t>
      </w:r>
      <w:r w:rsidR="00513192" w:rsidRPr="00513192">
        <w:t xml:space="preserve"> dřívější závěti </w:t>
      </w:r>
      <w:r w:rsidR="00513192">
        <w:t xml:space="preserve">může </w:t>
      </w:r>
      <w:r>
        <w:t xml:space="preserve">být </w:t>
      </w:r>
      <w:r w:rsidR="00933807">
        <w:t xml:space="preserve">na jedné straně </w:t>
      </w:r>
      <w:r>
        <w:t>zřejmý</w:t>
      </w:r>
      <w:r w:rsidR="006E257F">
        <w:t xml:space="preserve"> z toho</w:t>
      </w:r>
      <w:r w:rsidR="00462852">
        <w:t xml:space="preserve">, že </w:t>
      </w:r>
      <w:r>
        <w:t xml:space="preserve">zůstavitel </w:t>
      </w:r>
      <w:r w:rsidR="00933807">
        <w:t xml:space="preserve">např. </w:t>
      </w:r>
      <w:r w:rsidR="00462852">
        <w:t>ponechal</w:t>
      </w:r>
      <w:r w:rsidR="00175E56">
        <w:t xml:space="preserve"> tuto</w:t>
      </w:r>
      <w:r w:rsidR="00462852">
        <w:t xml:space="preserve"> </w:t>
      </w:r>
      <w:r w:rsidR="003141C6">
        <w:t>dřívější závěť u putativního</w:t>
      </w:r>
      <w:r w:rsidR="00462852">
        <w:t xml:space="preserve"> dědice</w:t>
      </w:r>
      <w:r w:rsidR="00933807">
        <w:t xml:space="preserve">, </w:t>
      </w:r>
      <w:r w:rsidR="000F3746">
        <w:t xml:space="preserve">na druhé straně </w:t>
      </w:r>
      <w:r w:rsidR="003141C6">
        <w:t xml:space="preserve">však </w:t>
      </w:r>
      <w:r w:rsidR="000F3746">
        <w:t>může být i předmětem</w:t>
      </w:r>
      <w:r w:rsidR="00933807">
        <w:t xml:space="preserve"> sporného řízení mezi dědici podle § 170 </w:t>
      </w:r>
      <w:r w:rsidR="001D20C9">
        <w:t>ZŘS</w:t>
      </w:r>
      <w:r w:rsidR="00933807">
        <w:t xml:space="preserve"> </w:t>
      </w:r>
      <w:r w:rsidR="00474A2F">
        <w:t xml:space="preserve">za situace, kdy </w:t>
      </w:r>
      <w:r w:rsidR="00780ED4">
        <w:t>putativní dědic odmít</w:t>
      </w:r>
      <w:r w:rsidR="00474A2F">
        <w:t>l vydat zůstaviteli závěť poté, co jím byla zrušena.</w:t>
      </w:r>
      <w:r w:rsidR="00173B17">
        <w:rPr>
          <w:rStyle w:val="Znakapoznpodarou"/>
        </w:rPr>
        <w:footnoteReference w:id="192"/>
      </w:r>
    </w:p>
    <w:p w:rsidR="00A35E0E" w:rsidRDefault="00A62119" w:rsidP="004738E4">
      <w:pPr>
        <w:pStyle w:val="normlntext"/>
        <w:spacing w:before="0"/>
        <w:ind w:firstLine="567"/>
      </w:pPr>
      <w:r>
        <w:t xml:space="preserve">NOZ v § 1580 předpokládá situaci, kdy zůstavitel pořídí dvě závěti, které vedle sebe nemohou obstát a následně pozdější závět zruší, ale dřívější uchová. V praxi však mohou nastat situace, </w:t>
      </w:r>
      <w:r w:rsidR="00941823">
        <w:t xml:space="preserve">kdy na základě </w:t>
      </w:r>
      <w:r>
        <w:t>právní</w:t>
      </w:r>
      <w:r w:rsidR="00941823">
        <w:t>ho</w:t>
      </w:r>
      <w:r>
        <w:t xml:space="preserve"> jednání </w:t>
      </w:r>
      <w:r w:rsidR="00941823">
        <w:t>zůstavitele</w:t>
      </w:r>
      <w:r w:rsidR="00941823" w:rsidRPr="00941823">
        <w:t xml:space="preserve"> </w:t>
      </w:r>
      <w:r w:rsidR="00941823">
        <w:t xml:space="preserve">nebude zcela jasné, zda k obnovení dřívější závěti skutečně dojde, </w:t>
      </w:r>
      <w:r w:rsidR="0098699F">
        <w:t>nebo nikoliv</w:t>
      </w:r>
      <w:r w:rsidR="00820315">
        <w:t xml:space="preserve">. Problematickým aspektem se jeví zejména výklad projevu vůle zůstavitele směřující k uchování dřívější závěti. </w:t>
      </w:r>
    </w:p>
    <w:p w:rsidR="005706C5" w:rsidRDefault="0098699F" w:rsidP="00DF6C14">
      <w:pPr>
        <w:pStyle w:val="normlntext"/>
        <w:spacing w:before="0"/>
        <w:ind w:firstLine="567"/>
      </w:pPr>
      <w:r>
        <w:t xml:space="preserve">Podle některých autorů dřívější závěť neobživne v </w:t>
      </w:r>
      <w:r w:rsidR="00E765DB">
        <w:t>případ</w:t>
      </w:r>
      <w:r>
        <w:t>ě</w:t>
      </w:r>
      <w:r w:rsidR="00E765DB">
        <w:t>, kdy zů</w:t>
      </w:r>
      <w:r w:rsidR="007239A4">
        <w:t xml:space="preserve">stavitel pořídí novou závěť, současně </w:t>
      </w:r>
      <w:r w:rsidR="00E765DB">
        <w:t xml:space="preserve">v ní výslovně dřívější závěť </w:t>
      </w:r>
      <w:r>
        <w:t xml:space="preserve">zruší </w:t>
      </w:r>
      <w:r w:rsidR="004B40E4">
        <w:t>jejím odvoláním a následně tuto novější</w:t>
      </w:r>
      <w:r w:rsidR="00E765DB">
        <w:t xml:space="preserve"> záv</w:t>
      </w:r>
      <w:r w:rsidR="007239A4">
        <w:t>ěť zruší.</w:t>
      </w:r>
      <w:r w:rsidR="00F043D5">
        <w:t xml:space="preserve"> </w:t>
      </w:r>
      <w:r w:rsidR="007239A4">
        <w:rPr>
          <w:rStyle w:val="Znakapoznpodarou"/>
        </w:rPr>
        <w:footnoteReference w:id="193"/>
      </w:r>
      <w:r w:rsidR="0012762A">
        <w:t xml:space="preserve"> V této souvislosti je </w:t>
      </w:r>
      <w:r w:rsidR="0095753C">
        <w:t>možno</w:t>
      </w:r>
      <w:r w:rsidR="0012762A">
        <w:t xml:space="preserve"> si položit otázku, zda </w:t>
      </w:r>
      <w:r w:rsidR="004D3F9F">
        <w:t xml:space="preserve">zrušení </w:t>
      </w:r>
      <w:r w:rsidR="00C64602">
        <w:t>novější</w:t>
      </w:r>
      <w:r w:rsidR="0012762A">
        <w:t xml:space="preserve"> závěti</w:t>
      </w:r>
      <w:r w:rsidR="004D3F9F">
        <w:t xml:space="preserve">, </w:t>
      </w:r>
      <w:r w:rsidR="00C64E28">
        <w:t xml:space="preserve">jíž se současně ruší i </w:t>
      </w:r>
      <w:r w:rsidR="004D3F9F">
        <w:t>odvolání</w:t>
      </w:r>
      <w:r w:rsidR="00C64602">
        <w:t xml:space="preserve"> dřívější závěti, </w:t>
      </w:r>
      <w:r w:rsidR="00C64E28">
        <w:t>by naopak nebylo</w:t>
      </w:r>
      <w:r w:rsidR="004D3F9F">
        <w:t xml:space="preserve"> možno</w:t>
      </w:r>
      <w:r w:rsidR="00C64E28">
        <w:t xml:space="preserve"> považovat </w:t>
      </w:r>
      <w:r w:rsidR="004D3F9F">
        <w:t xml:space="preserve">spíše </w:t>
      </w:r>
      <w:r w:rsidR="00DF6C14">
        <w:t>za projev vůle zůstavitele dřívější závě</w:t>
      </w:r>
      <w:r w:rsidR="006026EA">
        <w:t>ť</w:t>
      </w:r>
      <w:r w:rsidR="00C64602">
        <w:t xml:space="preserve"> uchovat</w:t>
      </w:r>
      <w:r w:rsidR="004D3F9F">
        <w:t>, to je, že by se na ni hledělo, jako by nebyla zrušena</w:t>
      </w:r>
      <w:r w:rsidR="009F30A0">
        <w:t>.</w:t>
      </w:r>
      <w:r w:rsidR="00495B1E">
        <w:t xml:space="preserve"> Tomu svědčí i pravidlo uvedené v § 574 NOZ, že na právní jednání je třeba hledět jako na platné než jako na neplatné.</w:t>
      </w:r>
    </w:p>
    <w:p w:rsidR="00273B0F" w:rsidRDefault="009F30A0" w:rsidP="00DF6C14">
      <w:pPr>
        <w:pStyle w:val="normlntext"/>
        <w:spacing w:before="0"/>
        <w:ind w:firstLine="567"/>
      </w:pPr>
      <w:r>
        <w:t>Ještě markantnějším způsobem</w:t>
      </w:r>
      <w:r w:rsidR="00593FF8">
        <w:t xml:space="preserve"> </w:t>
      </w:r>
      <w:r>
        <w:t>se</w:t>
      </w:r>
      <w:r w:rsidR="00AB310E">
        <w:t xml:space="preserve"> podle L. Muzikáře</w:t>
      </w:r>
      <w:r>
        <w:t xml:space="preserve"> uvedený problém</w:t>
      </w:r>
      <w:r w:rsidR="0006461C">
        <w:t xml:space="preserve"> </w:t>
      </w:r>
      <w:r w:rsidR="00AB310E">
        <w:t xml:space="preserve">může projevit </w:t>
      </w:r>
      <w:r w:rsidR="0006461C">
        <w:t>i v souvislosti s možností aplikovat § 1580</w:t>
      </w:r>
      <w:r w:rsidR="00452284">
        <w:t xml:space="preserve"> NOZ</w:t>
      </w:r>
      <w:r w:rsidR="00593FF8">
        <w:t xml:space="preserve"> v </w:t>
      </w:r>
      <w:r>
        <w:t>případě, kdy zůstavitel</w:t>
      </w:r>
      <w:r w:rsidR="00593FF8">
        <w:t xml:space="preserve"> výslovně odvolal </w:t>
      </w:r>
      <w:r w:rsidR="00593FF8">
        <w:lastRenderedPageBreak/>
        <w:t>svou jedinou závěť, následně toto od</w:t>
      </w:r>
      <w:r w:rsidR="00AB310E">
        <w:t>v</w:t>
      </w:r>
      <w:r w:rsidR="00593FF8">
        <w:t>olání zrušil, aniž by pořídil závěť</w:t>
      </w:r>
      <w:r w:rsidR="00452284" w:rsidRPr="00452284">
        <w:t xml:space="preserve"> </w:t>
      </w:r>
      <w:r w:rsidR="00452284">
        <w:t>novou</w:t>
      </w:r>
      <w:r w:rsidR="00593FF8">
        <w:t xml:space="preserve">. Ačkoliv se nejedná </w:t>
      </w:r>
      <w:r w:rsidR="0006461C">
        <w:t>o zrušení novější závěti ve smyslu § 1580</w:t>
      </w:r>
      <w:r w:rsidR="00452284">
        <w:t xml:space="preserve"> NOZ</w:t>
      </w:r>
      <w:r w:rsidR="0006461C">
        <w:t xml:space="preserve">, </w:t>
      </w:r>
      <w:r w:rsidR="00452284">
        <w:t>lze jej přesto aplikovat</w:t>
      </w:r>
      <w:r w:rsidR="00A776F1">
        <w:t>. Jednak má takové odvolání shodné právní důsledky jako pozdější závěť, vedle</w:t>
      </w:r>
      <w:r w:rsidR="00244A75">
        <w:t xml:space="preserve"> které nemůže dřívější obstát,</w:t>
      </w:r>
      <w:r w:rsidR="00A776F1">
        <w:t xml:space="preserve"> navíc si nelze předst</w:t>
      </w:r>
      <w:r w:rsidR="006C2AEF">
        <w:t>a</w:t>
      </w:r>
      <w:r w:rsidR="00A776F1">
        <w:t>vit, že by</w:t>
      </w:r>
      <w:r w:rsidR="006C2AEF">
        <w:t xml:space="preserve"> zrušení </w:t>
      </w:r>
      <w:r w:rsidR="00A776F1">
        <w:t>výslovné</w:t>
      </w:r>
      <w:r w:rsidR="006C2AEF">
        <w:t xml:space="preserve">ho </w:t>
      </w:r>
      <w:r w:rsidR="00A776F1">
        <w:t xml:space="preserve">odvolání </w:t>
      </w:r>
      <w:r w:rsidR="006C2AEF">
        <w:t xml:space="preserve">závěti bylo motivováno jiným úmyslem zůstavitele, </w:t>
      </w:r>
      <w:r w:rsidR="00244A75">
        <w:t xml:space="preserve">než </w:t>
      </w:r>
      <w:r w:rsidR="00E52982">
        <w:t>aby se na takto zrušenou závěť hledělo jako by zrušena nebyla</w:t>
      </w:r>
      <w:r w:rsidR="00682269">
        <w:t>.</w:t>
      </w:r>
      <w:r w:rsidR="00682269">
        <w:rPr>
          <w:rStyle w:val="Znakapoznpodarou"/>
        </w:rPr>
        <w:footnoteReference w:id="194"/>
      </w:r>
      <w:r w:rsidR="00682269">
        <w:t xml:space="preserve"> </w:t>
      </w:r>
      <w:r w:rsidR="00273B0F">
        <w:t>S tímto názorem se lze ztotožnit.</w:t>
      </w:r>
    </w:p>
    <w:p w:rsidR="006F6377" w:rsidRDefault="00273B0F" w:rsidP="00DF6C14">
      <w:pPr>
        <w:pStyle w:val="normlntext"/>
        <w:spacing w:before="0"/>
        <w:ind w:firstLine="567"/>
      </w:pPr>
      <w:r>
        <w:t xml:space="preserve">Celkově k problematice možného obnovení dřívější závěti podle § 1580 NOZ lze předvídat, že bude v praxi </w:t>
      </w:r>
      <w:r w:rsidR="00244A75">
        <w:t xml:space="preserve">pravděpodobně </w:t>
      </w:r>
      <w:r>
        <w:t xml:space="preserve">předmětem sporů o dědické právo, </w:t>
      </w:r>
      <w:r w:rsidR="00C201A2">
        <w:t>kdy budou významné i další okolnosti nasvědčující nebo naopak zpochybňující vůli zůstavitele dřívější závěť uchovat jako platnou.</w:t>
      </w:r>
    </w:p>
    <w:p w:rsidR="00647927" w:rsidRPr="00647927" w:rsidRDefault="008C3441" w:rsidP="008074AB">
      <w:pPr>
        <w:pStyle w:val="Nadpis2"/>
      </w:pPr>
      <w:bookmarkStart w:id="86" w:name="_Toc436779498"/>
      <w:bookmarkStart w:id="87" w:name="_Toc437225092"/>
      <w:r>
        <w:t>6.</w:t>
      </w:r>
      <w:r w:rsidR="00DF7CCC">
        <w:t>5</w:t>
      </w:r>
      <w:r w:rsidR="00DF7CCC">
        <w:tab/>
      </w:r>
      <w:r w:rsidR="00647927" w:rsidRPr="008074AB">
        <w:t>Zrušovací</w:t>
      </w:r>
      <w:r w:rsidR="00647927" w:rsidRPr="00647927">
        <w:t xml:space="preserve"> doložka</w:t>
      </w:r>
      <w:bookmarkEnd w:id="86"/>
      <w:bookmarkEnd w:id="87"/>
      <w:r w:rsidR="00647927" w:rsidRPr="00647927">
        <w:t xml:space="preserve"> </w:t>
      </w:r>
    </w:p>
    <w:p w:rsidR="00647927" w:rsidRDefault="00647927" w:rsidP="00647927">
      <w:pPr>
        <w:pStyle w:val="DiplTEXT"/>
        <w:spacing w:after="0"/>
        <w:ind w:firstLine="567"/>
      </w:pPr>
      <w:r w:rsidRPr="00C80015">
        <w:t>Svého práva zrušit závěť se pořizovatel nemůže platně vzdát nebo zříci.</w:t>
      </w:r>
      <w:r>
        <w:t xml:space="preserve"> Tento princip byl zakotven již v § 716 OZO, následující občanské zákoníky jej ne</w:t>
      </w:r>
      <w:r w:rsidR="00275766">
        <w:t>upravovaly vůbec a</w:t>
      </w:r>
      <w:r w:rsidR="00DF7CCC">
        <w:t> </w:t>
      </w:r>
      <w:r w:rsidR="00275766">
        <w:t xml:space="preserve">nutnost </w:t>
      </w:r>
      <w:r>
        <w:t>respektování nulity takového právního úkonu byla dovozována pouze doktrínou.</w:t>
      </w:r>
      <w:r>
        <w:rPr>
          <w:rStyle w:val="Znakapoznpodarou"/>
        </w:rPr>
        <w:footnoteReference w:id="195"/>
      </w:r>
    </w:p>
    <w:p w:rsidR="00647927" w:rsidRDefault="00647927" w:rsidP="00647927">
      <w:pPr>
        <w:pStyle w:val="DiplTEXT"/>
        <w:spacing w:after="0"/>
        <w:ind w:firstLine="567"/>
      </w:pPr>
      <w:r>
        <w:t xml:space="preserve">Nově je legálním vyjádřením tohoto pravidla § 1581 NOZ, který stanoví neúčinnost takové derogační doložky, kterou by zůstavitel pro </w:t>
      </w:r>
      <w:proofErr w:type="spellStart"/>
      <w:r>
        <w:t>futuro</w:t>
      </w:r>
      <w:proofErr w:type="spellEnd"/>
      <w:r>
        <w:t xml:space="preserve"> omezil vlastní testovací svobodu ve vztahu k příštímu pořízení pro případ smrti nebo ve výběru jeho formy. Je nepochybné, že smyslem tohoto ustanovení je především ochrana zůstavitele a jeho testovací svobody před nátlakem potenciálních dědiců, směřujícím ke změně posledního pořízení v jejich prospěch.</w:t>
      </w:r>
    </w:p>
    <w:p w:rsidR="00647927" w:rsidRDefault="00647927" w:rsidP="00647927">
      <w:pPr>
        <w:pStyle w:val="DiplTEXT"/>
        <w:spacing w:after="0"/>
        <w:ind w:firstLine="567"/>
      </w:pPr>
      <w:r>
        <w:t xml:space="preserve">Přesto se však objevil názor, který upozorňuje na to, že citované ustanovení lze považovat za nadbytečné a to s odkazem na ustanovení § 1494 odst. 1 a § 1575 odst. 1 NOZ, které kategoricky mluví o odvolatelnosti závěti bez jakýchkoliv pochybností. </w:t>
      </w:r>
      <w:r>
        <w:rPr>
          <w:rStyle w:val="Znakapoznpodarou"/>
        </w:rPr>
        <w:footnoteReference w:id="196"/>
      </w:r>
      <w:r>
        <w:t xml:space="preserve"> S uvedeným názorem se autor diplomové práce s ohledem na princip právní jistoty neztotožňuje.</w:t>
      </w:r>
    </w:p>
    <w:p w:rsidR="00252361" w:rsidRDefault="00252361">
      <w:pPr>
        <w:spacing w:after="0" w:line="240" w:lineRule="auto"/>
        <w:jc w:val="left"/>
        <w:rPr>
          <w:b/>
          <w:sz w:val="32"/>
        </w:rPr>
      </w:pPr>
      <w:bookmarkStart w:id="88" w:name="_Toc436779499"/>
      <w:r>
        <w:br w:type="page"/>
      </w:r>
    </w:p>
    <w:p w:rsidR="003E19B6" w:rsidRPr="00554571" w:rsidRDefault="0090677C" w:rsidP="008074AB">
      <w:pPr>
        <w:pStyle w:val="Nadpis1"/>
      </w:pPr>
      <w:bookmarkStart w:id="89" w:name="_Toc437225093"/>
      <w:r w:rsidRPr="008074AB">
        <w:lastRenderedPageBreak/>
        <w:t>Z</w:t>
      </w:r>
      <w:r w:rsidR="00554571" w:rsidRPr="008074AB">
        <w:t>ávěr</w:t>
      </w:r>
      <w:bookmarkEnd w:id="88"/>
      <w:bookmarkEnd w:id="89"/>
    </w:p>
    <w:p w:rsidR="00D71A04" w:rsidRDefault="001D6828" w:rsidP="001D6828">
      <w:pPr>
        <w:pStyle w:val="DiplTEXT"/>
        <w:spacing w:after="0"/>
        <w:ind w:firstLine="567"/>
      </w:pPr>
      <w:r>
        <w:t>Cílem diplom</w:t>
      </w:r>
      <w:r w:rsidR="000E10E1">
        <w:t>ové práce formulovaným v jejím Ú</w:t>
      </w:r>
      <w:r>
        <w:t xml:space="preserve">vodu </w:t>
      </w:r>
      <w:r w:rsidR="00FD1F49">
        <w:t xml:space="preserve">bylo analyzovat </w:t>
      </w:r>
      <w:r>
        <w:t xml:space="preserve">problematické aspekty </w:t>
      </w:r>
      <w:r w:rsidR="00FD1F49">
        <w:t>dědění ze závěti podle platné právní úpravy obsažené v NOZ</w:t>
      </w:r>
      <w:r>
        <w:t>, p</w:t>
      </w:r>
      <w:r w:rsidR="005D74C9">
        <w:t xml:space="preserve">oukázat na </w:t>
      </w:r>
      <w:r w:rsidR="00FD1F49">
        <w:t xml:space="preserve">její mezery, nedostatky a z nich vyplývající </w:t>
      </w:r>
      <w:r>
        <w:t>výkladové problémy</w:t>
      </w:r>
      <w:r w:rsidR="00FD1F49">
        <w:t xml:space="preserve">, </w:t>
      </w:r>
      <w:r w:rsidR="0027422E">
        <w:t>případně</w:t>
      </w:r>
      <w:r w:rsidR="00FD1F49">
        <w:t xml:space="preserve"> </w:t>
      </w:r>
      <w:r w:rsidR="005D74C9">
        <w:t xml:space="preserve">nastínit </w:t>
      </w:r>
      <w:r>
        <w:t>jejich možná řešení.</w:t>
      </w:r>
      <w:r w:rsidR="005D74C9">
        <w:t xml:space="preserve"> Při hlubším seznámení </w:t>
      </w:r>
      <w:r w:rsidR="000E10E1">
        <w:t xml:space="preserve">se </w:t>
      </w:r>
      <w:r w:rsidR="005D74C9">
        <w:t>s tímto tématem</w:t>
      </w:r>
      <w:r w:rsidR="007719B3">
        <w:t xml:space="preserve"> nelze než potvrdit pravdivost myšlenky vyjádřené v</w:t>
      </w:r>
      <w:r w:rsidR="00D71A04">
        <w:t> </w:t>
      </w:r>
      <w:r w:rsidR="007719B3">
        <w:t>Úvodu</w:t>
      </w:r>
      <w:r w:rsidR="00D71A04">
        <w:t>, že lehkost dědického práva je jen zdánlivá.</w:t>
      </w:r>
    </w:p>
    <w:p w:rsidR="00DA1169" w:rsidRDefault="000E10E1" w:rsidP="001D6828">
      <w:pPr>
        <w:pStyle w:val="DiplTEXT"/>
        <w:spacing w:after="0"/>
        <w:ind w:firstLine="567"/>
      </w:pPr>
      <w:r>
        <w:t>Rekodifikace</w:t>
      </w:r>
      <w:r w:rsidR="00DA1169">
        <w:t xml:space="preserve"> </w:t>
      </w:r>
      <w:r>
        <w:t xml:space="preserve">hmotného </w:t>
      </w:r>
      <w:r w:rsidR="00DA1169">
        <w:t>dědického práv</w:t>
      </w:r>
      <w:r>
        <w:t>a provedená NOZ</w:t>
      </w:r>
      <w:r w:rsidR="00FB53FF">
        <w:t xml:space="preserve"> je nesporným přínosem. Zásadní je posílení autonomie vůle zůstavite</w:t>
      </w:r>
      <w:r w:rsidR="009011D9">
        <w:t xml:space="preserve">le, jejímž výrazem je </w:t>
      </w:r>
      <w:r w:rsidR="00C77B54">
        <w:t xml:space="preserve">rozšíření možností nakládat se svým majetkem </w:t>
      </w:r>
      <w:proofErr w:type="spellStart"/>
      <w:r w:rsidR="00FF02DB">
        <w:t>mortis</w:t>
      </w:r>
      <w:proofErr w:type="spellEnd"/>
      <w:r w:rsidR="00FF02DB">
        <w:t xml:space="preserve"> causa</w:t>
      </w:r>
      <w:r w:rsidR="00C77B54">
        <w:t xml:space="preserve"> prostřednictvím tradičního institutu odkazu, vedlejších doložek v závěti a zavedením </w:t>
      </w:r>
      <w:r w:rsidR="009011D9">
        <w:t>nových forem pořízení pro případ smrti jako je dědická smlouva</w:t>
      </w:r>
      <w:r w:rsidR="00FB53FF">
        <w:t xml:space="preserve"> </w:t>
      </w:r>
      <w:r w:rsidR="009011D9">
        <w:t>a</w:t>
      </w:r>
      <w:r w:rsidR="004F0574">
        <w:t> </w:t>
      </w:r>
      <w:r w:rsidR="009011D9">
        <w:t xml:space="preserve"> dovětek</w:t>
      </w:r>
      <w:r w:rsidR="00FF02DB">
        <w:t xml:space="preserve">. Respekt k vůli zůstavitele a </w:t>
      </w:r>
      <w:r w:rsidR="00163947">
        <w:t xml:space="preserve">povinnost co nejvíce této vůli vyhovět </w:t>
      </w:r>
      <w:r w:rsidR="00012139">
        <w:t>se promítá do řady ustanovení NOZ</w:t>
      </w:r>
      <w:r w:rsidR="00163947">
        <w:t>,</w:t>
      </w:r>
      <w:r w:rsidR="00012139">
        <w:t xml:space="preserve"> umožňující projev vůle interpretovat jako platné právní jednání a</w:t>
      </w:r>
      <w:r w:rsidR="00DF7CCC">
        <w:t> </w:t>
      </w:r>
      <w:r w:rsidR="00012139">
        <w:t>vyložit jej způsobem odpovídajícím co nejvíce skutečnému úmyslu zůstavitele.</w:t>
      </w:r>
    </w:p>
    <w:p w:rsidR="00E43113" w:rsidRPr="00E43113" w:rsidRDefault="00E43113" w:rsidP="00E43113">
      <w:pPr>
        <w:spacing w:after="0"/>
        <w:ind w:firstLine="567"/>
        <w:rPr>
          <w:szCs w:val="24"/>
        </w:rPr>
      </w:pPr>
      <w:r w:rsidRPr="00E43113">
        <w:rPr>
          <w:szCs w:val="24"/>
        </w:rPr>
        <w:t xml:space="preserve">Nedostatkům se však NOZ nevyhnul. </w:t>
      </w:r>
      <w:r w:rsidRPr="007819E2">
        <w:rPr>
          <w:szCs w:val="24"/>
        </w:rPr>
        <w:t xml:space="preserve">Přestože se zákonodárce </w:t>
      </w:r>
      <w:r w:rsidR="00FC7AAC" w:rsidRPr="007819E2">
        <w:rPr>
          <w:szCs w:val="24"/>
        </w:rPr>
        <w:t>převážně</w:t>
      </w:r>
      <w:r w:rsidR="00497A47" w:rsidRPr="007819E2">
        <w:rPr>
          <w:szCs w:val="24"/>
        </w:rPr>
        <w:t xml:space="preserve"> </w:t>
      </w:r>
      <w:r w:rsidRPr="007819E2">
        <w:rPr>
          <w:szCs w:val="24"/>
        </w:rPr>
        <w:t xml:space="preserve">inspiroval </w:t>
      </w:r>
      <w:r w:rsidR="009668FF" w:rsidRPr="007819E2">
        <w:rPr>
          <w:szCs w:val="24"/>
        </w:rPr>
        <w:t>prvore</w:t>
      </w:r>
      <w:r w:rsidRPr="007819E2">
        <w:rPr>
          <w:szCs w:val="24"/>
        </w:rPr>
        <w:t>publikovou úpravu OZO</w:t>
      </w:r>
      <w:r w:rsidR="00497A47" w:rsidRPr="007819E2">
        <w:rPr>
          <w:szCs w:val="24"/>
        </w:rPr>
        <w:t xml:space="preserve"> resp. VN37</w:t>
      </w:r>
      <w:r w:rsidRPr="007819E2">
        <w:rPr>
          <w:szCs w:val="24"/>
        </w:rPr>
        <w:t>, nepromítl ji v</w:t>
      </w:r>
      <w:r w:rsidR="00AE7F53" w:rsidRPr="007819E2">
        <w:rPr>
          <w:szCs w:val="24"/>
        </w:rPr>
        <w:t xml:space="preserve"> některých </w:t>
      </w:r>
      <w:r w:rsidRPr="007819E2">
        <w:rPr>
          <w:szCs w:val="24"/>
        </w:rPr>
        <w:t xml:space="preserve">převzatých institutech dědického práva </w:t>
      </w:r>
      <w:r w:rsidR="00DF7CCC" w:rsidRPr="007819E2">
        <w:rPr>
          <w:szCs w:val="24"/>
        </w:rPr>
        <w:t xml:space="preserve">důsledně, </w:t>
      </w:r>
      <w:r w:rsidR="00497A47" w:rsidRPr="007819E2">
        <w:rPr>
          <w:szCs w:val="24"/>
        </w:rPr>
        <w:t xml:space="preserve">stejně jako </w:t>
      </w:r>
      <w:r w:rsidR="00106B64">
        <w:rPr>
          <w:szCs w:val="24"/>
        </w:rPr>
        <w:t xml:space="preserve">řešení a aspekty jiných </w:t>
      </w:r>
      <w:r w:rsidR="007A5A8C" w:rsidRPr="007819E2">
        <w:rPr>
          <w:szCs w:val="24"/>
        </w:rPr>
        <w:t>zahraniční</w:t>
      </w:r>
      <w:r w:rsidR="00106B64">
        <w:rPr>
          <w:szCs w:val="24"/>
        </w:rPr>
        <w:t>ch úprav</w:t>
      </w:r>
      <w:r w:rsidR="00497A47">
        <w:rPr>
          <w:szCs w:val="24"/>
        </w:rPr>
        <w:t xml:space="preserve">. </w:t>
      </w:r>
      <w:r w:rsidRPr="00E43113">
        <w:rPr>
          <w:szCs w:val="24"/>
        </w:rPr>
        <w:t>Podle n</w:t>
      </w:r>
      <w:r w:rsidR="00FC7AAC">
        <w:rPr>
          <w:szCs w:val="24"/>
        </w:rPr>
        <w:t>ázoru autora diplomové práce</w:t>
      </w:r>
      <w:r w:rsidR="000D4746">
        <w:rPr>
          <w:szCs w:val="24"/>
        </w:rPr>
        <w:t xml:space="preserve"> z</w:t>
      </w:r>
      <w:r w:rsidR="00FC7AAC">
        <w:rPr>
          <w:szCs w:val="24"/>
        </w:rPr>
        <w:t>volení eklektického</w:t>
      </w:r>
      <w:r w:rsidR="00DF7CCC">
        <w:rPr>
          <w:szCs w:val="24"/>
        </w:rPr>
        <w:t xml:space="preserve"> přístup</w:t>
      </w:r>
      <w:r w:rsidR="000D4746">
        <w:rPr>
          <w:szCs w:val="24"/>
        </w:rPr>
        <w:t>u</w:t>
      </w:r>
      <w:r w:rsidR="00FC7AAC">
        <w:rPr>
          <w:szCs w:val="24"/>
        </w:rPr>
        <w:t xml:space="preserve"> </w:t>
      </w:r>
      <w:r w:rsidR="00956B97">
        <w:rPr>
          <w:szCs w:val="24"/>
        </w:rPr>
        <w:t>zákonodárcem, kdy je zapracováno do jednoho celku</w:t>
      </w:r>
      <w:r w:rsidR="000D4746">
        <w:rPr>
          <w:szCs w:val="24"/>
        </w:rPr>
        <w:t xml:space="preserve"> více inspiračních zdrojů, </w:t>
      </w:r>
      <w:r w:rsidR="00956B97">
        <w:rPr>
          <w:szCs w:val="24"/>
        </w:rPr>
        <w:t xml:space="preserve">nemusí vždy přinést žádoucí výsledek, což následně vede k výkladovým potížím. </w:t>
      </w:r>
      <w:r w:rsidR="00AE7F53">
        <w:rPr>
          <w:szCs w:val="24"/>
        </w:rPr>
        <w:t xml:space="preserve">Rozsáhlost, detailnost a složitost nové právní úpravy </w:t>
      </w:r>
      <w:r w:rsidR="00B058C2">
        <w:rPr>
          <w:szCs w:val="24"/>
        </w:rPr>
        <w:t>působí mnohdy</w:t>
      </w:r>
      <w:r w:rsidR="007A5A8C">
        <w:rPr>
          <w:szCs w:val="24"/>
        </w:rPr>
        <w:t xml:space="preserve"> </w:t>
      </w:r>
      <w:r w:rsidR="009A2CA9">
        <w:rPr>
          <w:szCs w:val="24"/>
        </w:rPr>
        <w:t>nepřehledně</w:t>
      </w:r>
      <w:r w:rsidR="00B058C2">
        <w:rPr>
          <w:szCs w:val="24"/>
        </w:rPr>
        <w:t>, což může snížit její praktickou využitelnost zvláště ze strany laické veřejnosti.</w:t>
      </w:r>
    </w:p>
    <w:p w:rsidR="001E4A01" w:rsidRDefault="00E43113" w:rsidP="00DF7CCC">
      <w:pPr>
        <w:spacing w:after="0"/>
        <w:ind w:firstLine="567"/>
      </w:pPr>
      <w:r>
        <w:t>V </w:t>
      </w:r>
      <w:r w:rsidRPr="00DF7CCC">
        <w:rPr>
          <w:szCs w:val="24"/>
        </w:rPr>
        <w:t>diplomové</w:t>
      </w:r>
      <w:r>
        <w:t xml:space="preserve"> práci dospěl autor k </w:t>
      </w:r>
      <w:r w:rsidR="00B058C2">
        <w:t xml:space="preserve">některým závěrům, jejichž výčet </w:t>
      </w:r>
      <w:r>
        <w:t>n</w:t>
      </w:r>
      <w:r w:rsidR="001E4A01">
        <w:t>a tomto místě nemůže být úplný.</w:t>
      </w:r>
    </w:p>
    <w:p w:rsidR="00E43113" w:rsidRDefault="00E43113" w:rsidP="00DF7CCC">
      <w:pPr>
        <w:spacing w:after="0"/>
        <w:ind w:firstLine="567"/>
      </w:pPr>
      <w:r w:rsidRPr="00A241A0">
        <w:t>Institut dědické smlouvy</w:t>
      </w:r>
      <w:r>
        <w:t xml:space="preserve"> sice</w:t>
      </w:r>
      <w:r w:rsidRPr="00A241A0">
        <w:t xml:space="preserve"> </w:t>
      </w:r>
      <w:r>
        <w:t>r</w:t>
      </w:r>
      <w:r w:rsidRPr="00BD515F">
        <w:t xml:space="preserve">ozšiřuje </w:t>
      </w:r>
      <w:r>
        <w:t xml:space="preserve">autonomii vůle zůstavitele, ale tím, že </w:t>
      </w:r>
      <w:r w:rsidR="001E4A01">
        <w:t>ztěžuje možnost obsah smlouvy v budoucnu jednostranně změnit</w:t>
      </w:r>
      <w:r>
        <w:t>, vůli zůstav</w:t>
      </w:r>
      <w:r w:rsidR="001E4A01">
        <w:t>itele spíše omezuje.</w:t>
      </w:r>
    </w:p>
    <w:p w:rsidR="00E43113" w:rsidRPr="00BD6E49" w:rsidRDefault="00BD6E49" w:rsidP="00B058C2">
      <w:pPr>
        <w:spacing w:after="0"/>
        <w:ind w:firstLine="567"/>
      </w:pPr>
      <w:r w:rsidRPr="00BD6E49">
        <w:t xml:space="preserve">Přílišné rozvolnění </w:t>
      </w:r>
      <w:r w:rsidR="00E43113" w:rsidRPr="00BD6E49">
        <w:t>form</w:t>
      </w:r>
      <w:r w:rsidRPr="00BD6E49">
        <w:t xml:space="preserve">álních požadavků </w:t>
      </w:r>
      <w:r w:rsidR="00E43113" w:rsidRPr="00BD6E49">
        <w:t>klade</w:t>
      </w:r>
      <w:r w:rsidR="001E4A01" w:rsidRPr="00BD6E49">
        <w:t xml:space="preserve">ných na dataci závěti </w:t>
      </w:r>
      <w:r w:rsidRPr="00BD6E49">
        <w:t xml:space="preserve">může kolidovat s principem </w:t>
      </w:r>
      <w:r w:rsidR="00E43113" w:rsidRPr="00BD6E49">
        <w:t xml:space="preserve">právní jistoty, proto lze de lege </w:t>
      </w:r>
      <w:proofErr w:type="spellStart"/>
      <w:r w:rsidRPr="00BD6E49">
        <w:t>ferenda</w:t>
      </w:r>
      <w:proofErr w:type="spellEnd"/>
      <w:r w:rsidRPr="00BD6E49">
        <w:t xml:space="preserve"> doporučit přizpůsobení úpravy datace po vzoru BGB. </w:t>
      </w:r>
      <w:r w:rsidR="00E43113" w:rsidRPr="00BD6E49">
        <w:t>Bez ohledu na znění zákona by u všech druhů závětí měli jejich pořizovat</w:t>
      </w:r>
      <w:r w:rsidR="001E4A01" w:rsidRPr="00BD6E49">
        <w:t xml:space="preserve">elé i ostatní zúčastněné osoby </w:t>
      </w:r>
      <w:r w:rsidRPr="00BD6E49">
        <w:t xml:space="preserve">věnovat přesnému uvedení data </w:t>
      </w:r>
      <w:r w:rsidR="00E43113" w:rsidRPr="00BD6E49">
        <w:t xml:space="preserve">pořízení zvýšenou pozornost. </w:t>
      </w:r>
      <w:r w:rsidRPr="00BD6E49">
        <w:t xml:space="preserve">Naopak jako podpis zůstavitele </w:t>
      </w:r>
      <w:r w:rsidR="00E43113" w:rsidRPr="00BD6E49">
        <w:t xml:space="preserve">na závěti by měly být </w:t>
      </w:r>
      <w:r w:rsidRPr="00BD6E49">
        <w:t>uznány všechny jeho formy, není-</w:t>
      </w:r>
      <w:r w:rsidR="00E43113" w:rsidRPr="00BD6E49">
        <w:t>li pochyb o totožnosti zůstavitele.</w:t>
      </w:r>
    </w:p>
    <w:p w:rsidR="00E43113" w:rsidRPr="00BD6E49" w:rsidRDefault="00E43113" w:rsidP="00BD6E49">
      <w:pPr>
        <w:spacing w:after="0"/>
        <w:ind w:firstLine="567"/>
      </w:pPr>
      <w:r w:rsidRPr="00BD6E49">
        <w:t xml:space="preserve">Principu autonomie vůle nepřispělo zúžení okruhu osob, které mohou pořídit speciální </w:t>
      </w:r>
      <w:proofErr w:type="spellStart"/>
      <w:r w:rsidRPr="00BD6E49">
        <w:t>al</w:t>
      </w:r>
      <w:r w:rsidR="00BD6E49" w:rsidRPr="00BD6E49">
        <w:t>l</w:t>
      </w:r>
      <w:r w:rsidRPr="00BD6E49">
        <w:t>ografní</w:t>
      </w:r>
      <w:proofErr w:type="spellEnd"/>
      <w:r w:rsidRPr="00BD6E49">
        <w:t xml:space="preserve"> závěti, protože jsou negr</w:t>
      </w:r>
      <w:r w:rsidR="00BD6E49">
        <w:t xml:space="preserve">amotné nebo aktuálně zdravotně </w:t>
      </w:r>
      <w:r w:rsidRPr="00BD6E49">
        <w:t xml:space="preserve">indisponované, takže jsou </w:t>
      </w:r>
      <w:r w:rsidRPr="00BD6E49">
        <w:lastRenderedPageBreak/>
        <w:t>odkázány na pořízení formou notářského zápisu. Testamentární způsobilost mladistvého je nutno vyložit s ohledem na princip autonomie vůle tak, že může pořídit o celém svém majetku bez omezení.</w:t>
      </w:r>
    </w:p>
    <w:p w:rsidR="00E43113" w:rsidRPr="002A3F79" w:rsidRDefault="00E43113" w:rsidP="002A3F79">
      <w:pPr>
        <w:spacing w:after="0"/>
        <w:ind w:firstLine="567"/>
      </w:pPr>
      <w:r w:rsidRPr="002A3F79">
        <w:t xml:space="preserve">Úprava závěti s úlevami je příliš složitá. De lege </w:t>
      </w:r>
      <w:proofErr w:type="spellStart"/>
      <w:r w:rsidRPr="002A3F79">
        <w:t>ferenda</w:t>
      </w:r>
      <w:proofErr w:type="spellEnd"/>
      <w:r w:rsidRPr="002A3F79">
        <w:t xml:space="preserve"> lze doporučit její zjednodušení tak, aby byla snadno aplikovatelná v praxi bez rizika zmaření vůle zůstavitele. U závěti pořízené při nenadálé události hrozí, že neu</w:t>
      </w:r>
      <w:r w:rsidR="002A3F79">
        <w:t xml:space="preserve">činění záznamu o zůstavitelově poslední vůli může </w:t>
      </w:r>
      <w:r w:rsidRPr="002A3F79">
        <w:t>její obsah zkreslit, přičemž nelze vyloučit ani její podvržení. Vhodnou inspirací je úprava německá, která vyžaduje pořízení záznamu ještě za života zůstavitele.</w:t>
      </w:r>
      <w:r w:rsidR="002A3F79">
        <w:t xml:space="preserve"> </w:t>
      </w:r>
      <w:r w:rsidRPr="002A3F79">
        <w:t>Je nutné, aby okolnosti, za kterých jsou privilegované závěti poři</w:t>
      </w:r>
      <w:r w:rsidR="002A3F79">
        <w:t>zovány</w:t>
      </w:r>
      <w:r w:rsidR="001F1245">
        <w:t>,</w:t>
      </w:r>
      <w:r w:rsidR="002A3F79">
        <w:t xml:space="preserve"> byly vykládány tak, aby </w:t>
      </w:r>
      <w:r w:rsidRPr="002A3F79">
        <w:t>případná absence některé z nich nevedla k zneplatnění závěti.</w:t>
      </w:r>
    </w:p>
    <w:p w:rsidR="00E43113" w:rsidRPr="002A3F79" w:rsidRDefault="002A3F79" w:rsidP="002A3F79">
      <w:pPr>
        <w:spacing w:after="0"/>
        <w:ind w:firstLine="567"/>
      </w:pPr>
      <w:r>
        <w:t>R</w:t>
      </w:r>
      <w:r w:rsidR="00E43113" w:rsidRPr="002A3F79">
        <w:t>ozliše</w:t>
      </w:r>
      <w:r>
        <w:t xml:space="preserve">ní mezi ustanovením dědice a </w:t>
      </w:r>
      <w:proofErr w:type="spellStart"/>
      <w:r>
        <w:t>odkazovníka</w:t>
      </w:r>
      <w:proofErr w:type="spellEnd"/>
      <w:r>
        <w:t xml:space="preserve"> je</w:t>
      </w:r>
      <w:r w:rsidRPr="002A3F79">
        <w:t xml:space="preserve"> </w:t>
      </w:r>
      <w:r>
        <w:t>j</w:t>
      </w:r>
      <w:r w:rsidRPr="002A3F79">
        <w:t>edním ze zásadních problematických a</w:t>
      </w:r>
      <w:r>
        <w:t xml:space="preserve">spektů dědění </w:t>
      </w:r>
      <w:r w:rsidR="001F1245">
        <w:t xml:space="preserve">ze </w:t>
      </w:r>
      <w:r>
        <w:t xml:space="preserve">závěti. Povolání těchto </w:t>
      </w:r>
      <w:r w:rsidR="00450BEB">
        <w:t xml:space="preserve">osob </w:t>
      </w:r>
      <w:r w:rsidR="00E43113" w:rsidRPr="002A3F79">
        <w:t>zůstavitelem v p</w:t>
      </w:r>
      <w:r>
        <w:t>o</w:t>
      </w:r>
      <w:r w:rsidR="00E43113" w:rsidRPr="002A3F79">
        <w:t>řízení pro případ smrti nemusí být vždy jedn</w:t>
      </w:r>
      <w:r w:rsidR="001F1245">
        <w:t>označně</w:t>
      </w:r>
      <w:r>
        <w:t xml:space="preserve"> vyjádřeno, přičemž krité</w:t>
      </w:r>
      <w:r w:rsidR="00E43113" w:rsidRPr="002A3F79">
        <w:t>ria pro jejich odlišení výkladem nejsou jednotná.</w:t>
      </w:r>
      <w:r>
        <w:t xml:space="preserve"> </w:t>
      </w:r>
      <w:r w:rsidR="00450BEB">
        <w:t xml:space="preserve">Lze očekávat časté </w:t>
      </w:r>
      <w:r w:rsidR="00D5034F">
        <w:t xml:space="preserve">soudní </w:t>
      </w:r>
      <w:r w:rsidR="00450BEB">
        <w:t xml:space="preserve">spory o tom, </w:t>
      </w:r>
      <w:r w:rsidR="00D5034F">
        <w:t xml:space="preserve">kdo je dědicem a kdo </w:t>
      </w:r>
      <w:proofErr w:type="spellStart"/>
      <w:r w:rsidR="00D5034F">
        <w:t>odkazovníkem</w:t>
      </w:r>
      <w:proofErr w:type="spellEnd"/>
      <w:r w:rsidR="00D5034F">
        <w:t xml:space="preserve">. </w:t>
      </w:r>
      <w:r w:rsidR="00E43113" w:rsidRPr="002A3F79">
        <w:t>Výše uvedené se vztahuje i na odlišení závěti a dovětku.</w:t>
      </w:r>
    </w:p>
    <w:p w:rsidR="00E43113" w:rsidRPr="00D5034F" w:rsidRDefault="00E43113" w:rsidP="00D5034F">
      <w:pPr>
        <w:spacing w:after="0"/>
        <w:ind w:firstLine="567"/>
      </w:pPr>
      <w:r w:rsidRPr="00D5034F">
        <w:t>Z hlediska ochrany nepominutelného dědice je nutné výkladově nebo legislativně vyřešit právní povahu darování pro případ smrti a jeho dopad do dědického práva tak, aby nedocházelo ke zkracování  povinného dílu nepominu</w:t>
      </w:r>
      <w:r w:rsidR="00DF7CCC" w:rsidRPr="00D5034F">
        <w:t xml:space="preserve">telných dědiců </w:t>
      </w:r>
      <w:r w:rsidRPr="00D5034F">
        <w:t>a tím</w:t>
      </w:r>
      <w:r w:rsidR="003543CE" w:rsidRPr="00D5034F">
        <w:t xml:space="preserve"> i k obcházení jejich ochrany. </w:t>
      </w:r>
      <w:r w:rsidR="00D5034F" w:rsidRPr="00D5034F">
        <w:t xml:space="preserve">Z téhož </w:t>
      </w:r>
      <w:r w:rsidR="00D5034F">
        <w:t xml:space="preserve">důvodu </w:t>
      </w:r>
      <w:r w:rsidRPr="00D5034F">
        <w:t>l</w:t>
      </w:r>
      <w:r w:rsidR="00D5034F">
        <w:t xml:space="preserve">ze </w:t>
      </w:r>
      <w:r w:rsidR="00DF7CCC" w:rsidRPr="00D5034F">
        <w:t xml:space="preserve">de lege </w:t>
      </w:r>
      <w:proofErr w:type="spellStart"/>
      <w:r w:rsidR="00DF7CCC" w:rsidRPr="00D5034F">
        <w:t>ferenda</w:t>
      </w:r>
      <w:proofErr w:type="spellEnd"/>
      <w:r w:rsidR="00DF7CCC" w:rsidRPr="00D5034F">
        <w:t xml:space="preserve"> doporučit, </w:t>
      </w:r>
      <w:r w:rsidRPr="00D5034F">
        <w:t xml:space="preserve">aby </w:t>
      </w:r>
      <w:r w:rsidR="003543CE" w:rsidRPr="00D5034F">
        <w:t xml:space="preserve">byl po vzoru OZO znovu obnoven </w:t>
      </w:r>
      <w:r w:rsidRPr="00D5034F">
        <w:t>institut odvolání daru pro zkrácení povinného dílu, zabraňující zůstaviteli „vydědit“ nepominutelné dědice dispozicem</w:t>
      </w:r>
      <w:r w:rsidR="00D5034F">
        <w:t xml:space="preserve">i s majetkem za jeho </w:t>
      </w:r>
      <w:r w:rsidRPr="00D5034F">
        <w:t>života. K diskusi je rozšíření nepominutelných dědiců o manžela.</w:t>
      </w:r>
    </w:p>
    <w:p w:rsidR="00E43113" w:rsidRPr="00D5034F" w:rsidRDefault="00E43113" w:rsidP="00D5034F">
      <w:pPr>
        <w:spacing w:after="0"/>
        <w:ind w:firstLine="567"/>
      </w:pPr>
      <w:r w:rsidRPr="00D5034F">
        <w:t>Znovuzavedení vedlejších doložek v závěti je pozitivním krokem k rozšíření testovací volnosti zůstavitele. Ten by však měl přistoupit odpovědně k  jejich formulování, aby nedošlo k  n</w:t>
      </w:r>
      <w:r w:rsidR="003543CE" w:rsidRPr="00D5034F">
        <w:t>epřiměřenému omezování osobních</w:t>
      </w:r>
      <w:r w:rsidRPr="00D5034F">
        <w:t xml:space="preserve"> práv dědiců včetně zamezení operativního nakládání s nabytým majetkem</w:t>
      </w:r>
      <w:r w:rsidR="00315DA9">
        <w:t>. Zůstaviteli by mělo bý</w:t>
      </w:r>
      <w:r w:rsidR="001F1245">
        <w:t>t umožněno povolat vykonavatele</w:t>
      </w:r>
      <w:r w:rsidR="00315DA9">
        <w:t xml:space="preserve"> závěti i dovětkem.</w:t>
      </w:r>
    </w:p>
    <w:p w:rsidR="00E43113" w:rsidRPr="00D5034F" w:rsidRDefault="003543CE" w:rsidP="00315DA9">
      <w:pPr>
        <w:spacing w:after="0"/>
        <w:ind w:firstLine="567"/>
      </w:pPr>
      <w:r w:rsidRPr="00D5034F">
        <w:t xml:space="preserve">V rámci </w:t>
      </w:r>
      <w:r w:rsidR="00E43113" w:rsidRPr="00D5034F">
        <w:t xml:space="preserve">problematiky obnovení institutu „obživnutí závěti“ podle </w:t>
      </w:r>
      <w:r w:rsidR="00315DA9">
        <w:t xml:space="preserve">§ 1541 NOZ </w:t>
      </w:r>
      <w:r w:rsidR="00E43113" w:rsidRPr="00D5034F">
        <w:t>bude zřejmě předmětem sporů o dědické právo výklad vůle zůstavitele směřují</w:t>
      </w:r>
      <w:r w:rsidRPr="00D5034F">
        <w:t>c</w:t>
      </w:r>
      <w:r w:rsidR="00BE17F4" w:rsidRPr="00D5034F">
        <w:t xml:space="preserve">í k uchování dřívější </w:t>
      </w:r>
      <w:r w:rsidRPr="00D5034F">
        <w:t>závěti.</w:t>
      </w:r>
    </w:p>
    <w:p w:rsidR="00E43113" w:rsidRPr="00315DA9" w:rsidRDefault="003543CE" w:rsidP="00315DA9">
      <w:pPr>
        <w:spacing w:after="0"/>
        <w:ind w:firstLine="567"/>
      </w:pPr>
      <w:r w:rsidRPr="00315DA9">
        <w:t xml:space="preserve">K </w:t>
      </w:r>
      <w:r w:rsidR="00E43113" w:rsidRPr="00315DA9">
        <w:t>důkladnému zhodnocení problematických aspektů dědění ze záv</w:t>
      </w:r>
      <w:r w:rsidRPr="00315DA9">
        <w:t>ěti uplynula od účinnosti NOZ</w:t>
      </w:r>
      <w:r w:rsidR="00E43113" w:rsidRPr="00315DA9">
        <w:t xml:space="preserve"> příliš krátká doba. V názoru na koncepčn</w:t>
      </w:r>
      <w:r w:rsidRPr="00315DA9">
        <w:t xml:space="preserve">í a výkladové řešení otázek není </w:t>
      </w:r>
      <w:r w:rsidR="00E43113" w:rsidRPr="00315DA9">
        <w:t>doktrína jednotná, chybí judikatura soudů</w:t>
      </w:r>
      <w:r w:rsidRPr="00315DA9">
        <w:t xml:space="preserve"> a zpětná vazba aplikační praxe</w:t>
      </w:r>
      <w:r w:rsidR="00E43113" w:rsidRPr="00315DA9">
        <w:t>.</w:t>
      </w:r>
      <w:r w:rsidR="00315DA9" w:rsidRPr="00315DA9">
        <w:t xml:space="preserve"> </w:t>
      </w:r>
      <w:r w:rsidR="00315DA9" w:rsidRPr="00821DD4">
        <w:t xml:space="preserve">Současný stav </w:t>
      </w:r>
      <w:r w:rsidR="00315DA9" w:rsidRPr="00821DD4">
        <w:lastRenderedPageBreak/>
        <w:t xml:space="preserve">dědického práva lze výstižně vyjádřit výrokem </w:t>
      </w:r>
      <w:r w:rsidR="007819E2" w:rsidRPr="00821DD4">
        <w:t>R. Fialy a L. Drápala</w:t>
      </w:r>
      <w:r w:rsidR="00315DA9" w:rsidRPr="00821DD4">
        <w:t>:</w:t>
      </w:r>
      <w:r w:rsidR="00315DA9">
        <w:t xml:space="preserve"> „…</w:t>
      </w:r>
      <w:r w:rsidR="00E43113" w:rsidRPr="007819E2">
        <w:rPr>
          <w:i/>
        </w:rPr>
        <w:t>jsme v době hledání cest a řešení, nikoli v době jed</w:t>
      </w:r>
      <w:r w:rsidR="007819E2" w:rsidRPr="007819E2">
        <w:rPr>
          <w:i/>
        </w:rPr>
        <w:t>noduchých a jasných „receptů</w:t>
      </w:r>
      <w:r w:rsidR="00315DA9" w:rsidRPr="007819E2">
        <w:rPr>
          <w:i/>
        </w:rPr>
        <w:t>“</w:t>
      </w:r>
      <w:r w:rsidR="007819E2">
        <w:t>.</w:t>
      </w:r>
      <w:r w:rsidR="007819E2">
        <w:rPr>
          <w:rStyle w:val="Znakapoznpodarou"/>
        </w:rPr>
        <w:footnoteReference w:id="197"/>
      </w:r>
    </w:p>
    <w:p w:rsidR="00252361" w:rsidRDefault="00252361" w:rsidP="00E43113">
      <w:pPr>
        <w:spacing w:after="0"/>
        <w:ind w:firstLine="284"/>
      </w:pPr>
    </w:p>
    <w:p w:rsidR="00252361" w:rsidRDefault="00252361">
      <w:pPr>
        <w:spacing w:after="0" w:line="240" w:lineRule="auto"/>
        <w:jc w:val="left"/>
        <w:rPr>
          <w:b/>
          <w:sz w:val="32"/>
        </w:rPr>
      </w:pPr>
      <w:bookmarkStart w:id="90" w:name="_Toc436779500"/>
      <w:r>
        <w:br w:type="page"/>
      </w:r>
    </w:p>
    <w:p w:rsidR="00FD0F6F" w:rsidRPr="00FD0F6F" w:rsidRDefault="00027842" w:rsidP="00252361">
      <w:pPr>
        <w:pStyle w:val="Nadpis1"/>
      </w:pPr>
      <w:bookmarkStart w:id="91" w:name="_Toc437225094"/>
      <w:bookmarkEnd w:id="90"/>
      <w:r>
        <w:lastRenderedPageBreak/>
        <w:t>Bibliografie</w:t>
      </w:r>
      <w:bookmarkEnd w:id="91"/>
    </w:p>
    <w:p w:rsidR="00E15C2C" w:rsidRPr="00635B0D" w:rsidRDefault="00E15C2C" w:rsidP="00635B0D">
      <w:pPr>
        <w:spacing w:after="0"/>
        <w:rPr>
          <w:b/>
          <w:sz w:val="28"/>
          <w:szCs w:val="28"/>
        </w:rPr>
      </w:pPr>
      <w:r w:rsidRPr="00635B0D">
        <w:rPr>
          <w:b/>
          <w:sz w:val="28"/>
          <w:szCs w:val="28"/>
        </w:rPr>
        <w:t>Monografie, komentáře, sborníky</w:t>
      </w:r>
    </w:p>
    <w:p w:rsidR="00EF4C7E" w:rsidRPr="006313A9" w:rsidRDefault="00EF4C7E" w:rsidP="00EF4C7E">
      <w:pPr>
        <w:pStyle w:val="DiplTEXT"/>
        <w:spacing w:after="0"/>
      </w:pPr>
      <w:r w:rsidRPr="006313A9">
        <w:t xml:space="preserve">BAMBERGER, Heinz Georg, ROTH, Herbert. </w:t>
      </w:r>
      <w:proofErr w:type="spellStart"/>
      <w:r w:rsidRPr="006313A9">
        <w:rPr>
          <w:i/>
        </w:rPr>
        <w:t>Kommentar</w:t>
      </w:r>
      <w:proofErr w:type="spellEnd"/>
      <w:r w:rsidRPr="006313A9">
        <w:rPr>
          <w:i/>
        </w:rPr>
        <w:t xml:space="preserve"> </w:t>
      </w:r>
      <w:proofErr w:type="spellStart"/>
      <w:r w:rsidRPr="006313A9">
        <w:rPr>
          <w:i/>
        </w:rPr>
        <w:t>zum</w:t>
      </w:r>
      <w:proofErr w:type="spellEnd"/>
      <w:r w:rsidRPr="006313A9">
        <w:rPr>
          <w:i/>
        </w:rPr>
        <w:t xml:space="preserve"> </w:t>
      </w:r>
      <w:proofErr w:type="spellStart"/>
      <w:r w:rsidRPr="006313A9">
        <w:rPr>
          <w:i/>
        </w:rPr>
        <w:t>Bürgerlichen</w:t>
      </w:r>
      <w:proofErr w:type="spellEnd"/>
      <w:r w:rsidRPr="006313A9">
        <w:rPr>
          <w:i/>
        </w:rPr>
        <w:t xml:space="preserve"> </w:t>
      </w:r>
      <w:proofErr w:type="spellStart"/>
      <w:r w:rsidRPr="006313A9">
        <w:rPr>
          <w:i/>
        </w:rPr>
        <w:t>Gesetzbuch</w:t>
      </w:r>
      <w:proofErr w:type="spellEnd"/>
      <w:r w:rsidRPr="006313A9">
        <w:rPr>
          <w:i/>
        </w:rPr>
        <w:t xml:space="preserve">. Band </w:t>
      </w:r>
      <w:r w:rsidRPr="00CA0E65">
        <w:rPr>
          <w:i/>
        </w:rPr>
        <w:t>3</w:t>
      </w:r>
      <w:r w:rsidRPr="006313A9">
        <w:rPr>
          <w:i/>
        </w:rPr>
        <w:t>, §§ 1297-2385</w:t>
      </w:r>
      <w:r w:rsidRPr="006313A9">
        <w:t xml:space="preserve">. 1. vydání. </w:t>
      </w:r>
      <w:proofErr w:type="spellStart"/>
      <w:r w:rsidRPr="006313A9">
        <w:t>München</w:t>
      </w:r>
      <w:proofErr w:type="spellEnd"/>
      <w:r w:rsidRPr="006313A9">
        <w:t xml:space="preserve">: </w:t>
      </w:r>
      <w:proofErr w:type="spellStart"/>
      <w:proofErr w:type="gramStart"/>
      <w:r w:rsidRPr="006313A9">
        <w:t>C.H.</w:t>
      </w:r>
      <w:proofErr w:type="gramEnd"/>
      <w:r w:rsidRPr="006313A9">
        <w:t>Beck</w:t>
      </w:r>
      <w:proofErr w:type="spellEnd"/>
      <w:r w:rsidRPr="006313A9">
        <w:t>, 2003. 2903 s.</w:t>
      </w:r>
    </w:p>
    <w:p w:rsidR="00182032" w:rsidRPr="00FE0DAB" w:rsidRDefault="00182032" w:rsidP="00182032">
      <w:pPr>
        <w:pStyle w:val="DiplTEXT"/>
        <w:spacing w:after="0"/>
      </w:pPr>
      <w:r w:rsidRPr="00FE0DAB">
        <w:t xml:space="preserve">BEDNÁŘ, Václav. </w:t>
      </w:r>
      <w:r w:rsidRPr="00FE0DAB">
        <w:rPr>
          <w:i/>
        </w:rPr>
        <w:t>Testamentární dědická posloupnost</w:t>
      </w:r>
      <w:r w:rsidRPr="00FE0DAB">
        <w:t>. Plzeň: Aleš Čeněk, 2011. 301 s.</w:t>
      </w:r>
    </w:p>
    <w:p w:rsidR="002000D2" w:rsidRPr="00031805" w:rsidRDefault="002000D2" w:rsidP="00182032">
      <w:pPr>
        <w:pStyle w:val="DiplTEXT"/>
        <w:spacing w:after="0"/>
      </w:pPr>
      <w:r w:rsidRPr="00031805">
        <w:t xml:space="preserve">ELIÁŠ, Karel a kol. </w:t>
      </w:r>
      <w:r w:rsidRPr="00031805">
        <w:rPr>
          <w:i/>
        </w:rPr>
        <w:t>Občanské právo pro každého. Pohledem (nejen) tvůrců nového občanského zákoníku</w:t>
      </w:r>
      <w:r w:rsidRPr="00031805">
        <w:t xml:space="preserve">. Praha: </w:t>
      </w:r>
      <w:proofErr w:type="spellStart"/>
      <w:r w:rsidRPr="00031805">
        <w:t>Wolters</w:t>
      </w:r>
      <w:proofErr w:type="spellEnd"/>
      <w:r w:rsidRPr="00031805">
        <w:t xml:space="preserve"> </w:t>
      </w:r>
      <w:proofErr w:type="spellStart"/>
      <w:r w:rsidRPr="00031805">
        <w:t>Kluwer</w:t>
      </w:r>
      <w:proofErr w:type="spellEnd"/>
      <w:r w:rsidRPr="00031805">
        <w:t xml:space="preserve"> ČR, a. s., 2013. 316 s.</w:t>
      </w:r>
    </w:p>
    <w:p w:rsidR="00AC161A" w:rsidRPr="00CF053F" w:rsidRDefault="00AC161A" w:rsidP="00AC161A">
      <w:pPr>
        <w:pStyle w:val="DiplTEXT"/>
        <w:spacing w:after="0"/>
      </w:pPr>
      <w:r w:rsidRPr="00CF053F">
        <w:t xml:space="preserve">ELIÁŠ, Karel, ZUKLÍNOVÁ, Michaela. </w:t>
      </w:r>
      <w:r w:rsidRPr="00CF053F">
        <w:rPr>
          <w:i/>
        </w:rPr>
        <w:t>Principy a východiska nového kodexu soukromého práva</w:t>
      </w:r>
      <w:r w:rsidR="002A2F17" w:rsidRPr="00CF053F">
        <w:t>. Praha: Linde</w:t>
      </w:r>
      <w:r w:rsidR="00CF053F">
        <w:t>,</w:t>
      </w:r>
      <w:r w:rsidRPr="00CF053F">
        <w:t xml:space="preserve"> 2001. </w:t>
      </w:r>
      <w:r w:rsidR="002A2F17" w:rsidRPr="00CF053F">
        <w:t>302 s.</w:t>
      </w:r>
    </w:p>
    <w:p w:rsidR="003C58AB" w:rsidRPr="002A2F17" w:rsidRDefault="003C58AB" w:rsidP="00182032">
      <w:pPr>
        <w:pStyle w:val="DiplTEXT"/>
        <w:spacing w:after="0"/>
      </w:pPr>
      <w:r w:rsidRPr="002A2F17">
        <w:t xml:space="preserve">FIALA, Roman, DRÁPAL, </w:t>
      </w:r>
      <w:proofErr w:type="spellStart"/>
      <w:r w:rsidRPr="002A2F17">
        <w:t>Ljubomír</w:t>
      </w:r>
      <w:proofErr w:type="spellEnd"/>
      <w:r w:rsidRPr="002A2F17">
        <w:t xml:space="preserve"> a kol. </w:t>
      </w:r>
      <w:r w:rsidRPr="002A2F17">
        <w:rPr>
          <w:i/>
        </w:rPr>
        <w:t>Občanský zákoník IV. Dědické právo (§ 1475-1720). Komentář</w:t>
      </w:r>
      <w:r w:rsidRPr="002A2F17">
        <w:t xml:space="preserve">. 1 </w:t>
      </w:r>
      <w:r w:rsidR="002A2F17" w:rsidRPr="002A2F17">
        <w:t>vydání. Praha: C. H. Beck, 2015.</w:t>
      </w:r>
      <w:r w:rsidRPr="002A2F17">
        <w:t xml:space="preserve"> 648 s.</w:t>
      </w:r>
    </w:p>
    <w:p w:rsidR="00182032" w:rsidRPr="00116C36" w:rsidRDefault="00182032" w:rsidP="00182032">
      <w:pPr>
        <w:pStyle w:val="DiplTEXT"/>
        <w:spacing w:after="0"/>
      </w:pPr>
      <w:r w:rsidRPr="00116C36">
        <w:t xml:space="preserve">FIALA, Josef, KINDL, Milan a kol. </w:t>
      </w:r>
      <w:r w:rsidRPr="00116C36">
        <w:rPr>
          <w:i/>
        </w:rPr>
        <w:t>Občanský zákoník. Komentář. I. díl</w:t>
      </w:r>
      <w:r w:rsidRPr="00116C36">
        <w:t xml:space="preserve">. 1. vydání. Praha: </w:t>
      </w:r>
      <w:proofErr w:type="spellStart"/>
      <w:r w:rsidRPr="00116C36">
        <w:t>Wolters</w:t>
      </w:r>
      <w:proofErr w:type="spellEnd"/>
      <w:r w:rsidRPr="00116C36">
        <w:t xml:space="preserve"> </w:t>
      </w:r>
      <w:proofErr w:type="spellStart"/>
      <w:r w:rsidRPr="00116C36">
        <w:t>Kluwer</w:t>
      </w:r>
      <w:proofErr w:type="spellEnd"/>
      <w:r w:rsidRPr="00116C36">
        <w:t xml:space="preserve"> ČR, 2009. 904 s.</w:t>
      </w:r>
    </w:p>
    <w:p w:rsidR="00EF4C7E" w:rsidRPr="006313A9" w:rsidRDefault="00EF4C7E" w:rsidP="00EF4C7E">
      <w:pPr>
        <w:pStyle w:val="DiplTEXT"/>
        <w:spacing w:after="0"/>
      </w:pPr>
      <w:r w:rsidRPr="006313A9">
        <w:t xml:space="preserve">GSCHNITZER, Franz, FAISTENBERGER, </w:t>
      </w:r>
      <w:proofErr w:type="spellStart"/>
      <w:r w:rsidRPr="006313A9">
        <w:t>Christoph</w:t>
      </w:r>
      <w:proofErr w:type="spellEnd"/>
      <w:r w:rsidRPr="006313A9">
        <w:t xml:space="preserve">. </w:t>
      </w:r>
      <w:proofErr w:type="spellStart"/>
      <w:r w:rsidRPr="006313A9">
        <w:rPr>
          <w:i/>
        </w:rPr>
        <w:t>Österreichisches</w:t>
      </w:r>
      <w:proofErr w:type="spellEnd"/>
      <w:r w:rsidRPr="006313A9">
        <w:rPr>
          <w:i/>
        </w:rPr>
        <w:t xml:space="preserve"> </w:t>
      </w:r>
      <w:proofErr w:type="spellStart"/>
      <w:r w:rsidRPr="006313A9">
        <w:rPr>
          <w:i/>
        </w:rPr>
        <w:t>Erbrecht</w:t>
      </w:r>
      <w:proofErr w:type="spellEnd"/>
      <w:r w:rsidRPr="006313A9">
        <w:t xml:space="preserve">. 2. vydání. </w:t>
      </w:r>
      <w:proofErr w:type="spellStart"/>
      <w:r w:rsidRPr="006313A9">
        <w:t>Wien</w:t>
      </w:r>
      <w:proofErr w:type="spellEnd"/>
      <w:r w:rsidRPr="006313A9">
        <w:t xml:space="preserve">; New York: </w:t>
      </w:r>
      <w:proofErr w:type="spellStart"/>
      <w:r w:rsidRPr="006313A9">
        <w:t>Springer-Verlag</w:t>
      </w:r>
      <w:proofErr w:type="spellEnd"/>
      <w:r w:rsidRPr="006313A9">
        <w:t>, 1983. 144 s.</w:t>
      </w:r>
    </w:p>
    <w:p w:rsidR="007136DE" w:rsidRPr="009F7EE0" w:rsidRDefault="007136DE" w:rsidP="00182032">
      <w:pPr>
        <w:pStyle w:val="DiplTEXT"/>
        <w:spacing w:after="0"/>
      </w:pPr>
      <w:r w:rsidRPr="009F7EE0">
        <w:t>HAVEL, Bohumil, PIHERA, Vlastimil (</w:t>
      </w:r>
      <w:proofErr w:type="spellStart"/>
      <w:r w:rsidRPr="009F7EE0">
        <w:t>ed</w:t>
      </w:r>
      <w:proofErr w:type="spellEnd"/>
      <w:r w:rsidRPr="009F7EE0">
        <w:t xml:space="preserve">). </w:t>
      </w:r>
      <w:r w:rsidRPr="009F7EE0">
        <w:rPr>
          <w:i/>
        </w:rPr>
        <w:t>Soukromé právo na cestě: eseje a jiné texty k jubileu Karla Eliáše</w:t>
      </w:r>
      <w:r w:rsidR="009F7EE0">
        <w:t>. Plzeň: Aleš Čeněk, 2010.</w:t>
      </w:r>
      <w:r w:rsidRPr="009F7EE0">
        <w:t xml:space="preserve"> 396</w:t>
      </w:r>
      <w:r w:rsidR="00990DCF" w:rsidRPr="009F7EE0">
        <w:t xml:space="preserve"> s.</w:t>
      </w:r>
    </w:p>
    <w:p w:rsidR="00116F50" w:rsidRPr="00116F50" w:rsidRDefault="00116F50" w:rsidP="00EF4C7E">
      <w:pPr>
        <w:pStyle w:val="DiplTEXT"/>
        <w:spacing w:after="0"/>
      </w:pPr>
      <w:r w:rsidRPr="00116F50">
        <w:t>HOLUB, Milan a kol. (</w:t>
      </w:r>
      <w:proofErr w:type="spellStart"/>
      <w:r w:rsidRPr="00116F50">
        <w:t>eds</w:t>
      </w:r>
      <w:proofErr w:type="spellEnd"/>
      <w:r w:rsidRPr="00116F50">
        <w:t xml:space="preserve">). </w:t>
      </w:r>
      <w:r w:rsidRPr="00116F50">
        <w:rPr>
          <w:i/>
        </w:rPr>
        <w:t>Občanský zákoník. Komentář. 1. svazek (§§ 1 – 487)</w:t>
      </w:r>
      <w:r w:rsidRPr="00116F50">
        <w:t>. 2. vydání. Praha: Linde, 2003. 735 s.</w:t>
      </w:r>
    </w:p>
    <w:p w:rsidR="00EF4C7E" w:rsidRPr="00D44762" w:rsidRDefault="00EF4C7E" w:rsidP="00EF4C7E">
      <w:pPr>
        <w:pStyle w:val="DiplTEXT"/>
        <w:spacing w:after="0"/>
      </w:pPr>
      <w:r w:rsidRPr="00D44762">
        <w:t xml:space="preserve">HULMÁK, Milan, BEZOUŠKA, Petr a kol. </w:t>
      </w:r>
      <w:r w:rsidRPr="00D44762">
        <w:rPr>
          <w:i/>
        </w:rPr>
        <w:t>Stará judikatura ve světle nových zákonů</w:t>
      </w:r>
      <w:r w:rsidRPr="00D44762">
        <w:t xml:space="preserve"> </w:t>
      </w:r>
      <w:r w:rsidRPr="00D44762">
        <w:rPr>
          <w:i/>
        </w:rPr>
        <w:t>II. díl</w:t>
      </w:r>
      <w:r w:rsidRPr="00D44762">
        <w:t xml:space="preserve"> Olomouc: </w:t>
      </w:r>
      <w:proofErr w:type="spellStart"/>
      <w:r w:rsidRPr="00D44762">
        <w:t>Iuridicium</w:t>
      </w:r>
      <w:proofErr w:type="spellEnd"/>
      <w:r w:rsidRPr="00D44762">
        <w:t xml:space="preserve"> </w:t>
      </w:r>
      <w:proofErr w:type="spellStart"/>
      <w:r w:rsidRPr="00D44762">
        <w:t>Olomoucense</w:t>
      </w:r>
      <w:proofErr w:type="spellEnd"/>
      <w:r w:rsidRPr="00D44762">
        <w:t>, 2014. 518 s.</w:t>
      </w:r>
    </w:p>
    <w:p w:rsidR="004F6B7A" w:rsidRPr="00BB5D1B" w:rsidRDefault="004F6B7A" w:rsidP="00182032">
      <w:pPr>
        <w:pStyle w:val="DiplTEXT"/>
        <w:spacing w:after="0"/>
      </w:pPr>
      <w:r w:rsidRPr="00BB5D1B">
        <w:t xml:space="preserve">HURDÍK, Jan, LAVICKÝ, Petr. </w:t>
      </w:r>
      <w:r w:rsidRPr="00BB5D1B">
        <w:rPr>
          <w:i/>
        </w:rPr>
        <w:t>Systém zásad soukromého práva</w:t>
      </w:r>
      <w:r w:rsidRPr="00BB5D1B">
        <w:t xml:space="preserve">. Brno: Masarykova univerzita v Brně, 2010. </w:t>
      </w:r>
      <w:r w:rsidR="007C0884" w:rsidRPr="00BB5D1B">
        <w:t>197 s</w:t>
      </w:r>
      <w:r w:rsidRPr="00BB5D1B">
        <w:t>.</w:t>
      </w:r>
    </w:p>
    <w:p w:rsidR="00A532DC" w:rsidRPr="007F35EF" w:rsidRDefault="00A532DC" w:rsidP="00A532DC">
      <w:pPr>
        <w:pStyle w:val="DiplTEXT"/>
        <w:spacing w:after="0"/>
      </w:pPr>
      <w:r w:rsidRPr="007F35EF">
        <w:t xml:space="preserve">KINCL, Jaromír, URFUS, Valentin, SKŘEJPEK, Michal. </w:t>
      </w:r>
      <w:r w:rsidRPr="007F35EF">
        <w:rPr>
          <w:i/>
        </w:rPr>
        <w:t>Římské právo</w:t>
      </w:r>
      <w:r w:rsidRPr="007F35EF">
        <w:t>. 2.</w:t>
      </w:r>
      <w:r w:rsidR="002A2F17" w:rsidRPr="007F35EF">
        <w:t xml:space="preserve"> vydání. Praha: </w:t>
      </w:r>
      <w:proofErr w:type="spellStart"/>
      <w:proofErr w:type="gramStart"/>
      <w:r w:rsidR="002A2F17" w:rsidRPr="007F35EF">
        <w:t>C.H.</w:t>
      </w:r>
      <w:proofErr w:type="gramEnd"/>
      <w:r w:rsidR="002A2F17" w:rsidRPr="007F35EF">
        <w:t>Beck</w:t>
      </w:r>
      <w:proofErr w:type="spellEnd"/>
      <w:r w:rsidR="002A2F17" w:rsidRPr="007F35EF">
        <w:t>, 1995.</w:t>
      </w:r>
      <w:r w:rsidR="008C17DF" w:rsidRPr="007F35EF">
        <w:t xml:space="preserve"> 386 s.</w:t>
      </w:r>
    </w:p>
    <w:p w:rsidR="00CF1634" w:rsidRPr="00621B73" w:rsidRDefault="00FE0DAB" w:rsidP="00182032">
      <w:pPr>
        <w:pStyle w:val="DiplTEXT"/>
        <w:spacing w:after="0"/>
      </w:pPr>
      <w:r w:rsidRPr="00FE0DAB">
        <w:t xml:space="preserve">KNAPP, Viktor. </w:t>
      </w:r>
      <w:r w:rsidRPr="00FE0DAB">
        <w:rPr>
          <w:i/>
        </w:rPr>
        <w:t>Vědecká propedeutika pro právníky</w:t>
      </w:r>
      <w:r w:rsidRPr="00FE0DAB">
        <w:t xml:space="preserve">. Praha: </w:t>
      </w:r>
      <w:proofErr w:type="spellStart"/>
      <w:r w:rsidRPr="00FE0DAB">
        <w:t>Eurolex</w:t>
      </w:r>
      <w:proofErr w:type="spellEnd"/>
      <w:r w:rsidRPr="00FE0DAB">
        <w:t xml:space="preserve"> Bohemia, 2003. s. 233.</w:t>
      </w:r>
      <w:r w:rsidRPr="00FE0DAB">
        <w:cr/>
      </w:r>
      <w:r w:rsidR="00CF1634" w:rsidRPr="00621B73">
        <w:t>KNOLL, Vilém. KARHANOVÁ, Martina (</w:t>
      </w:r>
      <w:proofErr w:type="spellStart"/>
      <w:r w:rsidR="00CF1634" w:rsidRPr="00621B73">
        <w:t>ed</w:t>
      </w:r>
      <w:proofErr w:type="spellEnd"/>
      <w:r w:rsidR="00CF1634" w:rsidRPr="00621B73">
        <w:t xml:space="preserve">). </w:t>
      </w:r>
      <w:r w:rsidR="00CF1634" w:rsidRPr="00621B73">
        <w:rPr>
          <w:i/>
        </w:rPr>
        <w:t>Naděje právní vědy. Býkov 2007</w:t>
      </w:r>
      <w:r w:rsidR="00CF1634" w:rsidRPr="00621B73">
        <w:t>. Plzeň: Aleš Čeněk, 2008. 640 s.</w:t>
      </w:r>
    </w:p>
    <w:p w:rsidR="00EF4C7E" w:rsidRPr="004F7BF0" w:rsidRDefault="00EF4C7E" w:rsidP="00EF4C7E">
      <w:pPr>
        <w:pStyle w:val="DiplTEXT"/>
        <w:spacing w:after="0"/>
      </w:pPr>
      <w:r w:rsidRPr="004F7BF0">
        <w:t xml:space="preserve">KOZIOL, Helmut, WELSER, Rudolf. </w:t>
      </w:r>
      <w:proofErr w:type="spellStart"/>
      <w:r w:rsidRPr="004F7BF0">
        <w:rPr>
          <w:i/>
        </w:rPr>
        <w:t>Grundriß</w:t>
      </w:r>
      <w:proofErr w:type="spellEnd"/>
      <w:r w:rsidRPr="004F7BF0">
        <w:rPr>
          <w:i/>
        </w:rPr>
        <w:t xml:space="preserve"> des </w:t>
      </w:r>
      <w:proofErr w:type="spellStart"/>
      <w:r w:rsidRPr="004F7BF0">
        <w:rPr>
          <w:i/>
        </w:rPr>
        <w:t>bürgerlichen</w:t>
      </w:r>
      <w:proofErr w:type="spellEnd"/>
      <w:r w:rsidRPr="004F7BF0">
        <w:rPr>
          <w:i/>
        </w:rPr>
        <w:t xml:space="preserve"> </w:t>
      </w:r>
      <w:proofErr w:type="spellStart"/>
      <w:r w:rsidRPr="004F7BF0">
        <w:rPr>
          <w:i/>
        </w:rPr>
        <w:t>Rechts</w:t>
      </w:r>
      <w:proofErr w:type="spellEnd"/>
      <w:r w:rsidRPr="004F7BF0">
        <w:rPr>
          <w:i/>
        </w:rPr>
        <w:t xml:space="preserve">. </w:t>
      </w:r>
      <w:proofErr w:type="spellStart"/>
      <w:r w:rsidRPr="004F7BF0">
        <w:rPr>
          <w:i/>
        </w:rPr>
        <w:t>Bd</w:t>
      </w:r>
      <w:proofErr w:type="spellEnd"/>
      <w:r w:rsidRPr="004F7BF0">
        <w:rPr>
          <w:i/>
        </w:rPr>
        <w:t xml:space="preserve">. 2, </w:t>
      </w:r>
      <w:proofErr w:type="spellStart"/>
      <w:r w:rsidRPr="004F7BF0">
        <w:rPr>
          <w:i/>
        </w:rPr>
        <w:t>Sachenrecht</w:t>
      </w:r>
      <w:proofErr w:type="spellEnd"/>
      <w:r w:rsidRPr="004F7BF0">
        <w:rPr>
          <w:i/>
        </w:rPr>
        <w:t xml:space="preserve">, </w:t>
      </w:r>
      <w:proofErr w:type="spellStart"/>
      <w:r w:rsidRPr="004F7BF0">
        <w:rPr>
          <w:i/>
        </w:rPr>
        <w:t>Familienrecht,Erbrecht</w:t>
      </w:r>
      <w:proofErr w:type="spellEnd"/>
      <w:r w:rsidRPr="004F7BF0">
        <w:t xml:space="preserve">. 10. vydání. </w:t>
      </w:r>
      <w:proofErr w:type="spellStart"/>
      <w:r w:rsidRPr="004F7BF0">
        <w:t>Wien</w:t>
      </w:r>
      <w:proofErr w:type="spellEnd"/>
      <w:r w:rsidRPr="004F7BF0">
        <w:t xml:space="preserve">: </w:t>
      </w:r>
      <w:proofErr w:type="spellStart"/>
      <w:r w:rsidRPr="004F7BF0">
        <w:t>Manzsche</w:t>
      </w:r>
      <w:proofErr w:type="spellEnd"/>
      <w:r w:rsidRPr="004F7BF0">
        <w:t xml:space="preserve"> </w:t>
      </w:r>
      <w:proofErr w:type="spellStart"/>
      <w:r w:rsidRPr="004F7BF0">
        <w:t>Verlags-und</w:t>
      </w:r>
      <w:proofErr w:type="spellEnd"/>
      <w:r w:rsidRPr="004F7BF0">
        <w:t xml:space="preserve"> </w:t>
      </w:r>
      <w:proofErr w:type="spellStart"/>
      <w:r w:rsidRPr="004F7BF0">
        <w:t>Universitätsbuchhandlung</w:t>
      </w:r>
      <w:proofErr w:type="spellEnd"/>
      <w:r w:rsidRPr="004F7BF0">
        <w:t>, 1996. 455 s.</w:t>
      </w:r>
    </w:p>
    <w:p w:rsidR="00A429FB" w:rsidRPr="00C52AB1" w:rsidRDefault="00E93A8F" w:rsidP="00182032">
      <w:pPr>
        <w:pStyle w:val="DiplTEXT"/>
        <w:spacing w:after="0"/>
      </w:pPr>
      <w:r w:rsidRPr="00C52AB1">
        <w:t xml:space="preserve">KRČMÁŘ, Jan. </w:t>
      </w:r>
      <w:r w:rsidRPr="00C52AB1">
        <w:rPr>
          <w:i/>
        </w:rPr>
        <w:t>Právo občanské V. Právo dědické. 2. doplněné vydání</w:t>
      </w:r>
      <w:r w:rsidRPr="00C52AB1">
        <w:t>. Praha: Všehrd, 1933. 139 s.</w:t>
      </w:r>
      <w:r w:rsidR="00A429FB" w:rsidRPr="00C52AB1">
        <w:t xml:space="preserve"> </w:t>
      </w:r>
    </w:p>
    <w:p w:rsidR="00182032" w:rsidRPr="007F35EF" w:rsidRDefault="00182032" w:rsidP="00182032">
      <w:pPr>
        <w:pStyle w:val="DiplTEXT"/>
        <w:spacing w:after="0"/>
      </w:pPr>
      <w:r w:rsidRPr="007F35EF">
        <w:lastRenderedPageBreak/>
        <w:t xml:space="preserve">MELZER, Filip. </w:t>
      </w:r>
      <w:r w:rsidRPr="007F35EF">
        <w:rPr>
          <w:i/>
        </w:rPr>
        <w:t>Metodologie a nalézání práva. Úvod do právní argumentace</w:t>
      </w:r>
      <w:r w:rsidRPr="007F35EF">
        <w:t>. Praha: C. H. Beck, 2010. 304 s.</w:t>
      </w:r>
    </w:p>
    <w:p w:rsidR="00182032" w:rsidRPr="004F7BF0" w:rsidRDefault="00182032" w:rsidP="00182032">
      <w:pPr>
        <w:pStyle w:val="DiplTEXT"/>
        <w:spacing w:after="0"/>
      </w:pPr>
      <w:r w:rsidRPr="004F7BF0">
        <w:t xml:space="preserve">MELZER, Filip. </w:t>
      </w:r>
      <w:r w:rsidRPr="004F7BF0">
        <w:rPr>
          <w:i/>
        </w:rPr>
        <w:t>Právní jednání a jeho výklad</w:t>
      </w:r>
      <w:r w:rsidRPr="004F7BF0">
        <w:t xml:space="preserve">. Brno: Václav </w:t>
      </w:r>
      <w:proofErr w:type="spellStart"/>
      <w:r w:rsidRPr="004F7BF0">
        <w:t>Klemm</w:t>
      </w:r>
      <w:proofErr w:type="spellEnd"/>
      <w:r w:rsidRPr="004F7BF0">
        <w:t xml:space="preserve"> – Vydavatelství a nakladatelství, 2009. 218 s.</w:t>
      </w:r>
    </w:p>
    <w:p w:rsidR="00120F70" w:rsidRPr="00116C36" w:rsidRDefault="00120F70" w:rsidP="00182032">
      <w:pPr>
        <w:pStyle w:val="DiplTEXT"/>
        <w:spacing w:after="0"/>
      </w:pPr>
      <w:r w:rsidRPr="00116C36">
        <w:t xml:space="preserve">MELZER, Filip, TÉGL, Petr a kol. </w:t>
      </w:r>
      <w:r w:rsidRPr="00116C36">
        <w:rPr>
          <w:i/>
        </w:rPr>
        <w:t>Občanský zákoník – velký komentář. Svazek I.</w:t>
      </w:r>
      <w:r w:rsidRPr="00116C36">
        <w:t xml:space="preserve"> </w:t>
      </w:r>
      <w:r w:rsidRPr="00116C36">
        <w:rPr>
          <w:i/>
        </w:rPr>
        <w:t>§</w:t>
      </w:r>
      <w:r w:rsidRPr="00116C36">
        <w:t xml:space="preserve"> </w:t>
      </w:r>
      <w:r w:rsidRPr="00116C36">
        <w:rPr>
          <w:i/>
        </w:rPr>
        <w:t>1 – 117</w:t>
      </w:r>
      <w:r w:rsidRPr="00116C36">
        <w:t xml:space="preserve">. Praha: </w:t>
      </w:r>
      <w:proofErr w:type="spellStart"/>
      <w:r w:rsidRPr="00116C36">
        <w:t>Leges</w:t>
      </w:r>
      <w:proofErr w:type="spellEnd"/>
      <w:r w:rsidRPr="00116C36">
        <w:t xml:space="preserve">, 2014. </w:t>
      </w:r>
      <w:r w:rsidR="00CF0CA9" w:rsidRPr="00116C36">
        <w:t>720 s.</w:t>
      </w:r>
    </w:p>
    <w:p w:rsidR="00F13F59" w:rsidRPr="00116C36" w:rsidRDefault="00F13F59" w:rsidP="00F13F59">
      <w:pPr>
        <w:pStyle w:val="DiplTEXT"/>
        <w:spacing w:after="0"/>
      </w:pPr>
      <w:r w:rsidRPr="00116C36">
        <w:t xml:space="preserve">MIKEŠ, Jiří. </w:t>
      </w:r>
      <w:r w:rsidRPr="00116C36">
        <w:rPr>
          <w:i/>
        </w:rPr>
        <w:t>Dědictví a právo (právní poradce pro každého)</w:t>
      </w:r>
      <w:r w:rsidRPr="00116C36">
        <w:t>. Praha: Informatorium, 1993. 166 s.</w:t>
      </w:r>
    </w:p>
    <w:p w:rsidR="00F13F59" w:rsidRPr="000E68E6" w:rsidRDefault="00F13F59" w:rsidP="00F13F59">
      <w:pPr>
        <w:pStyle w:val="DiplTEXT"/>
        <w:spacing w:after="0"/>
      </w:pPr>
      <w:r w:rsidRPr="000E68E6">
        <w:t xml:space="preserve">MIKEŠ, Jiří, MUZIKÁŘ, Ladislav. </w:t>
      </w:r>
      <w:r w:rsidRPr="000E68E6">
        <w:rPr>
          <w:i/>
        </w:rPr>
        <w:t>Dědické právo v teorii a praxi</w:t>
      </w:r>
      <w:r w:rsidRPr="000E68E6">
        <w:t xml:space="preserve">. Praha: </w:t>
      </w:r>
      <w:proofErr w:type="spellStart"/>
      <w:r w:rsidRPr="000E68E6">
        <w:t>Leges</w:t>
      </w:r>
      <w:proofErr w:type="spellEnd"/>
      <w:r w:rsidRPr="000E68E6">
        <w:t>, 2011. 432 s.</w:t>
      </w:r>
    </w:p>
    <w:p w:rsidR="00C450CE" w:rsidRPr="00143D34" w:rsidRDefault="00C450CE" w:rsidP="00182032">
      <w:pPr>
        <w:pStyle w:val="DiplTEXT"/>
        <w:spacing w:after="0"/>
      </w:pPr>
      <w:r w:rsidRPr="00143D34">
        <w:t xml:space="preserve">PALANDT, Otto. </w:t>
      </w:r>
      <w:proofErr w:type="spellStart"/>
      <w:r w:rsidRPr="00143D34">
        <w:t>Bürgerliches</w:t>
      </w:r>
      <w:proofErr w:type="spellEnd"/>
      <w:r w:rsidRPr="00143D34">
        <w:t xml:space="preserve"> </w:t>
      </w:r>
      <w:proofErr w:type="spellStart"/>
      <w:r w:rsidRPr="00143D34">
        <w:t>Gesetzbuch</w:t>
      </w:r>
      <w:proofErr w:type="spellEnd"/>
      <w:r w:rsidRPr="00143D34">
        <w:t xml:space="preserve">. </w:t>
      </w:r>
      <w:proofErr w:type="spellStart"/>
      <w:r w:rsidRPr="00143D34">
        <w:t>Kommentar</w:t>
      </w:r>
      <w:proofErr w:type="spellEnd"/>
      <w:r w:rsidRPr="00143D34">
        <w:t xml:space="preserve">. Band 7. 54., </w:t>
      </w:r>
      <w:proofErr w:type="spellStart"/>
      <w:r w:rsidRPr="00143D34">
        <w:t>neubearbeitete</w:t>
      </w:r>
      <w:proofErr w:type="spellEnd"/>
      <w:r w:rsidRPr="00143D34">
        <w:t xml:space="preserve"> </w:t>
      </w:r>
      <w:proofErr w:type="spellStart"/>
      <w:r w:rsidRPr="00143D34">
        <w:t>Au</w:t>
      </w:r>
      <w:r w:rsidR="00143D34" w:rsidRPr="00143D34">
        <w:t>flage</w:t>
      </w:r>
      <w:proofErr w:type="spellEnd"/>
      <w:r w:rsidR="00143D34" w:rsidRPr="00143D34">
        <w:t xml:space="preserve">. </w:t>
      </w:r>
      <w:proofErr w:type="spellStart"/>
      <w:r w:rsidR="00143D34" w:rsidRPr="00143D34">
        <w:t>München</w:t>
      </w:r>
      <w:proofErr w:type="spellEnd"/>
      <w:r w:rsidR="00143D34" w:rsidRPr="00143D34">
        <w:t xml:space="preserve">: </w:t>
      </w:r>
      <w:proofErr w:type="gramStart"/>
      <w:r w:rsidR="00143D34" w:rsidRPr="00143D34">
        <w:t>C.H.</w:t>
      </w:r>
      <w:proofErr w:type="gramEnd"/>
      <w:r w:rsidR="00143D34" w:rsidRPr="00143D34">
        <w:t xml:space="preserve"> Beck, 2006.</w:t>
      </w:r>
      <w:r w:rsidRPr="00143D34">
        <w:t xml:space="preserve"> s. 2051-2052.</w:t>
      </w:r>
    </w:p>
    <w:p w:rsidR="004F63C4" w:rsidRPr="002E5B85" w:rsidRDefault="004F63C4" w:rsidP="00182032">
      <w:pPr>
        <w:pStyle w:val="DiplTEXT"/>
        <w:spacing w:after="0"/>
      </w:pPr>
      <w:r w:rsidRPr="002E5B85">
        <w:t xml:space="preserve">ROUČEK, František, SEDLÁČEK, Jaromír. </w:t>
      </w:r>
      <w:r w:rsidRPr="002E5B85">
        <w:rPr>
          <w:i/>
        </w:rPr>
        <w:t>Komentář k československému zákoníku občanskému a občanské právo platné na Slovensku a Podkarpatské Rusi. Díl III., (§§ 531 až 858)</w:t>
      </w:r>
      <w:r w:rsidR="00236596" w:rsidRPr="002E5B85">
        <w:t>. Praha: V. Linhart, 1936.</w:t>
      </w:r>
      <w:r w:rsidRPr="002E5B85">
        <w:t xml:space="preserve"> 680 s.</w:t>
      </w:r>
    </w:p>
    <w:p w:rsidR="00AC161A" w:rsidRPr="00031805" w:rsidRDefault="00AC161A" w:rsidP="00182032">
      <w:pPr>
        <w:pStyle w:val="DiplTEXT"/>
        <w:spacing w:after="0"/>
      </w:pPr>
      <w:r w:rsidRPr="00031805">
        <w:t xml:space="preserve">SCHELLE, Karel a kol. </w:t>
      </w:r>
      <w:proofErr w:type="spellStart"/>
      <w:r w:rsidRPr="00031805">
        <w:rPr>
          <w:i/>
        </w:rPr>
        <w:t>Erbrecht</w:t>
      </w:r>
      <w:proofErr w:type="spellEnd"/>
      <w:r w:rsidRPr="00031805">
        <w:rPr>
          <w:i/>
        </w:rPr>
        <w:t xml:space="preserve"> in der </w:t>
      </w:r>
      <w:proofErr w:type="spellStart"/>
      <w:r w:rsidRPr="00031805">
        <w:rPr>
          <w:i/>
        </w:rPr>
        <w:t>Tschechischen</w:t>
      </w:r>
      <w:proofErr w:type="spellEnd"/>
      <w:r w:rsidRPr="00031805">
        <w:rPr>
          <w:i/>
        </w:rPr>
        <w:t xml:space="preserve"> Republik</w:t>
      </w:r>
      <w:r w:rsidRPr="00031805">
        <w:t>.</w:t>
      </w:r>
      <w:r w:rsidR="00D44762">
        <w:t xml:space="preserve"> 1. vydání. </w:t>
      </w:r>
      <w:proofErr w:type="spellStart"/>
      <w:r w:rsidR="00D44762">
        <w:t>München</w:t>
      </w:r>
      <w:proofErr w:type="spellEnd"/>
      <w:r w:rsidR="00D44762">
        <w:t>: GRIN, 2010.</w:t>
      </w:r>
      <w:r w:rsidRPr="00031805">
        <w:t xml:space="preserve"> 236 s.</w:t>
      </w:r>
    </w:p>
    <w:p w:rsidR="00A03B1C" w:rsidRPr="002E5B85" w:rsidRDefault="00A03B1C" w:rsidP="00182032">
      <w:pPr>
        <w:pStyle w:val="DiplTEXT"/>
        <w:spacing w:after="0"/>
      </w:pPr>
      <w:r w:rsidRPr="002E5B85">
        <w:t>SUCHÁ, Ludmila, MOKRÝ, Antonín (</w:t>
      </w:r>
      <w:proofErr w:type="spellStart"/>
      <w:r w:rsidRPr="002E5B85">
        <w:t>ed</w:t>
      </w:r>
      <w:proofErr w:type="spellEnd"/>
      <w:r w:rsidRPr="002E5B85">
        <w:t>).</w:t>
      </w:r>
      <w:r w:rsidR="00CF1634" w:rsidRPr="002E5B85">
        <w:t xml:space="preserve"> </w:t>
      </w:r>
      <w:r w:rsidRPr="002E5B85">
        <w:rPr>
          <w:i/>
        </w:rPr>
        <w:t>Sborník přednášek a článků k novému občanskému zákoníku (2013-2014)</w:t>
      </w:r>
      <w:r w:rsidR="00CF1634" w:rsidRPr="002E5B85">
        <w:t>. Praha: PS JČP, 2014.</w:t>
      </w:r>
      <w:r w:rsidRPr="002E5B85">
        <w:t xml:space="preserve"> </w:t>
      </w:r>
      <w:r w:rsidR="00CF1634" w:rsidRPr="002E5B85">
        <w:t>270 s.</w:t>
      </w:r>
    </w:p>
    <w:p w:rsidR="00F3139F" w:rsidRPr="006313A9" w:rsidRDefault="00F3139F" w:rsidP="00F3139F">
      <w:pPr>
        <w:pStyle w:val="DiplTEXT"/>
        <w:spacing w:after="0"/>
      </w:pPr>
      <w:r w:rsidRPr="006313A9">
        <w:t xml:space="preserve">SVOBODA, Jiří, KLIČKA, Ondřej. </w:t>
      </w:r>
      <w:r w:rsidRPr="006313A9">
        <w:rPr>
          <w:i/>
        </w:rPr>
        <w:t>Dědické právo v praxi</w:t>
      </w:r>
      <w:r w:rsidRPr="006313A9">
        <w:t>. 1 v</w:t>
      </w:r>
      <w:r w:rsidR="009F11CE" w:rsidRPr="006313A9">
        <w:t>ydání. Praha: Beck, 2014. 408 s.</w:t>
      </w:r>
    </w:p>
    <w:p w:rsidR="00EB0645" w:rsidRPr="006313A9" w:rsidRDefault="004679C3" w:rsidP="00182032">
      <w:pPr>
        <w:pStyle w:val="DiplTEXT"/>
        <w:spacing w:after="0"/>
      </w:pPr>
      <w:r w:rsidRPr="006313A9">
        <w:t xml:space="preserve">ŠVESTKA, Jiří, DVOŘÁK, Jan, FIALA, Josef a kol. </w:t>
      </w:r>
      <w:r w:rsidRPr="006313A9">
        <w:rPr>
          <w:i/>
        </w:rPr>
        <w:t>Občans</w:t>
      </w:r>
      <w:r w:rsidR="009C6FD9" w:rsidRPr="006313A9">
        <w:rPr>
          <w:i/>
        </w:rPr>
        <w:t>ký zákoník. Komentář</w:t>
      </w:r>
      <w:r w:rsidR="009C6FD9" w:rsidRPr="006313A9">
        <w:t xml:space="preserve">. </w:t>
      </w:r>
      <w:r w:rsidR="009C6FD9" w:rsidRPr="006313A9">
        <w:rPr>
          <w:i/>
        </w:rPr>
        <w:t>Svazek IV</w:t>
      </w:r>
      <w:r w:rsidR="009D5856" w:rsidRPr="006313A9">
        <w:rPr>
          <w:i/>
        </w:rPr>
        <w:t>.</w:t>
      </w:r>
      <w:r w:rsidR="009C6FD9" w:rsidRPr="006313A9">
        <w:t xml:space="preserve">, </w:t>
      </w:r>
      <w:r w:rsidR="009C6FD9" w:rsidRPr="006313A9">
        <w:rPr>
          <w:i/>
        </w:rPr>
        <w:t>(§ 1475 až 1720)</w:t>
      </w:r>
      <w:r w:rsidR="009D5856" w:rsidRPr="006313A9">
        <w:t xml:space="preserve">. 1. Vydání. </w:t>
      </w:r>
      <w:r w:rsidRPr="006313A9">
        <w:t xml:space="preserve">Praha: </w:t>
      </w:r>
      <w:proofErr w:type="spellStart"/>
      <w:r w:rsidRPr="006313A9">
        <w:t>Wolters</w:t>
      </w:r>
      <w:proofErr w:type="spellEnd"/>
      <w:r w:rsidRPr="006313A9">
        <w:t xml:space="preserve"> </w:t>
      </w:r>
      <w:proofErr w:type="spellStart"/>
      <w:r w:rsidRPr="006313A9">
        <w:t>Kluwer</w:t>
      </w:r>
      <w:proofErr w:type="spellEnd"/>
      <w:r w:rsidRPr="006313A9">
        <w:t xml:space="preserve">, a. s., 2014. </w:t>
      </w:r>
      <w:r w:rsidR="009C6FD9" w:rsidRPr="006313A9">
        <w:t>728 s</w:t>
      </w:r>
      <w:r w:rsidRPr="006313A9">
        <w:t>.</w:t>
      </w:r>
    </w:p>
    <w:p w:rsidR="00E9338B" w:rsidRPr="00CF053F" w:rsidRDefault="00E9338B" w:rsidP="00182032">
      <w:pPr>
        <w:pStyle w:val="DiplTEXT"/>
        <w:spacing w:after="0"/>
      </w:pPr>
      <w:r w:rsidRPr="00CF053F">
        <w:t>ŠVESTKA, Jiří, DVOŘÁK, Jan, TICHÝ, Luboš (</w:t>
      </w:r>
      <w:proofErr w:type="spellStart"/>
      <w:r w:rsidRPr="00CF053F">
        <w:t>ed</w:t>
      </w:r>
      <w:r w:rsidR="004120B9" w:rsidRPr="00CF053F">
        <w:t>s</w:t>
      </w:r>
      <w:proofErr w:type="spellEnd"/>
      <w:r w:rsidR="004120B9" w:rsidRPr="00CF053F">
        <w:t>.</w:t>
      </w:r>
      <w:r w:rsidRPr="00CF053F">
        <w:t xml:space="preserve">). </w:t>
      </w:r>
      <w:r w:rsidRPr="00CF053F">
        <w:rPr>
          <w:i/>
        </w:rPr>
        <w:t>Sborník statí z diskusních fór o rekodifikaci občanského práva</w:t>
      </w:r>
      <w:r w:rsidRPr="00CF053F">
        <w:t xml:space="preserve">. 1. Vydání. Praha: ASPI, 2006. </w:t>
      </w:r>
      <w:r w:rsidR="004120B9" w:rsidRPr="00CF053F">
        <w:t>192</w:t>
      </w:r>
      <w:r w:rsidRPr="00CF053F">
        <w:t xml:space="preserve"> s.</w:t>
      </w:r>
    </w:p>
    <w:p w:rsidR="0071115B" w:rsidRPr="004F7BF0" w:rsidRDefault="00737465" w:rsidP="0071115B">
      <w:pPr>
        <w:pStyle w:val="DiplTEXT"/>
        <w:spacing w:after="0"/>
      </w:pPr>
      <w:r w:rsidRPr="004F7BF0">
        <w:t>TILSCH, Emanuel</w:t>
      </w:r>
      <w:r w:rsidRPr="004F7BF0">
        <w:rPr>
          <w:i/>
        </w:rPr>
        <w:t xml:space="preserve">. Dědické právo rakouské se </w:t>
      </w:r>
      <w:proofErr w:type="gramStart"/>
      <w:r w:rsidRPr="004F7BF0">
        <w:rPr>
          <w:i/>
        </w:rPr>
        <w:t>stanoviska</w:t>
      </w:r>
      <w:proofErr w:type="gramEnd"/>
      <w:r w:rsidRPr="004F7BF0">
        <w:rPr>
          <w:i/>
        </w:rPr>
        <w:t xml:space="preserve"> srovnávací vědy právní. Část I.</w:t>
      </w:r>
      <w:r w:rsidRPr="004F7BF0">
        <w:t xml:space="preserve"> Praha: </w:t>
      </w:r>
      <w:proofErr w:type="spellStart"/>
      <w:r w:rsidRPr="004F7BF0">
        <w:t>Wolters</w:t>
      </w:r>
      <w:proofErr w:type="spellEnd"/>
      <w:r w:rsidRPr="004F7BF0">
        <w:t xml:space="preserve"> </w:t>
      </w:r>
      <w:proofErr w:type="spellStart"/>
      <w:r w:rsidRPr="004F7BF0">
        <w:t>Kluwer</w:t>
      </w:r>
      <w:proofErr w:type="spellEnd"/>
      <w:r w:rsidRPr="004F7BF0">
        <w:t>, a. s., 2014. 157 s.</w:t>
      </w:r>
    </w:p>
    <w:p w:rsidR="004F7BF0" w:rsidRPr="004F7BF0" w:rsidRDefault="004F7BF0" w:rsidP="00182032">
      <w:pPr>
        <w:pStyle w:val="DiplTEXT"/>
        <w:spacing w:after="0"/>
      </w:pPr>
      <w:r w:rsidRPr="004F7BF0">
        <w:t xml:space="preserve">VÁŽNÝ, František.  </w:t>
      </w:r>
      <w:r w:rsidRPr="004F7BF0">
        <w:rPr>
          <w:i/>
        </w:rPr>
        <w:t>Rozhodnutí nejvyššího soudu Československé republiky ve věcech občanských, roč. 1-26.</w:t>
      </w:r>
      <w:r w:rsidRPr="004F7BF0">
        <w:t xml:space="preserve"> Praha: Právnické vydavatelství JUDr. V. Tomsa, 1919 – 1945.</w:t>
      </w:r>
    </w:p>
    <w:p w:rsidR="007136DE" w:rsidRPr="009F7EE0" w:rsidRDefault="007136DE" w:rsidP="00182032">
      <w:pPr>
        <w:pStyle w:val="DiplTEXT"/>
        <w:spacing w:after="0"/>
      </w:pPr>
      <w:r w:rsidRPr="009F7EE0">
        <w:t>WELSER, Rudolf (</w:t>
      </w:r>
      <w:proofErr w:type="spellStart"/>
      <w:r w:rsidRPr="009F7EE0">
        <w:t>ed</w:t>
      </w:r>
      <w:proofErr w:type="spellEnd"/>
      <w:r w:rsidRPr="009F7EE0">
        <w:t xml:space="preserve">). </w:t>
      </w:r>
      <w:proofErr w:type="spellStart"/>
      <w:r w:rsidRPr="009F7EE0">
        <w:rPr>
          <w:i/>
        </w:rPr>
        <w:t>Erbrechtsentwicklung</w:t>
      </w:r>
      <w:proofErr w:type="spellEnd"/>
      <w:r w:rsidRPr="009F7EE0">
        <w:rPr>
          <w:i/>
        </w:rPr>
        <w:t xml:space="preserve"> in </w:t>
      </w:r>
      <w:proofErr w:type="spellStart"/>
      <w:r w:rsidRPr="009F7EE0">
        <w:rPr>
          <w:i/>
        </w:rPr>
        <w:t>Zentral-und</w:t>
      </w:r>
      <w:proofErr w:type="spellEnd"/>
      <w:r w:rsidRPr="009F7EE0">
        <w:rPr>
          <w:i/>
        </w:rPr>
        <w:t xml:space="preserve"> </w:t>
      </w:r>
      <w:proofErr w:type="spellStart"/>
      <w:r w:rsidRPr="009F7EE0">
        <w:rPr>
          <w:i/>
        </w:rPr>
        <w:t>Osteuropa</w:t>
      </w:r>
      <w:proofErr w:type="spellEnd"/>
      <w:r w:rsidRPr="009F7EE0">
        <w:t xml:space="preserve">. </w:t>
      </w:r>
      <w:proofErr w:type="spellStart"/>
      <w:r w:rsidRPr="009F7EE0">
        <w:t>Wien</w:t>
      </w:r>
      <w:proofErr w:type="spellEnd"/>
      <w:r w:rsidRPr="009F7EE0">
        <w:t xml:space="preserve">: </w:t>
      </w:r>
      <w:proofErr w:type="spellStart"/>
      <w:r w:rsidRPr="009F7EE0">
        <w:t>Manz</w:t>
      </w:r>
      <w:proofErr w:type="spellEnd"/>
      <w:r w:rsidRPr="009F7EE0">
        <w:t xml:space="preserve">, 2009. </w:t>
      </w:r>
      <w:r w:rsidR="005D4E03" w:rsidRPr="009F7EE0">
        <w:t>202 s.</w:t>
      </w:r>
    </w:p>
    <w:p w:rsidR="00BC492A" w:rsidRPr="00CF053F" w:rsidRDefault="00BC492A" w:rsidP="00BC492A">
      <w:pPr>
        <w:pStyle w:val="DiplTEXT"/>
        <w:spacing w:after="0"/>
        <w:rPr>
          <w:i/>
        </w:rPr>
      </w:pPr>
      <w:r w:rsidRPr="00CF053F">
        <w:t>WINTEROVÁ, Alena, DVOŘÁK, Jan (</w:t>
      </w:r>
      <w:proofErr w:type="spellStart"/>
      <w:r w:rsidRPr="00CF053F">
        <w:t>eds</w:t>
      </w:r>
      <w:proofErr w:type="spellEnd"/>
      <w:r w:rsidRPr="00CF053F">
        <w:t xml:space="preserve">). </w:t>
      </w:r>
      <w:r w:rsidRPr="00CF053F">
        <w:rPr>
          <w:i/>
        </w:rPr>
        <w:t>Pocta Sentě Radvanové k 80. narozeninám.</w:t>
      </w:r>
    </w:p>
    <w:p w:rsidR="00BC492A" w:rsidRPr="00CF053F" w:rsidRDefault="00CF053F" w:rsidP="00BC492A">
      <w:pPr>
        <w:pStyle w:val="DiplTEXT"/>
        <w:spacing w:after="0"/>
      </w:pPr>
      <w:r w:rsidRPr="00CF053F">
        <w:t>1. vydání. Praha: ASPI, 2009.</w:t>
      </w:r>
      <w:r w:rsidR="00BC492A" w:rsidRPr="00CF053F">
        <w:t xml:space="preserve"> 632 s.</w:t>
      </w:r>
    </w:p>
    <w:p w:rsidR="00D44762" w:rsidRDefault="00D44762" w:rsidP="00635B0D">
      <w:pPr>
        <w:spacing w:after="0"/>
        <w:rPr>
          <w:b/>
          <w:sz w:val="28"/>
          <w:szCs w:val="28"/>
        </w:rPr>
      </w:pPr>
    </w:p>
    <w:p w:rsidR="00182032" w:rsidRPr="00635B0D" w:rsidRDefault="00182032" w:rsidP="00635B0D">
      <w:pPr>
        <w:spacing w:after="0"/>
        <w:rPr>
          <w:b/>
          <w:sz w:val="28"/>
          <w:szCs w:val="28"/>
        </w:rPr>
      </w:pPr>
      <w:r w:rsidRPr="00635B0D">
        <w:rPr>
          <w:b/>
          <w:sz w:val="28"/>
          <w:szCs w:val="28"/>
        </w:rPr>
        <w:lastRenderedPageBreak/>
        <w:t>Odborné články</w:t>
      </w:r>
    </w:p>
    <w:p w:rsidR="00DB1C63" w:rsidRPr="000E68E6" w:rsidRDefault="00DB1C63" w:rsidP="00DB1C63">
      <w:pPr>
        <w:pStyle w:val="DiplTEXT"/>
        <w:spacing w:after="0"/>
      </w:pPr>
      <w:r w:rsidRPr="000E68E6">
        <w:t xml:space="preserve">BEZOUŠKA, Petr. Civilněprávní otázky testovací svobody. </w:t>
      </w:r>
      <w:r w:rsidRPr="000E68E6">
        <w:rPr>
          <w:i/>
        </w:rPr>
        <w:t>Právník</w:t>
      </w:r>
      <w:r w:rsidRPr="000E68E6">
        <w:t>, 2014, roč. 153, č. 10 s. 816-829</w:t>
      </w:r>
      <w:r w:rsidR="000E68E6">
        <w:t>.</w:t>
      </w:r>
    </w:p>
    <w:p w:rsidR="00DB1C63" w:rsidRPr="000E68E6" w:rsidRDefault="00DB1C63" w:rsidP="00DB1C63">
      <w:pPr>
        <w:pStyle w:val="DiplTEXT"/>
        <w:spacing w:after="0"/>
      </w:pPr>
      <w:r w:rsidRPr="000E68E6">
        <w:t xml:space="preserve">BEZOUŠKA, Petr. Nezletilý a závěť notářským zápisem. </w:t>
      </w:r>
      <w:r w:rsidRPr="000E68E6">
        <w:rPr>
          <w:i/>
        </w:rPr>
        <w:t>Právní rádce</w:t>
      </w:r>
      <w:r w:rsidRPr="000E68E6">
        <w:t>, 2005, roč. 13, č. 4, s. 19-21.</w:t>
      </w:r>
    </w:p>
    <w:p w:rsidR="00DB1C63" w:rsidRPr="000E68E6" w:rsidRDefault="00DB1C63" w:rsidP="00DB1C63">
      <w:pPr>
        <w:pStyle w:val="DiplTEXT"/>
        <w:spacing w:after="0"/>
      </w:pPr>
      <w:r w:rsidRPr="000E68E6">
        <w:t xml:space="preserve">DOBEŠOVÁ, Lenka. Dědická smlouva, aneb „staronový dědický titul“. </w:t>
      </w:r>
      <w:r w:rsidRPr="000E68E6">
        <w:rPr>
          <w:i/>
        </w:rPr>
        <w:t>Časopis pro právní vědu a praxi</w:t>
      </w:r>
      <w:r w:rsidRPr="000E68E6">
        <w:t>, 2012, roč. XX, č. 3, s. 292-298.</w:t>
      </w:r>
    </w:p>
    <w:p w:rsidR="00CE3388" w:rsidRPr="000E68E6" w:rsidRDefault="00CE3388" w:rsidP="00812034">
      <w:pPr>
        <w:pStyle w:val="DiplTEXT"/>
        <w:spacing w:after="0"/>
      </w:pPr>
      <w:r w:rsidRPr="000E68E6">
        <w:t xml:space="preserve">DOSTALÍK, Petr. Dědická instituce jako základní obsahová náležitost testamentu. </w:t>
      </w:r>
      <w:r w:rsidRPr="000E68E6">
        <w:rPr>
          <w:i/>
        </w:rPr>
        <w:t>Časopis pro právní vědu a praxi</w:t>
      </w:r>
      <w:r w:rsidRPr="000E68E6">
        <w:t>, 2012, roč. 20, č. 3, s. 275-283.</w:t>
      </w:r>
    </w:p>
    <w:p w:rsidR="00812034" w:rsidRPr="002E5B85" w:rsidRDefault="00812034" w:rsidP="00812034">
      <w:pPr>
        <w:pStyle w:val="DiplTEXT"/>
        <w:spacing w:after="0"/>
      </w:pPr>
      <w:r w:rsidRPr="002E5B85">
        <w:t xml:space="preserve">ELIÁŠ, Karel. Privilegované závěti a osnova českého občanského zákoníku. </w:t>
      </w:r>
      <w:r w:rsidRPr="002E5B85">
        <w:rPr>
          <w:i/>
        </w:rPr>
        <w:t xml:space="preserve">Ad </w:t>
      </w:r>
      <w:proofErr w:type="spellStart"/>
      <w:r w:rsidRPr="002E5B85">
        <w:rPr>
          <w:i/>
        </w:rPr>
        <w:t>Notam</w:t>
      </w:r>
      <w:proofErr w:type="spellEnd"/>
      <w:r w:rsidRPr="002E5B85">
        <w:t>, 2009, roč. 15, č. 2, s. 41-45.</w:t>
      </w:r>
    </w:p>
    <w:p w:rsidR="00812034" w:rsidRPr="009F7EE0" w:rsidRDefault="00812034" w:rsidP="00812034">
      <w:pPr>
        <w:pStyle w:val="DiplTEXT"/>
        <w:spacing w:after="0"/>
      </w:pPr>
      <w:r w:rsidRPr="009F7EE0">
        <w:t xml:space="preserve">ELIÁŠ, Karel. Základní pojetí návrhu úpravy dědického práva pro nový občanský zákoník. </w:t>
      </w:r>
      <w:r w:rsidRPr="009F7EE0">
        <w:rPr>
          <w:i/>
        </w:rPr>
        <w:t xml:space="preserve">Ad </w:t>
      </w:r>
      <w:proofErr w:type="spellStart"/>
      <w:r w:rsidRPr="009F7EE0">
        <w:rPr>
          <w:i/>
        </w:rPr>
        <w:t>Notam</w:t>
      </w:r>
      <w:proofErr w:type="spellEnd"/>
      <w:r w:rsidRPr="009F7EE0">
        <w:t>, 2003, roč. 9, č. 5, s. 97-104.</w:t>
      </w:r>
    </w:p>
    <w:p w:rsidR="00DB1C63" w:rsidRPr="000E68E6" w:rsidRDefault="00DB1C63" w:rsidP="00DB1C63">
      <w:pPr>
        <w:pStyle w:val="DiplTEXT"/>
        <w:spacing w:after="0"/>
      </w:pPr>
      <w:r w:rsidRPr="000E68E6">
        <w:t xml:space="preserve">ELŠÍK, Petr. </w:t>
      </w:r>
      <w:proofErr w:type="spellStart"/>
      <w:r w:rsidRPr="000E68E6">
        <w:t>Několiv</w:t>
      </w:r>
      <w:proofErr w:type="spellEnd"/>
      <w:r w:rsidRPr="000E68E6">
        <w:t xml:space="preserve"> úvah k dědické smlouvě ve vládním návrhu nového občanského zákoníku. </w:t>
      </w:r>
      <w:r w:rsidRPr="000E68E6">
        <w:rPr>
          <w:i/>
        </w:rPr>
        <w:t xml:space="preserve">Ad </w:t>
      </w:r>
      <w:proofErr w:type="spellStart"/>
      <w:r w:rsidRPr="000E68E6">
        <w:rPr>
          <w:i/>
        </w:rPr>
        <w:t>Notam</w:t>
      </w:r>
      <w:proofErr w:type="spellEnd"/>
      <w:r w:rsidRPr="000E68E6">
        <w:t>, 2011, roč. 17, č. 5, s. 7-8.</w:t>
      </w:r>
    </w:p>
    <w:p w:rsidR="00DB1C63" w:rsidRPr="00C52AB1" w:rsidRDefault="00DB1C63" w:rsidP="00DB1C63">
      <w:pPr>
        <w:pStyle w:val="DiplTEXT"/>
        <w:spacing w:after="0"/>
      </w:pPr>
      <w:r w:rsidRPr="00C52AB1">
        <w:t xml:space="preserve">FRINTA, Ondřej. Závěť (nejen) v návrhu nového OZ. </w:t>
      </w:r>
      <w:r w:rsidRPr="00C52AB1">
        <w:rPr>
          <w:i/>
        </w:rPr>
        <w:t>Právník</w:t>
      </w:r>
      <w:r w:rsidRPr="00C52AB1">
        <w:t>, 2008, roč. 147, č. 11, s. 1203-1216.</w:t>
      </w:r>
    </w:p>
    <w:p w:rsidR="00DB1C63" w:rsidRPr="00621B73" w:rsidRDefault="00DB1C63" w:rsidP="00DB1C63">
      <w:pPr>
        <w:pStyle w:val="DiplTEXT"/>
        <w:spacing w:after="0"/>
      </w:pPr>
      <w:r w:rsidRPr="00621B73">
        <w:t xml:space="preserve">HORÁK, Ondřej. Darování pro případ smrti a ochrana dědiců (k diskusi o novelizaci občanského zákoníku). </w:t>
      </w:r>
      <w:r w:rsidRPr="00621B73">
        <w:rPr>
          <w:i/>
        </w:rPr>
        <w:t>Právní rozhledy</w:t>
      </w:r>
      <w:r w:rsidR="00C854DE" w:rsidRPr="00621B73">
        <w:t>, 2014, roč. 22, č. 22, s. 783-785.</w:t>
      </w:r>
    </w:p>
    <w:p w:rsidR="00812034" w:rsidRPr="00505534" w:rsidRDefault="00812034" w:rsidP="00812034">
      <w:pPr>
        <w:pStyle w:val="DiplTEXT"/>
        <w:spacing w:after="0"/>
      </w:pPr>
      <w:r w:rsidRPr="00505534">
        <w:t xml:space="preserve">HORÁK, Ondřej. Dědictví a odkaz (k přechodu majetkových práv a povinností pro případ smrti). </w:t>
      </w:r>
      <w:r w:rsidRPr="00505534">
        <w:rPr>
          <w:i/>
        </w:rPr>
        <w:t>Právní rozhledy</w:t>
      </w:r>
      <w:r w:rsidRPr="00505534">
        <w:t>, 2015, roč. 22, č. 9, s. 305-310.</w:t>
      </w:r>
    </w:p>
    <w:p w:rsidR="00207309" w:rsidRPr="004E4F93" w:rsidRDefault="00207309" w:rsidP="00207309">
      <w:pPr>
        <w:pStyle w:val="DiplTEXT"/>
        <w:spacing w:after="0"/>
      </w:pPr>
      <w:r w:rsidRPr="004E4F93">
        <w:t xml:space="preserve">HORÁK, Ondřej. Ochrana nepominutelných dědiců a povinný díl. </w:t>
      </w:r>
      <w:r w:rsidRPr="004E4F93">
        <w:rPr>
          <w:i/>
        </w:rPr>
        <w:t>Časopis pro právní vědu a praxi</w:t>
      </w:r>
      <w:r w:rsidRPr="004E4F93">
        <w:t>, 2012, roč. 20, č. 3, s. 283-286.</w:t>
      </w:r>
    </w:p>
    <w:p w:rsidR="009A459F" w:rsidRPr="004E4F93" w:rsidRDefault="009A459F" w:rsidP="009A459F">
      <w:pPr>
        <w:pStyle w:val="DiplTEXT"/>
        <w:spacing w:after="0"/>
      </w:pPr>
      <w:r w:rsidRPr="004E4F93">
        <w:t xml:space="preserve">HORÁK, Ondřej. Tzv. nepominutelný dědic v novém občanském zákoníku. </w:t>
      </w:r>
      <w:r w:rsidRPr="004E4F93">
        <w:rPr>
          <w:i/>
        </w:rPr>
        <w:t>Právní rozhledy</w:t>
      </w:r>
      <w:r w:rsidRPr="004E4F93">
        <w:t>. 2014. roč. 22. č. 11. s. 381-386.</w:t>
      </w:r>
    </w:p>
    <w:p w:rsidR="0093294B" w:rsidRPr="004E4F93" w:rsidRDefault="0093294B" w:rsidP="00CC3F29">
      <w:pPr>
        <w:pStyle w:val="DiplTEXT"/>
        <w:spacing w:after="0"/>
      </w:pPr>
      <w:r w:rsidRPr="004E4F93">
        <w:t xml:space="preserve">CHODĚRA, Ondřej. Závěť jako projev vůle zůstavitele. </w:t>
      </w:r>
      <w:r w:rsidRPr="004E4F93">
        <w:rPr>
          <w:i/>
        </w:rPr>
        <w:t>Právník</w:t>
      </w:r>
      <w:r w:rsidRPr="004E4F93">
        <w:t>, 1984, č. 5, s. 438-448.</w:t>
      </w:r>
    </w:p>
    <w:p w:rsidR="00812034" w:rsidRPr="007F35EF" w:rsidRDefault="00812034" w:rsidP="00812034">
      <w:pPr>
        <w:pStyle w:val="DiplTEXT"/>
        <w:spacing w:after="0"/>
      </w:pPr>
      <w:r w:rsidRPr="007F35EF">
        <w:t xml:space="preserve">KARHANOVÁ, Martina. Podpis, jeho forma a umístění, aneb podpis jako podstatná náležitost právních úkonů (zejména závěti) ve světle judikatury.  </w:t>
      </w:r>
      <w:r w:rsidRPr="007F35EF">
        <w:rPr>
          <w:i/>
        </w:rPr>
        <w:t>Právní rozhledy</w:t>
      </w:r>
      <w:r w:rsidRPr="007F35EF">
        <w:t>, 2011, roč. 19, č. 20, s. 719-723</w:t>
      </w:r>
      <w:r w:rsidR="007F35EF">
        <w:t>.</w:t>
      </w:r>
    </w:p>
    <w:p w:rsidR="00EF79CB" w:rsidRPr="00BB5D1B" w:rsidRDefault="00EF79CB" w:rsidP="00EF79CB">
      <w:pPr>
        <w:pStyle w:val="DiplTEXT"/>
        <w:spacing w:after="0"/>
      </w:pPr>
      <w:r w:rsidRPr="00BB5D1B">
        <w:t xml:space="preserve">KARHANOVÁ, Martina. Závěť v návrhu nového kodexu občanského práva. Několik poznámek k dědické smlouvě. </w:t>
      </w:r>
      <w:r w:rsidRPr="00BB5D1B">
        <w:rPr>
          <w:i/>
        </w:rPr>
        <w:t>Právní rozhledy</w:t>
      </w:r>
      <w:r w:rsidRPr="00BB5D1B">
        <w:t>, 2007, roč. 15, č. 5, s. 157-163.</w:t>
      </w:r>
    </w:p>
    <w:p w:rsidR="00DB1C63" w:rsidRPr="00621B73" w:rsidRDefault="00DB1C63" w:rsidP="00DB1C63">
      <w:pPr>
        <w:pStyle w:val="DiplTEXT"/>
        <w:spacing w:after="0"/>
      </w:pPr>
      <w:r w:rsidRPr="00621B73">
        <w:t xml:space="preserve">KLEIN, Šimon. Dědická smlouva a darování pro případ smrti. </w:t>
      </w:r>
      <w:r w:rsidRPr="00621B73">
        <w:rPr>
          <w:i/>
        </w:rPr>
        <w:t xml:space="preserve">Ad </w:t>
      </w:r>
      <w:proofErr w:type="spellStart"/>
      <w:r w:rsidRPr="00621B73">
        <w:rPr>
          <w:i/>
        </w:rPr>
        <w:t>Notam</w:t>
      </w:r>
      <w:proofErr w:type="spellEnd"/>
      <w:r w:rsidRPr="00621B73">
        <w:t>, 2013, roč. 19, č. 4, s. 14-17.</w:t>
      </w:r>
    </w:p>
    <w:p w:rsidR="00505534" w:rsidRPr="00505534" w:rsidRDefault="00505534" w:rsidP="00812034">
      <w:pPr>
        <w:pStyle w:val="DiplTEXT"/>
        <w:spacing w:after="0"/>
      </w:pPr>
      <w:r w:rsidRPr="00505534">
        <w:lastRenderedPageBreak/>
        <w:t xml:space="preserve">KŘIVSKÁ, Miloslava. Privilegované závěti. </w:t>
      </w:r>
      <w:r w:rsidRPr="00505534">
        <w:rPr>
          <w:i/>
        </w:rPr>
        <w:t xml:space="preserve">Ad </w:t>
      </w:r>
      <w:proofErr w:type="spellStart"/>
      <w:r w:rsidRPr="00505534">
        <w:rPr>
          <w:i/>
        </w:rPr>
        <w:t>Notam</w:t>
      </w:r>
      <w:proofErr w:type="spellEnd"/>
      <w:r w:rsidRPr="00505534">
        <w:t>, 2013, roč. 19, č. 5, s. 9-10.</w:t>
      </w:r>
    </w:p>
    <w:p w:rsidR="00812034" w:rsidRPr="00621B73" w:rsidRDefault="00812034" w:rsidP="00812034">
      <w:pPr>
        <w:pStyle w:val="DiplTEXT"/>
        <w:spacing w:after="0"/>
      </w:pPr>
      <w:r w:rsidRPr="00621B73">
        <w:t xml:space="preserve">MALÁ, Lenka. Darování pro případ smrti v Německu a Rakousku. </w:t>
      </w:r>
      <w:r w:rsidRPr="00621B73">
        <w:rPr>
          <w:i/>
        </w:rPr>
        <w:t xml:space="preserve">Ad </w:t>
      </w:r>
      <w:proofErr w:type="spellStart"/>
      <w:r w:rsidRPr="00621B73">
        <w:rPr>
          <w:i/>
        </w:rPr>
        <w:t>Notam</w:t>
      </w:r>
      <w:proofErr w:type="spellEnd"/>
      <w:r w:rsidRPr="00621B73">
        <w:t>, 2014, roč. 20, č. 3, s. 5-6.</w:t>
      </w:r>
    </w:p>
    <w:p w:rsidR="00CE7A34" w:rsidRPr="00621B73" w:rsidRDefault="00CE7A34" w:rsidP="00CE7A34">
      <w:pPr>
        <w:pStyle w:val="DiplTEXT"/>
        <w:spacing w:after="0"/>
      </w:pPr>
      <w:r w:rsidRPr="00621B73">
        <w:t xml:space="preserve">MEDUNOVÁ, Renáta. Dědic, který nemá být opomenut. </w:t>
      </w:r>
      <w:r w:rsidRPr="00621B73">
        <w:rPr>
          <w:i/>
        </w:rPr>
        <w:t xml:space="preserve">Ad </w:t>
      </w:r>
      <w:proofErr w:type="spellStart"/>
      <w:r w:rsidRPr="00621B73">
        <w:rPr>
          <w:i/>
        </w:rPr>
        <w:t>Notam</w:t>
      </w:r>
      <w:proofErr w:type="spellEnd"/>
      <w:r w:rsidR="004E4F93">
        <w:t>, 2009, roč. 14,</w:t>
      </w:r>
      <w:r w:rsidRPr="00621B73">
        <w:t xml:space="preserve"> </w:t>
      </w:r>
      <w:r w:rsidR="004E4F93">
        <w:t>č. 5,</w:t>
      </w:r>
      <w:r w:rsidRPr="00621B73">
        <w:t xml:space="preserve"> s. 169-172.</w:t>
      </w:r>
    </w:p>
    <w:p w:rsidR="00812034" w:rsidRPr="00C52AB1" w:rsidRDefault="00812034" w:rsidP="00812034">
      <w:pPr>
        <w:pStyle w:val="DiplTEXT"/>
        <w:spacing w:after="0"/>
      </w:pPr>
      <w:r w:rsidRPr="00C52AB1">
        <w:t xml:space="preserve">PĚCHA, František. Závěť bez data? To bych nedoporučoval. </w:t>
      </w:r>
      <w:r w:rsidRPr="00C52AB1">
        <w:rPr>
          <w:i/>
        </w:rPr>
        <w:t xml:space="preserve">Ad </w:t>
      </w:r>
      <w:proofErr w:type="spellStart"/>
      <w:r w:rsidRPr="00C52AB1">
        <w:rPr>
          <w:i/>
        </w:rPr>
        <w:t>Notam</w:t>
      </w:r>
      <w:proofErr w:type="spellEnd"/>
      <w:r w:rsidRPr="00C52AB1">
        <w:t>, 2013, roč. 19, č. 1, s. 14</w:t>
      </w:r>
      <w:r w:rsidR="00C52AB1" w:rsidRPr="00C52AB1">
        <w:t>.</w:t>
      </w:r>
      <w:r w:rsidRPr="00C52AB1">
        <w:t xml:space="preserve"> </w:t>
      </w:r>
    </w:p>
    <w:p w:rsidR="002850ED" w:rsidRPr="00CA0E65" w:rsidRDefault="002850ED" w:rsidP="00182032">
      <w:pPr>
        <w:pStyle w:val="DiplTEXT"/>
        <w:spacing w:after="0"/>
      </w:pPr>
      <w:r w:rsidRPr="00CA0E65">
        <w:t xml:space="preserve">SALÁK, Pavel. Zásady římského práva dědického a jejich odraz v novodobých kodifikacích. </w:t>
      </w:r>
      <w:r w:rsidRPr="00CA0E65">
        <w:rPr>
          <w:i/>
        </w:rPr>
        <w:t>Časopis pro právní vědu a praxi</w:t>
      </w:r>
      <w:r w:rsidRPr="00CA0E65">
        <w:t>, 2012, roč. 20, č. 3, s. 228-234.</w:t>
      </w:r>
    </w:p>
    <w:p w:rsidR="00621B73" w:rsidRPr="00610E40" w:rsidRDefault="00621B73" w:rsidP="00621B73">
      <w:pPr>
        <w:pStyle w:val="DiplTEXT"/>
        <w:spacing w:after="0"/>
      </w:pPr>
      <w:r w:rsidRPr="00610E40">
        <w:t xml:space="preserve">ŠEŠINA, Martin. Pořízení pro případ smrti podle nového občanského zákoníku. </w:t>
      </w:r>
      <w:r w:rsidRPr="00610E40">
        <w:rPr>
          <w:i/>
        </w:rPr>
        <w:t xml:space="preserve">Ad </w:t>
      </w:r>
      <w:proofErr w:type="spellStart"/>
      <w:r w:rsidRPr="00610E40">
        <w:rPr>
          <w:i/>
        </w:rPr>
        <w:t>Notam</w:t>
      </w:r>
      <w:proofErr w:type="spellEnd"/>
      <w:r w:rsidRPr="00610E40">
        <w:t>, 2012, roč. 18, č. 3, s. 3-8.</w:t>
      </w:r>
    </w:p>
    <w:p w:rsidR="00621B73" w:rsidRPr="002E5B85" w:rsidRDefault="00621B73" w:rsidP="00621B73">
      <w:pPr>
        <w:pStyle w:val="DiplTEXT"/>
        <w:spacing w:after="0"/>
      </w:pPr>
      <w:r w:rsidRPr="002E5B85">
        <w:t xml:space="preserve">ŠEŠINA, Martin. Zamyšlení nad úlevami při pořizování závěti v novém občanském zákoníku. </w:t>
      </w:r>
      <w:r w:rsidRPr="002E5B85">
        <w:rPr>
          <w:i/>
        </w:rPr>
        <w:t xml:space="preserve">Ad </w:t>
      </w:r>
      <w:proofErr w:type="spellStart"/>
      <w:r w:rsidRPr="002E5B85">
        <w:rPr>
          <w:i/>
        </w:rPr>
        <w:t>Notam</w:t>
      </w:r>
      <w:proofErr w:type="spellEnd"/>
      <w:r w:rsidRPr="002E5B85">
        <w:t>, 2009, roč. 15, č. 2, s. 56-58.</w:t>
      </w:r>
    </w:p>
    <w:p w:rsidR="0057358E" w:rsidRPr="00621B73" w:rsidRDefault="0057358E" w:rsidP="00812034">
      <w:pPr>
        <w:pStyle w:val="DiplTEXT"/>
        <w:spacing w:after="0"/>
      </w:pPr>
      <w:r w:rsidRPr="00621B73">
        <w:t xml:space="preserve">TALANDA, Adam. Darování pro případ smrti-trojský kůň dědického práva. </w:t>
      </w:r>
      <w:r w:rsidRPr="00621B73">
        <w:rPr>
          <w:i/>
        </w:rPr>
        <w:t>Právní rozhledy</w:t>
      </w:r>
      <w:r w:rsidRPr="00621B73">
        <w:t>, 2015, roč. 23, č. 13-14, s. 474-481.</w:t>
      </w:r>
    </w:p>
    <w:p w:rsidR="00182032" w:rsidRPr="009F7EE0" w:rsidRDefault="00182032" w:rsidP="00182032">
      <w:pPr>
        <w:pStyle w:val="DiplTEXT"/>
        <w:spacing w:after="0"/>
      </w:pPr>
      <w:r w:rsidRPr="009F7EE0">
        <w:t xml:space="preserve">WAWERKA, Karel. Jaké dědické právo?. </w:t>
      </w:r>
      <w:r w:rsidRPr="009F7EE0">
        <w:rPr>
          <w:i/>
        </w:rPr>
        <w:t xml:space="preserve">Ad </w:t>
      </w:r>
      <w:proofErr w:type="spellStart"/>
      <w:r w:rsidRPr="009F7EE0">
        <w:rPr>
          <w:i/>
        </w:rPr>
        <w:t>Notam</w:t>
      </w:r>
      <w:proofErr w:type="spellEnd"/>
      <w:r w:rsidRPr="009F7EE0">
        <w:t>, 2004, roč. 10, č. 2, s. 39 – 41.</w:t>
      </w:r>
    </w:p>
    <w:p w:rsidR="0088312A" w:rsidRPr="009F7EE0" w:rsidRDefault="0088312A" w:rsidP="00182032">
      <w:pPr>
        <w:pStyle w:val="DiplTEXT"/>
        <w:spacing w:after="0"/>
      </w:pPr>
      <w:r w:rsidRPr="009F7EE0">
        <w:t xml:space="preserve">WAWERKA, Karel. Nový občanský zákoník z pohledu emeritního notáře. </w:t>
      </w:r>
      <w:r w:rsidRPr="009F7EE0">
        <w:rPr>
          <w:i/>
        </w:rPr>
        <w:t>Bulletin advokacie</w:t>
      </w:r>
      <w:r w:rsidR="0057306E" w:rsidRPr="009F7EE0">
        <w:t>, 2014, č. 12</w:t>
      </w:r>
      <w:r w:rsidRPr="009F7EE0">
        <w:t>, s. 28-30.</w:t>
      </w:r>
    </w:p>
    <w:p w:rsidR="002E3FA2" w:rsidRPr="009F7EE0" w:rsidRDefault="002C326A" w:rsidP="00182032">
      <w:pPr>
        <w:pStyle w:val="DiplTEXT"/>
        <w:spacing w:after="0"/>
        <w:rPr>
          <w:b/>
        </w:rPr>
      </w:pPr>
      <w:r w:rsidRPr="009F7EE0">
        <w:t xml:space="preserve">KAWULOK, Josef. </w:t>
      </w:r>
      <w:proofErr w:type="spellStart"/>
      <w:r w:rsidRPr="009F7EE0">
        <w:t>Vydědění-právní</w:t>
      </w:r>
      <w:proofErr w:type="spellEnd"/>
      <w:r w:rsidRPr="009F7EE0">
        <w:t xml:space="preserve"> úprava a praxe. </w:t>
      </w:r>
      <w:r w:rsidRPr="009F7EE0">
        <w:rPr>
          <w:i/>
        </w:rPr>
        <w:t xml:space="preserve">Ad </w:t>
      </w:r>
      <w:proofErr w:type="spellStart"/>
      <w:r w:rsidRPr="009F7EE0">
        <w:rPr>
          <w:i/>
        </w:rPr>
        <w:t>Notam</w:t>
      </w:r>
      <w:proofErr w:type="spellEnd"/>
      <w:r w:rsidRPr="009F7EE0">
        <w:t>, 1999, roč. 5, č. 4, s. 73-75.</w:t>
      </w:r>
      <w:r w:rsidRPr="009F7EE0">
        <w:cr/>
      </w:r>
    </w:p>
    <w:p w:rsidR="00182032" w:rsidRPr="00635B0D" w:rsidRDefault="00182032" w:rsidP="00635B0D">
      <w:pPr>
        <w:spacing w:after="0"/>
        <w:rPr>
          <w:b/>
          <w:sz w:val="28"/>
        </w:rPr>
      </w:pPr>
      <w:r w:rsidRPr="00635B0D">
        <w:rPr>
          <w:b/>
          <w:sz w:val="28"/>
        </w:rPr>
        <w:t xml:space="preserve">Judikatura </w:t>
      </w:r>
    </w:p>
    <w:p w:rsidR="005C333F" w:rsidRPr="002C3ED4" w:rsidRDefault="005C333F" w:rsidP="0045675B">
      <w:pPr>
        <w:pStyle w:val="DiplTEXT"/>
        <w:spacing w:after="0"/>
      </w:pPr>
      <w:r w:rsidRPr="002C3ED4">
        <w:t xml:space="preserve">Rozhodnutí </w:t>
      </w:r>
      <w:r w:rsidR="00C55CB5" w:rsidRPr="00C55CB5">
        <w:t>Nejvyššího soudu</w:t>
      </w:r>
      <w:r w:rsidRPr="002C3ED4">
        <w:t xml:space="preserve"> ČR ze dne 21.7.1977, </w:t>
      </w:r>
      <w:proofErr w:type="spellStart"/>
      <w:proofErr w:type="gramStart"/>
      <w:r w:rsidRPr="002C3ED4">
        <w:t>sp.zn</w:t>
      </w:r>
      <w:proofErr w:type="spellEnd"/>
      <w:r w:rsidRPr="002C3ED4">
        <w:t>.</w:t>
      </w:r>
      <w:proofErr w:type="gramEnd"/>
      <w:r w:rsidRPr="002C3ED4">
        <w:t xml:space="preserve"> 4 </w:t>
      </w:r>
      <w:proofErr w:type="spellStart"/>
      <w:r w:rsidRPr="002C3ED4">
        <w:t>Cz</w:t>
      </w:r>
      <w:proofErr w:type="spellEnd"/>
      <w:r w:rsidRPr="002C3ED4">
        <w:t xml:space="preserve">  22/1977.</w:t>
      </w:r>
    </w:p>
    <w:p w:rsidR="003007BA" w:rsidRPr="002C3ED4" w:rsidRDefault="00C55CB5" w:rsidP="003007BA">
      <w:pPr>
        <w:pStyle w:val="DiplTEXT"/>
        <w:spacing w:after="0"/>
      </w:pPr>
      <w:r>
        <w:t>Usnesení Městského soudu</w:t>
      </w:r>
      <w:r w:rsidR="003007BA" w:rsidRPr="002C3ED4">
        <w:t xml:space="preserve"> v Praze ze dne 30.5.1980, </w:t>
      </w:r>
      <w:proofErr w:type="spellStart"/>
      <w:proofErr w:type="gramStart"/>
      <w:r w:rsidR="003007BA" w:rsidRPr="002C3ED4">
        <w:t>sp.zn</w:t>
      </w:r>
      <w:proofErr w:type="spellEnd"/>
      <w:r w:rsidR="003007BA" w:rsidRPr="002C3ED4">
        <w:t>.</w:t>
      </w:r>
      <w:proofErr w:type="gramEnd"/>
      <w:r w:rsidR="003007BA" w:rsidRPr="002C3ED4">
        <w:t xml:space="preserve"> 11 Co 127/80.</w:t>
      </w:r>
    </w:p>
    <w:p w:rsidR="005C333F" w:rsidRPr="002C3ED4" w:rsidRDefault="005C333F" w:rsidP="005C333F">
      <w:pPr>
        <w:pStyle w:val="DiplTEXT"/>
        <w:spacing w:after="0"/>
      </w:pPr>
      <w:r w:rsidRPr="002C3ED4">
        <w:t xml:space="preserve">Rozhodnutí </w:t>
      </w:r>
      <w:r w:rsidR="00C55CB5" w:rsidRPr="00C55CB5">
        <w:t>Nejvyššího soudu</w:t>
      </w:r>
      <w:r w:rsidRPr="002C3ED4">
        <w:t xml:space="preserve"> ČSR ze dne 27.1.1983, </w:t>
      </w:r>
      <w:proofErr w:type="spellStart"/>
      <w:proofErr w:type="gramStart"/>
      <w:r w:rsidRPr="002C3ED4">
        <w:t>sp.zn</w:t>
      </w:r>
      <w:proofErr w:type="spellEnd"/>
      <w:r w:rsidRPr="002C3ED4">
        <w:t>.</w:t>
      </w:r>
      <w:proofErr w:type="gramEnd"/>
      <w:r w:rsidRPr="002C3ED4">
        <w:t xml:space="preserve"> 4 </w:t>
      </w:r>
      <w:proofErr w:type="spellStart"/>
      <w:r w:rsidRPr="002C3ED4">
        <w:t>Cz</w:t>
      </w:r>
      <w:proofErr w:type="spellEnd"/>
      <w:r w:rsidRPr="002C3ED4">
        <w:t xml:space="preserve"> 82/82.</w:t>
      </w:r>
    </w:p>
    <w:p w:rsidR="00C22B79" w:rsidRPr="002C3ED4" w:rsidRDefault="00C22B79" w:rsidP="0045675B">
      <w:pPr>
        <w:pStyle w:val="DiplTEXT"/>
        <w:spacing w:after="0"/>
      </w:pPr>
      <w:r w:rsidRPr="002C3ED4">
        <w:t xml:space="preserve">Rozhodnutí </w:t>
      </w:r>
      <w:r w:rsidR="00C55CB5" w:rsidRPr="00C55CB5">
        <w:t>Nejvyššího soudu</w:t>
      </w:r>
      <w:r w:rsidRPr="002C3ED4">
        <w:t xml:space="preserve"> ČR ze dne 28.11.1986, </w:t>
      </w:r>
      <w:proofErr w:type="spellStart"/>
      <w:proofErr w:type="gramStart"/>
      <w:r w:rsidRPr="002C3ED4">
        <w:t>sp.zn</w:t>
      </w:r>
      <w:proofErr w:type="spellEnd"/>
      <w:r w:rsidRPr="002C3ED4">
        <w:t>.</w:t>
      </w:r>
      <w:proofErr w:type="gramEnd"/>
      <w:r w:rsidRPr="002C3ED4">
        <w:t xml:space="preserve"> 4 </w:t>
      </w:r>
      <w:proofErr w:type="spellStart"/>
      <w:r w:rsidRPr="002C3ED4">
        <w:t>Cz</w:t>
      </w:r>
      <w:proofErr w:type="spellEnd"/>
      <w:r w:rsidRPr="002C3ED4">
        <w:t xml:space="preserve"> 61/86</w:t>
      </w:r>
      <w:r w:rsidR="005C333F" w:rsidRPr="002C3ED4">
        <w:t>.</w:t>
      </w:r>
    </w:p>
    <w:p w:rsidR="008E1051" w:rsidRPr="002C3ED4" w:rsidRDefault="008E1051" w:rsidP="008E1051">
      <w:pPr>
        <w:pStyle w:val="DiplTEXT"/>
        <w:spacing w:after="0"/>
      </w:pPr>
      <w:r w:rsidRPr="002C3ED4">
        <w:t xml:space="preserve">Rozhodnutí </w:t>
      </w:r>
      <w:r w:rsidR="00C55CB5" w:rsidRPr="00C55CB5">
        <w:t>Nejvyššího soudu</w:t>
      </w:r>
      <w:r w:rsidRPr="002C3ED4">
        <w:t xml:space="preserve"> ČR ze dne 28.2.1990, </w:t>
      </w:r>
      <w:proofErr w:type="spellStart"/>
      <w:proofErr w:type="gramStart"/>
      <w:r w:rsidRPr="002C3ED4">
        <w:t>sp.zn</w:t>
      </w:r>
      <w:proofErr w:type="spellEnd"/>
      <w:r w:rsidRPr="002C3ED4">
        <w:t>.</w:t>
      </w:r>
      <w:proofErr w:type="gramEnd"/>
      <w:r w:rsidRPr="002C3ED4">
        <w:t xml:space="preserve"> 4 </w:t>
      </w:r>
      <w:proofErr w:type="spellStart"/>
      <w:r w:rsidRPr="002C3ED4">
        <w:t>Cz</w:t>
      </w:r>
      <w:proofErr w:type="spellEnd"/>
      <w:r w:rsidRPr="002C3ED4">
        <w:t xml:space="preserve"> 8/90.</w:t>
      </w:r>
    </w:p>
    <w:p w:rsidR="008E2D2C" w:rsidRPr="002C3ED4" w:rsidRDefault="00C55CB5" w:rsidP="008E2D2C">
      <w:pPr>
        <w:pStyle w:val="DiplTEXT"/>
        <w:spacing w:after="0"/>
      </w:pPr>
      <w:r>
        <w:t xml:space="preserve">Usnesení Krajského soudu </w:t>
      </w:r>
      <w:r w:rsidR="008E2D2C" w:rsidRPr="002C3ED4">
        <w:t xml:space="preserve">ČR v Brně ze dne 26.7.1999, </w:t>
      </w:r>
      <w:proofErr w:type="spellStart"/>
      <w:proofErr w:type="gramStart"/>
      <w:r w:rsidR="008E2D2C" w:rsidRPr="002C3ED4">
        <w:t>sp.zn</w:t>
      </w:r>
      <w:proofErr w:type="spellEnd"/>
      <w:r w:rsidR="008E2D2C" w:rsidRPr="002C3ED4">
        <w:t>.</w:t>
      </w:r>
      <w:proofErr w:type="gramEnd"/>
      <w:r w:rsidR="008E2D2C" w:rsidRPr="002C3ED4">
        <w:t xml:space="preserve"> 18 Co 385/98.</w:t>
      </w:r>
    </w:p>
    <w:p w:rsidR="005C333F" w:rsidRPr="002C3ED4" w:rsidRDefault="005C333F" w:rsidP="005C333F">
      <w:pPr>
        <w:pStyle w:val="DiplTEXT"/>
        <w:spacing w:after="0"/>
      </w:pPr>
      <w:r w:rsidRPr="002C3ED4">
        <w:t>Rozhodnutí K</w:t>
      </w:r>
      <w:r w:rsidR="00C55CB5">
        <w:t>rajského soudu</w:t>
      </w:r>
      <w:r w:rsidRPr="002C3ED4">
        <w:t xml:space="preserve"> ČR </w:t>
      </w:r>
      <w:r w:rsidR="00C55CB5">
        <w:t xml:space="preserve">v Brně </w:t>
      </w:r>
      <w:r w:rsidRPr="002C3ED4">
        <w:t xml:space="preserve">ze dne 6.8.1999, </w:t>
      </w:r>
      <w:proofErr w:type="spellStart"/>
      <w:proofErr w:type="gramStart"/>
      <w:r w:rsidRPr="002C3ED4">
        <w:t>sp.zn</w:t>
      </w:r>
      <w:proofErr w:type="spellEnd"/>
      <w:r w:rsidRPr="002C3ED4">
        <w:t>.</w:t>
      </w:r>
      <w:proofErr w:type="gramEnd"/>
      <w:r w:rsidRPr="002C3ED4">
        <w:t xml:space="preserve"> 18 Co 397/1998.</w:t>
      </w:r>
    </w:p>
    <w:p w:rsidR="005C333F" w:rsidRPr="002C3ED4" w:rsidRDefault="005C333F" w:rsidP="005C333F">
      <w:pPr>
        <w:pStyle w:val="DiplTEXT"/>
        <w:spacing w:after="0"/>
      </w:pPr>
      <w:r w:rsidRPr="002C3ED4">
        <w:t xml:space="preserve">Usnesení </w:t>
      </w:r>
      <w:r w:rsidR="00C55CB5" w:rsidRPr="00C55CB5">
        <w:t>Nejvyššího soudu</w:t>
      </w:r>
      <w:r w:rsidRPr="002C3ED4">
        <w:t xml:space="preserve"> ČR ze dne 28.4.1997, </w:t>
      </w:r>
      <w:proofErr w:type="spellStart"/>
      <w:proofErr w:type="gramStart"/>
      <w:r w:rsidRPr="002C3ED4">
        <w:t>sp.zn</w:t>
      </w:r>
      <w:proofErr w:type="spellEnd"/>
      <w:r w:rsidRPr="002C3ED4">
        <w:t>.</w:t>
      </w:r>
      <w:proofErr w:type="gramEnd"/>
      <w:r w:rsidRPr="002C3ED4">
        <w:t xml:space="preserve"> 2 </w:t>
      </w:r>
      <w:proofErr w:type="spellStart"/>
      <w:r w:rsidRPr="002C3ED4">
        <w:t>Cdon</w:t>
      </w:r>
      <w:proofErr w:type="spellEnd"/>
      <w:r w:rsidRPr="002C3ED4">
        <w:t xml:space="preserve"> 988/96.</w:t>
      </w:r>
    </w:p>
    <w:p w:rsidR="00F9684C" w:rsidRPr="002C3ED4" w:rsidRDefault="00F9684C" w:rsidP="0045675B">
      <w:pPr>
        <w:pStyle w:val="DiplTEXT"/>
        <w:spacing w:after="0"/>
      </w:pPr>
      <w:r w:rsidRPr="002C3ED4">
        <w:t xml:space="preserve">Rozhodnutí </w:t>
      </w:r>
      <w:r w:rsidR="00C55CB5" w:rsidRPr="00C55CB5">
        <w:t>Nejvyššího soudu</w:t>
      </w:r>
      <w:r w:rsidRPr="002C3ED4">
        <w:t xml:space="preserve"> </w:t>
      </w:r>
      <w:r w:rsidR="00C22B79" w:rsidRPr="002C3ED4">
        <w:t xml:space="preserve">ČR </w:t>
      </w:r>
      <w:r w:rsidRPr="002C3ED4">
        <w:t xml:space="preserve">ze dne 9.5.2000, </w:t>
      </w:r>
      <w:proofErr w:type="spellStart"/>
      <w:proofErr w:type="gramStart"/>
      <w:r w:rsidRPr="002C3ED4">
        <w:t>sp.zn</w:t>
      </w:r>
      <w:proofErr w:type="spellEnd"/>
      <w:r w:rsidRPr="002C3ED4">
        <w:t>.</w:t>
      </w:r>
      <w:proofErr w:type="gramEnd"/>
      <w:r w:rsidRPr="002C3ED4">
        <w:t xml:space="preserve"> 21 </w:t>
      </w:r>
      <w:proofErr w:type="spellStart"/>
      <w:r w:rsidRPr="002C3ED4">
        <w:t>Cdo</w:t>
      </w:r>
      <w:proofErr w:type="spellEnd"/>
      <w:r w:rsidRPr="002C3ED4">
        <w:t xml:space="preserve"> 2985/99.</w:t>
      </w:r>
    </w:p>
    <w:p w:rsidR="005C333F" w:rsidRPr="002C3ED4" w:rsidRDefault="005C333F" w:rsidP="005C333F">
      <w:pPr>
        <w:pStyle w:val="DiplTEXT"/>
        <w:spacing w:after="0"/>
      </w:pPr>
      <w:r w:rsidRPr="002C3ED4">
        <w:t xml:space="preserve">Rozhodnutí </w:t>
      </w:r>
      <w:r w:rsidR="00C55CB5" w:rsidRPr="00C55CB5">
        <w:t>Nejvyššího soudu</w:t>
      </w:r>
      <w:r w:rsidRPr="002C3ED4">
        <w:t xml:space="preserve"> ČR </w:t>
      </w:r>
      <w:r w:rsidR="008E1051" w:rsidRPr="002C3ED4">
        <w:t xml:space="preserve">ze dne 19.12.2001, </w:t>
      </w:r>
      <w:proofErr w:type="spellStart"/>
      <w:proofErr w:type="gramStart"/>
      <w:r w:rsidR="008E1051" w:rsidRPr="002C3ED4">
        <w:t>sp.</w:t>
      </w:r>
      <w:r w:rsidRPr="002C3ED4">
        <w:t>zn</w:t>
      </w:r>
      <w:proofErr w:type="spellEnd"/>
      <w:r w:rsidRPr="002C3ED4">
        <w:t>.</w:t>
      </w:r>
      <w:proofErr w:type="gramEnd"/>
      <w:r w:rsidRPr="002C3ED4">
        <w:t xml:space="preserve"> 30 </w:t>
      </w:r>
      <w:proofErr w:type="spellStart"/>
      <w:r w:rsidRPr="002C3ED4">
        <w:t>Cdo</w:t>
      </w:r>
      <w:proofErr w:type="spellEnd"/>
      <w:r w:rsidRPr="002C3ED4">
        <w:t xml:space="preserve"> 1975/2001.</w:t>
      </w:r>
    </w:p>
    <w:p w:rsidR="002C3ED4" w:rsidRPr="002C3ED4" w:rsidRDefault="002C3ED4" w:rsidP="002C3ED4">
      <w:pPr>
        <w:pStyle w:val="DiplTEXT"/>
        <w:spacing w:after="0"/>
      </w:pPr>
      <w:r w:rsidRPr="002C3ED4">
        <w:t xml:space="preserve">Rozhodnutí </w:t>
      </w:r>
      <w:r w:rsidR="00C55CB5" w:rsidRPr="00C55CB5">
        <w:t>Nejvyššího soudu</w:t>
      </w:r>
      <w:r w:rsidRPr="002C3ED4">
        <w:t xml:space="preserve"> ČR ze dne 4.5.2004, </w:t>
      </w:r>
      <w:proofErr w:type="spellStart"/>
      <w:proofErr w:type="gramStart"/>
      <w:r w:rsidRPr="002C3ED4">
        <w:t>sp.zn</w:t>
      </w:r>
      <w:proofErr w:type="spellEnd"/>
      <w:r w:rsidRPr="002C3ED4">
        <w:t>.</w:t>
      </w:r>
      <w:proofErr w:type="gramEnd"/>
      <w:r w:rsidRPr="002C3ED4">
        <w:t xml:space="preserve"> 30 </w:t>
      </w:r>
      <w:proofErr w:type="spellStart"/>
      <w:r w:rsidRPr="002C3ED4">
        <w:t>Cdo</w:t>
      </w:r>
      <w:proofErr w:type="spellEnd"/>
      <w:r w:rsidRPr="002C3ED4">
        <w:t xml:space="preserve"> 164/2004.</w:t>
      </w:r>
    </w:p>
    <w:p w:rsidR="008E2D2C" w:rsidRPr="002C3ED4" w:rsidRDefault="008E2D2C" w:rsidP="008E2D2C">
      <w:pPr>
        <w:pStyle w:val="DiplTEXT"/>
        <w:spacing w:after="0"/>
      </w:pPr>
      <w:r w:rsidRPr="002C3ED4">
        <w:t xml:space="preserve">Rozhodnutí </w:t>
      </w:r>
      <w:r w:rsidR="00C55CB5" w:rsidRPr="00C55CB5">
        <w:t>Nejvyššího soudu</w:t>
      </w:r>
      <w:r w:rsidRPr="002C3ED4">
        <w:t xml:space="preserve"> ČR ze dne 20.3.2008, </w:t>
      </w:r>
      <w:proofErr w:type="spellStart"/>
      <w:proofErr w:type="gramStart"/>
      <w:r w:rsidRPr="002C3ED4">
        <w:t>sp.zn</w:t>
      </w:r>
      <w:proofErr w:type="spellEnd"/>
      <w:r w:rsidRPr="002C3ED4">
        <w:t>.</w:t>
      </w:r>
      <w:proofErr w:type="gramEnd"/>
      <w:r w:rsidRPr="002C3ED4">
        <w:t xml:space="preserve"> 21 </w:t>
      </w:r>
      <w:proofErr w:type="spellStart"/>
      <w:r w:rsidRPr="002C3ED4">
        <w:t>Cdo</w:t>
      </w:r>
      <w:proofErr w:type="spellEnd"/>
      <w:r w:rsidRPr="002C3ED4">
        <w:t xml:space="preserve"> 2968/2006.</w:t>
      </w:r>
    </w:p>
    <w:p w:rsidR="002F11A2" w:rsidRDefault="002F11A2" w:rsidP="005C333F">
      <w:pPr>
        <w:pStyle w:val="DiplTEXT"/>
        <w:spacing w:after="0"/>
      </w:pPr>
      <w:r w:rsidRPr="002F11A2">
        <w:lastRenderedPageBreak/>
        <w:t xml:space="preserve">Rozhodnutí </w:t>
      </w:r>
      <w:r w:rsidR="00C55CB5" w:rsidRPr="00C55CB5">
        <w:t>Nejvyššího soudu</w:t>
      </w:r>
      <w:r w:rsidRPr="002F11A2">
        <w:t xml:space="preserve"> ČR ze dne 20.3.2008, </w:t>
      </w:r>
      <w:proofErr w:type="spellStart"/>
      <w:proofErr w:type="gramStart"/>
      <w:r w:rsidRPr="002F11A2">
        <w:t>sp.zn</w:t>
      </w:r>
      <w:proofErr w:type="spellEnd"/>
      <w:r w:rsidRPr="002F11A2">
        <w:t>.</w:t>
      </w:r>
      <w:proofErr w:type="gramEnd"/>
      <w:r w:rsidRPr="002F11A2">
        <w:t xml:space="preserve"> 21 </w:t>
      </w:r>
      <w:proofErr w:type="spellStart"/>
      <w:r w:rsidRPr="002F11A2">
        <w:t>Cdo</w:t>
      </w:r>
      <w:proofErr w:type="spellEnd"/>
      <w:r>
        <w:t xml:space="preserve"> </w:t>
      </w:r>
      <w:r w:rsidRPr="002F11A2">
        <w:t>2968/2006.</w:t>
      </w:r>
    </w:p>
    <w:p w:rsidR="005C333F" w:rsidRPr="002C3ED4" w:rsidRDefault="008E2D2C" w:rsidP="005C333F">
      <w:pPr>
        <w:pStyle w:val="DiplTEXT"/>
        <w:spacing w:after="0"/>
      </w:pPr>
      <w:r w:rsidRPr="002C3ED4">
        <w:t>Rozhodnutí</w:t>
      </w:r>
      <w:r w:rsidR="008E1051" w:rsidRPr="002C3ED4">
        <w:t xml:space="preserve"> </w:t>
      </w:r>
      <w:r w:rsidR="00C55CB5" w:rsidRPr="00C55CB5">
        <w:t>Nejvyššího soudu</w:t>
      </w:r>
      <w:r w:rsidR="008E1051" w:rsidRPr="002C3ED4">
        <w:t xml:space="preserve"> ČR ze dne 25.4.2007, </w:t>
      </w:r>
      <w:proofErr w:type="spellStart"/>
      <w:proofErr w:type="gramStart"/>
      <w:r w:rsidR="008E1051" w:rsidRPr="002C3ED4">
        <w:t>sp.</w:t>
      </w:r>
      <w:r w:rsidR="005C333F" w:rsidRPr="002C3ED4">
        <w:t>zn</w:t>
      </w:r>
      <w:proofErr w:type="spellEnd"/>
      <w:r w:rsidR="005C333F" w:rsidRPr="002C3ED4">
        <w:t>.</w:t>
      </w:r>
      <w:proofErr w:type="gramEnd"/>
      <w:r w:rsidR="005C333F" w:rsidRPr="002C3ED4">
        <w:t xml:space="preserve"> 21 </w:t>
      </w:r>
      <w:proofErr w:type="spellStart"/>
      <w:r w:rsidR="005C333F" w:rsidRPr="002C3ED4">
        <w:t>Cdo</w:t>
      </w:r>
      <w:proofErr w:type="spellEnd"/>
      <w:r w:rsidR="005C333F" w:rsidRPr="002C3ED4">
        <w:t xml:space="preserve"> 1859/2006.</w:t>
      </w:r>
    </w:p>
    <w:p w:rsidR="00685E58" w:rsidRPr="002C3ED4" w:rsidRDefault="00685E58" w:rsidP="0045675B">
      <w:pPr>
        <w:pStyle w:val="DiplTEXT"/>
        <w:spacing w:after="0"/>
      </w:pPr>
      <w:r w:rsidRPr="002C3ED4">
        <w:t xml:space="preserve">Rozhodnutí </w:t>
      </w:r>
      <w:r w:rsidR="00C55CB5" w:rsidRPr="00C55CB5">
        <w:t>Nejvyššího soudu</w:t>
      </w:r>
      <w:r w:rsidRPr="002C3ED4">
        <w:t xml:space="preserve"> </w:t>
      </w:r>
      <w:r w:rsidR="00C22B79" w:rsidRPr="002C3ED4">
        <w:t xml:space="preserve">ČR </w:t>
      </w:r>
      <w:r w:rsidR="008E1051" w:rsidRPr="002C3ED4">
        <w:t xml:space="preserve">ze dne 3.4.2008, </w:t>
      </w:r>
      <w:proofErr w:type="spellStart"/>
      <w:proofErr w:type="gramStart"/>
      <w:r w:rsidR="008E1051" w:rsidRPr="002C3ED4">
        <w:t>sp.</w:t>
      </w:r>
      <w:r w:rsidRPr="002C3ED4">
        <w:t>zn</w:t>
      </w:r>
      <w:proofErr w:type="spellEnd"/>
      <w:r w:rsidRPr="002C3ED4">
        <w:t>.</w:t>
      </w:r>
      <w:proofErr w:type="gramEnd"/>
      <w:r w:rsidRPr="002C3ED4">
        <w:t xml:space="preserve"> 21 </w:t>
      </w:r>
      <w:proofErr w:type="spellStart"/>
      <w:r w:rsidRPr="002C3ED4">
        <w:t>Cdo</w:t>
      </w:r>
      <w:proofErr w:type="spellEnd"/>
      <w:r w:rsidRPr="002C3ED4">
        <w:t xml:space="preserve"> 1744/2007.</w:t>
      </w:r>
    </w:p>
    <w:p w:rsidR="005C333F" w:rsidRPr="002C3ED4" w:rsidRDefault="005C333F" w:rsidP="005C333F">
      <w:pPr>
        <w:pStyle w:val="DiplTEXT"/>
        <w:spacing w:after="0"/>
      </w:pPr>
      <w:r w:rsidRPr="002C3ED4">
        <w:t xml:space="preserve">Usnesení </w:t>
      </w:r>
      <w:r w:rsidR="00C55CB5" w:rsidRPr="00C55CB5">
        <w:t>Nejvyššího soudu</w:t>
      </w:r>
      <w:r w:rsidRPr="002C3ED4">
        <w:t xml:space="preserve"> ČR ze dne 31.3.</w:t>
      </w:r>
      <w:r w:rsidR="008E1051" w:rsidRPr="002C3ED4">
        <w:t xml:space="preserve">2009, </w:t>
      </w:r>
      <w:proofErr w:type="spellStart"/>
      <w:proofErr w:type="gramStart"/>
      <w:r w:rsidR="008E1051" w:rsidRPr="002C3ED4">
        <w:t>sp.</w:t>
      </w:r>
      <w:r w:rsidRPr="002C3ED4">
        <w:t>zn</w:t>
      </w:r>
      <w:proofErr w:type="spellEnd"/>
      <w:r w:rsidRPr="002C3ED4">
        <w:t>.</w:t>
      </w:r>
      <w:proofErr w:type="gramEnd"/>
      <w:r w:rsidRPr="002C3ED4">
        <w:t xml:space="preserve"> 21 </w:t>
      </w:r>
      <w:proofErr w:type="spellStart"/>
      <w:r w:rsidRPr="002C3ED4">
        <w:t>Cdo</w:t>
      </w:r>
      <w:proofErr w:type="spellEnd"/>
      <w:r w:rsidRPr="002C3ED4">
        <w:t xml:space="preserve"> 51/2008.</w:t>
      </w:r>
    </w:p>
    <w:p w:rsidR="005C333F" w:rsidRPr="002C3ED4" w:rsidRDefault="00060703" w:rsidP="005C333F">
      <w:pPr>
        <w:pStyle w:val="DiplTEXT"/>
        <w:spacing w:after="0"/>
      </w:pPr>
      <w:r w:rsidRPr="002C3ED4">
        <w:t>Rozhodnutí</w:t>
      </w:r>
      <w:r w:rsidR="005C333F" w:rsidRPr="002C3ED4">
        <w:t xml:space="preserve"> </w:t>
      </w:r>
      <w:r w:rsidR="00C55CB5" w:rsidRPr="00C55CB5">
        <w:t>Nejvyššího soudu</w:t>
      </w:r>
      <w:r w:rsidR="005C333F" w:rsidRPr="002C3ED4">
        <w:t xml:space="preserve"> ČR </w:t>
      </w:r>
      <w:r w:rsidR="008E1051" w:rsidRPr="002C3ED4">
        <w:t xml:space="preserve">ze dne 24.11.2010, </w:t>
      </w:r>
      <w:proofErr w:type="spellStart"/>
      <w:proofErr w:type="gramStart"/>
      <w:r w:rsidR="008E1051" w:rsidRPr="002C3ED4">
        <w:t>sp.</w:t>
      </w:r>
      <w:r w:rsidR="005C333F" w:rsidRPr="002C3ED4">
        <w:t>zn</w:t>
      </w:r>
      <w:proofErr w:type="spellEnd"/>
      <w:r w:rsidR="005C333F" w:rsidRPr="002C3ED4">
        <w:t>.</w:t>
      </w:r>
      <w:proofErr w:type="gramEnd"/>
      <w:r w:rsidR="005C333F" w:rsidRPr="002C3ED4">
        <w:t xml:space="preserve"> 21 </w:t>
      </w:r>
      <w:proofErr w:type="spellStart"/>
      <w:r w:rsidR="005C333F" w:rsidRPr="002C3ED4">
        <w:t>Cdo</w:t>
      </w:r>
      <w:proofErr w:type="spellEnd"/>
      <w:r w:rsidR="005C333F" w:rsidRPr="002C3ED4">
        <w:t xml:space="preserve"> 1178/2009.</w:t>
      </w:r>
    </w:p>
    <w:p w:rsidR="002C3ED4" w:rsidRPr="002C3ED4" w:rsidRDefault="002C3ED4" w:rsidP="002C3ED4">
      <w:pPr>
        <w:pStyle w:val="DiplTEXT"/>
        <w:spacing w:after="0"/>
      </w:pPr>
      <w:r w:rsidRPr="002C3ED4">
        <w:t xml:space="preserve">Rozhodnutí </w:t>
      </w:r>
      <w:r w:rsidR="00C55CB5" w:rsidRPr="00C55CB5">
        <w:t>Nejvyššího soudu</w:t>
      </w:r>
      <w:r w:rsidRPr="002C3ED4">
        <w:t xml:space="preserve"> ČSR ze dne </w:t>
      </w:r>
      <w:proofErr w:type="gramStart"/>
      <w:r w:rsidRPr="002C3ED4">
        <w:t>12.5.1925</w:t>
      </w:r>
      <w:proofErr w:type="gramEnd"/>
      <w:r w:rsidRPr="002C3ED4">
        <w:t xml:space="preserve">, </w:t>
      </w:r>
      <w:proofErr w:type="spellStart"/>
      <w:r w:rsidRPr="002C3ED4">
        <w:t>Rv</w:t>
      </w:r>
      <w:proofErr w:type="spellEnd"/>
      <w:r w:rsidRPr="002C3ED4">
        <w:t xml:space="preserve"> I 581/25 (Vážný 5029/25).</w:t>
      </w:r>
    </w:p>
    <w:p w:rsidR="002C3ED4" w:rsidRPr="002C3ED4" w:rsidRDefault="002C3ED4" w:rsidP="002C3ED4">
      <w:pPr>
        <w:pStyle w:val="DiplTEXT"/>
        <w:spacing w:after="0"/>
      </w:pPr>
      <w:r w:rsidRPr="002C3ED4">
        <w:t xml:space="preserve">Rozhodnutí </w:t>
      </w:r>
      <w:r w:rsidR="00C55CB5" w:rsidRPr="00C55CB5">
        <w:t xml:space="preserve">Nejvyššího soudu </w:t>
      </w:r>
      <w:r w:rsidRPr="002C3ED4">
        <w:t xml:space="preserve">ČSR ze dne </w:t>
      </w:r>
      <w:proofErr w:type="gramStart"/>
      <w:r w:rsidRPr="002C3ED4">
        <w:t>1.6.1929</w:t>
      </w:r>
      <w:proofErr w:type="gramEnd"/>
      <w:r w:rsidRPr="002C3ED4">
        <w:t>, R II 572/28 (Vážný 9010/29).</w:t>
      </w:r>
    </w:p>
    <w:p w:rsidR="00495C16" w:rsidRPr="002C3ED4" w:rsidRDefault="008B452D" w:rsidP="00495C16">
      <w:pPr>
        <w:pStyle w:val="DiplTEXT"/>
        <w:spacing w:after="0"/>
      </w:pPr>
      <w:r w:rsidRPr="002C3ED4">
        <w:t xml:space="preserve">Rozhodnutí </w:t>
      </w:r>
      <w:r w:rsidR="00C55CB5" w:rsidRPr="00C55CB5">
        <w:t>Nejvyššího soudu</w:t>
      </w:r>
      <w:r w:rsidR="006A6B23" w:rsidRPr="002C3ED4">
        <w:t xml:space="preserve"> ČSR </w:t>
      </w:r>
      <w:r w:rsidRPr="002C3ED4">
        <w:t xml:space="preserve">ze dne </w:t>
      </w:r>
      <w:proofErr w:type="gramStart"/>
      <w:r w:rsidRPr="002C3ED4">
        <w:t>29.9.</w:t>
      </w:r>
      <w:r w:rsidR="004733A9" w:rsidRPr="002C3ED4">
        <w:t>1932</w:t>
      </w:r>
      <w:proofErr w:type="gramEnd"/>
      <w:r w:rsidR="00F46D56" w:rsidRPr="002C3ED4">
        <w:t>,</w:t>
      </w:r>
      <w:r w:rsidR="004733A9" w:rsidRPr="002C3ED4">
        <w:t xml:space="preserve"> R I 738/32 (</w:t>
      </w:r>
      <w:r w:rsidR="00495C16" w:rsidRPr="002C3ED4">
        <w:t>Vážný 11.935/32</w:t>
      </w:r>
      <w:r w:rsidR="004733A9" w:rsidRPr="002C3ED4">
        <w:t>)</w:t>
      </w:r>
      <w:r w:rsidR="0028647B" w:rsidRPr="002C3ED4">
        <w:t>.</w:t>
      </w:r>
    </w:p>
    <w:p w:rsidR="002C3ED4" w:rsidRPr="002C3ED4" w:rsidRDefault="002C3ED4" w:rsidP="002C3ED4">
      <w:pPr>
        <w:pStyle w:val="DiplTEXT"/>
        <w:spacing w:after="0"/>
      </w:pPr>
      <w:r w:rsidRPr="002C3ED4">
        <w:t xml:space="preserve">Rozhodnutí </w:t>
      </w:r>
      <w:r w:rsidR="00C55CB5" w:rsidRPr="00C55CB5">
        <w:t>Nejvyššího soudu</w:t>
      </w:r>
      <w:r w:rsidRPr="002C3ED4">
        <w:t xml:space="preserve"> ČSR ze dne </w:t>
      </w:r>
      <w:proofErr w:type="gramStart"/>
      <w:r w:rsidRPr="002C3ED4">
        <w:t>19.6.1935</w:t>
      </w:r>
      <w:proofErr w:type="gramEnd"/>
      <w:r w:rsidRPr="002C3ED4">
        <w:t xml:space="preserve">, </w:t>
      </w:r>
      <w:proofErr w:type="spellStart"/>
      <w:r w:rsidRPr="002C3ED4">
        <w:t>Rv</w:t>
      </w:r>
      <w:proofErr w:type="spellEnd"/>
      <w:r w:rsidRPr="002C3ED4">
        <w:t xml:space="preserve"> I 119/34 (Vážný 14462).</w:t>
      </w:r>
    </w:p>
    <w:p w:rsidR="008B452D" w:rsidRPr="002C3ED4" w:rsidRDefault="008B452D" w:rsidP="00495C16">
      <w:pPr>
        <w:pStyle w:val="DiplTEXT"/>
        <w:spacing w:after="0"/>
      </w:pPr>
      <w:r w:rsidRPr="002C3ED4">
        <w:t xml:space="preserve">Rozhodnutí </w:t>
      </w:r>
      <w:r w:rsidR="00C55CB5" w:rsidRPr="00C55CB5">
        <w:t xml:space="preserve">Nejvyššího soudu </w:t>
      </w:r>
      <w:r w:rsidRPr="002C3ED4">
        <w:t>Č</w:t>
      </w:r>
      <w:r w:rsidR="006A6B23" w:rsidRPr="002C3ED4">
        <w:t>S</w:t>
      </w:r>
      <w:r w:rsidRPr="002C3ED4">
        <w:t xml:space="preserve">R ze dne </w:t>
      </w:r>
      <w:proofErr w:type="gramStart"/>
      <w:r w:rsidRPr="002C3ED4">
        <w:t>7.12.1939</w:t>
      </w:r>
      <w:proofErr w:type="gramEnd"/>
      <w:r w:rsidR="00F46D56" w:rsidRPr="002C3ED4">
        <w:t>,</w:t>
      </w:r>
      <w:r w:rsidRPr="002C3ED4">
        <w:t xml:space="preserve"> R I 701/39 (Vážný 17506).</w:t>
      </w:r>
    </w:p>
    <w:p w:rsidR="00CD580B" w:rsidRPr="002C3ED4" w:rsidRDefault="00CD580B" w:rsidP="00CD580B">
      <w:pPr>
        <w:pStyle w:val="DiplTEXT"/>
        <w:spacing w:after="0"/>
      </w:pPr>
      <w:r w:rsidRPr="002C3ED4">
        <w:t xml:space="preserve">RS 1752, </w:t>
      </w:r>
      <w:proofErr w:type="spellStart"/>
      <w:r w:rsidRPr="002C3ED4">
        <w:t>ZBl</w:t>
      </w:r>
      <w:proofErr w:type="spellEnd"/>
      <w:r w:rsidRPr="002C3ED4">
        <w:t>. 196, č. 172.</w:t>
      </w:r>
    </w:p>
    <w:p w:rsidR="00704487" w:rsidRPr="002C3ED4" w:rsidRDefault="00704487" w:rsidP="00495C16">
      <w:pPr>
        <w:pStyle w:val="DiplTEXT"/>
        <w:spacing w:after="0"/>
      </w:pPr>
      <w:proofErr w:type="spellStart"/>
      <w:r w:rsidRPr="002C3ED4">
        <w:t>Gl</w:t>
      </w:r>
      <w:proofErr w:type="spellEnd"/>
      <w:r w:rsidRPr="002C3ED4">
        <w:t>. U. 27.</w:t>
      </w:r>
    </w:p>
    <w:p w:rsidR="00495C16" w:rsidRDefault="002C3ED4" w:rsidP="008E5523">
      <w:pPr>
        <w:pStyle w:val="DiplTEXT"/>
        <w:spacing w:after="0"/>
      </w:pPr>
      <w:r w:rsidRPr="002C3ED4">
        <w:t>G. U. 7491.</w:t>
      </w:r>
    </w:p>
    <w:p w:rsidR="00A94CFE" w:rsidRPr="002C3ED4" w:rsidRDefault="00A94CFE" w:rsidP="008E5523">
      <w:pPr>
        <w:pStyle w:val="DiplTEXT"/>
        <w:spacing w:after="0"/>
      </w:pPr>
      <w:proofErr w:type="spellStart"/>
      <w:r w:rsidRPr="00A94CFE">
        <w:t>Gl</w:t>
      </w:r>
      <w:proofErr w:type="spellEnd"/>
      <w:r w:rsidRPr="00A94CFE">
        <w:t>.</w:t>
      </w:r>
      <w:r>
        <w:t xml:space="preserve"> </w:t>
      </w:r>
      <w:r w:rsidRPr="00A94CFE">
        <w:t>U.</w:t>
      </w:r>
      <w:r>
        <w:t xml:space="preserve"> </w:t>
      </w:r>
      <w:proofErr w:type="gramStart"/>
      <w:r w:rsidRPr="00A94CFE">
        <w:t>n.</w:t>
      </w:r>
      <w:proofErr w:type="gramEnd"/>
      <w:r>
        <w:t xml:space="preserve"> </w:t>
      </w:r>
      <w:r w:rsidRPr="00A94CFE">
        <w:t>f. 3637</w:t>
      </w:r>
    </w:p>
    <w:p w:rsidR="00A94CFE" w:rsidRPr="002C3ED4" w:rsidRDefault="00A94CFE" w:rsidP="00A94CFE">
      <w:pPr>
        <w:pStyle w:val="DiplTEXT"/>
        <w:spacing w:after="0"/>
      </w:pPr>
      <w:proofErr w:type="spellStart"/>
      <w:r w:rsidRPr="002C3ED4">
        <w:t>Gl</w:t>
      </w:r>
      <w:proofErr w:type="spellEnd"/>
      <w:r w:rsidRPr="002C3ED4">
        <w:t xml:space="preserve">. U. </w:t>
      </w:r>
      <w:proofErr w:type="gramStart"/>
      <w:r w:rsidRPr="002C3ED4">
        <w:t>n.</w:t>
      </w:r>
      <w:proofErr w:type="gramEnd"/>
      <w:r w:rsidRPr="002C3ED4">
        <w:t xml:space="preserve"> f. 4838.</w:t>
      </w:r>
    </w:p>
    <w:p w:rsidR="008E1051" w:rsidRPr="002C3ED4" w:rsidRDefault="008E1051" w:rsidP="00635B0D">
      <w:pPr>
        <w:spacing w:after="0"/>
        <w:rPr>
          <w:b/>
          <w:szCs w:val="24"/>
        </w:rPr>
      </w:pPr>
    </w:p>
    <w:p w:rsidR="00182032" w:rsidRPr="00635B0D" w:rsidRDefault="00227A15" w:rsidP="00635B0D">
      <w:pPr>
        <w:spacing w:after="0"/>
        <w:rPr>
          <w:b/>
          <w:sz w:val="28"/>
        </w:rPr>
      </w:pPr>
      <w:r>
        <w:rPr>
          <w:b/>
          <w:sz w:val="28"/>
        </w:rPr>
        <w:t>P</w:t>
      </w:r>
      <w:r w:rsidR="00182032" w:rsidRPr="00635B0D">
        <w:rPr>
          <w:b/>
          <w:sz w:val="28"/>
        </w:rPr>
        <w:t>rávní předpisy</w:t>
      </w:r>
    </w:p>
    <w:p w:rsidR="00182032" w:rsidRPr="00990DCF" w:rsidRDefault="003C35E4" w:rsidP="00182032">
      <w:pPr>
        <w:pStyle w:val="DiplTEXT"/>
        <w:spacing w:after="0"/>
      </w:pPr>
      <w:r w:rsidRPr="003C35E4">
        <w:t>Usnesení předsednictva ČNR č. 2</w:t>
      </w:r>
      <w:r>
        <w:t xml:space="preserve">/1993 Sb., o vyhlášení Listiny </w:t>
      </w:r>
      <w:r w:rsidRPr="003C35E4">
        <w:t>základních práv a svobod</w:t>
      </w:r>
      <w:r w:rsidR="00685B6F">
        <w:t>.</w:t>
      </w:r>
      <w:r w:rsidRPr="003C35E4">
        <w:t xml:space="preserve"> </w:t>
      </w:r>
      <w:r w:rsidR="00182032" w:rsidRPr="00990DCF">
        <w:t>Zákon č. 89/2012 Sb., občanský zákoník.</w:t>
      </w:r>
    </w:p>
    <w:p w:rsidR="00685B6F" w:rsidRPr="00990DCF" w:rsidRDefault="00685B6F" w:rsidP="00685B6F">
      <w:pPr>
        <w:pStyle w:val="DiplTEXT"/>
        <w:spacing w:after="0"/>
      </w:pPr>
      <w:r w:rsidRPr="00990DCF">
        <w:t>Zákon č. 40/1964 Sb., občanský zákoní</w:t>
      </w:r>
      <w:r>
        <w:t xml:space="preserve">k, ve znění pozdějších předpisů. </w:t>
      </w:r>
    </w:p>
    <w:p w:rsidR="00685B6F" w:rsidRDefault="00685B6F" w:rsidP="00685B6F">
      <w:pPr>
        <w:pStyle w:val="DiplTEXT"/>
        <w:spacing w:after="0"/>
      </w:pPr>
      <w:r w:rsidRPr="00FE2825">
        <w:t>Zákon č. 141/1950 Sb., občanský zákoník, v</w:t>
      </w:r>
      <w:r>
        <w:t>e znění pozdějších předpisů.</w:t>
      </w:r>
    </w:p>
    <w:p w:rsidR="00685B6F" w:rsidRDefault="00685B6F" w:rsidP="00685B6F">
      <w:pPr>
        <w:pStyle w:val="DiplTEXT"/>
        <w:spacing w:after="0"/>
      </w:pPr>
      <w:r w:rsidRPr="00990DCF">
        <w:t>Zákon č. 358/1992 Sb., o notářích a jejich činnosti (notářský řád), ve znění pozdějších předpisů.</w:t>
      </w:r>
    </w:p>
    <w:p w:rsidR="0003748E" w:rsidRPr="00990DCF" w:rsidRDefault="00EE0F95" w:rsidP="00182032">
      <w:pPr>
        <w:pStyle w:val="DiplTEXT"/>
        <w:spacing w:after="0"/>
      </w:pPr>
      <w:r>
        <w:t>Zákon č. 61/2000 Sb., o námořní plavbě, ve znění pozdějších předpisů.</w:t>
      </w:r>
    </w:p>
    <w:p w:rsidR="00254CA6" w:rsidRDefault="00FE2825" w:rsidP="00182032">
      <w:pPr>
        <w:pStyle w:val="DiplTEXT"/>
        <w:spacing w:after="0"/>
      </w:pPr>
      <w:r w:rsidRPr="00FE2825">
        <w:t>Zákon č. 292/2013 Sb., o zvláštních řízeních soudních, ve znění pozdějších předpisů</w:t>
      </w:r>
      <w:r w:rsidR="00685B6F">
        <w:t>.</w:t>
      </w:r>
    </w:p>
    <w:p w:rsidR="00104133" w:rsidRDefault="00104133" w:rsidP="00182032">
      <w:pPr>
        <w:pStyle w:val="DiplTEXT"/>
        <w:spacing w:after="0"/>
      </w:pPr>
      <w:r w:rsidRPr="00104133">
        <w:t>Cí</w:t>
      </w:r>
      <w:r w:rsidR="001D2DDE">
        <w:t xml:space="preserve">sařský patent č. 946/1811 </w:t>
      </w:r>
      <w:proofErr w:type="spellStart"/>
      <w:proofErr w:type="gramStart"/>
      <w:r w:rsidR="001D2DDE">
        <w:t>ř.z</w:t>
      </w:r>
      <w:proofErr w:type="spellEnd"/>
      <w:r w:rsidRPr="00104133">
        <w:t>., všeobecný</w:t>
      </w:r>
      <w:proofErr w:type="gramEnd"/>
      <w:r w:rsidRPr="00104133">
        <w:t xml:space="preserve"> občanský zákoník</w:t>
      </w:r>
      <w:r>
        <w:t>.</w:t>
      </w:r>
    </w:p>
    <w:p w:rsidR="001D2DDE" w:rsidRDefault="0090677C" w:rsidP="00182032">
      <w:pPr>
        <w:pStyle w:val="DiplTEXT"/>
        <w:spacing w:after="0"/>
      </w:pPr>
      <w:r w:rsidRPr="0090677C">
        <w:t xml:space="preserve">JGS </w:t>
      </w:r>
      <w:proofErr w:type="spellStart"/>
      <w:r w:rsidRPr="0090677C">
        <w:t>Nr</w:t>
      </w:r>
      <w:proofErr w:type="spellEnd"/>
      <w:r w:rsidRPr="0090677C">
        <w:t xml:space="preserve">. </w:t>
      </w:r>
      <w:r w:rsidR="001D2DDE">
        <w:t>č. 946/1811</w:t>
      </w:r>
      <w:r w:rsidRPr="0090677C">
        <w:t xml:space="preserve"> </w:t>
      </w:r>
      <w:proofErr w:type="spellStart"/>
      <w:r w:rsidRPr="0090677C">
        <w:t>Allgemeines</w:t>
      </w:r>
      <w:proofErr w:type="spellEnd"/>
      <w:r w:rsidRPr="0090677C">
        <w:t xml:space="preserve"> </w:t>
      </w:r>
      <w:proofErr w:type="spellStart"/>
      <w:r w:rsidRPr="0090677C">
        <w:t>bürgerliches</w:t>
      </w:r>
      <w:proofErr w:type="spellEnd"/>
      <w:r w:rsidRPr="0090677C">
        <w:t xml:space="preserve"> </w:t>
      </w:r>
      <w:proofErr w:type="spellStart"/>
      <w:r w:rsidRPr="0090677C">
        <w:t>Gesetzbuch</w:t>
      </w:r>
      <w:proofErr w:type="spellEnd"/>
      <w:r w:rsidRPr="0090677C">
        <w:t>.</w:t>
      </w:r>
    </w:p>
    <w:p w:rsidR="00254CA6" w:rsidRPr="00104133" w:rsidRDefault="0047044F" w:rsidP="00182032">
      <w:pPr>
        <w:pStyle w:val="DiplTEXT"/>
        <w:spacing w:after="0"/>
      </w:pPr>
      <w:proofErr w:type="spellStart"/>
      <w:r w:rsidRPr="0047044F">
        <w:t>Bürgerliches</w:t>
      </w:r>
      <w:proofErr w:type="spellEnd"/>
      <w:r w:rsidRPr="0047044F">
        <w:t xml:space="preserve"> </w:t>
      </w:r>
      <w:proofErr w:type="spellStart"/>
      <w:r w:rsidRPr="0047044F">
        <w:t>Gesetzbuch</w:t>
      </w:r>
      <w:proofErr w:type="spellEnd"/>
      <w:r w:rsidR="00A81191">
        <w:t>.</w:t>
      </w:r>
    </w:p>
    <w:p w:rsidR="001D2DDE" w:rsidRDefault="001D2DDE" w:rsidP="00635B0D">
      <w:pPr>
        <w:spacing w:after="0"/>
        <w:rPr>
          <w:szCs w:val="24"/>
        </w:rPr>
      </w:pPr>
      <w:proofErr w:type="spellStart"/>
      <w:r w:rsidRPr="001D2DDE">
        <w:rPr>
          <w:szCs w:val="24"/>
        </w:rPr>
        <w:t>Ustawa</w:t>
      </w:r>
      <w:proofErr w:type="spellEnd"/>
      <w:r w:rsidRPr="001D2DDE">
        <w:rPr>
          <w:szCs w:val="24"/>
        </w:rPr>
        <w:t xml:space="preserve"> </w:t>
      </w:r>
      <w:proofErr w:type="spellStart"/>
      <w:r w:rsidRPr="001D2DDE">
        <w:rPr>
          <w:szCs w:val="24"/>
        </w:rPr>
        <w:t>Dz.U</w:t>
      </w:r>
      <w:proofErr w:type="spellEnd"/>
      <w:r w:rsidRPr="001D2DDE">
        <w:rPr>
          <w:szCs w:val="24"/>
        </w:rPr>
        <w:t xml:space="preserve">. 1964 </w:t>
      </w:r>
      <w:proofErr w:type="spellStart"/>
      <w:r w:rsidRPr="001D2DDE">
        <w:rPr>
          <w:szCs w:val="24"/>
        </w:rPr>
        <w:t>nr</w:t>
      </w:r>
      <w:proofErr w:type="spellEnd"/>
      <w:r w:rsidRPr="001D2DDE">
        <w:rPr>
          <w:szCs w:val="24"/>
        </w:rPr>
        <w:t xml:space="preserve"> 16 </w:t>
      </w:r>
      <w:proofErr w:type="spellStart"/>
      <w:r w:rsidRPr="001D2DDE">
        <w:rPr>
          <w:szCs w:val="24"/>
        </w:rPr>
        <w:t>poz</w:t>
      </w:r>
      <w:proofErr w:type="spellEnd"/>
      <w:r w:rsidRPr="001D2DDE">
        <w:rPr>
          <w:szCs w:val="24"/>
        </w:rPr>
        <w:t xml:space="preserve">. 93 z </w:t>
      </w:r>
      <w:proofErr w:type="spellStart"/>
      <w:r w:rsidRPr="001D2DDE">
        <w:rPr>
          <w:szCs w:val="24"/>
        </w:rPr>
        <w:t>dnia</w:t>
      </w:r>
      <w:proofErr w:type="spellEnd"/>
      <w:r w:rsidRPr="001D2DDE">
        <w:rPr>
          <w:szCs w:val="24"/>
        </w:rPr>
        <w:t xml:space="preserve"> 23. </w:t>
      </w:r>
      <w:proofErr w:type="spellStart"/>
      <w:r w:rsidRPr="001D2DDE">
        <w:rPr>
          <w:szCs w:val="24"/>
        </w:rPr>
        <w:t>kwietnia</w:t>
      </w:r>
      <w:proofErr w:type="spellEnd"/>
      <w:r w:rsidRPr="001D2DDE">
        <w:rPr>
          <w:szCs w:val="24"/>
        </w:rPr>
        <w:t xml:space="preserve"> 1964 r., </w:t>
      </w:r>
      <w:proofErr w:type="spellStart"/>
      <w:r w:rsidRPr="001D2DDE">
        <w:rPr>
          <w:szCs w:val="24"/>
        </w:rPr>
        <w:t>Kodeks</w:t>
      </w:r>
      <w:proofErr w:type="spellEnd"/>
      <w:r w:rsidRPr="001D2DDE">
        <w:rPr>
          <w:szCs w:val="24"/>
        </w:rPr>
        <w:t xml:space="preserve"> </w:t>
      </w:r>
      <w:proofErr w:type="spellStart"/>
      <w:r w:rsidRPr="001D2DDE">
        <w:rPr>
          <w:szCs w:val="24"/>
        </w:rPr>
        <w:t>cywilny</w:t>
      </w:r>
      <w:proofErr w:type="spellEnd"/>
      <w:r w:rsidR="00A81191">
        <w:rPr>
          <w:szCs w:val="24"/>
        </w:rPr>
        <w:t>.</w:t>
      </w:r>
    </w:p>
    <w:p w:rsidR="00252361" w:rsidRPr="002C3ED4" w:rsidRDefault="002C3ED4" w:rsidP="002C3ED4">
      <w:pPr>
        <w:spacing w:after="0"/>
        <w:rPr>
          <w:szCs w:val="24"/>
        </w:rPr>
      </w:pPr>
      <w:r w:rsidRPr="002C3ED4">
        <w:rPr>
          <w:szCs w:val="24"/>
        </w:rPr>
        <w:t>Vládní návrh: zákon, kterým se vydává občanský zákoník. Praha: Národní shromáždění republiky Československé, 1937, 455 s.</w:t>
      </w:r>
      <w:r w:rsidR="00252361" w:rsidRPr="002C3ED4">
        <w:rPr>
          <w:szCs w:val="24"/>
        </w:rPr>
        <w:br w:type="page"/>
      </w:r>
    </w:p>
    <w:p w:rsidR="00182032" w:rsidRPr="00635B0D" w:rsidRDefault="0003748E" w:rsidP="00635B0D">
      <w:pPr>
        <w:spacing w:after="0"/>
        <w:rPr>
          <w:b/>
          <w:sz w:val="28"/>
        </w:rPr>
      </w:pPr>
      <w:r>
        <w:rPr>
          <w:b/>
          <w:sz w:val="28"/>
        </w:rPr>
        <w:lastRenderedPageBreak/>
        <w:t>Důvodové</w:t>
      </w:r>
      <w:r w:rsidR="001F4E3D">
        <w:rPr>
          <w:b/>
          <w:sz w:val="28"/>
        </w:rPr>
        <w:t xml:space="preserve"> zprávy</w:t>
      </w:r>
    </w:p>
    <w:p w:rsidR="00182032" w:rsidRDefault="00254CA6" w:rsidP="00254CA6">
      <w:pPr>
        <w:pStyle w:val="DiplTEXT"/>
        <w:spacing w:after="0"/>
      </w:pPr>
      <w:r>
        <w:t>Důvodová zpráva k zákonu č</w:t>
      </w:r>
      <w:r w:rsidR="00C560DD">
        <w:t xml:space="preserve">. 89/2012 Sb., občanský zákoník </w:t>
      </w:r>
      <w:r w:rsidR="00C560DD" w:rsidRPr="00C560DD">
        <w:t>(konsolidovaná verze)</w:t>
      </w:r>
      <w:r w:rsidR="00C560DD">
        <w:t xml:space="preserve"> </w:t>
      </w:r>
      <w:r w:rsidR="00C560DD" w:rsidRPr="00990DCF">
        <w:t>[online]</w:t>
      </w:r>
      <w:r w:rsidR="00C560DD">
        <w:t xml:space="preserve">. Dostupné na </w:t>
      </w:r>
      <w:r w:rsidR="00543B70">
        <w:t>&lt;</w:t>
      </w:r>
      <w:r w:rsidR="00543B70" w:rsidRPr="00543B70">
        <w:t>http://obcanskyzakonik.</w:t>
      </w:r>
      <w:proofErr w:type="gramStart"/>
      <w:r w:rsidR="00543B70" w:rsidRPr="00543B70">
        <w:t>justice.cz/images/pdf/Duvodova-zprava-NOZ-konsolidovana-verze</w:t>
      </w:r>
      <w:proofErr w:type="gramEnd"/>
      <w:r w:rsidR="00543B70" w:rsidRPr="00543B70">
        <w:t>.pdf&gt;</w:t>
      </w:r>
    </w:p>
    <w:p w:rsidR="00E12EB3" w:rsidRPr="00543B70" w:rsidRDefault="00E12EB3" w:rsidP="00182032">
      <w:pPr>
        <w:pStyle w:val="DiplTEXT"/>
        <w:spacing w:after="0"/>
      </w:pPr>
      <w:r w:rsidRPr="00543B70">
        <w:t>Důvodová zpráva k</w:t>
      </w:r>
      <w:r w:rsidR="0003748E" w:rsidRPr="00543B70">
        <w:t> první verzi návrhu NOZO5</w:t>
      </w:r>
      <w:r w:rsidR="00C560DD" w:rsidRPr="00543B70">
        <w:t xml:space="preserve"> ze dne </w:t>
      </w:r>
      <w:proofErr w:type="gramStart"/>
      <w:r w:rsidR="00C560DD" w:rsidRPr="00543B70">
        <w:t>17.5.2005</w:t>
      </w:r>
      <w:proofErr w:type="gramEnd"/>
      <w:r w:rsidR="00C560DD" w:rsidRPr="00543B70">
        <w:t xml:space="preserve"> [online]. Dostupné na </w:t>
      </w:r>
      <w:r w:rsidR="0003748E" w:rsidRPr="00543B70">
        <w:t>&lt;http://obcanskyz</w:t>
      </w:r>
      <w:r w:rsidR="00685B6F">
        <w:t xml:space="preserve">akonik.justice.cz/images/pdf/OZ verze </w:t>
      </w:r>
      <w:r w:rsidR="0003748E" w:rsidRPr="00543B70">
        <w:t>2005.pdf</w:t>
      </w:r>
      <w:r w:rsidR="00543B70" w:rsidRPr="00543B70">
        <w:t>&gt;</w:t>
      </w:r>
    </w:p>
    <w:p w:rsidR="000B2A98" w:rsidRPr="002C3ED4" w:rsidRDefault="000B2A98" w:rsidP="00651DD5">
      <w:pPr>
        <w:spacing w:after="0"/>
        <w:rPr>
          <w:b/>
          <w:szCs w:val="24"/>
        </w:rPr>
      </w:pPr>
    </w:p>
    <w:p w:rsidR="005D4E03" w:rsidRPr="00651DD5" w:rsidRDefault="005D4E03" w:rsidP="00651DD5">
      <w:pPr>
        <w:spacing w:after="0"/>
        <w:rPr>
          <w:b/>
          <w:sz w:val="28"/>
        </w:rPr>
      </w:pPr>
      <w:r w:rsidRPr="00651DD5">
        <w:rPr>
          <w:b/>
          <w:sz w:val="28"/>
        </w:rPr>
        <w:t>Internetové zdroje</w:t>
      </w:r>
    </w:p>
    <w:p w:rsidR="007B2A31" w:rsidRPr="00F6218B" w:rsidRDefault="00341E03" w:rsidP="007B2A31">
      <w:pPr>
        <w:pStyle w:val="DiplTEXT"/>
        <w:spacing w:after="0"/>
      </w:pPr>
      <w:r w:rsidRPr="00F6218B">
        <w:t xml:space="preserve">TONAROVÁ, Petra. </w:t>
      </w:r>
      <w:r w:rsidRPr="00F6218B">
        <w:rPr>
          <w:i/>
        </w:rPr>
        <w:t>Mangan, manganové hlubokomořské konkrece a jejich těžba</w:t>
      </w:r>
      <w:r w:rsidR="005F40D0" w:rsidRPr="00F6218B">
        <w:t xml:space="preserve">. </w:t>
      </w:r>
      <w:r w:rsidR="00CE63C8" w:rsidRPr="00F6218B">
        <w:t xml:space="preserve">[online]. gweb.cz, 18. Května, </w:t>
      </w:r>
      <w:proofErr w:type="gramStart"/>
      <w:r w:rsidR="00CE63C8" w:rsidRPr="00F6218B">
        <w:t>2004  [cit</w:t>
      </w:r>
      <w:proofErr w:type="gramEnd"/>
      <w:r w:rsidR="00CE63C8" w:rsidRPr="00F6218B">
        <w:t xml:space="preserve">. 15. listopadu 2015]. Dostupné na </w:t>
      </w:r>
      <w:r w:rsidR="007B2A31" w:rsidRPr="00F6218B">
        <w:t>&lt;http://www.gweb.cz/</w:t>
      </w:r>
      <w:proofErr w:type="spellStart"/>
      <w:r w:rsidR="007B2A31" w:rsidRPr="00F6218B">
        <w:t>clanky</w:t>
      </w:r>
      <w:proofErr w:type="spellEnd"/>
      <w:r w:rsidR="007B2A31" w:rsidRPr="00F6218B">
        <w:t>/clanek-51/&gt;.</w:t>
      </w:r>
    </w:p>
    <w:p w:rsidR="00252361" w:rsidRDefault="00252361">
      <w:pPr>
        <w:spacing w:after="0" w:line="240" w:lineRule="auto"/>
        <w:jc w:val="left"/>
        <w:rPr>
          <w:b/>
          <w:sz w:val="32"/>
        </w:rPr>
      </w:pPr>
      <w:bookmarkStart w:id="92" w:name="_Toc436779501"/>
      <w:r>
        <w:br w:type="page"/>
      </w:r>
    </w:p>
    <w:p w:rsidR="008F6DF1" w:rsidRPr="007C134A" w:rsidRDefault="00027842" w:rsidP="008074AB">
      <w:pPr>
        <w:pStyle w:val="Nadpis1"/>
      </w:pPr>
      <w:bookmarkStart w:id="93" w:name="_Toc437225095"/>
      <w:bookmarkEnd w:id="92"/>
      <w:r>
        <w:lastRenderedPageBreak/>
        <w:t>Shrnutí</w:t>
      </w:r>
      <w:bookmarkStart w:id="94" w:name="_GoBack"/>
      <w:bookmarkEnd w:id="93"/>
      <w:bookmarkEnd w:id="94"/>
    </w:p>
    <w:p w:rsidR="008F6DF1" w:rsidRPr="008F6DF1" w:rsidRDefault="008F6DF1" w:rsidP="008F6DF1">
      <w:pPr>
        <w:pStyle w:val="DiplTEXT"/>
        <w:spacing w:after="0"/>
        <w:ind w:firstLine="567"/>
      </w:pPr>
      <w:r w:rsidRPr="008F6DF1">
        <w:t xml:space="preserve">Diplomová práce je zpracována na téma: </w:t>
      </w:r>
      <w:r w:rsidRPr="008F6DF1">
        <w:rPr>
          <w:i/>
        </w:rPr>
        <w:t>„Problematické aspekty dědění ze závěti“</w:t>
      </w:r>
      <w:r w:rsidR="0021763F">
        <w:t xml:space="preserve">. Cílem této </w:t>
      </w:r>
      <w:r w:rsidRPr="008F6DF1">
        <w:t>práce je analyzovat úpravu testamentární dědické posloupnosti a některé její problematické aspekty v souvislosti s přijetím NOZ, poukázat na mezery, nedostatky a</w:t>
      </w:r>
      <w:r w:rsidR="004F0574">
        <w:t> </w:t>
      </w:r>
      <w:r w:rsidRPr="008F6DF1">
        <w:t xml:space="preserve"> výkladové problémy vyplývající z nové právní úpravy a nastínit jejich možná řešení.</w:t>
      </w:r>
    </w:p>
    <w:p w:rsidR="002E3FA2" w:rsidRPr="008F6DF1" w:rsidRDefault="008F6DF1" w:rsidP="008F6DF1">
      <w:pPr>
        <w:pStyle w:val="DiplTEXT"/>
        <w:spacing w:after="0"/>
        <w:ind w:firstLine="567"/>
      </w:pPr>
      <w:r w:rsidRPr="008F6DF1">
        <w:t xml:space="preserve">Práce je členěna do šesti kapitol. První kapitola obecně vymezuje institut dědění ze závěti. Další kapitoly jsou již zaměřeny na problematické aspekty dědění ze závěti. Druhá kapitola se zabývá vztahem závěti k některým dalším novým pořízením pro případ smrti, třetí kapitola je věnována jednotlivým druhům závětí, tj. závěti holografní a </w:t>
      </w:r>
      <w:proofErr w:type="spellStart"/>
      <w:r w:rsidRPr="008F6DF1">
        <w:t>allografní</w:t>
      </w:r>
      <w:proofErr w:type="spellEnd"/>
      <w:r w:rsidRPr="008F6DF1">
        <w:t>. Z veřejných pořízení formou notářského zápisu je analyzována pouze závěť pořízená nezletilou osobou. Úlevy při pořizování závětí jsou zařazeny do samostatné čtvrté kapitoly. Pátá kapitola se zabývá vy</w:t>
      </w:r>
      <w:r w:rsidR="005C36DE">
        <w:t>branými obsahovými náležitostmi závěti</w:t>
      </w:r>
      <w:r w:rsidRPr="008F6DF1">
        <w:t xml:space="preserve"> a závěrečná šestá kapitola rozebírá problematiku zrušení závěti.</w:t>
      </w:r>
    </w:p>
    <w:p w:rsidR="00252361" w:rsidRDefault="00252361">
      <w:pPr>
        <w:spacing w:after="0" w:line="240" w:lineRule="auto"/>
        <w:jc w:val="left"/>
        <w:rPr>
          <w:b/>
          <w:sz w:val="32"/>
        </w:rPr>
      </w:pPr>
      <w:bookmarkStart w:id="95" w:name="_Toc436779502"/>
      <w:r>
        <w:br w:type="page"/>
      </w:r>
    </w:p>
    <w:p w:rsidR="0021763F" w:rsidRPr="008074AB" w:rsidRDefault="00027842" w:rsidP="00A308B8">
      <w:pPr>
        <w:pStyle w:val="Nadpis1"/>
      </w:pPr>
      <w:bookmarkStart w:id="96" w:name="_Toc437225096"/>
      <w:bookmarkEnd w:id="95"/>
      <w:proofErr w:type="spellStart"/>
      <w:r>
        <w:lastRenderedPageBreak/>
        <w:t>Summary</w:t>
      </w:r>
      <w:bookmarkEnd w:id="96"/>
      <w:proofErr w:type="spellEnd"/>
    </w:p>
    <w:p w:rsidR="0021763F" w:rsidRPr="00D71555" w:rsidRDefault="0021763F" w:rsidP="0021763F">
      <w:pPr>
        <w:spacing w:after="0"/>
        <w:ind w:firstLine="567"/>
        <w:rPr>
          <w:lang w:val="en-GB"/>
        </w:rPr>
      </w:pPr>
      <w:r>
        <w:rPr>
          <w:lang w:val="en-GB"/>
        </w:rPr>
        <w:t>The</w:t>
      </w:r>
      <w:r w:rsidRPr="00D71555">
        <w:rPr>
          <w:lang w:val="en-GB"/>
        </w:rPr>
        <w:t xml:space="preserve"> thesis covers the theme, </w:t>
      </w:r>
      <w:r w:rsidRPr="00D71555">
        <w:rPr>
          <w:i/>
          <w:lang w:val="en-GB"/>
        </w:rPr>
        <w:t>„Problematic Aspects of Testamentary Succession“.</w:t>
      </w:r>
      <w:r w:rsidRPr="00D71555">
        <w:rPr>
          <w:lang w:val="en-GB"/>
        </w:rPr>
        <w:t xml:space="preserve"> The aim of the paper is to </w:t>
      </w:r>
      <w:proofErr w:type="spellStart"/>
      <w:r w:rsidRPr="00D71555">
        <w:rPr>
          <w:lang w:val="en-GB"/>
        </w:rPr>
        <w:t>analyze</w:t>
      </w:r>
      <w:proofErr w:type="spellEnd"/>
      <w:r w:rsidRPr="00D71555">
        <w:rPr>
          <w:lang w:val="en-GB"/>
        </w:rPr>
        <w:t xml:space="preserve"> the r</w:t>
      </w:r>
      <w:r>
        <w:rPr>
          <w:lang w:val="en-GB"/>
        </w:rPr>
        <w:t xml:space="preserve">ules of </w:t>
      </w:r>
      <w:r w:rsidRPr="00D71555">
        <w:rPr>
          <w:lang w:val="en-GB"/>
        </w:rPr>
        <w:t xml:space="preserve">testamentary succession and some of </w:t>
      </w:r>
      <w:r>
        <w:rPr>
          <w:lang w:val="en-GB"/>
        </w:rPr>
        <w:t>the</w:t>
      </w:r>
      <w:r w:rsidRPr="00D71555">
        <w:rPr>
          <w:lang w:val="en-GB"/>
        </w:rPr>
        <w:t xml:space="preserve"> problematic aspects </w:t>
      </w:r>
      <w:r>
        <w:rPr>
          <w:lang w:val="en-GB"/>
        </w:rPr>
        <w:t xml:space="preserve">of the legislation </w:t>
      </w:r>
      <w:r w:rsidRPr="00D71555">
        <w:rPr>
          <w:lang w:val="en-GB"/>
        </w:rPr>
        <w:t xml:space="preserve">related to the adoption of the New Civil Code, to highlight gaps, </w:t>
      </w:r>
      <w:r>
        <w:rPr>
          <w:lang w:val="en-GB"/>
        </w:rPr>
        <w:t>shortcomings</w:t>
      </w:r>
      <w:r w:rsidRPr="00D71555">
        <w:rPr>
          <w:lang w:val="en-GB"/>
        </w:rPr>
        <w:t xml:space="preserve"> and problems with i</w:t>
      </w:r>
      <w:r>
        <w:rPr>
          <w:lang w:val="en-GB"/>
        </w:rPr>
        <w:t>nterpretation which have e</w:t>
      </w:r>
      <w:r w:rsidRPr="00D71555">
        <w:rPr>
          <w:lang w:val="en-GB"/>
        </w:rPr>
        <w:t>nsued from the new legal</w:t>
      </w:r>
      <w:r>
        <w:rPr>
          <w:lang w:val="en-GB"/>
        </w:rPr>
        <w:t xml:space="preserve"> regulation, as well as to outline</w:t>
      </w:r>
      <w:r w:rsidRPr="00D71555">
        <w:rPr>
          <w:lang w:val="en-GB"/>
        </w:rPr>
        <w:t xml:space="preserve"> possible ways of </w:t>
      </w:r>
      <w:r>
        <w:rPr>
          <w:lang w:val="en-GB"/>
        </w:rPr>
        <w:t>their s</w:t>
      </w:r>
      <w:r w:rsidRPr="00D71555">
        <w:rPr>
          <w:lang w:val="en-GB"/>
        </w:rPr>
        <w:t xml:space="preserve">olving. </w:t>
      </w:r>
    </w:p>
    <w:p w:rsidR="0021763F" w:rsidRPr="00D71555" w:rsidRDefault="0021763F" w:rsidP="007C134A">
      <w:pPr>
        <w:spacing w:after="0"/>
        <w:ind w:firstLine="567"/>
        <w:rPr>
          <w:lang w:val="en-GB"/>
        </w:rPr>
      </w:pPr>
      <w:r>
        <w:rPr>
          <w:lang w:val="en-GB"/>
        </w:rPr>
        <w:t xml:space="preserve">The thesis is </w:t>
      </w:r>
      <w:r w:rsidRPr="00D71555">
        <w:rPr>
          <w:lang w:val="en-GB"/>
        </w:rPr>
        <w:t xml:space="preserve">divided into six chapters. The first chapter gives a general definition of testamentary succession, whereas the other chapters deal with problematic aspects related to testamentary succession. The second chapter covers its relationship to some of the other newly established testamentary instruments; chapter number three is devoted to various kinds of testaments, i.e. holographic and </w:t>
      </w:r>
      <w:proofErr w:type="spellStart"/>
      <w:r w:rsidRPr="00D71555">
        <w:rPr>
          <w:lang w:val="en-GB"/>
        </w:rPr>
        <w:t>allographic</w:t>
      </w:r>
      <w:proofErr w:type="spellEnd"/>
      <w:r w:rsidRPr="00D71555">
        <w:rPr>
          <w:lang w:val="en-GB"/>
        </w:rPr>
        <w:t xml:space="preserve"> testaments. Among instruments </w:t>
      </w:r>
      <w:r>
        <w:rPr>
          <w:lang w:val="en-GB"/>
        </w:rPr>
        <w:t xml:space="preserve">having </w:t>
      </w:r>
      <w:r w:rsidRPr="00D71555">
        <w:rPr>
          <w:lang w:val="en-GB"/>
        </w:rPr>
        <w:t xml:space="preserve">the form of a </w:t>
      </w:r>
      <w:r>
        <w:rPr>
          <w:lang w:val="en-GB"/>
        </w:rPr>
        <w:t xml:space="preserve">public </w:t>
      </w:r>
      <w:r w:rsidRPr="00D71555">
        <w:rPr>
          <w:lang w:val="en-GB"/>
        </w:rPr>
        <w:t>notar</w:t>
      </w:r>
      <w:r>
        <w:rPr>
          <w:lang w:val="en-GB"/>
        </w:rPr>
        <w:t>y’s deed,</w:t>
      </w:r>
      <w:r w:rsidRPr="00D71555">
        <w:rPr>
          <w:lang w:val="en-GB"/>
        </w:rPr>
        <w:t xml:space="preserve"> only </w:t>
      </w:r>
      <w:r>
        <w:rPr>
          <w:lang w:val="en-GB"/>
        </w:rPr>
        <w:t>the</w:t>
      </w:r>
      <w:r w:rsidRPr="00D71555">
        <w:rPr>
          <w:lang w:val="en-GB"/>
        </w:rPr>
        <w:t xml:space="preserve"> testament made by a juvenile person is </w:t>
      </w:r>
      <w:proofErr w:type="spellStart"/>
      <w:r w:rsidRPr="00D71555">
        <w:rPr>
          <w:lang w:val="en-GB"/>
        </w:rPr>
        <w:t>analyzed</w:t>
      </w:r>
      <w:proofErr w:type="spellEnd"/>
      <w:r w:rsidRPr="00D71555">
        <w:rPr>
          <w:lang w:val="en-GB"/>
        </w:rPr>
        <w:t xml:space="preserve">. Privileged testaments are separately covered in chapter number four, the fifth chapter deals with the content requirements a last will should meet, and the final chapter discusses </w:t>
      </w:r>
      <w:r>
        <w:rPr>
          <w:lang w:val="en-GB"/>
        </w:rPr>
        <w:t>testament</w:t>
      </w:r>
      <w:r w:rsidRPr="00D71555">
        <w:rPr>
          <w:lang w:val="en-GB"/>
        </w:rPr>
        <w:t xml:space="preserve"> cancellation.</w:t>
      </w:r>
    </w:p>
    <w:p w:rsidR="004A7D51" w:rsidRDefault="0021763F" w:rsidP="00252361">
      <w:pPr>
        <w:spacing w:after="0"/>
      </w:pPr>
      <w:r w:rsidRPr="00D71555">
        <w:rPr>
          <w:lang w:val="en-GB"/>
        </w:rPr>
        <w:t xml:space="preserve"> </w:t>
      </w:r>
    </w:p>
    <w:p w:rsidR="00252361" w:rsidRDefault="00252361">
      <w:pPr>
        <w:spacing w:after="0" w:line="240" w:lineRule="auto"/>
        <w:jc w:val="left"/>
        <w:rPr>
          <w:b/>
          <w:sz w:val="32"/>
        </w:rPr>
      </w:pPr>
      <w:bookmarkStart w:id="97" w:name="_Toc436779505"/>
      <w:r>
        <w:br w:type="page"/>
      </w:r>
    </w:p>
    <w:p w:rsidR="00226443" w:rsidRDefault="00226443" w:rsidP="00226443">
      <w:pPr>
        <w:pStyle w:val="Nadpis1"/>
      </w:pPr>
      <w:bookmarkStart w:id="98" w:name="_Toc437225097"/>
      <w:r w:rsidRPr="008074AB">
        <w:lastRenderedPageBreak/>
        <w:t>Klíčová</w:t>
      </w:r>
      <w:r w:rsidRPr="004A7D51">
        <w:t xml:space="preserve"> slova</w:t>
      </w:r>
      <w:bookmarkEnd w:id="98"/>
    </w:p>
    <w:p w:rsidR="00226443" w:rsidRPr="007C134A" w:rsidRDefault="00226443" w:rsidP="00226443">
      <w:pPr>
        <w:rPr>
          <w:szCs w:val="24"/>
        </w:rPr>
      </w:pPr>
      <w:bookmarkStart w:id="99" w:name="_Toc436747907"/>
      <w:bookmarkStart w:id="100" w:name="_Toc436779503"/>
      <w:r w:rsidRPr="004A7D51">
        <w:t>Testamentární dědická posloupnost, pořízení pro případ smrti, dědická smlouva, závěť</w:t>
      </w:r>
      <w:r>
        <w:t>,</w:t>
      </w:r>
      <w:r w:rsidRPr="004A7D51">
        <w:t xml:space="preserve"> dovětek, holografní závěť, </w:t>
      </w:r>
      <w:proofErr w:type="spellStart"/>
      <w:r w:rsidRPr="004A7D51">
        <w:t>allografní</w:t>
      </w:r>
      <w:proofErr w:type="spellEnd"/>
      <w:r w:rsidRPr="004A7D51">
        <w:t xml:space="preserve"> závěť, úlevy při pořizování závěti</w:t>
      </w:r>
      <w:r>
        <w:t>,</w:t>
      </w:r>
      <w:r w:rsidRPr="004A7D51">
        <w:t xml:space="preserve"> vedlejší doložky v závěti, darování pro případ smrti, odkaz, nepominutelný dědic, zůstavitel, mladistvý, zrušení závěti</w:t>
      </w:r>
      <w:bookmarkEnd w:id="99"/>
      <w:bookmarkEnd w:id="100"/>
    </w:p>
    <w:p w:rsidR="00182032" w:rsidRPr="008074AB" w:rsidRDefault="002E3FA2" w:rsidP="00A308B8">
      <w:pPr>
        <w:pStyle w:val="Nadpis1"/>
      </w:pPr>
      <w:bookmarkStart w:id="101" w:name="_Toc437225098"/>
      <w:proofErr w:type="spellStart"/>
      <w:r w:rsidRPr="008074AB">
        <w:t>Key</w:t>
      </w:r>
      <w:proofErr w:type="spellEnd"/>
      <w:r w:rsidRPr="008074AB">
        <w:t xml:space="preserve"> </w:t>
      </w:r>
      <w:proofErr w:type="spellStart"/>
      <w:r w:rsidRPr="008074AB">
        <w:t>words</w:t>
      </w:r>
      <w:bookmarkEnd w:id="97"/>
      <w:bookmarkEnd w:id="101"/>
      <w:proofErr w:type="spellEnd"/>
    </w:p>
    <w:p w:rsidR="00A86522" w:rsidRDefault="007C134A" w:rsidP="004A7D51">
      <w:pPr>
        <w:pStyle w:val="DiplTEXT"/>
        <w:spacing w:after="0"/>
      </w:pPr>
      <w:proofErr w:type="spellStart"/>
      <w:r w:rsidRPr="007C134A">
        <w:t>Testamentary</w:t>
      </w:r>
      <w:proofErr w:type="spellEnd"/>
      <w:r w:rsidRPr="007C134A">
        <w:t xml:space="preserve"> </w:t>
      </w:r>
      <w:proofErr w:type="spellStart"/>
      <w:r w:rsidRPr="007C134A">
        <w:t>succession</w:t>
      </w:r>
      <w:proofErr w:type="spellEnd"/>
      <w:r w:rsidRPr="007C134A">
        <w:t xml:space="preserve">, </w:t>
      </w:r>
      <w:proofErr w:type="spellStart"/>
      <w:r w:rsidRPr="007C134A">
        <w:t>law</w:t>
      </w:r>
      <w:proofErr w:type="spellEnd"/>
      <w:r w:rsidRPr="007C134A">
        <w:t xml:space="preserve"> </w:t>
      </w:r>
      <w:proofErr w:type="spellStart"/>
      <w:r w:rsidRPr="007C134A">
        <w:t>of</w:t>
      </w:r>
      <w:proofErr w:type="spellEnd"/>
      <w:r w:rsidRPr="007C134A">
        <w:t xml:space="preserve"> </w:t>
      </w:r>
      <w:proofErr w:type="spellStart"/>
      <w:r w:rsidRPr="007C134A">
        <w:t>succession</w:t>
      </w:r>
      <w:proofErr w:type="spellEnd"/>
      <w:r w:rsidRPr="007C134A">
        <w:t xml:space="preserve">, </w:t>
      </w:r>
      <w:proofErr w:type="spellStart"/>
      <w:r w:rsidRPr="007C134A">
        <w:t>mutual</w:t>
      </w:r>
      <w:proofErr w:type="spellEnd"/>
      <w:r w:rsidRPr="007C134A">
        <w:t xml:space="preserve"> </w:t>
      </w:r>
      <w:proofErr w:type="spellStart"/>
      <w:r w:rsidRPr="007C134A">
        <w:t>wills</w:t>
      </w:r>
      <w:proofErr w:type="spellEnd"/>
      <w:r w:rsidRPr="007C134A">
        <w:t xml:space="preserve">, </w:t>
      </w:r>
      <w:r w:rsidR="00FE538C" w:rsidRPr="007C134A">
        <w:t>testament</w:t>
      </w:r>
      <w:r w:rsidR="00FE538C">
        <w:t>,</w:t>
      </w:r>
      <w:r w:rsidR="00FE538C" w:rsidRPr="007C134A">
        <w:t xml:space="preserve"> </w:t>
      </w:r>
      <w:proofErr w:type="spellStart"/>
      <w:r w:rsidRPr="007C134A">
        <w:t>codicil</w:t>
      </w:r>
      <w:proofErr w:type="spellEnd"/>
      <w:r w:rsidRPr="007C134A">
        <w:t xml:space="preserve">, </w:t>
      </w:r>
      <w:proofErr w:type="spellStart"/>
      <w:r w:rsidRPr="007C134A">
        <w:t>holographic</w:t>
      </w:r>
      <w:proofErr w:type="spellEnd"/>
      <w:r w:rsidRPr="007C134A">
        <w:t xml:space="preserve"> testament, </w:t>
      </w:r>
      <w:proofErr w:type="spellStart"/>
      <w:r w:rsidRPr="007C134A">
        <w:t>allographic</w:t>
      </w:r>
      <w:proofErr w:type="spellEnd"/>
      <w:r w:rsidRPr="007C134A">
        <w:t xml:space="preserve"> testament, </w:t>
      </w:r>
      <w:proofErr w:type="spellStart"/>
      <w:r w:rsidRPr="007C134A">
        <w:t>privileged</w:t>
      </w:r>
      <w:proofErr w:type="spellEnd"/>
      <w:r w:rsidRPr="007C134A">
        <w:t xml:space="preserve"> testament, </w:t>
      </w:r>
      <w:proofErr w:type="spellStart"/>
      <w:r w:rsidRPr="007C134A">
        <w:t>secondary</w:t>
      </w:r>
      <w:proofErr w:type="spellEnd"/>
      <w:r w:rsidRPr="007C134A">
        <w:t xml:space="preserve"> </w:t>
      </w:r>
      <w:proofErr w:type="spellStart"/>
      <w:r w:rsidRPr="007C134A">
        <w:t>clauses</w:t>
      </w:r>
      <w:proofErr w:type="spellEnd"/>
      <w:r w:rsidRPr="007C134A">
        <w:t xml:space="preserve"> in testament, </w:t>
      </w:r>
      <w:proofErr w:type="spellStart"/>
      <w:r w:rsidRPr="007C134A">
        <w:t>donation</w:t>
      </w:r>
      <w:proofErr w:type="spellEnd"/>
      <w:r w:rsidRPr="007C134A">
        <w:t xml:space="preserve"> </w:t>
      </w:r>
      <w:proofErr w:type="spellStart"/>
      <w:r w:rsidRPr="007C134A">
        <w:t>mortis</w:t>
      </w:r>
      <w:proofErr w:type="spellEnd"/>
      <w:r w:rsidRPr="007C134A">
        <w:t xml:space="preserve"> causa, </w:t>
      </w:r>
      <w:proofErr w:type="spellStart"/>
      <w:r w:rsidRPr="007C134A">
        <w:t>legacy</w:t>
      </w:r>
      <w:proofErr w:type="spellEnd"/>
      <w:r w:rsidRPr="007C134A">
        <w:t>,</w:t>
      </w:r>
      <w:r w:rsidR="0075319E">
        <w:t xml:space="preserve"> </w:t>
      </w:r>
      <w:proofErr w:type="spellStart"/>
      <w:r w:rsidR="0075319E">
        <w:t>forced</w:t>
      </w:r>
      <w:proofErr w:type="spellEnd"/>
      <w:r w:rsidR="0075319E">
        <w:t xml:space="preserve"> </w:t>
      </w:r>
      <w:proofErr w:type="spellStart"/>
      <w:r w:rsidR="0075319E">
        <w:t>heir</w:t>
      </w:r>
      <w:proofErr w:type="spellEnd"/>
      <w:r w:rsidR="0075319E">
        <w:t xml:space="preserve">, </w:t>
      </w:r>
      <w:proofErr w:type="spellStart"/>
      <w:r w:rsidR="0075319E">
        <w:t>testator</w:t>
      </w:r>
      <w:proofErr w:type="spellEnd"/>
      <w:r w:rsidR="0075319E">
        <w:t>, minor</w:t>
      </w:r>
      <w:r w:rsidRPr="007C134A">
        <w:t xml:space="preserve">, testament </w:t>
      </w:r>
      <w:proofErr w:type="spellStart"/>
      <w:r w:rsidRPr="007C134A">
        <w:t>cancellation</w:t>
      </w:r>
      <w:proofErr w:type="spellEnd"/>
    </w:p>
    <w:p w:rsidR="00226443" w:rsidRDefault="00226443" w:rsidP="00226443">
      <w:pPr>
        <w:pStyle w:val="Nadpis1"/>
      </w:pPr>
    </w:p>
    <w:p w:rsidR="00A86522" w:rsidRDefault="00A86522" w:rsidP="004A7D51">
      <w:pPr>
        <w:pStyle w:val="DiplTEXT"/>
        <w:spacing w:after="0"/>
      </w:pPr>
    </w:p>
    <w:sectPr w:rsidR="00A86522" w:rsidSect="00785A65">
      <w:footerReference w:type="default" r:id="rId10"/>
      <w:type w:val="continuous"/>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D3" w:rsidRDefault="00BD3BD3" w:rsidP="00FC340D">
      <w:pPr>
        <w:spacing w:after="0" w:line="240" w:lineRule="auto"/>
      </w:pPr>
      <w:r>
        <w:separator/>
      </w:r>
    </w:p>
  </w:endnote>
  <w:endnote w:type="continuationSeparator" w:id="0">
    <w:p w:rsidR="00BD3BD3" w:rsidRDefault="00BD3BD3" w:rsidP="00FC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0" w:rsidRDefault="00967270">
    <w:pPr>
      <w:pStyle w:val="Zpat"/>
      <w:jc w:val="center"/>
    </w:pPr>
  </w:p>
  <w:p w:rsidR="00967270" w:rsidRDefault="0096727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71399"/>
      <w:docPartObj>
        <w:docPartGallery w:val="Page Numbers (Bottom of Page)"/>
        <w:docPartUnique/>
      </w:docPartObj>
    </w:sdtPr>
    <w:sdtContent>
      <w:p w:rsidR="00967270" w:rsidRDefault="00967270">
        <w:pPr>
          <w:pStyle w:val="Zpat"/>
          <w:jc w:val="center"/>
        </w:pPr>
        <w:r>
          <w:fldChar w:fldCharType="begin"/>
        </w:r>
        <w:r>
          <w:instrText>PAGE   \* MERGEFORMAT</w:instrText>
        </w:r>
        <w:r>
          <w:fldChar w:fldCharType="separate"/>
        </w:r>
        <w:r w:rsidR="002D401C">
          <w:rPr>
            <w:noProof/>
          </w:rPr>
          <w:t>66</w:t>
        </w:r>
        <w:r>
          <w:fldChar w:fldCharType="end"/>
        </w:r>
      </w:p>
    </w:sdtContent>
  </w:sdt>
  <w:p w:rsidR="00967270" w:rsidRDefault="009672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D3" w:rsidRDefault="00BD3BD3" w:rsidP="00FC340D">
      <w:pPr>
        <w:spacing w:after="0" w:line="240" w:lineRule="auto"/>
      </w:pPr>
      <w:r>
        <w:separator/>
      </w:r>
    </w:p>
  </w:footnote>
  <w:footnote w:type="continuationSeparator" w:id="0">
    <w:p w:rsidR="00BD3BD3" w:rsidRDefault="00BD3BD3" w:rsidP="00FC340D">
      <w:pPr>
        <w:spacing w:after="0" w:line="240" w:lineRule="auto"/>
      </w:pPr>
      <w:r>
        <w:continuationSeparator/>
      </w:r>
    </w:p>
  </w:footnote>
  <w:footnote w:id="1">
    <w:p w:rsidR="00967270" w:rsidRDefault="00967270" w:rsidP="001621EB">
      <w:pPr>
        <w:pStyle w:val="Textpoznpodarou"/>
        <w:spacing w:after="0" w:line="240" w:lineRule="auto"/>
      </w:pPr>
      <w:r>
        <w:rPr>
          <w:rStyle w:val="Znakapoznpodarou"/>
        </w:rPr>
        <w:footnoteRef/>
      </w:r>
      <w:r>
        <w:t xml:space="preserve"> DVOŘÁK, Jan. In </w:t>
      </w:r>
      <w:r w:rsidRPr="001621EB">
        <w:t xml:space="preserve">TILSCH, Emanuel. </w:t>
      </w:r>
      <w:r w:rsidRPr="001621EB">
        <w:rPr>
          <w:i/>
        </w:rPr>
        <w:t xml:space="preserve">Dědické právo rakouské se </w:t>
      </w:r>
      <w:proofErr w:type="gramStart"/>
      <w:r w:rsidRPr="001621EB">
        <w:rPr>
          <w:i/>
        </w:rPr>
        <w:t>stanoviska</w:t>
      </w:r>
      <w:proofErr w:type="gramEnd"/>
      <w:r w:rsidRPr="001621EB">
        <w:rPr>
          <w:i/>
        </w:rPr>
        <w:t xml:space="preserve"> srovnávací vědy právní. Část I.</w:t>
      </w:r>
      <w:r w:rsidRPr="001621EB">
        <w:t xml:space="preserve"> Praha: </w:t>
      </w:r>
      <w:proofErr w:type="spellStart"/>
      <w:r w:rsidRPr="001621EB">
        <w:t>Wolte</w:t>
      </w:r>
      <w:r>
        <w:t>rs</w:t>
      </w:r>
      <w:proofErr w:type="spellEnd"/>
      <w:r>
        <w:t xml:space="preserve"> </w:t>
      </w:r>
      <w:proofErr w:type="spellStart"/>
      <w:r>
        <w:t>Kluwer</w:t>
      </w:r>
      <w:proofErr w:type="spellEnd"/>
      <w:r>
        <w:t>, a. s., 2014, s. VII.</w:t>
      </w:r>
    </w:p>
  </w:footnote>
  <w:footnote w:id="2">
    <w:p w:rsidR="00967270" w:rsidRDefault="00967270" w:rsidP="00F51797">
      <w:pPr>
        <w:pStyle w:val="Textpoznpodarou"/>
        <w:spacing w:after="0" w:line="240" w:lineRule="auto"/>
      </w:pPr>
      <w:r>
        <w:rPr>
          <w:rStyle w:val="Znakapoznpodarou"/>
        </w:rPr>
        <w:footnoteRef/>
      </w:r>
      <w:r>
        <w:t xml:space="preserve"> </w:t>
      </w:r>
      <w:r w:rsidRPr="00F51797">
        <w:t xml:space="preserve">BEDNÁŘ, Václav. </w:t>
      </w:r>
      <w:r w:rsidRPr="00F51797">
        <w:rPr>
          <w:i/>
        </w:rPr>
        <w:t>Testamentární dědická posloupnost</w:t>
      </w:r>
      <w:r w:rsidRPr="00F51797">
        <w:t>. Plzeň: Vydavatelství a naklada</w:t>
      </w:r>
      <w:r>
        <w:t>telství Aleš Čeněk, 2011,</w:t>
      </w:r>
      <w:r w:rsidRPr="00F51797">
        <w:t xml:space="preserve"> s. 80-81.</w:t>
      </w:r>
    </w:p>
  </w:footnote>
  <w:footnote w:id="3">
    <w:p w:rsidR="00967270" w:rsidRPr="00887489" w:rsidRDefault="00967270" w:rsidP="00F51797">
      <w:pPr>
        <w:pStyle w:val="Textpoznpodarou"/>
        <w:spacing w:after="0" w:line="240" w:lineRule="auto"/>
      </w:pPr>
      <w:r>
        <w:rPr>
          <w:rStyle w:val="Znakapoznpodarou"/>
        </w:rPr>
        <w:footnoteRef/>
      </w:r>
      <w:r>
        <w:t xml:space="preserve"> Blíže WAWERKA, Karel. Nový občanský zákoník z pohledu emeritního notáře. </w:t>
      </w:r>
      <w:r w:rsidRPr="00887489">
        <w:rPr>
          <w:i/>
        </w:rPr>
        <w:t>Bulletin advokacie</w:t>
      </w:r>
      <w:r>
        <w:t>, 2014, č. 12, s. 28-30.</w:t>
      </w:r>
    </w:p>
  </w:footnote>
  <w:footnote w:id="4">
    <w:p w:rsidR="00967270" w:rsidRDefault="00967270" w:rsidP="007A507C">
      <w:pPr>
        <w:pStyle w:val="Textpoznpodarou"/>
        <w:spacing w:after="0" w:line="240" w:lineRule="auto"/>
      </w:pPr>
      <w:r>
        <w:rPr>
          <w:rStyle w:val="Znakapoznpodarou"/>
        </w:rPr>
        <w:footnoteRef/>
      </w:r>
      <w:r>
        <w:t xml:space="preserve"> KNAPP, Viktor. </w:t>
      </w:r>
      <w:r w:rsidRPr="007A507C">
        <w:rPr>
          <w:i/>
        </w:rPr>
        <w:t>Vědecká propedeutika pro právníky</w:t>
      </w:r>
      <w:r>
        <w:t xml:space="preserve">. 1. vydání. Praha: </w:t>
      </w:r>
      <w:proofErr w:type="spellStart"/>
      <w:r>
        <w:t>Eurolex</w:t>
      </w:r>
      <w:proofErr w:type="spellEnd"/>
      <w:r>
        <w:t xml:space="preserve"> Bohemia, 2003, s. 65-89.</w:t>
      </w:r>
    </w:p>
  </w:footnote>
  <w:footnote w:id="5">
    <w:p w:rsidR="00967270" w:rsidRDefault="00967270" w:rsidP="004B793F">
      <w:pPr>
        <w:pStyle w:val="Textpoznpodarou"/>
        <w:spacing w:after="0" w:line="240" w:lineRule="auto"/>
      </w:pPr>
      <w:r>
        <w:rPr>
          <w:rStyle w:val="Znakapoznpodarou"/>
        </w:rPr>
        <w:footnoteRef/>
      </w:r>
      <w:r>
        <w:t xml:space="preserve"> </w:t>
      </w:r>
      <w:r w:rsidRPr="004B793F">
        <w:t xml:space="preserve">ŠVESTKA, Jiří, DVOŘÁK, Jan, FIALA, Josef a kol. </w:t>
      </w:r>
      <w:r w:rsidRPr="004B793F">
        <w:rPr>
          <w:i/>
        </w:rPr>
        <w:t>Občanský zákoník. Komentář. Svazek IV</w:t>
      </w:r>
      <w:r w:rsidRPr="004B793F">
        <w:t xml:space="preserve">., </w:t>
      </w:r>
      <w:r w:rsidRPr="006313A9">
        <w:rPr>
          <w:i/>
        </w:rPr>
        <w:t>(§ 1475 až 1720)</w:t>
      </w:r>
      <w:r w:rsidRPr="004B793F">
        <w:t>. 1. Vydání. Pra</w:t>
      </w:r>
      <w:r>
        <w:t xml:space="preserve">ha: </w:t>
      </w:r>
      <w:proofErr w:type="spellStart"/>
      <w:r>
        <w:t>Wolters</w:t>
      </w:r>
      <w:proofErr w:type="spellEnd"/>
      <w:r>
        <w:t xml:space="preserve"> </w:t>
      </w:r>
      <w:proofErr w:type="spellStart"/>
      <w:r>
        <w:t>Kluwer</w:t>
      </w:r>
      <w:proofErr w:type="spellEnd"/>
      <w:r>
        <w:t>, a. s., 2014,</w:t>
      </w:r>
      <w:r w:rsidRPr="004B793F">
        <w:t xml:space="preserve"> 728 s.</w:t>
      </w:r>
    </w:p>
  </w:footnote>
  <w:footnote w:id="6">
    <w:p w:rsidR="00967270" w:rsidRDefault="00967270" w:rsidP="004B793F">
      <w:pPr>
        <w:pStyle w:val="Textpoznpodarou"/>
        <w:spacing w:after="0" w:line="240" w:lineRule="auto"/>
      </w:pPr>
      <w:r>
        <w:rPr>
          <w:rStyle w:val="Znakapoznpodarou"/>
        </w:rPr>
        <w:footnoteRef/>
      </w:r>
      <w:r>
        <w:t xml:space="preserve"> </w:t>
      </w:r>
      <w:r w:rsidRPr="004B793F">
        <w:t xml:space="preserve">FIALA, Roman, DRÁPAL, </w:t>
      </w:r>
      <w:proofErr w:type="spellStart"/>
      <w:r w:rsidRPr="004B793F">
        <w:t>Ljubomír</w:t>
      </w:r>
      <w:proofErr w:type="spellEnd"/>
      <w:r w:rsidRPr="004B793F">
        <w:t xml:space="preserve"> a kol. </w:t>
      </w:r>
      <w:r w:rsidRPr="004B793F">
        <w:rPr>
          <w:i/>
        </w:rPr>
        <w:t>Občanský zákoník IV. Dědické právo (§ 1475-1720)</w:t>
      </w:r>
      <w:r w:rsidRPr="004B793F">
        <w:t>. Komentář. 1 vydání. Praha: C. H. Beck, 2015, 648 s.</w:t>
      </w:r>
    </w:p>
  </w:footnote>
  <w:footnote w:id="7">
    <w:p w:rsidR="00967270" w:rsidRDefault="00967270" w:rsidP="00DD1B52">
      <w:pPr>
        <w:pStyle w:val="Textpoznpodarou"/>
        <w:spacing w:after="0" w:line="240" w:lineRule="auto"/>
      </w:pPr>
      <w:r>
        <w:rPr>
          <w:rStyle w:val="Znakapoznpodarou"/>
        </w:rPr>
        <w:footnoteRef/>
      </w:r>
      <w:r>
        <w:t xml:space="preserve"> </w:t>
      </w:r>
      <w:r w:rsidRPr="00DD1B52">
        <w:t xml:space="preserve">SVOBODA, Jiří, KLIČKA, Ondřej. </w:t>
      </w:r>
      <w:r w:rsidRPr="00DD1B52">
        <w:rPr>
          <w:i/>
        </w:rPr>
        <w:t>Dědické právo v praxi</w:t>
      </w:r>
      <w:r>
        <w:t>. 1 vydání. Praha: Beck, 2014,</w:t>
      </w:r>
      <w:r w:rsidRPr="00DD1B52">
        <w:t xml:space="preserve"> 408 s.</w:t>
      </w:r>
    </w:p>
  </w:footnote>
  <w:footnote w:id="8">
    <w:p w:rsidR="00967270" w:rsidRDefault="00967270" w:rsidP="00DD1B52">
      <w:pPr>
        <w:pStyle w:val="Textpoznpodarou"/>
        <w:spacing w:after="0" w:line="240" w:lineRule="auto"/>
      </w:pPr>
      <w:r>
        <w:rPr>
          <w:rStyle w:val="Znakapoznpodarou"/>
        </w:rPr>
        <w:footnoteRef/>
      </w:r>
      <w:r>
        <w:t xml:space="preserve"> </w:t>
      </w:r>
      <w:r w:rsidRPr="00325045">
        <w:t xml:space="preserve">ROUČEK, František, SEDLÁČEK, Jaromír. </w:t>
      </w:r>
      <w:r w:rsidRPr="00325045">
        <w:rPr>
          <w:i/>
        </w:rPr>
        <w:t>Komentář k československému zákoníku občanskému a občanské právo platné na Slovensku a Podkarpatské Rusi. Díl III.</w:t>
      </w:r>
      <w:r w:rsidRPr="00325045">
        <w:t>, (§§ 531 a</w:t>
      </w:r>
      <w:r>
        <w:t>ž 858). Praha: V. Linhart, 1936, 680 s.</w:t>
      </w:r>
    </w:p>
  </w:footnote>
  <w:footnote w:id="9">
    <w:p w:rsidR="00967270" w:rsidRDefault="00967270" w:rsidP="00F177D7">
      <w:pPr>
        <w:pStyle w:val="Textpoznpodarou"/>
        <w:spacing w:after="0" w:line="240" w:lineRule="auto"/>
      </w:pPr>
      <w:r>
        <w:rPr>
          <w:rStyle w:val="Znakapoznpodarou"/>
        </w:rPr>
        <w:footnoteRef/>
      </w:r>
      <w:r>
        <w:t xml:space="preserve"> Vyzdvihnout je zapotřebí </w:t>
      </w:r>
      <w:r w:rsidRPr="005C5722">
        <w:t>zejména kritické články od JUDr. Ondřeje Horáka, PhD.</w:t>
      </w:r>
    </w:p>
  </w:footnote>
  <w:footnote w:id="10">
    <w:p w:rsidR="00967270" w:rsidRDefault="00967270" w:rsidP="007B3243">
      <w:pPr>
        <w:pStyle w:val="Textpoznpodarou"/>
        <w:spacing w:after="0" w:line="240" w:lineRule="auto"/>
      </w:pPr>
      <w:r>
        <w:rPr>
          <w:rStyle w:val="Znakapoznpodarou"/>
        </w:rPr>
        <w:footnoteRef/>
      </w:r>
      <w:r>
        <w:t xml:space="preserve"> KINCL, Jaromír, URFUS, Valentin, SKŘEJPEK, Michal. </w:t>
      </w:r>
      <w:r w:rsidRPr="008C17DF">
        <w:rPr>
          <w:i/>
        </w:rPr>
        <w:t>Římské právo</w:t>
      </w:r>
      <w:r>
        <w:t xml:space="preserve">. 2. vydání. Praha: </w:t>
      </w:r>
      <w:proofErr w:type="spellStart"/>
      <w:proofErr w:type="gramStart"/>
      <w:r>
        <w:t>C.H.</w:t>
      </w:r>
      <w:proofErr w:type="gramEnd"/>
      <w:r>
        <w:t>Beck</w:t>
      </w:r>
      <w:proofErr w:type="spellEnd"/>
      <w:r>
        <w:t>, 1995, s.  266-</w:t>
      </w:r>
      <w:r w:rsidRPr="00086D80">
        <w:t>267</w:t>
      </w:r>
      <w:r>
        <w:t>.</w:t>
      </w:r>
    </w:p>
  </w:footnote>
  <w:footnote w:id="11">
    <w:p w:rsidR="00967270" w:rsidRDefault="00967270" w:rsidP="007B3243">
      <w:pPr>
        <w:pStyle w:val="Textpoznpodarou"/>
        <w:spacing w:after="0" w:line="240" w:lineRule="auto"/>
      </w:pPr>
      <w:r>
        <w:rPr>
          <w:rStyle w:val="Znakapoznpodarou"/>
        </w:rPr>
        <w:footnoteRef/>
      </w:r>
      <w:r>
        <w:t xml:space="preserve"> Nejsilnějším dědickým titulem je dědická smlouva. Srovnej Důvodovou zprávu k NOZ, s. 368-369.  </w:t>
      </w:r>
    </w:p>
  </w:footnote>
  <w:footnote w:id="12">
    <w:p w:rsidR="00967270" w:rsidRDefault="00967270" w:rsidP="007B3243">
      <w:pPr>
        <w:pStyle w:val="Textpoznpodarou"/>
        <w:spacing w:after="0" w:line="240" w:lineRule="auto"/>
      </w:pPr>
      <w:r>
        <w:rPr>
          <w:rStyle w:val="Znakapoznpodarou"/>
        </w:rPr>
        <w:footnoteRef/>
      </w:r>
      <w:r>
        <w:t xml:space="preserve"> </w:t>
      </w:r>
      <w:r w:rsidRPr="001621EB">
        <w:t xml:space="preserve">TILSCH: </w:t>
      </w:r>
      <w:r w:rsidRPr="001621EB">
        <w:rPr>
          <w:i/>
        </w:rPr>
        <w:t>Dědické právo</w:t>
      </w:r>
      <w:r>
        <w:t>…, s. 9-13</w:t>
      </w:r>
      <w:r w:rsidRPr="00A6227C">
        <w:t>.</w:t>
      </w:r>
    </w:p>
  </w:footnote>
  <w:footnote w:id="13">
    <w:p w:rsidR="00967270" w:rsidRDefault="00967270" w:rsidP="007B3243">
      <w:pPr>
        <w:pStyle w:val="Textpoznpodarou"/>
        <w:spacing w:after="0" w:line="240" w:lineRule="auto"/>
      </w:pPr>
      <w:r>
        <w:rPr>
          <w:rStyle w:val="Znakapoznpodarou"/>
        </w:rPr>
        <w:footnoteRef/>
      </w:r>
      <w:r>
        <w:t xml:space="preserve"> </w:t>
      </w:r>
      <w:r w:rsidRPr="00AF00AF">
        <w:t xml:space="preserve">MIKEŠ, Jiří. </w:t>
      </w:r>
      <w:r w:rsidRPr="00AF00AF">
        <w:rPr>
          <w:i/>
        </w:rPr>
        <w:t>Dědictví a právo (právní poradce pro každého)</w:t>
      </w:r>
      <w:r w:rsidRPr="00AF00AF">
        <w:t xml:space="preserve">. </w:t>
      </w:r>
      <w:r>
        <w:t>Praha: Informatorium, 1993, s. 50-5</w:t>
      </w:r>
      <w:r w:rsidRPr="00AF00AF">
        <w:t>1</w:t>
      </w:r>
      <w:r>
        <w:t>.</w:t>
      </w:r>
    </w:p>
  </w:footnote>
  <w:footnote w:id="14">
    <w:p w:rsidR="00967270" w:rsidRPr="00821DD4" w:rsidRDefault="00967270" w:rsidP="00015F6E">
      <w:pPr>
        <w:pStyle w:val="Textpoznpodarou"/>
        <w:spacing w:after="0" w:line="240" w:lineRule="auto"/>
        <w:rPr>
          <w:strike/>
          <w:color w:val="FF0000"/>
        </w:rPr>
      </w:pPr>
      <w:r>
        <w:rPr>
          <w:rStyle w:val="Znakapoznpodarou"/>
        </w:rPr>
        <w:footnoteRef/>
      </w:r>
      <w:r>
        <w:t xml:space="preserve"> </w:t>
      </w:r>
      <w:r w:rsidRPr="00116F50">
        <w:t>Zatímco OZ50 v § 534 ponechal ještě štíhlou definici závěti, OZ64 na potřebu legálního vymezení závěti zcela rezignoval.</w:t>
      </w:r>
    </w:p>
  </w:footnote>
  <w:footnote w:id="15">
    <w:p w:rsidR="00967270" w:rsidRDefault="00967270" w:rsidP="00106D09">
      <w:pPr>
        <w:pStyle w:val="Textpoznpodarou"/>
        <w:spacing w:after="0" w:line="240" w:lineRule="auto"/>
      </w:pPr>
      <w:r>
        <w:rPr>
          <w:rStyle w:val="Znakapoznpodarou"/>
        </w:rPr>
        <w:footnoteRef/>
      </w:r>
      <w:r>
        <w:t xml:space="preserve"> Mezi další fakultativní obsahové náležitosti patří zejména zřízení obecného náhradnictví, svěřeneckého nástupnictví a připojení vedlejších doložek k závěti.</w:t>
      </w:r>
    </w:p>
  </w:footnote>
  <w:footnote w:id="16">
    <w:p w:rsidR="00967270" w:rsidRDefault="00967270" w:rsidP="00A62DDE">
      <w:pPr>
        <w:pStyle w:val="Textpoznpodarou"/>
        <w:spacing w:after="0" w:line="240" w:lineRule="auto"/>
      </w:pPr>
      <w:r>
        <w:rPr>
          <w:rStyle w:val="Znakapoznpodarou"/>
        </w:rPr>
        <w:footnoteRef/>
      </w:r>
      <w:r>
        <w:t xml:space="preserve"> MUZIKÁŘ, Milan. In HOLUB, Milan a kol. (</w:t>
      </w:r>
      <w:proofErr w:type="spellStart"/>
      <w:r>
        <w:t>eds</w:t>
      </w:r>
      <w:proofErr w:type="spellEnd"/>
      <w:r>
        <w:t xml:space="preserve">). </w:t>
      </w:r>
      <w:r w:rsidRPr="00D17F95">
        <w:rPr>
          <w:i/>
        </w:rPr>
        <w:t>Občanský zákoník. Komentář. 1. svazek (§§ 1 – 487)</w:t>
      </w:r>
      <w:r>
        <w:t>. 2. vydání. Praha: Linde, 2003, s. 659.</w:t>
      </w:r>
    </w:p>
  </w:footnote>
  <w:footnote w:id="17">
    <w:p w:rsidR="00967270" w:rsidRPr="004D11C5" w:rsidRDefault="00967270" w:rsidP="004D11C5">
      <w:pPr>
        <w:pStyle w:val="Textpoznpodarou"/>
        <w:spacing w:after="0" w:line="240" w:lineRule="auto"/>
        <w:rPr>
          <w:color w:val="FF0000"/>
        </w:rPr>
      </w:pPr>
      <w:r>
        <w:rPr>
          <w:rStyle w:val="Znakapoznpodarou"/>
        </w:rPr>
        <w:footnoteRef/>
      </w:r>
      <w:r>
        <w:t xml:space="preserve"> </w:t>
      </w:r>
      <w:r w:rsidRPr="00A77E6F">
        <w:t xml:space="preserve">MELZER, Filip. </w:t>
      </w:r>
      <w:r w:rsidRPr="00A77E6F">
        <w:rPr>
          <w:i/>
        </w:rPr>
        <w:t>Právní jednání a jeho výklad</w:t>
      </w:r>
      <w:r w:rsidRPr="00A77E6F">
        <w:t xml:space="preserve">. Brno: Václav </w:t>
      </w:r>
      <w:proofErr w:type="spellStart"/>
      <w:r w:rsidRPr="00A77E6F">
        <w:t>Klemm</w:t>
      </w:r>
      <w:proofErr w:type="spellEnd"/>
      <w:r w:rsidRPr="00A77E6F">
        <w:t xml:space="preserve"> – Vydavatelství</w:t>
      </w:r>
      <w:r>
        <w:t xml:space="preserve"> a nakladatelství, 2009, s.  57.</w:t>
      </w:r>
    </w:p>
  </w:footnote>
  <w:footnote w:id="18">
    <w:p w:rsidR="00967270" w:rsidRDefault="00967270" w:rsidP="00DF536A">
      <w:pPr>
        <w:pStyle w:val="Textpoznpodarou"/>
        <w:spacing w:after="0" w:line="240" w:lineRule="auto"/>
      </w:pPr>
      <w:r>
        <w:rPr>
          <w:rStyle w:val="Znakapoznpodarou"/>
        </w:rPr>
        <w:footnoteRef/>
      </w:r>
      <w:r>
        <w:t xml:space="preserve"> </w:t>
      </w:r>
      <w:r w:rsidRPr="004502F2">
        <w:rPr>
          <w:lang w:val="de-DE"/>
        </w:rPr>
        <w:t xml:space="preserve">KOZIOL, Helmut, WELSER, Rudolf. </w:t>
      </w:r>
      <w:proofErr w:type="spellStart"/>
      <w:r w:rsidRPr="004502F2">
        <w:rPr>
          <w:i/>
          <w:lang w:val="de-DE"/>
        </w:rPr>
        <w:t>Grundriß</w:t>
      </w:r>
      <w:proofErr w:type="spellEnd"/>
      <w:r w:rsidRPr="004502F2">
        <w:rPr>
          <w:i/>
          <w:lang w:val="de-DE"/>
        </w:rPr>
        <w:t xml:space="preserve"> des bürgerlichen Rechts. Bd. 2, Sachenrecht, Familienrecht, Erbrecht</w:t>
      </w:r>
      <w:r>
        <w:t xml:space="preserve">. </w:t>
      </w:r>
      <w:r w:rsidRPr="0069037C">
        <w:t xml:space="preserve">10. vydání. </w:t>
      </w:r>
      <w:proofErr w:type="spellStart"/>
      <w:r>
        <w:t>Wien</w:t>
      </w:r>
      <w:proofErr w:type="spellEnd"/>
      <w:r>
        <w:t xml:space="preserve">: </w:t>
      </w:r>
      <w:proofErr w:type="spellStart"/>
      <w:r>
        <w:t>Manzsche</w:t>
      </w:r>
      <w:proofErr w:type="spellEnd"/>
      <w:r>
        <w:t xml:space="preserve"> </w:t>
      </w:r>
      <w:proofErr w:type="spellStart"/>
      <w:r>
        <w:t>Verlags-</w:t>
      </w:r>
      <w:r w:rsidRPr="00071DFE">
        <w:t>und</w:t>
      </w:r>
      <w:proofErr w:type="spellEnd"/>
      <w:r w:rsidRPr="00071DFE">
        <w:t xml:space="preserve"> </w:t>
      </w:r>
      <w:proofErr w:type="spellStart"/>
      <w:r w:rsidRPr="00071DFE">
        <w:t>Universitätsbuchhandlung</w:t>
      </w:r>
      <w:proofErr w:type="spellEnd"/>
      <w:r>
        <w:t xml:space="preserve">, 1996, </w:t>
      </w:r>
      <w:r w:rsidRPr="00052AA3">
        <w:t>s. 317</w:t>
      </w:r>
      <w:r>
        <w:t>.</w:t>
      </w:r>
    </w:p>
  </w:footnote>
  <w:footnote w:id="19">
    <w:p w:rsidR="00967270" w:rsidRDefault="00967270" w:rsidP="007B2C65">
      <w:pPr>
        <w:pStyle w:val="Textpoznpodarou"/>
        <w:spacing w:after="0" w:line="240" w:lineRule="auto"/>
      </w:pPr>
      <w:r>
        <w:rPr>
          <w:rStyle w:val="Znakapoznpodarou"/>
        </w:rPr>
        <w:footnoteRef/>
      </w:r>
      <w:r>
        <w:t xml:space="preserve"> </w:t>
      </w:r>
      <w:r w:rsidRPr="007B2C65">
        <w:t xml:space="preserve">SVOBODA, KLIČKA: </w:t>
      </w:r>
      <w:proofErr w:type="gramStart"/>
      <w:r w:rsidRPr="007B2C65">
        <w:rPr>
          <w:i/>
        </w:rPr>
        <w:t>Dědické</w:t>
      </w:r>
      <w:r w:rsidRPr="007B2C65">
        <w:t>...,</w:t>
      </w:r>
      <w:r>
        <w:t xml:space="preserve"> s.</w:t>
      </w:r>
      <w:proofErr w:type="gramEnd"/>
      <w:r>
        <w:t xml:space="preserve"> 4.</w:t>
      </w:r>
    </w:p>
  </w:footnote>
  <w:footnote w:id="20">
    <w:p w:rsidR="00967270" w:rsidRDefault="00967270" w:rsidP="00324CB3">
      <w:pPr>
        <w:pStyle w:val="Textpoznpodarou"/>
        <w:spacing w:after="0" w:line="240" w:lineRule="auto"/>
      </w:pPr>
      <w:r>
        <w:rPr>
          <w:rStyle w:val="Znakapoznpodarou"/>
        </w:rPr>
        <w:footnoteRef/>
      </w:r>
      <w:r>
        <w:t xml:space="preserve"> § </w:t>
      </w:r>
      <w:proofErr w:type="gramStart"/>
      <w:r>
        <w:t>551-§ 588</w:t>
      </w:r>
      <w:proofErr w:type="gramEnd"/>
      <w:r>
        <w:t xml:space="preserve"> NOZ.</w:t>
      </w:r>
    </w:p>
  </w:footnote>
  <w:footnote w:id="21">
    <w:p w:rsidR="00967270" w:rsidRDefault="00967270" w:rsidP="004B586F">
      <w:pPr>
        <w:pStyle w:val="Textpoznpodarou"/>
        <w:spacing w:after="0" w:line="240" w:lineRule="auto"/>
      </w:pPr>
      <w:r>
        <w:rPr>
          <w:rStyle w:val="Znakapoznpodarou"/>
        </w:rPr>
        <w:footnoteRef/>
      </w:r>
      <w:r>
        <w:t xml:space="preserve"> Podstatný omyl ve smyslu §§ 1529-1530 NOZ a omyl v pohnutce podle § 1531 NOZ nezpůsobuje neplatnost celé závěti, ale jen neplatnost příslušného ustanovení, jehož se týká.</w:t>
      </w:r>
    </w:p>
  </w:footnote>
  <w:footnote w:id="22">
    <w:p w:rsidR="00967270" w:rsidRDefault="00967270" w:rsidP="00C27663">
      <w:pPr>
        <w:pStyle w:val="Textpoznpodarou"/>
        <w:spacing w:after="0" w:line="240" w:lineRule="auto"/>
      </w:pPr>
      <w:r>
        <w:rPr>
          <w:rStyle w:val="Znakapoznpodarou"/>
        </w:rPr>
        <w:footnoteRef/>
      </w:r>
      <w:r>
        <w:t xml:space="preserve"> </w:t>
      </w:r>
      <w:r w:rsidRPr="00A35581">
        <w:t>MELZE</w:t>
      </w:r>
      <w:r>
        <w:t xml:space="preserve">R: </w:t>
      </w:r>
      <w:r>
        <w:rPr>
          <w:i/>
        </w:rPr>
        <w:t>Právní…</w:t>
      </w:r>
      <w:r>
        <w:t>, s. 50-60.</w:t>
      </w:r>
    </w:p>
  </w:footnote>
  <w:footnote w:id="23">
    <w:p w:rsidR="00967270" w:rsidRDefault="00967270" w:rsidP="00E859EF">
      <w:pPr>
        <w:pStyle w:val="Textpoznpodarou"/>
        <w:spacing w:after="0" w:line="240" w:lineRule="auto"/>
      </w:pPr>
      <w:r>
        <w:rPr>
          <w:rStyle w:val="Znakapoznpodarou"/>
        </w:rPr>
        <w:footnoteRef/>
      </w:r>
      <w:r>
        <w:t xml:space="preserve"> Rozhodnutí NS ČSR ze dne </w:t>
      </w:r>
      <w:proofErr w:type="gramStart"/>
      <w:r>
        <w:t>12.12.1926</w:t>
      </w:r>
      <w:proofErr w:type="gramEnd"/>
      <w:r>
        <w:t xml:space="preserve"> R I 1005/26.: „I poslednímu pořízení, postrádajícímu formálních náležitostí platnosti, lze zjednati platnost uznáním </w:t>
      </w:r>
      <w:proofErr w:type="spellStart"/>
      <w:r>
        <w:t>súčastněných</w:t>
      </w:r>
      <w:proofErr w:type="spellEnd"/>
      <w:r>
        <w:t xml:space="preserve"> osob“.</w:t>
      </w:r>
    </w:p>
  </w:footnote>
  <w:footnote w:id="24">
    <w:p w:rsidR="00967270" w:rsidRDefault="00967270" w:rsidP="009E502A">
      <w:pPr>
        <w:pStyle w:val="Textpoznpodarou"/>
        <w:spacing w:after="0" w:line="240" w:lineRule="auto"/>
      </w:pPr>
      <w:r>
        <w:rPr>
          <w:rStyle w:val="Znakapoznpodarou"/>
        </w:rPr>
        <w:footnoteRef/>
      </w:r>
      <w:r>
        <w:t xml:space="preserve"> Rozhodnutí NS ČR ze dne 28.11.1986, </w:t>
      </w:r>
      <w:proofErr w:type="spellStart"/>
      <w:proofErr w:type="gramStart"/>
      <w:r>
        <w:t>sp.zn</w:t>
      </w:r>
      <w:proofErr w:type="spellEnd"/>
      <w:r>
        <w:t>.</w:t>
      </w:r>
      <w:proofErr w:type="gramEnd"/>
      <w:r w:rsidRPr="009F30C4">
        <w:t xml:space="preserve"> 4 </w:t>
      </w:r>
      <w:proofErr w:type="spellStart"/>
      <w:r w:rsidRPr="009F30C4">
        <w:t>Cz</w:t>
      </w:r>
      <w:proofErr w:type="spellEnd"/>
      <w:r w:rsidRPr="009F30C4">
        <w:t xml:space="preserve"> 61/86. Rozhodnutí NS ČSR ze dne </w:t>
      </w:r>
      <w:proofErr w:type="gramStart"/>
      <w:r w:rsidRPr="009F30C4">
        <w:t>19.6.1935</w:t>
      </w:r>
      <w:proofErr w:type="gramEnd"/>
      <w:r w:rsidRPr="009F30C4">
        <w:t xml:space="preserve">, </w:t>
      </w:r>
      <w:proofErr w:type="spellStart"/>
      <w:r w:rsidRPr="009F30C4">
        <w:t>Rv</w:t>
      </w:r>
      <w:proofErr w:type="spellEnd"/>
      <w:r w:rsidRPr="009F30C4">
        <w:t xml:space="preserve"> I 119/34. </w:t>
      </w:r>
    </w:p>
  </w:footnote>
  <w:footnote w:id="25">
    <w:p w:rsidR="00967270" w:rsidRPr="007C61AE" w:rsidRDefault="00967270" w:rsidP="000C29ED">
      <w:pPr>
        <w:pStyle w:val="Textpoznpodarou"/>
        <w:spacing w:after="0" w:line="240" w:lineRule="auto"/>
      </w:pPr>
      <w:r>
        <w:rPr>
          <w:rStyle w:val="Znakapoznpodarou"/>
        </w:rPr>
        <w:footnoteRef/>
      </w:r>
      <w:r>
        <w:t xml:space="preserve"> </w:t>
      </w:r>
      <w:r w:rsidRPr="007C61AE">
        <w:t xml:space="preserve">Rozhodnutí NS </w:t>
      </w:r>
      <w:r>
        <w:t xml:space="preserve">ČR </w:t>
      </w:r>
      <w:r w:rsidRPr="007C61AE">
        <w:t xml:space="preserve">ze dne 21.7.1977, </w:t>
      </w:r>
      <w:proofErr w:type="spellStart"/>
      <w:proofErr w:type="gramStart"/>
      <w:r w:rsidRPr="007C61AE">
        <w:t>sp.zn</w:t>
      </w:r>
      <w:proofErr w:type="spellEnd"/>
      <w:r w:rsidRPr="007C61AE">
        <w:t>.</w:t>
      </w:r>
      <w:proofErr w:type="gramEnd"/>
      <w:r w:rsidRPr="007C61AE">
        <w:t xml:space="preserve"> 4 </w:t>
      </w:r>
      <w:proofErr w:type="spellStart"/>
      <w:r w:rsidRPr="007C61AE">
        <w:t>Cz</w:t>
      </w:r>
      <w:proofErr w:type="spellEnd"/>
      <w:r w:rsidRPr="007C61AE">
        <w:t xml:space="preserve">  22/1977. </w:t>
      </w:r>
    </w:p>
  </w:footnote>
  <w:footnote w:id="26">
    <w:p w:rsidR="00967270" w:rsidRDefault="00967270" w:rsidP="00DD1996">
      <w:pPr>
        <w:pStyle w:val="Textpoznpodarou"/>
        <w:spacing w:after="0" w:line="240" w:lineRule="auto"/>
      </w:pPr>
      <w:r>
        <w:rPr>
          <w:rStyle w:val="Znakapoznpodarou"/>
        </w:rPr>
        <w:footnoteRef/>
      </w:r>
      <w:r>
        <w:t xml:space="preserve"> K problematice odlišení dědice a </w:t>
      </w:r>
      <w:proofErr w:type="spellStart"/>
      <w:r>
        <w:t>odkazovníka</w:t>
      </w:r>
      <w:proofErr w:type="spellEnd"/>
      <w:r>
        <w:t xml:space="preserve"> </w:t>
      </w:r>
      <w:proofErr w:type="gramStart"/>
      <w:r>
        <w:t>viz. kapitola</w:t>
      </w:r>
      <w:proofErr w:type="gramEnd"/>
      <w:r>
        <w:t xml:space="preserve"> 2.2 a 5.1.</w:t>
      </w:r>
    </w:p>
  </w:footnote>
  <w:footnote w:id="27">
    <w:p w:rsidR="00967270" w:rsidRDefault="00967270" w:rsidP="00DA798E">
      <w:pPr>
        <w:pStyle w:val="Textpoznpodarou"/>
        <w:spacing w:after="0" w:line="240" w:lineRule="auto"/>
      </w:pPr>
      <w:r>
        <w:rPr>
          <w:rStyle w:val="Znakapoznpodarou"/>
        </w:rPr>
        <w:footnoteRef/>
      </w:r>
      <w:r>
        <w:t xml:space="preserve"> G. U. 7491.</w:t>
      </w:r>
    </w:p>
  </w:footnote>
  <w:footnote w:id="28">
    <w:p w:rsidR="00967270" w:rsidRDefault="00967270" w:rsidP="00DA798E">
      <w:pPr>
        <w:pStyle w:val="Textpoznpodarou"/>
        <w:spacing w:after="0" w:line="240" w:lineRule="auto"/>
      </w:pPr>
      <w:r>
        <w:rPr>
          <w:rStyle w:val="Znakapoznpodarou"/>
        </w:rPr>
        <w:footnoteRef/>
      </w:r>
      <w:r>
        <w:t xml:space="preserve"> Rozhodnutí NS ČR ze dne 28.2.1990, </w:t>
      </w:r>
      <w:proofErr w:type="spellStart"/>
      <w:proofErr w:type="gramStart"/>
      <w:r>
        <w:t>sp.zn</w:t>
      </w:r>
      <w:proofErr w:type="spellEnd"/>
      <w:r>
        <w:t>.</w:t>
      </w:r>
      <w:proofErr w:type="gramEnd"/>
      <w:r>
        <w:t xml:space="preserve"> 4 </w:t>
      </w:r>
      <w:proofErr w:type="spellStart"/>
      <w:r>
        <w:t>Cz</w:t>
      </w:r>
      <w:proofErr w:type="spellEnd"/>
      <w:r>
        <w:t xml:space="preserve"> 8/90.</w:t>
      </w:r>
    </w:p>
  </w:footnote>
  <w:footnote w:id="29">
    <w:p w:rsidR="00967270" w:rsidRDefault="00967270" w:rsidP="00DA798E">
      <w:pPr>
        <w:pStyle w:val="Textpoznpodarou"/>
        <w:spacing w:after="0" w:line="240" w:lineRule="auto"/>
      </w:pPr>
      <w:r>
        <w:rPr>
          <w:rStyle w:val="Znakapoznpodarou"/>
        </w:rPr>
        <w:footnoteRef/>
      </w:r>
      <w:r>
        <w:t xml:space="preserve"> Rozhodnutí NS ČR ze dne 25.4.2007, </w:t>
      </w:r>
      <w:proofErr w:type="spellStart"/>
      <w:proofErr w:type="gramStart"/>
      <w:r>
        <w:t>sp.zn</w:t>
      </w:r>
      <w:proofErr w:type="spellEnd"/>
      <w:r>
        <w:t>.</w:t>
      </w:r>
      <w:proofErr w:type="gramEnd"/>
      <w:r>
        <w:t xml:space="preserve"> 21 </w:t>
      </w:r>
      <w:proofErr w:type="spellStart"/>
      <w:r>
        <w:t>Cdo</w:t>
      </w:r>
      <w:proofErr w:type="spellEnd"/>
      <w:r>
        <w:t xml:space="preserve"> 1859/2006.</w:t>
      </w:r>
    </w:p>
  </w:footnote>
  <w:footnote w:id="30">
    <w:p w:rsidR="00967270" w:rsidRPr="00290B98" w:rsidRDefault="00967270" w:rsidP="003E31EA">
      <w:pPr>
        <w:pStyle w:val="Textpoznpodarou"/>
        <w:spacing w:after="0" w:line="240" w:lineRule="auto"/>
      </w:pPr>
      <w:r>
        <w:rPr>
          <w:rStyle w:val="Znakapoznpodarou"/>
        </w:rPr>
        <w:footnoteRef/>
      </w:r>
      <w:r>
        <w:t xml:space="preserve"> </w:t>
      </w:r>
      <w:r w:rsidRPr="00290B98">
        <w:t>MUZIKÁŘ, Ladislav. Dědické právo podle nového občanského zákoníku. In SUCHÁ, Ludmila, MOKRÝ, Antonín (</w:t>
      </w:r>
      <w:proofErr w:type="spellStart"/>
      <w:r w:rsidRPr="00290B98">
        <w:t>ed</w:t>
      </w:r>
      <w:proofErr w:type="spellEnd"/>
      <w:r w:rsidRPr="00290B98">
        <w:t xml:space="preserve">).  </w:t>
      </w:r>
      <w:r w:rsidRPr="00290B98">
        <w:rPr>
          <w:i/>
        </w:rPr>
        <w:t>Sborník přednášek a článků k novému občanskému zákoníku (2013-2014)</w:t>
      </w:r>
      <w:r w:rsidRPr="00290B98">
        <w:t>. Praha: PS JČP, 2014, s. 132-133.</w:t>
      </w:r>
    </w:p>
  </w:footnote>
  <w:footnote w:id="31">
    <w:p w:rsidR="00967270" w:rsidRDefault="00967270" w:rsidP="00AB3445">
      <w:pPr>
        <w:pStyle w:val="Textpoznpodarou"/>
        <w:spacing w:after="0" w:line="240" w:lineRule="auto"/>
      </w:pPr>
      <w:r>
        <w:rPr>
          <w:rStyle w:val="Znakapoznpodarou"/>
        </w:rPr>
        <w:footnoteRef/>
      </w:r>
      <w:r>
        <w:t xml:space="preserve"> </w:t>
      </w:r>
      <w:r w:rsidRPr="00AB3445">
        <w:t>Důvodová zpráva k NOZ, s.</w:t>
      </w:r>
      <w:r>
        <w:t xml:space="preserve"> 393. Deklarovaná systematika podle právní síly je narušena v § 1491 NOZ a druhém dílu úpravy dědického práva, kde je závěť předřazena dědické smlouvě, což se stalo předmětem kritiky odborné veřejnosti. Blíže např. </w:t>
      </w:r>
      <w:r w:rsidRPr="0072521F">
        <w:t xml:space="preserve">KARHANOVÁ, Martina. Závěť v návrhu nového kodexu občanského práva. Několik poznámek k dědické smlouvě. </w:t>
      </w:r>
      <w:r w:rsidRPr="0072521F">
        <w:rPr>
          <w:i/>
        </w:rPr>
        <w:t>Právní rozhledy</w:t>
      </w:r>
      <w:r w:rsidRPr="0072521F">
        <w:t>, 2007, roč. 15, č. 5, s. 157.</w:t>
      </w:r>
      <w:r>
        <w:t xml:space="preserve"> De lege </w:t>
      </w:r>
      <w:proofErr w:type="spellStart"/>
      <w:r>
        <w:t>ferenda</w:t>
      </w:r>
      <w:proofErr w:type="spellEnd"/>
      <w:r>
        <w:t xml:space="preserve"> lze doporučit zákonodárci sjednocení obou hledisek.</w:t>
      </w:r>
    </w:p>
  </w:footnote>
  <w:footnote w:id="32">
    <w:p w:rsidR="00967270" w:rsidRDefault="00967270" w:rsidP="000A5470">
      <w:pPr>
        <w:pStyle w:val="Textpoznpodarou"/>
        <w:spacing w:after="0" w:line="240" w:lineRule="auto"/>
      </w:pPr>
      <w:r>
        <w:rPr>
          <w:rStyle w:val="Znakapoznpodarou"/>
        </w:rPr>
        <w:footnoteRef/>
      </w:r>
      <w:r>
        <w:t xml:space="preserve"> Důvodová zpráva k NOZ, s. 369. </w:t>
      </w:r>
    </w:p>
  </w:footnote>
  <w:footnote w:id="33">
    <w:p w:rsidR="00967270" w:rsidRDefault="00967270" w:rsidP="00114EB5">
      <w:pPr>
        <w:pStyle w:val="Textpoznpodarou"/>
        <w:spacing w:after="0" w:line="240" w:lineRule="auto"/>
      </w:pPr>
      <w:r>
        <w:rPr>
          <w:rStyle w:val="Znakapoznpodarou"/>
        </w:rPr>
        <w:footnoteRef/>
      </w:r>
      <w:r>
        <w:t xml:space="preserve"> </w:t>
      </w:r>
      <w:r w:rsidRPr="00E600D8">
        <w:t xml:space="preserve">DOBEŠOVÁ, Lenka. Dědická smlouva, aneb „staronový dědický titul“. </w:t>
      </w:r>
      <w:r w:rsidRPr="00DF7D97">
        <w:rPr>
          <w:i/>
        </w:rPr>
        <w:t>Časopis pro právní vědu a praxi</w:t>
      </w:r>
      <w:r w:rsidRPr="00E600D8">
        <w:t>, 2012, roč. XX, č. 3, s. 296.</w:t>
      </w:r>
    </w:p>
  </w:footnote>
  <w:footnote w:id="34">
    <w:p w:rsidR="00967270" w:rsidRDefault="00967270" w:rsidP="00BA3032">
      <w:pPr>
        <w:pStyle w:val="Textpoznpodarou"/>
        <w:spacing w:after="0" w:line="240" w:lineRule="auto"/>
      </w:pPr>
      <w:r>
        <w:rPr>
          <w:rStyle w:val="Znakapoznpodarou"/>
        </w:rPr>
        <w:footnoteRef/>
      </w:r>
      <w:r>
        <w:t xml:space="preserve"> </w:t>
      </w:r>
      <w:r w:rsidRPr="00BA3032">
        <w:t xml:space="preserve">HURDÍK, Jan, LAVICKÝ, Petr. </w:t>
      </w:r>
      <w:r w:rsidRPr="00BA3032">
        <w:rPr>
          <w:i/>
        </w:rPr>
        <w:t>Systém zásad soukromého práva</w:t>
      </w:r>
      <w:r w:rsidRPr="00BA3032">
        <w:t>. Brno: Masarykova uni</w:t>
      </w:r>
      <w:r>
        <w:t>verzita v Brně, 2010, s. 87</w:t>
      </w:r>
      <w:r w:rsidRPr="00BA3032">
        <w:t>.</w:t>
      </w:r>
    </w:p>
  </w:footnote>
  <w:footnote w:id="35">
    <w:p w:rsidR="00967270" w:rsidRDefault="00967270" w:rsidP="00416217">
      <w:pPr>
        <w:pStyle w:val="Textpoznpodarou"/>
        <w:spacing w:after="0" w:line="240" w:lineRule="auto"/>
      </w:pPr>
      <w:r>
        <w:rPr>
          <w:rStyle w:val="Znakapoznpodarou"/>
        </w:rPr>
        <w:footnoteRef/>
      </w:r>
      <w:r>
        <w:t xml:space="preserve"> BEZOUŠKA, Petr. Civilněprávní otázky testovací svobody. </w:t>
      </w:r>
      <w:r w:rsidRPr="003B4356">
        <w:rPr>
          <w:i/>
        </w:rPr>
        <w:t>Právník</w:t>
      </w:r>
      <w:r>
        <w:t>, 2014, roč. 153, č. 10, s. 817.</w:t>
      </w:r>
    </w:p>
  </w:footnote>
  <w:footnote w:id="36">
    <w:p w:rsidR="00967270" w:rsidRDefault="00967270" w:rsidP="009E283D">
      <w:pPr>
        <w:pStyle w:val="Textpoznpodarou"/>
        <w:spacing w:after="0" w:line="240" w:lineRule="auto"/>
      </w:pPr>
      <w:r>
        <w:rPr>
          <w:rStyle w:val="Znakapoznpodarou"/>
        </w:rPr>
        <w:footnoteRef/>
      </w:r>
      <w:r>
        <w:t xml:space="preserve"> Srovnej § 1590 NOZ.</w:t>
      </w:r>
    </w:p>
  </w:footnote>
  <w:footnote w:id="37">
    <w:p w:rsidR="00967270" w:rsidRDefault="00967270" w:rsidP="003B4356">
      <w:pPr>
        <w:pStyle w:val="Textpoznpodarou"/>
        <w:spacing w:after="0" w:line="240" w:lineRule="auto"/>
      </w:pPr>
      <w:r>
        <w:rPr>
          <w:rStyle w:val="Znakapoznpodarou"/>
        </w:rPr>
        <w:footnoteRef/>
      </w:r>
      <w:r>
        <w:t xml:space="preserve"> BEZOUŠKA: </w:t>
      </w:r>
      <w:r w:rsidRPr="004A5084">
        <w:rPr>
          <w:i/>
        </w:rPr>
        <w:t>Civilněprávní</w:t>
      </w:r>
      <w:r>
        <w:t xml:space="preserve">…, </w:t>
      </w:r>
      <w:r w:rsidRPr="003B4356">
        <w:t>s. 817.</w:t>
      </w:r>
    </w:p>
  </w:footnote>
  <w:footnote w:id="38">
    <w:p w:rsidR="00967270" w:rsidRDefault="00967270" w:rsidP="00DF7D97">
      <w:pPr>
        <w:pStyle w:val="Textpoznpodarou"/>
        <w:spacing w:after="0" w:line="240" w:lineRule="auto"/>
      </w:pPr>
      <w:r>
        <w:rPr>
          <w:rStyle w:val="Znakapoznpodarou"/>
        </w:rPr>
        <w:footnoteRef/>
      </w:r>
      <w:r>
        <w:t xml:space="preserve"> HURDÍK, LAVICKÝ: </w:t>
      </w:r>
      <w:r w:rsidRPr="00DF7D97">
        <w:rPr>
          <w:i/>
        </w:rPr>
        <w:t>Systém zásad</w:t>
      </w:r>
      <w:r>
        <w:t xml:space="preserve">…, </w:t>
      </w:r>
      <w:r w:rsidRPr="00DF7D97">
        <w:t>s. 87</w:t>
      </w:r>
      <w:r>
        <w:t>-88</w:t>
      </w:r>
      <w:r w:rsidRPr="00DF7D97">
        <w:t>.</w:t>
      </w:r>
    </w:p>
  </w:footnote>
  <w:footnote w:id="39">
    <w:p w:rsidR="00967270" w:rsidRPr="0012600F" w:rsidRDefault="00967270" w:rsidP="00522217">
      <w:pPr>
        <w:pStyle w:val="Textpoznpodarou"/>
        <w:spacing w:after="0" w:line="240" w:lineRule="auto"/>
      </w:pPr>
      <w:r>
        <w:rPr>
          <w:rStyle w:val="Znakapoznpodarou"/>
        </w:rPr>
        <w:footnoteRef/>
      </w:r>
      <w:r>
        <w:t xml:space="preserve"> ELŠÍK, Petr. Několik úvah k dědické smlouvě ve vládním návrhu nového občanského zákoníku. </w:t>
      </w:r>
      <w:r w:rsidRPr="0012600F">
        <w:rPr>
          <w:i/>
        </w:rPr>
        <w:t xml:space="preserve">Ad </w:t>
      </w:r>
      <w:proofErr w:type="spellStart"/>
      <w:r w:rsidRPr="0012600F">
        <w:rPr>
          <w:i/>
        </w:rPr>
        <w:t>Notam</w:t>
      </w:r>
      <w:proofErr w:type="spellEnd"/>
      <w:r w:rsidRPr="0012600F">
        <w:rPr>
          <w:i/>
        </w:rPr>
        <w:t xml:space="preserve">, </w:t>
      </w:r>
      <w:r w:rsidRPr="0012600F">
        <w:t>2011, roč. 17, č. 5, s. 5.</w:t>
      </w:r>
    </w:p>
  </w:footnote>
  <w:footnote w:id="40">
    <w:p w:rsidR="00967270" w:rsidRPr="00ED42D1" w:rsidRDefault="00967270" w:rsidP="002A31A6">
      <w:pPr>
        <w:pStyle w:val="Textpoznpodarou"/>
        <w:spacing w:after="0" w:line="240" w:lineRule="auto"/>
      </w:pPr>
      <w:r>
        <w:rPr>
          <w:rStyle w:val="Znakapoznpodarou"/>
        </w:rPr>
        <w:footnoteRef/>
      </w:r>
      <w:r>
        <w:t xml:space="preserve"> </w:t>
      </w:r>
      <w:r w:rsidRPr="00ED42D1">
        <w:t xml:space="preserve">DOSTALÍK, Petr. Dědická instituce jako základní obsahová náležitost testamentu. </w:t>
      </w:r>
      <w:r w:rsidRPr="00ED42D1">
        <w:rPr>
          <w:i/>
        </w:rPr>
        <w:t>Časopis pro právní vědu a</w:t>
      </w:r>
      <w:r>
        <w:t> </w:t>
      </w:r>
      <w:r w:rsidRPr="00ED42D1">
        <w:rPr>
          <w:i/>
        </w:rPr>
        <w:t xml:space="preserve"> praxi</w:t>
      </w:r>
      <w:r w:rsidRPr="00ED42D1">
        <w:t>, 2012, roč. 20, č. 3, s. 279</w:t>
      </w:r>
      <w:r>
        <w:t>.</w:t>
      </w:r>
    </w:p>
  </w:footnote>
  <w:footnote w:id="41">
    <w:p w:rsidR="00967270" w:rsidRDefault="00967270" w:rsidP="00E036B5">
      <w:pPr>
        <w:pStyle w:val="Textpoznpodarou"/>
        <w:spacing w:after="0" w:line="240" w:lineRule="auto"/>
      </w:pPr>
      <w:r>
        <w:rPr>
          <w:rStyle w:val="Znakapoznpodarou"/>
        </w:rPr>
        <w:footnoteRef/>
      </w:r>
      <w:r>
        <w:t xml:space="preserve"> </w:t>
      </w:r>
      <w:r w:rsidRPr="001641D8">
        <w:t xml:space="preserve">SVOBODA, KLIČKA: </w:t>
      </w:r>
      <w:proofErr w:type="gramStart"/>
      <w:r w:rsidRPr="001641D8">
        <w:rPr>
          <w:i/>
        </w:rPr>
        <w:t>Dědické</w:t>
      </w:r>
      <w:r>
        <w:t>..., s.</w:t>
      </w:r>
      <w:proofErr w:type="gramEnd"/>
      <w:r>
        <w:t xml:space="preserve"> 73</w:t>
      </w:r>
      <w:r w:rsidRPr="00E036B5">
        <w:t>.</w:t>
      </w:r>
    </w:p>
  </w:footnote>
  <w:footnote w:id="42">
    <w:p w:rsidR="00967270" w:rsidRPr="007F716C" w:rsidRDefault="00967270" w:rsidP="00ED42D1">
      <w:pPr>
        <w:pStyle w:val="Textpoznpodarou"/>
        <w:spacing w:after="0" w:line="240" w:lineRule="auto"/>
      </w:pPr>
      <w:r>
        <w:rPr>
          <w:rStyle w:val="Znakapoznpodarou"/>
        </w:rPr>
        <w:footnoteRef/>
      </w:r>
      <w:r>
        <w:t xml:space="preserve"> </w:t>
      </w:r>
      <w:r w:rsidRPr="007F716C">
        <w:t>Důvodová zpráva k NOZ, s. 370.</w:t>
      </w:r>
    </w:p>
  </w:footnote>
  <w:footnote w:id="43">
    <w:p w:rsidR="00967270" w:rsidRPr="007F716C" w:rsidRDefault="00967270" w:rsidP="00C113D6">
      <w:pPr>
        <w:pStyle w:val="Textpoznpodarou"/>
        <w:spacing w:after="0" w:line="240" w:lineRule="auto"/>
      </w:pPr>
      <w:r w:rsidRPr="007F716C">
        <w:rPr>
          <w:rStyle w:val="Znakapoznpodarou"/>
        </w:rPr>
        <w:footnoteRef/>
      </w:r>
      <w:r w:rsidRPr="007F716C">
        <w:t xml:space="preserve"> Tamtéž, s. 359.</w:t>
      </w:r>
    </w:p>
  </w:footnote>
  <w:footnote w:id="44">
    <w:p w:rsidR="00967270" w:rsidRDefault="00967270" w:rsidP="007466BB">
      <w:pPr>
        <w:pStyle w:val="Textpoznpodarou"/>
        <w:spacing w:after="0" w:line="240" w:lineRule="auto"/>
      </w:pPr>
      <w:r>
        <w:rPr>
          <w:rStyle w:val="Znakapoznpodarou"/>
        </w:rPr>
        <w:footnoteRef/>
      </w:r>
      <w:r>
        <w:t xml:space="preserve"> </w:t>
      </w:r>
      <w:r w:rsidRPr="007F716C">
        <w:t xml:space="preserve">ŠVESTKA, DVOŘÁK, FIALA: </w:t>
      </w:r>
      <w:r w:rsidRPr="007F716C">
        <w:rPr>
          <w:i/>
        </w:rPr>
        <w:t>Občanský</w:t>
      </w:r>
      <w:r>
        <w:t>…, s. 80</w:t>
      </w:r>
      <w:r w:rsidRPr="0075760F">
        <w:t>.</w:t>
      </w:r>
    </w:p>
  </w:footnote>
  <w:footnote w:id="45">
    <w:p w:rsidR="00967270" w:rsidRDefault="00967270" w:rsidP="006F5FB0">
      <w:pPr>
        <w:pStyle w:val="Textpoznpodarou"/>
        <w:spacing w:after="0" w:line="240" w:lineRule="auto"/>
      </w:pPr>
      <w:r>
        <w:rPr>
          <w:rStyle w:val="Znakapoznpodarou"/>
        </w:rPr>
        <w:footnoteRef/>
      </w:r>
      <w:r>
        <w:t xml:space="preserve"> Tamtéž</w:t>
      </w:r>
      <w:r w:rsidRPr="006F5FB0">
        <w:t>.</w:t>
      </w:r>
    </w:p>
  </w:footnote>
  <w:footnote w:id="46">
    <w:p w:rsidR="00967270" w:rsidRPr="002278F6" w:rsidRDefault="00967270" w:rsidP="0055313F">
      <w:pPr>
        <w:pStyle w:val="Textpoznpodarou"/>
        <w:spacing w:after="0" w:line="240" w:lineRule="auto"/>
        <w:rPr>
          <w:color w:val="FF0000"/>
        </w:rPr>
      </w:pPr>
      <w:r>
        <w:rPr>
          <w:rStyle w:val="Znakapoznpodarou"/>
        </w:rPr>
        <w:footnoteRef/>
      </w:r>
      <w:r>
        <w:t xml:space="preserve"> </w:t>
      </w:r>
      <w:r w:rsidRPr="00142F7F">
        <w:t>Důvodová zpráva k NOZ, s.</w:t>
      </w:r>
      <w:r>
        <w:t xml:space="preserve"> 396-397. </w:t>
      </w:r>
      <w:r w:rsidRPr="00F4239F">
        <w:t xml:space="preserve">K rozlišení dědice a </w:t>
      </w:r>
      <w:proofErr w:type="spellStart"/>
      <w:r w:rsidRPr="00F4239F">
        <w:t>odkazovníka</w:t>
      </w:r>
      <w:proofErr w:type="spellEnd"/>
      <w:r w:rsidRPr="00F4239F">
        <w:t xml:space="preserve"> </w:t>
      </w:r>
      <w:proofErr w:type="gramStart"/>
      <w:r w:rsidRPr="00F4239F">
        <w:t>viz. kapitola</w:t>
      </w:r>
      <w:proofErr w:type="gramEnd"/>
      <w:r w:rsidRPr="00F4239F">
        <w:t xml:space="preserve"> 5.1</w:t>
      </w:r>
      <w:r>
        <w:t>.</w:t>
      </w:r>
    </w:p>
  </w:footnote>
  <w:footnote w:id="47">
    <w:p w:rsidR="00967270" w:rsidRDefault="00967270" w:rsidP="00D15535">
      <w:pPr>
        <w:pStyle w:val="Textpoznpodarou"/>
        <w:spacing w:after="0" w:line="240" w:lineRule="auto"/>
      </w:pPr>
      <w:r>
        <w:rPr>
          <w:rStyle w:val="Znakapoznpodarou"/>
        </w:rPr>
        <w:footnoteRef/>
      </w:r>
      <w:r>
        <w:t xml:space="preserve"> </w:t>
      </w:r>
      <w:r w:rsidRPr="00577F30">
        <w:t xml:space="preserve">Rozhodnutí </w:t>
      </w:r>
      <w:r>
        <w:t xml:space="preserve">NS ČSR ze dne </w:t>
      </w:r>
      <w:proofErr w:type="gramStart"/>
      <w:r>
        <w:t>29.9.</w:t>
      </w:r>
      <w:r w:rsidRPr="00577F30">
        <w:t>1932</w:t>
      </w:r>
      <w:proofErr w:type="gramEnd"/>
      <w:r>
        <w:t>,</w:t>
      </w:r>
      <w:r w:rsidRPr="00577F30">
        <w:t xml:space="preserve"> R I 738/32</w:t>
      </w:r>
      <w:r>
        <w:t>.</w:t>
      </w:r>
    </w:p>
  </w:footnote>
  <w:footnote w:id="48">
    <w:p w:rsidR="00967270" w:rsidRDefault="00967270" w:rsidP="00E46D16">
      <w:pPr>
        <w:pStyle w:val="Textpoznpodarou"/>
        <w:spacing w:after="0" w:line="240" w:lineRule="auto"/>
      </w:pPr>
      <w:r>
        <w:rPr>
          <w:rStyle w:val="Znakapoznpodarou"/>
        </w:rPr>
        <w:footnoteRef/>
      </w:r>
      <w:r>
        <w:t xml:space="preserve"> Rozhodnutí NS ČSR ze dne </w:t>
      </w:r>
      <w:proofErr w:type="gramStart"/>
      <w:r>
        <w:t>7.12.1939</w:t>
      </w:r>
      <w:proofErr w:type="gramEnd"/>
      <w:r>
        <w:t>, R I 701/39.</w:t>
      </w:r>
    </w:p>
  </w:footnote>
  <w:footnote w:id="49">
    <w:p w:rsidR="00967270" w:rsidRDefault="00967270" w:rsidP="00FF502A">
      <w:pPr>
        <w:pStyle w:val="Textpoznpodarou"/>
        <w:spacing w:after="0" w:line="240" w:lineRule="auto"/>
      </w:pPr>
      <w:r>
        <w:rPr>
          <w:rStyle w:val="Znakapoznpodarou"/>
        </w:rPr>
        <w:footnoteRef/>
      </w:r>
      <w:r>
        <w:t xml:space="preserve"> MIKEŠ: </w:t>
      </w:r>
      <w:r w:rsidRPr="00031DDD">
        <w:rPr>
          <w:i/>
        </w:rPr>
        <w:t>Dědictví</w:t>
      </w:r>
      <w:r>
        <w:t>…, s. 60-61.</w:t>
      </w:r>
    </w:p>
  </w:footnote>
  <w:footnote w:id="50">
    <w:p w:rsidR="00967270" w:rsidRDefault="00967270" w:rsidP="00C168BA">
      <w:pPr>
        <w:pStyle w:val="Textpoznpodarou"/>
        <w:spacing w:after="0" w:line="240" w:lineRule="auto"/>
      </w:pPr>
      <w:r>
        <w:rPr>
          <w:rStyle w:val="Znakapoznpodarou"/>
        </w:rPr>
        <w:footnoteRef/>
      </w:r>
      <w:r>
        <w:t xml:space="preserve"> </w:t>
      </w:r>
      <w:r w:rsidRPr="00C168BA">
        <w:t xml:space="preserve">MIKEŠ, Jiří, MUZIKÁŘ, Ladislav. </w:t>
      </w:r>
      <w:r w:rsidRPr="00C168BA">
        <w:rPr>
          <w:i/>
        </w:rPr>
        <w:t>Dědické právo v teorii a praxi</w:t>
      </w:r>
      <w:r w:rsidRPr="00C168BA">
        <w:t xml:space="preserve">. Praha: </w:t>
      </w:r>
      <w:proofErr w:type="spellStart"/>
      <w:r w:rsidRPr="00C168BA">
        <w:t>Leges</w:t>
      </w:r>
      <w:proofErr w:type="spellEnd"/>
      <w:r w:rsidRPr="00C168BA">
        <w:t xml:space="preserve">, 2011. </w:t>
      </w:r>
      <w:r>
        <w:t>s. 103-104.</w:t>
      </w:r>
    </w:p>
  </w:footnote>
  <w:footnote w:id="51">
    <w:p w:rsidR="00967270" w:rsidRDefault="00967270" w:rsidP="00C814C4">
      <w:pPr>
        <w:pStyle w:val="Textpoznpodarou"/>
        <w:spacing w:after="0" w:line="240" w:lineRule="auto"/>
      </w:pPr>
      <w:r>
        <w:rPr>
          <w:rStyle w:val="Znakapoznpodarou"/>
        </w:rPr>
        <w:footnoteRef/>
      </w:r>
      <w:r>
        <w:t xml:space="preserve"> SVOBODA, KLIČKA: </w:t>
      </w:r>
      <w:proofErr w:type="gramStart"/>
      <w:r w:rsidRPr="0005553C">
        <w:rPr>
          <w:i/>
        </w:rPr>
        <w:t>Dědické</w:t>
      </w:r>
      <w:r>
        <w:t>..., s.</w:t>
      </w:r>
      <w:proofErr w:type="gramEnd"/>
      <w:r>
        <w:t xml:space="preserve"> 62.</w:t>
      </w:r>
    </w:p>
  </w:footnote>
  <w:footnote w:id="52">
    <w:p w:rsidR="00967270" w:rsidRDefault="00967270" w:rsidP="00445EE3">
      <w:pPr>
        <w:pStyle w:val="Textpoznpodarou"/>
        <w:tabs>
          <w:tab w:val="left" w:pos="567"/>
        </w:tabs>
        <w:spacing w:after="0" w:line="240" w:lineRule="auto"/>
      </w:pPr>
      <w:r>
        <w:rPr>
          <w:rStyle w:val="Znakapoznpodarou"/>
        </w:rPr>
        <w:footnoteRef/>
      </w:r>
      <w:r>
        <w:t xml:space="preserve"> Rozhodnutí NS ČR ze dne 19.12.2001, </w:t>
      </w:r>
      <w:proofErr w:type="spellStart"/>
      <w:proofErr w:type="gramStart"/>
      <w:r>
        <w:t>sp.</w:t>
      </w:r>
      <w:r w:rsidRPr="009D383A">
        <w:t>zn</w:t>
      </w:r>
      <w:proofErr w:type="spellEnd"/>
      <w:r w:rsidRPr="009D383A">
        <w:t>.</w:t>
      </w:r>
      <w:proofErr w:type="gramEnd"/>
      <w:r w:rsidRPr="009D383A">
        <w:t xml:space="preserve"> 30 </w:t>
      </w:r>
      <w:proofErr w:type="spellStart"/>
      <w:r w:rsidRPr="009D383A">
        <w:t>Cdo</w:t>
      </w:r>
      <w:proofErr w:type="spellEnd"/>
      <w:r w:rsidRPr="009D383A">
        <w:t xml:space="preserve"> 1975/2001</w:t>
      </w:r>
      <w:r>
        <w:t>.</w:t>
      </w:r>
      <w:r w:rsidRPr="002B1301">
        <w:t xml:space="preserve"> </w:t>
      </w:r>
      <w:r>
        <w:t xml:space="preserve">Otázkou však je, zda ustanovený </w:t>
      </w:r>
      <w:proofErr w:type="spellStart"/>
      <w:r>
        <w:t>písmoznalec</w:t>
      </w:r>
      <w:proofErr w:type="spellEnd"/>
      <w:r>
        <w:t xml:space="preserve"> bude schopen prokázat, zda jde skutečně o písemný projev zůstavitele, když nebude mít k porovnání jiné listiny sepsané nedominantní rukou.</w:t>
      </w:r>
    </w:p>
  </w:footnote>
  <w:footnote w:id="53">
    <w:p w:rsidR="00967270" w:rsidRDefault="00967270" w:rsidP="00362D65">
      <w:pPr>
        <w:pStyle w:val="Textpoznpodarou"/>
        <w:spacing w:after="0" w:line="240" w:lineRule="auto"/>
      </w:pPr>
      <w:r>
        <w:rPr>
          <w:rStyle w:val="Znakapoznpodarou"/>
        </w:rPr>
        <w:footnoteRef/>
      </w:r>
      <w:r>
        <w:t xml:space="preserve"> Rozhodnutí NS ČR ze dne 3.4.2008, </w:t>
      </w:r>
      <w:proofErr w:type="spellStart"/>
      <w:proofErr w:type="gramStart"/>
      <w:r>
        <w:t>sp.zn</w:t>
      </w:r>
      <w:proofErr w:type="spellEnd"/>
      <w:r>
        <w:t>.</w:t>
      </w:r>
      <w:proofErr w:type="gramEnd"/>
      <w:r>
        <w:t xml:space="preserve"> 21 </w:t>
      </w:r>
      <w:proofErr w:type="spellStart"/>
      <w:r>
        <w:t>Cdo</w:t>
      </w:r>
      <w:proofErr w:type="spellEnd"/>
      <w:r>
        <w:t xml:space="preserve"> 1744/2007.</w:t>
      </w:r>
    </w:p>
  </w:footnote>
  <w:footnote w:id="54">
    <w:p w:rsidR="00967270" w:rsidRDefault="00967270" w:rsidP="00692D1B">
      <w:pPr>
        <w:pStyle w:val="Textpoznpodarou"/>
        <w:spacing w:after="0" w:line="240" w:lineRule="auto"/>
      </w:pPr>
      <w:r>
        <w:rPr>
          <w:rStyle w:val="Znakapoznpodarou"/>
        </w:rPr>
        <w:footnoteRef/>
      </w:r>
      <w:r>
        <w:t xml:space="preserve"> </w:t>
      </w:r>
      <w:r w:rsidRPr="00692D1B">
        <w:t xml:space="preserve">GSCHNITZER, Franz, FAISTENBERGER, </w:t>
      </w:r>
      <w:proofErr w:type="spellStart"/>
      <w:r w:rsidRPr="009E658E">
        <w:t>Christoph</w:t>
      </w:r>
      <w:proofErr w:type="spellEnd"/>
      <w:r w:rsidRPr="00692D1B">
        <w:rPr>
          <w:i/>
        </w:rPr>
        <w:t xml:space="preserve">. </w:t>
      </w:r>
      <w:proofErr w:type="spellStart"/>
      <w:r w:rsidRPr="00692D1B">
        <w:rPr>
          <w:i/>
        </w:rPr>
        <w:t>Österreichisches</w:t>
      </w:r>
      <w:proofErr w:type="spellEnd"/>
      <w:r w:rsidRPr="00692D1B">
        <w:rPr>
          <w:i/>
        </w:rPr>
        <w:t xml:space="preserve"> </w:t>
      </w:r>
      <w:proofErr w:type="spellStart"/>
      <w:r w:rsidRPr="00692D1B">
        <w:rPr>
          <w:i/>
        </w:rPr>
        <w:t>Erbrecht</w:t>
      </w:r>
      <w:proofErr w:type="spellEnd"/>
      <w:r w:rsidRPr="00692D1B">
        <w:t xml:space="preserve">. 2. vydání. </w:t>
      </w:r>
      <w:proofErr w:type="spellStart"/>
      <w:r w:rsidRPr="00692D1B">
        <w:t>Wien</w:t>
      </w:r>
      <w:proofErr w:type="spellEnd"/>
      <w:r w:rsidRPr="00692D1B">
        <w:t>; New Yo</w:t>
      </w:r>
      <w:r>
        <w:t xml:space="preserve">rk: </w:t>
      </w:r>
      <w:proofErr w:type="spellStart"/>
      <w:r>
        <w:t>Springer-Verlag</w:t>
      </w:r>
      <w:proofErr w:type="spellEnd"/>
      <w:r>
        <w:t>, 1983, s. 40</w:t>
      </w:r>
      <w:r w:rsidRPr="00692D1B">
        <w:t>.</w:t>
      </w:r>
    </w:p>
  </w:footnote>
  <w:footnote w:id="55">
    <w:p w:rsidR="00967270" w:rsidRPr="00270AC0" w:rsidRDefault="00967270" w:rsidP="001227F2">
      <w:pPr>
        <w:pStyle w:val="Textpoznpodarou"/>
        <w:spacing w:after="0" w:line="240" w:lineRule="auto"/>
        <w:rPr>
          <w:color w:val="FF0000"/>
        </w:rPr>
      </w:pPr>
      <w:r>
        <w:rPr>
          <w:rStyle w:val="Znakapoznpodarou"/>
        </w:rPr>
        <w:footnoteRef/>
      </w:r>
      <w:r>
        <w:t xml:space="preserve"> </w:t>
      </w:r>
      <w:r w:rsidRPr="008E5523">
        <w:t>KARHANOVÁ, Martina. Podpis, jeho forma a umístění, aneb podpis jako podstatná náležitost právních úkonů (zejména</w:t>
      </w:r>
      <w:r>
        <w:t xml:space="preserve"> závěti) ve světle judikatury. </w:t>
      </w:r>
      <w:r w:rsidRPr="008E5523">
        <w:rPr>
          <w:i/>
        </w:rPr>
        <w:t>Právní rozhledy</w:t>
      </w:r>
      <w:r w:rsidRPr="008E5523">
        <w:t>, 20</w:t>
      </w:r>
      <w:r>
        <w:t xml:space="preserve">11, roč. 19, č. 20, </w:t>
      </w:r>
      <w:r w:rsidRPr="00B953E1">
        <w:t>s. 719</w:t>
      </w:r>
      <w:r>
        <w:t>.</w:t>
      </w:r>
    </w:p>
  </w:footnote>
  <w:footnote w:id="56">
    <w:p w:rsidR="00967270" w:rsidRDefault="00967270" w:rsidP="001227F2">
      <w:pPr>
        <w:pStyle w:val="Textpoznpodarou"/>
        <w:spacing w:after="0" w:line="240" w:lineRule="auto"/>
      </w:pPr>
      <w:r>
        <w:rPr>
          <w:rStyle w:val="Znakapoznpodarou"/>
        </w:rPr>
        <w:footnoteRef/>
      </w:r>
      <w:r>
        <w:t xml:space="preserve"> Rozhodnutí NS ČSR ze dne 27.1.1983, </w:t>
      </w:r>
      <w:proofErr w:type="spellStart"/>
      <w:proofErr w:type="gramStart"/>
      <w:r>
        <w:t>sp.zn</w:t>
      </w:r>
      <w:proofErr w:type="spellEnd"/>
      <w:r>
        <w:t>.</w:t>
      </w:r>
      <w:proofErr w:type="gramEnd"/>
      <w:r>
        <w:t xml:space="preserve"> 4 </w:t>
      </w:r>
      <w:proofErr w:type="spellStart"/>
      <w:r>
        <w:t>Cz</w:t>
      </w:r>
      <w:proofErr w:type="spellEnd"/>
      <w:r>
        <w:t xml:space="preserve"> 82/82.</w:t>
      </w:r>
    </w:p>
  </w:footnote>
  <w:footnote w:id="57">
    <w:p w:rsidR="00967270" w:rsidRPr="00CF1060" w:rsidRDefault="00967270" w:rsidP="001227F2">
      <w:pPr>
        <w:pStyle w:val="Textpoznpodarou"/>
        <w:spacing w:after="0" w:line="240" w:lineRule="auto"/>
        <w:rPr>
          <w:color w:val="FF0000"/>
        </w:rPr>
      </w:pPr>
      <w:r>
        <w:rPr>
          <w:rStyle w:val="Znakapoznpodarou"/>
        </w:rPr>
        <w:footnoteRef/>
      </w:r>
      <w:r>
        <w:t xml:space="preserve"> </w:t>
      </w:r>
      <w:r w:rsidRPr="00EE34DE">
        <w:t xml:space="preserve">Rozhodnutí </w:t>
      </w:r>
      <w:r>
        <w:t xml:space="preserve">NS ČSR </w:t>
      </w:r>
      <w:r w:rsidRPr="00EE34DE">
        <w:t xml:space="preserve">ze dne </w:t>
      </w:r>
      <w:proofErr w:type="gramStart"/>
      <w:r w:rsidRPr="00EE34DE">
        <w:t>1.6.1929</w:t>
      </w:r>
      <w:proofErr w:type="gramEnd"/>
      <w:r>
        <w:t>,</w:t>
      </w:r>
      <w:r w:rsidRPr="00EE34DE">
        <w:t xml:space="preserve"> R II 572/28</w:t>
      </w:r>
      <w:r>
        <w:t>.</w:t>
      </w:r>
    </w:p>
  </w:footnote>
  <w:footnote w:id="58">
    <w:p w:rsidR="00967270" w:rsidRDefault="00967270" w:rsidP="001227F2">
      <w:pPr>
        <w:pStyle w:val="Textpoznpodarou"/>
        <w:spacing w:after="0" w:line="240" w:lineRule="auto"/>
      </w:pPr>
      <w:r>
        <w:rPr>
          <w:rStyle w:val="Znakapoznpodarou"/>
        </w:rPr>
        <w:footnoteRef/>
      </w:r>
      <w:r>
        <w:t xml:space="preserve"> </w:t>
      </w:r>
      <w:r w:rsidRPr="005713AE">
        <w:t xml:space="preserve">MELZER, Filip. </w:t>
      </w:r>
      <w:r w:rsidRPr="005713AE">
        <w:rPr>
          <w:i/>
        </w:rPr>
        <w:t>Metodologie nalézání práva. Úvod do právní argumentace</w:t>
      </w:r>
      <w:r w:rsidRPr="005713AE">
        <w:t>. 1. vydání.</w:t>
      </w:r>
      <w:r>
        <w:t xml:space="preserve"> Praha: C. H. Beck, 2010, s. </w:t>
      </w:r>
      <w:r w:rsidRPr="005713AE">
        <w:t>100.</w:t>
      </w:r>
    </w:p>
  </w:footnote>
  <w:footnote w:id="59">
    <w:p w:rsidR="00967270" w:rsidRDefault="00967270" w:rsidP="001227F2">
      <w:pPr>
        <w:pStyle w:val="Textpoznpodarou"/>
        <w:spacing w:after="0" w:line="240" w:lineRule="auto"/>
      </w:pPr>
      <w:r>
        <w:rPr>
          <w:rStyle w:val="Znakapoznpodarou"/>
        </w:rPr>
        <w:footnoteRef/>
      </w:r>
      <w:r>
        <w:t xml:space="preserve"> SVOBODA, Jiří. In SVOBODA, KLIČKA: </w:t>
      </w:r>
      <w:proofErr w:type="gramStart"/>
      <w:r w:rsidRPr="00276F71">
        <w:rPr>
          <w:i/>
        </w:rPr>
        <w:t>Dědické...</w:t>
      </w:r>
      <w:r>
        <w:t xml:space="preserve">, </w:t>
      </w:r>
      <w:r w:rsidRPr="00F936BD">
        <w:t>s.</w:t>
      </w:r>
      <w:proofErr w:type="gramEnd"/>
      <w:r w:rsidRPr="00F936BD">
        <w:t xml:space="preserve"> 63.</w:t>
      </w:r>
    </w:p>
  </w:footnote>
  <w:footnote w:id="60">
    <w:p w:rsidR="00967270" w:rsidRDefault="00967270" w:rsidP="001227F2">
      <w:pPr>
        <w:pStyle w:val="Textpoznpodarou"/>
        <w:spacing w:after="0" w:line="240" w:lineRule="auto"/>
      </w:pPr>
      <w:r>
        <w:rPr>
          <w:rStyle w:val="Znakapoznpodarou"/>
        </w:rPr>
        <w:footnoteRef/>
      </w:r>
      <w:r>
        <w:t xml:space="preserve"> Usnesení NS ČR ze dne 31.3.2009, </w:t>
      </w:r>
      <w:proofErr w:type="spellStart"/>
      <w:proofErr w:type="gramStart"/>
      <w:r>
        <w:t>sp.zn</w:t>
      </w:r>
      <w:proofErr w:type="spellEnd"/>
      <w:r>
        <w:t>.</w:t>
      </w:r>
      <w:proofErr w:type="gramEnd"/>
      <w:r>
        <w:t xml:space="preserve"> 21 </w:t>
      </w:r>
      <w:proofErr w:type="spellStart"/>
      <w:r>
        <w:t>Cdo</w:t>
      </w:r>
      <w:proofErr w:type="spellEnd"/>
      <w:r>
        <w:t xml:space="preserve"> 51/2008. </w:t>
      </w:r>
    </w:p>
  </w:footnote>
  <w:footnote w:id="61">
    <w:p w:rsidR="00967270" w:rsidRDefault="00967270" w:rsidP="001227F2">
      <w:pPr>
        <w:pStyle w:val="Textpoznpodarou"/>
        <w:spacing w:after="0" w:line="240" w:lineRule="auto"/>
      </w:pPr>
      <w:r>
        <w:rPr>
          <w:rStyle w:val="Znakapoznpodarou"/>
        </w:rPr>
        <w:footnoteRef/>
      </w:r>
      <w:r>
        <w:t xml:space="preserve"> MELZER: </w:t>
      </w:r>
      <w:r>
        <w:rPr>
          <w:i/>
        </w:rPr>
        <w:t xml:space="preserve">Metodologie…, </w:t>
      </w:r>
      <w:r>
        <w:t>s. 99-100.</w:t>
      </w:r>
    </w:p>
  </w:footnote>
  <w:footnote w:id="62">
    <w:p w:rsidR="00967270" w:rsidRDefault="00967270" w:rsidP="001227F2">
      <w:pPr>
        <w:pStyle w:val="Textpoznpodarou"/>
        <w:spacing w:after="0" w:line="240" w:lineRule="auto"/>
      </w:pPr>
      <w:r>
        <w:rPr>
          <w:rStyle w:val="Znakapoznpodarou"/>
        </w:rPr>
        <w:footnoteRef/>
      </w:r>
      <w:r>
        <w:t xml:space="preserve"> </w:t>
      </w:r>
      <w:r w:rsidRPr="00EB7ECF">
        <w:t xml:space="preserve">KARHANOVÁ: </w:t>
      </w:r>
      <w:r w:rsidRPr="00EB7ECF">
        <w:rPr>
          <w:i/>
        </w:rPr>
        <w:t>Podpis</w:t>
      </w:r>
      <w:r>
        <w:t xml:space="preserve">…, </w:t>
      </w:r>
      <w:r w:rsidRPr="00D16810">
        <w:t xml:space="preserve">s. </w:t>
      </w:r>
      <w:r>
        <w:t>722-</w:t>
      </w:r>
      <w:r w:rsidRPr="00EE34DE">
        <w:t>723.</w:t>
      </w:r>
    </w:p>
  </w:footnote>
  <w:footnote w:id="63">
    <w:p w:rsidR="00967270" w:rsidRDefault="00967270" w:rsidP="001227F2">
      <w:pPr>
        <w:pStyle w:val="Textpoznpodarou"/>
        <w:spacing w:after="0" w:line="240" w:lineRule="auto"/>
      </w:pPr>
      <w:r>
        <w:rPr>
          <w:rStyle w:val="Znakapoznpodarou"/>
        </w:rPr>
        <w:footnoteRef/>
      </w:r>
      <w:r>
        <w:t xml:space="preserve"> </w:t>
      </w:r>
      <w:r w:rsidRPr="00EC1C24">
        <w:t>M</w:t>
      </w:r>
      <w:r>
        <w:t xml:space="preserve">IKEŠ, MUZIKÁŘ: </w:t>
      </w:r>
      <w:r w:rsidRPr="00EC1C24">
        <w:rPr>
          <w:i/>
        </w:rPr>
        <w:t>Dědické</w:t>
      </w:r>
      <w:r>
        <w:t xml:space="preserve">…, </w:t>
      </w:r>
      <w:r w:rsidRPr="005E6369">
        <w:t>s. 69.</w:t>
      </w:r>
    </w:p>
  </w:footnote>
  <w:footnote w:id="64">
    <w:p w:rsidR="00967270" w:rsidRDefault="00967270" w:rsidP="001227F2">
      <w:pPr>
        <w:pStyle w:val="Textpoznpodarou"/>
        <w:spacing w:after="0" w:line="240" w:lineRule="auto"/>
      </w:pPr>
      <w:r>
        <w:rPr>
          <w:rStyle w:val="Znakapoznpodarou"/>
        </w:rPr>
        <w:footnoteRef/>
      </w:r>
      <w:r>
        <w:t xml:space="preserve"> </w:t>
      </w:r>
      <w:r w:rsidRPr="00370F8D">
        <w:t xml:space="preserve">GSCHNITZER, FAISTENBERGER: </w:t>
      </w:r>
      <w:proofErr w:type="spellStart"/>
      <w:r w:rsidRPr="00370F8D">
        <w:rPr>
          <w:i/>
        </w:rPr>
        <w:t>Österreichisches</w:t>
      </w:r>
      <w:proofErr w:type="spellEnd"/>
      <w:r>
        <w:t>…, s. 39</w:t>
      </w:r>
      <w:r w:rsidRPr="00370F8D">
        <w:t>.</w:t>
      </w:r>
    </w:p>
  </w:footnote>
  <w:footnote w:id="65">
    <w:p w:rsidR="00967270" w:rsidRDefault="00967270" w:rsidP="00AB2AD8">
      <w:pPr>
        <w:pStyle w:val="Textpoznpodarou"/>
        <w:spacing w:after="0" w:line="240" w:lineRule="auto"/>
      </w:pPr>
      <w:r>
        <w:rPr>
          <w:rStyle w:val="Znakapoznpodarou"/>
        </w:rPr>
        <w:footnoteRef/>
      </w:r>
      <w:r>
        <w:t xml:space="preserve"> </w:t>
      </w:r>
      <w:r w:rsidRPr="00057B1C">
        <w:t>§ 476 odst. 2 OZ64</w:t>
      </w:r>
      <w:r>
        <w:t>.</w:t>
      </w:r>
    </w:p>
  </w:footnote>
  <w:footnote w:id="66">
    <w:p w:rsidR="00967270" w:rsidRPr="002C241C" w:rsidRDefault="00967270" w:rsidP="00C814C4">
      <w:pPr>
        <w:pStyle w:val="Nadpis4"/>
        <w:tabs>
          <w:tab w:val="left" w:pos="284"/>
        </w:tabs>
        <w:spacing w:before="0" w:after="0" w:line="240" w:lineRule="auto"/>
        <w:rPr>
          <w:rFonts w:ascii="Times New Roman" w:hAnsi="Times New Roman"/>
          <w:b w:val="0"/>
          <w:sz w:val="20"/>
          <w:szCs w:val="20"/>
        </w:rPr>
      </w:pPr>
      <w:r w:rsidRPr="00924F06">
        <w:rPr>
          <w:rStyle w:val="Znakapoznpodarou"/>
          <w:rFonts w:ascii="Times New Roman" w:hAnsi="Times New Roman"/>
          <w:b w:val="0"/>
          <w:sz w:val="20"/>
          <w:szCs w:val="20"/>
        </w:rPr>
        <w:footnoteRef/>
      </w:r>
      <w:r w:rsidRPr="00924F06">
        <w:rPr>
          <w:b w:val="0"/>
        </w:rPr>
        <w:t xml:space="preserve"> </w:t>
      </w:r>
      <w:r w:rsidRPr="00063B23">
        <w:rPr>
          <w:rFonts w:ascii="Times New Roman" w:hAnsi="Times New Roman"/>
          <w:b w:val="0"/>
          <w:sz w:val="20"/>
          <w:szCs w:val="20"/>
        </w:rPr>
        <w:t xml:space="preserve">ŠEŠINA, Martin. Pořízení pro případ smrti podle nového občanského zákoníku. </w:t>
      </w:r>
      <w:r>
        <w:rPr>
          <w:rFonts w:ascii="Times New Roman" w:hAnsi="Times New Roman"/>
          <w:b w:val="0"/>
          <w:i/>
          <w:sz w:val="20"/>
          <w:szCs w:val="20"/>
        </w:rPr>
        <w:t xml:space="preserve">Ad </w:t>
      </w:r>
      <w:proofErr w:type="spellStart"/>
      <w:r>
        <w:rPr>
          <w:rFonts w:ascii="Times New Roman" w:hAnsi="Times New Roman"/>
          <w:b w:val="0"/>
          <w:i/>
          <w:sz w:val="20"/>
          <w:szCs w:val="20"/>
        </w:rPr>
        <w:t>N</w:t>
      </w:r>
      <w:r w:rsidRPr="00063B23">
        <w:rPr>
          <w:rFonts w:ascii="Times New Roman" w:hAnsi="Times New Roman"/>
          <w:b w:val="0"/>
          <w:i/>
          <w:sz w:val="20"/>
          <w:szCs w:val="20"/>
        </w:rPr>
        <w:t>otam</w:t>
      </w:r>
      <w:proofErr w:type="spellEnd"/>
      <w:r w:rsidRPr="00063B23">
        <w:rPr>
          <w:rFonts w:ascii="Times New Roman" w:hAnsi="Times New Roman"/>
          <w:b w:val="0"/>
          <w:i/>
          <w:sz w:val="20"/>
          <w:szCs w:val="20"/>
        </w:rPr>
        <w:t xml:space="preserve">, </w:t>
      </w:r>
      <w:r>
        <w:rPr>
          <w:rFonts w:ascii="Times New Roman" w:hAnsi="Times New Roman"/>
          <w:b w:val="0"/>
          <w:sz w:val="20"/>
          <w:szCs w:val="20"/>
        </w:rPr>
        <w:t>2012</w:t>
      </w:r>
      <w:r w:rsidRPr="00063B23">
        <w:rPr>
          <w:rFonts w:ascii="Times New Roman" w:hAnsi="Times New Roman"/>
          <w:b w:val="0"/>
          <w:sz w:val="20"/>
          <w:szCs w:val="20"/>
        </w:rPr>
        <w:t>, roč. 18,</w:t>
      </w:r>
      <w:r w:rsidRPr="00063B23">
        <w:rPr>
          <w:rFonts w:ascii="Times New Roman" w:hAnsi="Times New Roman"/>
          <w:b w:val="0"/>
          <w:sz w:val="20"/>
          <w:szCs w:val="20"/>
        </w:rPr>
        <w:br/>
      </w:r>
      <w:r>
        <w:rPr>
          <w:rFonts w:ascii="Times New Roman" w:hAnsi="Times New Roman"/>
          <w:b w:val="0"/>
          <w:sz w:val="20"/>
          <w:szCs w:val="20"/>
        </w:rPr>
        <w:t>č. 3, s. 7.</w:t>
      </w:r>
    </w:p>
  </w:footnote>
  <w:footnote w:id="67">
    <w:p w:rsidR="00967270" w:rsidRDefault="00967270" w:rsidP="00F6735A">
      <w:pPr>
        <w:pStyle w:val="Textpoznpodarou"/>
        <w:spacing w:after="0" w:line="240" w:lineRule="auto"/>
      </w:pPr>
      <w:r>
        <w:rPr>
          <w:rStyle w:val="Znakapoznpodarou"/>
        </w:rPr>
        <w:footnoteRef/>
      </w:r>
      <w:r>
        <w:t xml:space="preserve"> SVOBODA, KLIČKA: </w:t>
      </w:r>
      <w:proofErr w:type="gramStart"/>
      <w:r>
        <w:rPr>
          <w:i/>
        </w:rPr>
        <w:t>Dědické..</w:t>
      </w:r>
      <w:r>
        <w:t xml:space="preserve">., </w:t>
      </w:r>
      <w:r w:rsidRPr="002209C2">
        <w:t>s.</w:t>
      </w:r>
      <w:proofErr w:type="gramEnd"/>
      <w:r w:rsidRPr="002209C2">
        <w:t xml:space="preserve"> 62.</w:t>
      </w:r>
    </w:p>
  </w:footnote>
  <w:footnote w:id="68">
    <w:p w:rsidR="00967270" w:rsidRPr="001227F2" w:rsidRDefault="00967270" w:rsidP="0068553A">
      <w:pPr>
        <w:pStyle w:val="Textpoznpodarou"/>
        <w:spacing w:after="0" w:line="240" w:lineRule="auto"/>
      </w:pPr>
      <w:r>
        <w:rPr>
          <w:rStyle w:val="Znakapoznpodarou"/>
        </w:rPr>
        <w:footnoteRef/>
      </w:r>
      <w:r>
        <w:t xml:space="preserve"> Srovnej </w:t>
      </w:r>
      <w:r w:rsidRPr="007C54BE">
        <w:t>RO</w:t>
      </w:r>
      <w:r>
        <w:t xml:space="preserve">UČEK, SEDLÁČEK:  </w:t>
      </w:r>
      <w:r w:rsidRPr="007C54BE">
        <w:rPr>
          <w:i/>
        </w:rPr>
        <w:t>Komentář</w:t>
      </w:r>
      <w:proofErr w:type="gramStart"/>
      <w:r>
        <w:t>…,  s.</w:t>
      </w:r>
      <w:proofErr w:type="gramEnd"/>
      <w:r>
        <w:t xml:space="preserve"> </w:t>
      </w:r>
      <w:r w:rsidRPr="004B2020">
        <w:t>309.</w:t>
      </w:r>
      <w:r>
        <w:t xml:space="preserve"> </w:t>
      </w:r>
      <w:r w:rsidRPr="001227F2">
        <w:t xml:space="preserve">Podobně HULMÁK, Milan, BEZOUŠKA, Petr et al. </w:t>
      </w:r>
      <w:r w:rsidRPr="001227F2">
        <w:rPr>
          <w:i/>
        </w:rPr>
        <w:t>Stará judikatura ve světle nových zákonů</w:t>
      </w:r>
      <w:r w:rsidRPr="001227F2">
        <w:t>. Olomou</w:t>
      </w:r>
      <w:r>
        <w:t xml:space="preserve">c: </w:t>
      </w:r>
      <w:proofErr w:type="spellStart"/>
      <w:r>
        <w:t>Iuridicium</w:t>
      </w:r>
      <w:proofErr w:type="spellEnd"/>
      <w:r>
        <w:t xml:space="preserve"> </w:t>
      </w:r>
      <w:proofErr w:type="spellStart"/>
      <w:r>
        <w:t>Olomoucense</w:t>
      </w:r>
      <w:proofErr w:type="spellEnd"/>
      <w:r>
        <w:t>, 2012,</w:t>
      </w:r>
      <w:r w:rsidRPr="001227F2">
        <w:t xml:space="preserve"> s. 243.</w:t>
      </w:r>
    </w:p>
  </w:footnote>
  <w:footnote w:id="69">
    <w:p w:rsidR="00967270" w:rsidRPr="00ED4C37" w:rsidRDefault="00967270" w:rsidP="006B5C71">
      <w:pPr>
        <w:pStyle w:val="Textpoznpodarou"/>
        <w:spacing w:after="0" w:line="240" w:lineRule="auto"/>
        <w:rPr>
          <w:color w:val="FF0000"/>
        </w:rPr>
      </w:pPr>
      <w:r>
        <w:rPr>
          <w:rStyle w:val="Znakapoznpodarou"/>
        </w:rPr>
        <w:footnoteRef/>
      </w:r>
      <w:r>
        <w:t xml:space="preserve"> RS 1752, </w:t>
      </w:r>
      <w:proofErr w:type="spellStart"/>
      <w:r>
        <w:t>ZBl</w:t>
      </w:r>
      <w:proofErr w:type="spellEnd"/>
      <w:r>
        <w:t>. 196, č. 172.</w:t>
      </w:r>
    </w:p>
  </w:footnote>
  <w:footnote w:id="70">
    <w:p w:rsidR="00967270" w:rsidRDefault="00967270" w:rsidP="00693050">
      <w:pPr>
        <w:pStyle w:val="Textpoznpodarou"/>
        <w:spacing w:after="0" w:line="240" w:lineRule="auto"/>
      </w:pPr>
      <w:r>
        <w:rPr>
          <w:rStyle w:val="Znakapoznpodarou"/>
        </w:rPr>
        <w:footnoteRef/>
      </w:r>
      <w:r>
        <w:t xml:space="preserve"> FIALA, DRÁPAL: </w:t>
      </w:r>
      <w:r>
        <w:rPr>
          <w:i/>
        </w:rPr>
        <w:t xml:space="preserve">Občanský…, </w:t>
      </w:r>
      <w:r>
        <w:t>s. 93-94</w:t>
      </w:r>
      <w:r w:rsidRPr="00693050">
        <w:t>.</w:t>
      </w:r>
    </w:p>
  </w:footnote>
  <w:footnote w:id="71">
    <w:p w:rsidR="00967270" w:rsidRDefault="00967270" w:rsidP="009405F9">
      <w:pPr>
        <w:pStyle w:val="Textpoznpodarou"/>
        <w:spacing w:after="0" w:line="240" w:lineRule="auto"/>
      </w:pPr>
      <w:r>
        <w:rPr>
          <w:rStyle w:val="Znakapoznpodarou"/>
        </w:rPr>
        <w:footnoteRef/>
      </w:r>
      <w:r>
        <w:t xml:space="preserve"> SVOBODA, KLIČKA: </w:t>
      </w:r>
      <w:proofErr w:type="gramStart"/>
      <w:r w:rsidRPr="00276F71">
        <w:rPr>
          <w:i/>
        </w:rPr>
        <w:t>Dědické</w:t>
      </w:r>
      <w:r>
        <w:t xml:space="preserve">..., </w:t>
      </w:r>
      <w:r w:rsidRPr="009405F9">
        <w:t>s.</w:t>
      </w:r>
      <w:proofErr w:type="gramEnd"/>
      <w:r w:rsidRPr="009405F9">
        <w:t xml:space="preserve"> 62.</w:t>
      </w:r>
    </w:p>
  </w:footnote>
  <w:footnote w:id="72">
    <w:p w:rsidR="00967270" w:rsidRDefault="00967270" w:rsidP="004F734F">
      <w:pPr>
        <w:pStyle w:val="Textpoznpodarou"/>
        <w:spacing w:after="0" w:line="240" w:lineRule="auto"/>
      </w:pPr>
      <w:r>
        <w:rPr>
          <w:rStyle w:val="Znakapoznpodarou"/>
        </w:rPr>
        <w:footnoteRef/>
      </w:r>
      <w:r>
        <w:t xml:space="preserve"> Podobně </w:t>
      </w:r>
      <w:r w:rsidRPr="004F734F">
        <w:t xml:space="preserve">PĚCHA, František. Závěť bez data? To bych nedoporučoval! </w:t>
      </w:r>
      <w:r w:rsidRPr="004F734F">
        <w:rPr>
          <w:i/>
        </w:rPr>
        <w:t xml:space="preserve">Ad </w:t>
      </w:r>
      <w:proofErr w:type="spellStart"/>
      <w:r w:rsidRPr="004F734F">
        <w:rPr>
          <w:i/>
        </w:rPr>
        <w:t>Notam</w:t>
      </w:r>
      <w:proofErr w:type="spellEnd"/>
      <w:r w:rsidRPr="004F734F">
        <w:t>, 2013, roč. 19, č. 1, s. 14.</w:t>
      </w:r>
    </w:p>
  </w:footnote>
  <w:footnote w:id="73">
    <w:p w:rsidR="00967270" w:rsidRDefault="00967270" w:rsidP="00EB6A3E">
      <w:pPr>
        <w:pStyle w:val="Textpoznpodarou"/>
        <w:spacing w:after="0" w:line="240" w:lineRule="auto"/>
      </w:pPr>
      <w:r>
        <w:rPr>
          <w:rStyle w:val="Znakapoznpodarou"/>
        </w:rPr>
        <w:footnoteRef/>
      </w:r>
      <w:r>
        <w:t xml:space="preserve"> </w:t>
      </w:r>
      <w:r w:rsidRPr="00276F71">
        <w:t>SVOBODA,</w:t>
      </w:r>
      <w:r>
        <w:t xml:space="preserve"> KLIČKA: </w:t>
      </w:r>
      <w:proofErr w:type="gramStart"/>
      <w:r w:rsidRPr="00276F71">
        <w:rPr>
          <w:i/>
        </w:rPr>
        <w:t>Dědické</w:t>
      </w:r>
      <w:r>
        <w:t>..., s.</w:t>
      </w:r>
      <w:proofErr w:type="gramEnd"/>
      <w:r>
        <w:t xml:space="preserve"> 64-65</w:t>
      </w:r>
      <w:r w:rsidRPr="00E5647A">
        <w:t>.</w:t>
      </w:r>
    </w:p>
  </w:footnote>
  <w:footnote w:id="74">
    <w:p w:rsidR="00967270" w:rsidRDefault="00967270" w:rsidP="00F91BD3">
      <w:pPr>
        <w:pStyle w:val="Textpoznpodarou"/>
        <w:spacing w:after="0" w:line="240" w:lineRule="auto"/>
      </w:pPr>
      <w:r>
        <w:rPr>
          <w:rStyle w:val="Znakapoznpodarou"/>
        </w:rPr>
        <w:footnoteRef/>
      </w:r>
      <w:r>
        <w:t xml:space="preserve"> Rozhodnutí KS ze dne 6.8.1999, </w:t>
      </w:r>
      <w:proofErr w:type="spellStart"/>
      <w:proofErr w:type="gramStart"/>
      <w:r>
        <w:t>sp.zn</w:t>
      </w:r>
      <w:proofErr w:type="spellEnd"/>
      <w:r>
        <w:t>.</w:t>
      </w:r>
      <w:proofErr w:type="gramEnd"/>
      <w:r>
        <w:t xml:space="preserve"> 18 Co 397/1998. </w:t>
      </w:r>
    </w:p>
  </w:footnote>
  <w:footnote w:id="75">
    <w:p w:rsidR="00967270" w:rsidRDefault="00967270" w:rsidP="00F91BD3">
      <w:pPr>
        <w:pStyle w:val="Textpoznpodarou"/>
        <w:spacing w:after="0" w:line="240" w:lineRule="auto"/>
      </w:pPr>
      <w:r>
        <w:rPr>
          <w:rStyle w:val="Znakapoznpodarou"/>
        </w:rPr>
        <w:footnoteRef/>
      </w:r>
      <w:r>
        <w:t xml:space="preserve"> Rozhodnutí NS ČR ze dne 9.5.2000, </w:t>
      </w:r>
      <w:proofErr w:type="spellStart"/>
      <w:proofErr w:type="gramStart"/>
      <w:r>
        <w:t>sp.zn</w:t>
      </w:r>
      <w:proofErr w:type="spellEnd"/>
      <w:r>
        <w:t>.</w:t>
      </w:r>
      <w:proofErr w:type="gramEnd"/>
      <w:r>
        <w:t xml:space="preserve"> 21 </w:t>
      </w:r>
      <w:proofErr w:type="spellStart"/>
      <w:r>
        <w:t>Cdo</w:t>
      </w:r>
      <w:proofErr w:type="spellEnd"/>
      <w:r>
        <w:t xml:space="preserve"> 2985/99. </w:t>
      </w:r>
    </w:p>
  </w:footnote>
  <w:footnote w:id="76">
    <w:p w:rsidR="00967270" w:rsidRDefault="00967270" w:rsidP="001A150A">
      <w:pPr>
        <w:pStyle w:val="Textpoznpodarou"/>
        <w:spacing w:after="0" w:line="240" w:lineRule="auto"/>
      </w:pPr>
      <w:r>
        <w:rPr>
          <w:rStyle w:val="Znakapoznpodarou"/>
        </w:rPr>
        <w:footnoteRef/>
      </w:r>
      <w:r>
        <w:t xml:space="preserve"> ROUČEK, SEDLÁČEK:  </w:t>
      </w:r>
      <w:r w:rsidRPr="003579CF">
        <w:rPr>
          <w:i/>
        </w:rPr>
        <w:t>Komentář</w:t>
      </w:r>
      <w:r>
        <w:t>…, s. 123.</w:t>
      </w:r>
    </w:p>
  </w:footnote>
  <w:footnote w:id="77">
    <w:p w:rsidR="00967270" w:rsidRDefault="00967270" w:rsidP="001A150A">
      <w:pPr>
        <w:pStyle w:val="Textpoznpodarou"/>
        <w:spacing w:after="0" w:line="240" w:lineRule="auto"/>
      </w:pPr>
      <w:r>
        <w:rPr>
          <w:rStyle w:val="Znakapoznpodarou"/>
        </w:rPr>
        <w:footnoteRef/>
      </w:r>
      <w:r>
        <w:t xml:space="preserve"> </w:t>
      </w:r>
      <w:r w:rsidRPr="00ED24E4">
        <w:t xml:space="preserve">KRČMÁŘ, Jan. </w:t>
      </w:r>
      <w:r w:rsidRPr="00ED24E4">
        <w:rPr>
          <w:i/>
        </w:rPr>
        <w:t>Právo občanské V. Právo dědické</w:t>
      </w:r>
      <w:r w:rsidRPr="00ED24E4">
        <w:t>. 2. dopln</w:t>
      </w:r>
      <w:r>
        <w:t>ěné vydání. Praha: Všehrd, 1933,</w:t>
      </w:r>
      <w:r w:rsidRPr="00ED24E4">
        <w:t xml:space="preserve"> </w:t>
      </w:r>
      <w:r w:rsidRPr="001A150A">
        <w:t>s.</w:t>
      </w:r>
      <w:r>
        <w:t xml:space="preserve"> 24.</w:t>
      </w:r>
    </w:p>
  </w:footnote>
  <w:footnote w:id="78">
    <w:p w:rsidR="00967270" w:rsidRDefault="00967270" w:rsidP="00105969">
      <w:pPr>
        <w:pStyle w:val="Textpoznpodarou"/>
        <w:spacing w:after="0" w:line="240" w:lineRule="auto"/>
      </w:pPr>
      <w:r>
        <w:rPr>
          <w:rStyle w:val="Znakapoznpodarou"/>
        </w:rPr>
        <w:footnoteRef/>
      </w:r>
      <w:r>
        <w:t xml:space="preserve"> BEDNÁŘ: </w:t>
      </w:r>
      <w:r>
        <w:rPr>
          <w:i/>
        </w:rPr>
        <w:t>Testamentární…</w:t>
      </w:r>
      <w:r>
        <w:t>, s. 80-81.</w:t>
      </w:r>
    </w:p>
  </w:footnote>
  <w:footnote w:id="79">
    <w:p w:rsidR="00967270" w:rsidRDefault="00967270" w:rsidP="006C45A4">
      <w:pPr>
        <w:pStyle w:val="Textpoznpodarou"/>
        <w:spacing w:after="0" w:line="240" w:lineRule="auto"/>
      </w:pPr>
      <w:r>
        <w:rPr>
          <w:rStyle w:val="Znakapoznpodarou"/>
        </w:rPr>
        <w:footnoteRef/>
      </w:r>
      <w:r>
        <w:t xml:space="preserve"> ŠVESTKA, DVOŘÁK, FIALA: </w:t>
      </w:r>
      <w:r>
        <w:rPr>
          <w:i/>
        </w:rPr>
        <w:t>Občanský…</w:t>
      </w:r>
      <w:r w:rsidRPr="00F82153">
        <w:t>,</w:t>
      </w:r>
      <w:r>
        <w:rPr>
          <w:i/>
        </w:rPr>
        <w:t xml:space="preserve"> </w:t>
      </w:r>
      <w:r w:rsidRPr="006C45A4">
        <w:t>s. 139.</w:t>
      </w:r>
    </w:p>
  </w:footnote>
  <w:footnote w:id="80">
    <w:p w:rsidR="00967270" w:rsidRPr="00616457" w:rsidRDefault="00967270" w:rsidP="00E40342">
      <w:pPr>
        <w:pStyle w:val="Textpoznpodarou"/>
        <w:spacing w:after="0" w:line="240" w:lineRule="auto"/>
      </w:pPr>
      <w:r>
        <w:rPr>
          <w:rStyle w:val="Znakapoznpodarou"/>
        </w:rPr>
        <w:footnoteRef/>
      </w:r>
      <w:r>
        <w:t xml:space="preserve"> Rozhodnutí NS ČR ze dne 24.11.2010, </w:t>
      </w:r>
      <w:proofErr w:type="spellStart"/>
      <w:proofErr w:type="gramStart"/>
      <w:r>
        <w:t>sp.z</w:t>
      </w:r>
      <w:r w:rsidRPr="00616457">
        <w:t>n</w:t>
      </w:r>
      <w:proofErr w:type="spellEnd"/>
      <w:r w:rsidRPr="00616457">
        <w:t>.</w:t>
      </w:r>
      <w:proofErr w:type="gramEnd"/>
      <w:r w:rsidRPr="00616457">
        <w:t xml:space="preserve"> 21 </w:t>
      </w:r>
      <w:proofErr w:type="spellStart"/>
      <w:r w:rsidRPr="00616457">
        <w:t>Cdo</w:t>
      </w:r>
      <w:proofErr w:type="spellEnd"/>
      <w:r w:rsidRPr="00616457">
        <w:t xml:space="preserve"> 1178/2009</w:t>
      </w:r>
      <w:r>
        <w:t>.</w:t>
      </w:r>
    </w:p>
  </w:footnote>
  <w:footnote w:id="81">
    <w:p w:rsidR="00967270" w:rsidRDefault="00967270" w:rsidP="009F2E41">
      <w:pPr>
        <w:pStyle w:val="Textpoznpodarou"/>
        <w:spacing w:after="0" w:line="240" w:lineRule="auto"/>
      </w:pPr>
      <w:r>
        <w:rPr>
          <w:rStyle w:val="Znakapoznpodarou"/>
        </w:rPr>
        <w:footnoteRef/>
      </w:r>
      <w:r>
        <w:t xml:space="preserve"> </w:t>
      </w:r>
      <w:r w:rsidRPr="00F10BCE">
        <w:t xml:space="preserve">FIALA, DRÁPAL: </w:t>
      </w:r>
      <w:r w:rsidRPr="00F10BCE">
        <w:rPr>
          <w:i/>
        </w:rPr>
        <w:t>Občanský</w:t>
      </w:r>
      <w:r w:rsidRPr="00F10BCE">
        <w:t xml:space="preserve">…, </w:t>
      </w:r>
      <w:r>
        <w:t>s. 185.</w:t>
      </w:r>
    </w:p>
  </w:footnote>
  <w:footnote w:id="82">
    <w:p w:rsidR="00967270" w:rsidRDefault="00967270" w:rsidP="009F2E41">
      <w:pPr>
        <w:pStyle w:val="Textpoznpodarou"/>
        <w:spacing w:after="0" w:line="240" w:lineRule="auto"/>
      </w:pPr>
      <w:r>
        <w:rPr>
          <w:rStyle w:val="Znakapoznpodarou"/>
        </w:rPr>
        <w:footnoteRef/>
      </w:r>
      <w:r>
        <w:t xml:space="preserve"> Ačkoliv to zákon výslovně nepožaduje, lze dovodit, že všichni tři svědci musí být přítomni současně a nepřetržitě při celém právním úkonu pořízení závěti. Rozhodnutí NS ČR ze dne 4.5.2004, </w:t>
      </w:r>
      <w:proofErr w:type="spellStart"/>
      <w:proofErr w:type="gramStart"/>
      <w:r>
        <w:t>sp.zn</w:t>
      </w:r>
      <w:proofErr w:type="spellEnd"/>
      <w:r>
        <w:t>.</w:t>
      </w:r>
      <w:proofErr w:type="gramEnd"/>
      <w:r>
        <w:t xml:space="preserve"> 30 </w:t>
      </w:r>
      <w:proofErr w:type="spellStart"/>
      <w:r>
        <w:t>Cdo</w:t>
      </w:r>
      <w:proofErr w:type="spellEnd"/>
      <w:r>
        <w:t xml:space="preserve"> 164/2004.</w:t>
      </w:r>
    </w:p>
  </w:footnote>
  <w:footnote w:id="83">
    <w:p w:rsidR="00967270" w:rsidRDefault="00967270" w:rsidP="009F2E41">
      <w:pPr>
        <w:pStyle w:val="Textpoznpodarou"/>
        <w:spacing w:after="0" w:line="240" w:lineRule="auto"/>
      </w:pPr>
      <w:r>
        <w:rPr>
          <w:rStyle w:val="Znakapoznpodarou"/>
        </w:rPr>
        <w:footnoteRef/>
      </w:r>
      <w:r>
        <w:t xml:space="preserve"> </w:t>
      </w:r>
      <w:r w:rsidRPr="002000D2">
        <w:t xml:space="preserve">ŠVESTKA, DVOŘÁK, FIALA: </w:t>
      </w:r>
      <w:r w:rsidRPr="002000D2">
        <w:rPr>
          <w:i/>
        </w:rPr>
        <w:t>Občanský</w:t>
      </w:r>
      <w:r w:rsidRPr="002000D2">
        <w:t xml:space="preserve">…, </w:t>
      </w:r>
      <w:r>
        <w:t>s. 134.</w:t>
      </w:r>
    </w:p>
  </w:footnote>
  <w:footnote w:id="84">
    <w:p w:rsidR="00967270" w:rsidRDefault="00967270" w:rsidP="00506BB9">
      <w:pPr>
        <w:pStyle w:val="Textpoznpodarou"/>
        <w:spacing w:after="0" w:line="240" w:lineRule="auto"/>
      </w:pPr>
      <w:r>
        <w:rPr>
          <w:rStyle w:val="Znakapoznpodarou"/>
        </w:rPr>
        <w:footnoteRef/>
      </w:r>
      <w:r>
        <w:t xml:space="preserve"> § 591 OZO, §§ 594-595 OZO.</w:t>
      </w:r>
    </w:p>
  </w:footnote>
  <w:footnote w:id="85">
    <w:p w:rsidR="00967270" w:rsidRPr="00D42E63" w:rsidRDefault="00967270" w:rsidP="00904463">
      <w:pPr>
        <w:pStyle w:val="Textpoznpodarou"/>
        <w:spacing w:after="0" w:line="240" w:lineRule="auto"/>
        <w:rPr>
          <w:color w:val="FF0000"/>
        </w:rPr>
      </w:pPr>
      <w:r>
        <w:rPr>
          <w:rStyle w:val="Znakapoznpodarou"/>
        </w:rPr>
        <w:footnoteRef/>
      </w:r>
      <w:r>
        <w:t xml:space="preserve"> § 1539 odst. 2 NOZ.</w:t>
      </w:r>
    </w:p>
  </w:footnote>
  <w:footnote w:id="86">
    <w:p w:rsidR="00967270" w:rsidRDefault="00967270" w:rsidP="00747855">
      <w:pPr>
        <w:pStyle w:val="Textpoznpodarou"/>
        <w:spacing w:after="0" w:line="240" w:lineRule="auto"/>
      </w:pPr>
      <w:r>
        <w:rPr>
          <w:rStyle w:val="Znakapoznpodarou"/>
        </w:rPr>
        <w:footnoteRef/>
      </w:r>
      <w:r>
        <w:t xml:space="preserve"> SVOBODA, KLIČKA: </w:t>
      </w:r>
      <w:proofErr w:type="gramStart"/>
      <w:r w:rsidRPr="00276F71">
        <w:rPr>
          <w:i/>
        </w:rPr>
        <w:t>Dědické</w:t>
      </w:r>
      <w:r>
        <w:t>..., s.</w:t>
      </w:r>
      <w:proofErr w:type="gramEnd"/>
      <w:r>
        <w:t xml:space="preserve"> 64</w:t>
      </w:r>
      <w:r w:rsidRPr="00B54B2E">
        <w:t>.</w:t>
      </w:r>
    </w:p>
  </w:footnote>
  <w:footnote w:id="87">
    <w:p w:rsidR="00967270" w:rsidRDefault="00967270" w:rsidP="00904463">
      <w:pPr>
        <w:pStyle w:val="Textpoznpodarou"/>
        <w:spacing w:after="0" w:line="240" w:lineRule="auto"/>
      </w:pPr>
      <w:r>
        <w:rPr>
          <w:rStyle w:val="Znakapoznpodarou"/>
        </w:rPr>
        <w:footnoteRef/>
      </w:r>
      <w:r>
        <w:t xml:space="preserve"> </w:t>
      </w:r>
      <w:r w:rsidRPr="00CF2DB4">
        <w:t xml:space="preserve">FRINTA, Ondřej. Závěť (nejen) v návrhu nového OZ. </w:t>
      </w:r>
      <w:r w:rsidRPr="00CF2DB4">
        <w:rPr>
          <w:i/>
        </w:rPr>
        <w:t>Právník</w:t>
      </w:r>
      <w:r w:rsidRPr="00CF2DB4">
        <w:t xml:space="preserve">, 2008, roč. 147, č. 11, </w:t>
      </w:r>
      <w:r>
        <w:t>s. 1210.</w:t>
      </w:r>
    </w:p>
  </w:footnote>
  <w:footnote w:id="88">
    <w:p w:rsidR="00967270" w:rsidRDefault="00967270" w:rsidP="00022624">
      <w:pPr>
        <w:pStyle w:val="Textpoznpodarou"/>
        <w:spacing w:after="0" w:line="240" w:lineRule="auto"/>
      </w:pPr>
      <w:r>
        <w:rPr>
          <w:rStyle w:val="Znakapoznpodarou"/>
        </w:rPr>
        <w:footnoteRef/>
      </w:r>
      <w:r>
        <w:t xml:space="preserve"> </w:t>
      </w:r>
      <w:r w:rsidRPr="00F01FDB">
        <w:t xml:space="preserve">SVOBODA, KLIČKA: </w:t>
      </w:r>
      <w:proofErr w:type="gramStart"/>
      <w:r w:rsidRPr="00D16A4B">
        <w:rPr>
          <w:i/>
        </w:rPr>
        <w:t>Dědické</w:t>
      </w:r>
      <w:r w:rsidRPr="00F01FDB">
        <w:t xml:space="preserve">..., </w:t>
      </w:r>
      <w:r>
        <w:t>s.</w:t>
      </w:r>
      <w:proofErr w:type="gramEnd"/>
      <w:r>
        <w:t xml:space="preserve"> 64</w:t>
      </w:r>
      <w:r w:rsidRPr="0003462F">
        <w:t>.</w:t>
      </w:r>
      <w:r>
        <w:t xml:space="preserve"> </w:t>
      </w:r>
      <w:r w:rsidRPr="00022624">
        <w:t xml:space="preserve">Podobně </w:t>
      </w:r>
      <w:r w:rsidRPr="00F82153">
        <w:t xml:space="preserve">ŠVESTKA, DVOŘÁK, FIALA: </w:t>
      </w:r>
      <w:r w:rsidRPr="00F82153">
        <w:rPr>
          <w:i/>
        </w:rPr>
        <w:t>Občanský</w:t>
      </w:r>
      <w:r w:rsidRPr="00F82153">
        <w:t>…,</w:t>
      </w:r>
      <w:r w:rsidRPr="00022624">
        <w:t xml:space="preserve">. </w:t>
      </w:r>
      <w:proofErr w:type="gramStart"/>
      <w:r w:rsidRPr="00022624">
        <w:t>s.</w:t>
      </w:r>
      <w:proofErr w:type="gramEnd"/>
      <w:r w:rsidRPr="00022624">
        <w:t xml:space="preserve"> 140-141.</w:t>
      </w:r>
      <w:r>
        <w:t xml:space="preserve"> </w:t>
      </w:r>
    </w:p>
  </w:footnote>
  <w:footnote w:id="89">
    <w:p w:rsidR="00967270" w:rsidRDefault="00967270" w:rsidP="002A5C61">
      <w:pPr>
        <w:pStyle w:val="Textpoznpodarou"/>
        <w:spacing w:after="0" w:line="240" w:lineRule="auto"/>
      </w:pPr>
      <w:r>
        <w:rPr>
          <w:rStyle w:val="Znakapoznpodarou"/>
        </w:rPr>
        <w:footnoteRef/>
      </w:r>
      <w:r>
        <w:t xml:space="preserve"> SVOBODA, KLIČKA: </w:t>
      </w:r>
      <w:proofErr w:type="gramStart"/>
      <w:r w:rsidRPr="00276F71">
        <w:rPr>
          <w:i/>
        </w:rPr>
        <w:t>Dědické...</w:t>
      </w:r>
      <w:r>
        <w:t xml:space="preserve">, </w:t>
      </w:r>
      <w:r w:rsidRPr="005701A9">
        <w:t>s.</w:t>
      </w:r>
      <w:proofErr w:type="gramEnd"/>
      <w:r w:rsidRPr="005701A9">
        <w:t xml:space="preserve"> 65.</w:t>
      </w:r>
    </w:p>
  </w:footnote>
  <w:footnote w:id="90">
    <w:p w:rsidR="00967270" w:rsidRDefault="00967270" w:rsidP="009D1AA8">
      <w:pPr>
        <w:pStyle w:val="Textpoznpodarou"/>
        <w:spacing w:after="0" w:line="240" w:lineRule="auto"/>
      </w:pPr>
      <w:r>
        <w:rPr>
          <w:rStyle w:val="Znakapoznpodarou"/>
        </w:rPr>
        <w:footnoteRef/>
      </w:r>
      <w:r>
        <w:t xml:space="preserve"> Důvodová zpráva k NOZ, s. 379. </w:t>
      </w:r>
    </w:p>
  </w:footnote>
  <w:footnote w:id="91">
    <w:p w:rsidR="00967270" w:rsidRDefault="00967270" w:rsidP="009D1AA8">
      <w:pPr>
        <w:pStyle w:val="Textpoznpodarou"/>
        <w:spacing w:after="0" w:line="240" w:lineRule="auto"/>
      </w:pPr>
      <w:r>
        <w:rPr>
          <w:rStyle w:val="Znakapoznpodarou"/>
        </w:rPr>
        <w:footnoteRef/>
      </w:r>
      <w:r>
        <w:t xml:space="preserve"> BEZOUŠKA, Petr. Nezletilý a závěť notářským zápisem. </w:t>
      </w:r>
      <w:r w:rsidRPr="00120F70">
        <w:rPr>
          <w:i/>
        </w:rPr>
        <w:t>Právní rádce</w:t>
      </w:r>
      <w:r>
        <w:t>, 2005, roč. 13, č. 4, s. 21.</w:t>
      </w:r>
    </w:p>
  </w:footnote>
  <w:footnote w:id="92">
    <w:p w:rsidR="00967270" w:rsidRPr="00DF79D4" w:rsidRDefault="00967270" w:rsidP="00582C0F">
      <w:pPr>
        <w:pStyle w:val="Textpoznpodarou"/>
        <w:spacing w:after="0" w:line="240" w:lineRule="auto"/>
      </w:pPr>
      <w:r>
        <w:rPr>
          <w:rStyle w:val="Znakapoznpodarou"/>
        </w:rPr>
        <w:footnoteRef/>
      </w:r>
      <w:r>
        <w:t xml:space="preserve"> </w:t>
      </w:r>
      <w:r w:rsidRPr="00DF79D4">
        <w:t xml:space="preserve">HEJTMÁNKOVÁ, Klára. In SCHELLE, Karel a kol. </w:t>
      </w:r>
      <w:proofErr w:type="spellStart"/>
      <w:r w:rsidRPr="00DF79D4">
        <w:rPr>
          <w:i/>
        </w:rPr>
        <w:t>Erbrecht</w:t>
      </w:r>
      <w:proofErr w:type="spellEnd"/>
      <w:r w:rsidRPr="00DF79D4">
        <w:rPr>
          <w:i/>
        </w:rPr>
        <w:t xml:space="preserve"> in der </w:t>
      </w:r>
      <w:proofErr w:type="spellStart"/>
      <w:r w:rsidRPr="00DF79D4">
        <w:rPr>
          <w:i/>
        </w:rPr>
        <w:t>Tschechischen</w:t>
      </w:r>
      <w:proofErr w:type="spellEnd"/>
      <w:r w:rsidRPr="00DF79D4">
        <w:rPr>
          <w:i/>
        </w:rPr>
        <w:t xml:space="preserve"> Republik</w:t>
      </w:r>
      <w:r w:rsidRPr="00DF79D4">
        <w:t>.</w:t>
      </w:r>
      <w:r>
        <w:t xml:space="preserve"> 1. vydání. </w:t>
      </w:r>
      <w:proofErr w:type="spellStart"/>
      <w:r>
        <w:t>München</w:t>
      </w:r>
      <w:proofErr w:type="spellEnd"/>
      <w:r>
        <w:t xml:space="preserve">: </w:t>
      </w:r>
      <w:proofErr w:type="spellStart"/>
      <w:r>
        <w:t>Grin</w:t>
      </w:r>
      <w:proofErr w:type="spellEnd"/>
      <w:r>
        <w:t>, 2010,</w:t>
      </w:r>
      <w:r w:rsidRPr="00DF79D4">
        <w:t xml:space="preserve"> s. 65. Podobný názor zastával i J. Mikeš, který uváděl, </w:t>
      </w:r>
      <w:proofErr w:type="gramStart"/>
      <w:r w:rsidRPr="00DF79D4">
        <w:t>že: ,,…</w:t>
      </w:r>
      <w:proofErr w:type="gramEnd"/>
      <w:r w:rsidRPr="00DF79D4">
        <w:t xml:space="preserve">nezletilý, který dovršil patnáctý rok svého věku, může platně zřídit závěť o jakémkoliv svém majetku…“. MIKEŠ: </w:t>
      </w:r>
      <w:r w:rsidRPr="00DF79D4">
        <w:rPr>
          <w:i/>
        </w:rPr>
        <w:t>Dědictví…,</w:t>
      </w:r>
      <w:r w:rsidRPr="00DF79D4">
        <w:t xml:space="preserve"> s. 55.</w:t>
      </w:r>
    </w:p>
  </w:footnote>
  <w:footnote w:id="93">
    <w:p w:rsidR="00967270" w:rsidRDefault="00967270" w:rsidP="00B638B1">
      <w:pPr>
        <w:pStyle w:val="Textpoznpodarou"/>
        <w:spacing w:after="0" w:line="240" w:lineRule="auto"/>
      </w:pPr>
      <w:r>
        <w:rPr>
          <w:rStyle w:val="Znakapoznpodarou"/>
        </w:rPr>
        <w:footnoteRef/>
      </w:r>
      <w:r>
        <w:t xml:space="preserve"> ELIÁŠ, Karel a kol. </w:t>
      </w:r>
      <w:r w:rsidRPr="00B638B1">
        <w:rPr>
          <w:i/>
        </w:rPr>
        <w:t>Občanské právo pro každého. Pohledem (nejen) tvůrců nového občanského zákoníku</w:t>
      </w:r>
      <w:r>
        <w:t xml:space="preserve">. Praha: </w:t>
      </w:r>
      <w:proofErr w:type="spellStart"/>
      <w:r>
        <w:t>Wolters</w:t>
      </w:r>
      <w:proofErr w:type="spellEnd"/>
      <w:r>
        <w:t xml:space="preserve"> </w:t>
      </w:r>
      <w:proofErr w:type="spellStart"/>
      <w:r>
        <w:t>Kluwer</w:t>
      </w:r>
      <w:proofErr w:type="spellEnd"/>
      <w:r>
        <w:t>, a. s., 2013, s. 285.</w:t>
      </w:r>
    </w:p>
  </w:footnote>
  <w:footnote w:id="94">
    <w:p w:rsidR="00967270" w:rsidRDefault="00967270" w:rsidP="00D24360">
      <w:pPr>
        <w:pStyle w:val="Textpoznpodarou"/>
        <w:spacing w:after="0" w:line="240" w:lineRule="auto"/>
      </w:pPr>
      <w:r>
        <w:rPr>
          <w:rStyle w:val="Znakapoznpodarou"/>
        </w:rPr>
        <w:footnoteRef/>
      </w:r>
      <w:r>
        <w:t xml:space="preserve"> </w:t>
      </w:r>
      <w:r w:rsidRPr="00D50D23">
        <w:t>K</w:t>
      </w:r>
      <w:r>
        <w:t xml:space="preserve">OZIOL, WELSER: </w:t>
      </w:r>
      <w:proofErr w:type="spellStart"/>
      <w:r w:rsidRPr="00D24360">
        <w:rPr>
          <w:i/>
        </w:rPr>
        <w:t>Grundriß</w:t>
      </w:r>
      <w:proofErr w:type="spellEnd"/>
      <w:r w:rsidRPr="00D24360">
        <w:rPr>
          <w:i/>
        </w:rPr>
        <w:t>…</w:t>
      </w:r>
      <w:r>
        <w:t>, s. 318</w:t>
      </w:r>
      <w:r w:rsidRPr="00D50D23">
        <w:t>.</w:t>
      </w:r>
    </w:p>
  </w:footnote>
  <w:footnote w:id="95">
    <w:p w:rsidR="00967270" w:rsidRDefault="00967270" w:rsidP="004C7B5B">
      <w:pPr>
        <w:pStyle w:val="Textpoznpodarou"/>
        <w:spacing w:after="0" w:line="240" w:lineRule="auto"/>
      </w:pPr>
      <w:r>
        <w:rPr>
          <w:rStyle w:val="Znakapoznpodarou"/>
        </w:rPr>
        <w:footnoteRef/>
      </w:r>
      <w:r>
        <w:t xml:space="preserve"> MELZER, Filip, TÉGL, Petr a kol. </w:t>
      </w:r>
      <w:r w:rsidRPr="00A46858">
        <w:rPr>
          <w:i/>
        </w:rPr>
        <w:t>Občanský zákoník – velký komentář. Svazek I. § 1 – 117</w:t>
      </w:r>
      <w:r>
        <w:t xml:space="preserve">. Praha: </w:t>
      </w:r>
      <w:proofErr w:type="spellStart"/>
      <w:r>
        <w:t>Leges</w:t>
      </w:r>
      <w:proofErr w:type="spellEnd"/>
      <w:r>
        <w:t>, 2014, s. 361.</w:t>
      </w:r>
    </w:p>
  </w:footnote>
  <w:footnote w:id="96">
    <w:p w:rsidR="00967270" w:rsidRDefault="00967270" w:rsidP="00BA4B24">
      <w:pPr>
        <w:pStyle w:val="Textpoznpodarou"/>
        <w:spacing w:after="0" w:line="240" w:lineRule="auto"/>
      </w:pPr>
      <w:r>
        <w:rPr>
          <w:rStyle w:val="Znakapoznpodarou"/>
        </w:rPr>
        <w:footnoteRef/>
      </w:r>
      <w:r>
        <w:t xml:space="preserve"> Tamtéž, s. 358-359.</w:t>
      </w:r>
    </w:p>
  </w:footnote>
  <w:footnote w:id="97">
    <w:p w:rsidR="00967270" w:rsidRDefault="00967270" w:rsidP="002D3D63">
      <w:pPr>
        <w:pStyle w:val="Textpoznpodarou"/>
        <w:spacing w:after="0" w:line="240" w:lineRule="auto"/>
      </w:pPr>
      <w:r>
        <w:rPr>
          <w:rStyle w:val="Znakapoznpodarou"/>
        </w:rPr>
        <w:footnoteRef/>
      </w:r>
      <w:r>
        <w:t xml:space="preserve"> Srovnej FIALA, Josef, KINDL, Milan a kol. </w:t>
      </w:r>
      <w:r w:rsidRPr="00B638B1">
        <w:rPr>
          <w:i/>
        </w:rPr>
        <w:t>Občanský zákoník. Komentář. I. díl</w:t>
      </w:r>
      <w:r>
        <w:t xml:space="preserve">. 1. vydání. Praha: </w:t>
      </w:r>
      <w:proofErr w:type="spellStart"/>
      <w:r>
        <w:t>Wolters</w:t>
      </w:r>
      <w:proofErr w:type="spellEnd"/>
      <w:r>
        <w:t xml:space="preserve"> </w:t>
      </w:r>
      <w:proofErr w:type="spellStart"/>
      <w:r>
        <w:t>Kluwer</w:t>
      </w:r>
      <w:proofErr w:type="spellEnd"/>
      <w:r>
        <w:t xml:space="preserve"> ČR, a. s., 2009, s. 49.</w:t>
      </w:r>
    </w:p>
  </w:footnote>
  <w:footnote w:id="98">
    <w:p w:rsidR="00967270" w:rsidRPr="007C2516" w:rsidRDefault="00967270" w:rsidP="006B5943">
      <w:pPr>
        <w:pStyle w:val="Textpoznpodarou"/>
        <w:spacing w:after="0" w:line="240" w:lineRule="auto"/>
      </w:pPr>
      <w:r>
        <w:rPr>
          <w:rStyle w:val="Znakapoznpodarou"/>
        </w:rPr>
        <w:footnoteRef/>
      </w:r>
      <w:r>
        <w:t xml:space="preserve"> </w:t>
      </w:r>
      <w:r w:rsidRPr="00290B98">
        <w:t xml:space="preserve">MUZIKÁŘ, Ladislav. In SUCHÁ, MOKRÝ: </w:t>
      </w:r>
      <w:r w:rsidRPr="00290B98">
        <w:rPr>
          <w:i/>
        </w:rPr>
        <w:t>Sborník přednášek</w:t>
      </w:r>
      <w:r w:rsidRPr="00290B98">
        <w:t>…,</w:t>
      </w:r>
      <w:r>
        <w:t xml:space="preserve"> </w:t>
      </w:r>
      <w:r w:rsidRPr="00086329">
        <w:t>s.</w:t>
      </w:r>
      <w:r>
        <w:t> </w:t>
      </w:r>
      <w:r w:rsidRPr="00086329">
        <w:t xml:space="preserve"> </w:t>
      </w:r>
      <w:r>
        <w:t>103</w:t>
      </w:r>
      <w:r w:rsidRPr="00086329">
        <w:t>.</w:t>
      </w:r>
      <w:r>
        <w:t xml:space="preserve"> </w:t>
      </w:r>
      <w:r w:rsidRPr="007C2516">
        <w:t xml:space="preserve">Shodně FIALA, DRÁPAL: </w:t>
      </w:r>
      <w:r w:rsidRPr="007C2516">
        <w:rPr>
          <w:i/>
        </w:rPr>
        <w:t>Občanský</w:t>
      </w:r>
      <w:r w:rsidRPr="007C2516">
        <w:t>…, s. 159.</w:t>
      </w:r>
    </w:p>
  </w:footnote>
  <w:footnote w:id="99">
    <w:p w:rsidR="00967270" w:rsidRPr="00E6543E" w:rsidRDefault="00967270" w:rsidP="00CD4214">
      <w:pPr>
        <w:pStyle w:val="Textpoznpodarou"/>
        <w:spacing w:after="0" w:line="240" w:lineRule="auto"/>
        <w:rPr>
          <w:color w:val="FF0000"/>
        </w:rPr>
      </w:pPr>
      <w:r>
        <w:rPr>
          <w:rStyle w:val="Znakapoznpodarou"/>
        </w:rPr>
        <w:footnoteRef/>
      </w:r>
      <w:r>
        <w:t xml:space="preserve"> Srovnej </w:t>
      </w:r>
      <w:r w:rsidRPr="007C2516">
        <w:t>Důvodová zpráva k NOZ, s. 383-384.</w:t>
      </w:r>
    </w:p>
  </w:footnote>
  <w:footnote w:id="100">
    <w:p w:rsidR="00967270" w:rsidRDefault="00967270" w:rsidP="00CD4214">
      <w:pPr>
        <w:pStyle w:val="Textpoznpodarou"/>
        <w:spacing w:after="0" w:line="240" w:lineRule="auto"/>
      </w:pPr>
      <w:r>
        <w:rPr>
          <w:rStyle w:val="Znakapoznpodarou"/>
        </w:rPr>
        <w:footnoteRef/>
      </w:r>
      <w:r>
        <w:t xml:space="preserve"> ŠEŠINA, Martin. Zamyšlení nad úlevami při pořizování závěti v novém občanském zákoníku. </w:t>
      </w:r>
      <w:r>
        <w:rPr>
          <w:i/>
        </w:rPr>
        <w:t xml:space="preserve">Ad </w:t>
      </w:r>
      <w:proofErr w:type="spellStart"/>
      <w:r>
        <w:rPr>
          <w:i/>
        </w:rPr>
        <w:t>Notam</w:t>
      </w:r>
      <w:proofErr w:type="spellEnd"/>
      <w:r>
        <w:rPr>
          <w:i/>
        </w:rPr>
        <w:t xml:space="preserve">, </w:t>
      </w:r>
      <w:r>
        <w:t>2009, roč. 15, č. 2, s. 56.</w:t>
      </w:r>
    </w:p>
  </w:footnote>
  <w:footnote w:id="101">
    <w:p w:rsidR="00967270" w:rsidRDefault="00967270" w:rsidP="001F7E64">
      <w:pPr>
        <w:pStyle w:val="Textpoznpodarou"/>
        <w:spacing w:after="0" w:line="240" w:lineRule="auto"/>
      </w:pPr>
      <w:r>
        <w:rPr>
          <w:rStyle w:val="Znakapoznpodarou"/>
        </w:rPr>
        <w:footnoteRef/>
      </w:r>
      <w:r>
        <w:t xml:space="preserve"> ELIÁŠ, Karel. Privilegované závěti a osnova českého občanského zákoníku.</w:t>
      </w:r>
      <w:r w:rsidRPr="00D44152">
        <w:rPr>
          <w:i/>
        </w:rPr>
        <w:t xml:space="preserve"> Ad </w:t>
      </w:r>
      <w:proofErr w:type="spellStart"/>
      <w:r w:rsidRPr="00D44152">
        <w:rPr>
          <w:i/>
        </w:rPr>
        <w:t>Notam</w:t>
      </w:r>
      <w:proofErr w:type="spellEnd"/>
      <w:r>
        <w:t>, 2009, roč. 15, č. 2, s.  44-45.</w:t>
      </w:r>
    </w:p>
  </w:footnote>
  <w:footnote w:id="102">
    <w:p w:rsidR="00967270" w:rsidRDefault="00967270" w:rsidP="004D7945">
      <w:pPr>
        <w:pStyle w:val="Textpoznpodarou"/>
        <w:spacing w:after="0" w:line="240" w:lineRule="auto"/>
      </w:pPr>
      <w:r>
        <w:rPr>
          <w:rStyle w:val="Znakapoznpodarou"/>
        </w:rPr>
        <w:footnoteRef/>
      </w:r>
      <w:r>
        <w:t xml:space="preserve"> SVOBODA, KLIČKA: </w:t>
      </w:r>
      <w:proofErr w:type="gramStart"/>
      <w:r w:rsidRPr="00276F71">
        <w:rPr>
          <w:i/>
        </w:rPr>
        <w:t>Dědické...</w:t>
      </w:r>
      <w:r>
        <w:t>, s.</w:t>
      </w:r>
      <w:proofErr w:type="gramEnd"/>
      <w:r>
        <w:t xml:space="preserve"> 67.</w:t>
      </w:r>
    </w:p>
  </w:footnote>
  <w:footnote w:id="103">
    <w:p w:rsidR="00967270" w:rsidRPr="00382D1F" w:rsidRDefault="00967270" w:rsidP="00F4047F">
      <w:pPr>
        <w:pStyle w:val="Textpoznpodarou"/>
        <w:spacing w:after="0" w:line="240" w:lineRule="auto"/>
        <w:rPr>
          <w:color w:val="FF0000"/>
        </w:rPr>
      </w:pPr>
      <w:r>
        <w:rPr>
          <w:rStyle w:val="Znakapoznpodarou"/>
        </w:rPr>
        <w:footnoteRef/>
      </w:r>
      <w:r>
        <w:t xml:space="preserve"> </w:t>
      </w:r>
      <w:r w:rsidRPr="00EF280A">
        <w:t xml:space="preserve">ŠVESTKA, DVOŘÁK, FIALA: </w:t>
      </w:r>
      <w:r w:rsidRPr="00EF280A">
        <w:rPr>
          <w:i/>
        </w:rPr>
        <w:t>Občanský</w:t>
      </w:r>
      <w:r>
        <w:t xml:space="preserve">…, </w:t>
      </w:r>
      <w:r w:rsidRPr="00EF280A">
        <w:t>s. 146.</w:t>
      </w:r>
    </w:p>
  </w:footnote>
  <w:footnote w:id="104">
    <w:p w:rsidR="00967270" w:rsidRPr="0015182B" w:rsidRDefault="00967270" w:rsidP="005C1FEA">
      <w:pPr>
        <w:pStyle w:val="Textpoznpodarou"/>
        <w:spacing w:after="0" w:line="240" w:lineRule="auto"/>
        <w:rPr>
          <w:color w:val="FF0000"/>
        </w:rPr>
      </w:pPr>
      <w:r>
        <w:rPr>
          <w:rStyle w:val="Znakapoznpodarou"/>
        </w:rPr>
        <w:footnoteRef/>
      </w:r>
      <w:r>
        <w:t xml:space="preserve"> </w:t>
      </w:r>
      <w:r w:rsidRPr="005C1FEA">
        <w:t xml:space="preserve">BAMBERGER, Heinz Georg, ROTH, Herbert. </w:t>
      </w:r>
      <w:proofErr w:type="spellStart"/>
      <w:r w:rsidRPr="005C1FEA">
        <w:rPr>
          <w:i/>
        </w:rPr>
        <w:t>Kommentar</w:t>
      </w:r>
      <w:proofErr w:type="spellEnd"/>
      <w:r w:rsidRPr="005C1FEA">
        <w:rPr>
          <w:i/>
        </w:rPr>
        <w:t xml:space="preserve"> </w:t>
      </w:r>
      <w:proofErr w:type="spellStart"/>
      <w:r w:rsidRPr="005C1FEA">
        <w:rPr>
          <w:i/>
        </w:rPr>
        <w:t>zum</w:t>
      </w:r>
      <w:proofErr w:type="spellEnd"/>
      <w:r w:rsidRPr="005C1FEA">
        <w:rPr>
          <w:i/>
        </w:rPr>
        <w:t xml:space="preserve"> </w:t>
      </w:r>
      <w:proofErr w:type="spellStart"/>
      <w:r w:rsidRPr="005C1FEA">
        <w:rPr>
          <w:i/>
        </w:rPr>
        <w:t>Bürgerlichen</w:t>
      </w:r>
      <w:proofErr w:type="spellEnd"/>
      <w:r w:rsidRPr="005C1FEA">
        <w:rPr>
          <w:i/>
        </w:rPr>
        <w:t xml:space="preserve"> </w:t>
      </w:r>
      <w:proofErr w:type="spellStart"/>
      <w:r w:rsidRPr="005C1FEA">
        <w:rPr>
          <w:i/>
        </w:rPr>
        <w:t>Gesetzbuch</w:t>
      </w:r>
      <w:proofErr w:type="spellEnd"/>
      <w:r w:rsidRPr="005C1FEA">
        <w:rPr>
          <w:i/>
        </w:rPr>
        <w:t>. Band 3, §§ 1297-2385</w:t>
      </w:r>
      <w:r w:rsidRPr="005C1FEA">
        <w:t>.1. vydán</w:t>
      </w:r>
      <w:r>
        <w:t xml:space="preserve">í. </w:t>
      </w:r>
      <w:proofErr w:type="spellStart"/>
      <w:r>
        <w:t>München</w:t>
      </w:r>
      <w:proofErr w:type="spellEnd"/>
      <w:r>
        <w:t xml:space="preserve">: </w:t>
      </w:r>
      <w:proofErr w:type="spellStart"/>
      <w:proofErr w:type="gramStart"/>
      <w:r>
        <w:t>C.H.</w:t>
      </w:r>
      <w:proofErr w:type="gramEnd"/>
      <w:r>
        <w:t>Beck</w:t>
      </w:r>
      <w:proofErr w:type="spellEnd"/>
      <w:r>
        <w:t xml:space="preserve">, 2003, </w:t>
      </w:r>
      <w:r w:rsidRPr="003677AB">
        <w:t>s. 1850.</w:t>
      </w:r>
    </w:p>
  </w:footnote>
  <w:footnote w:id="105">
    <w:p w:rsidR="00967270" w:rsidRDefault="00967270" w:rsidP="00654EF9">
      <w:pPr>
        <w:pStyle w:val="Textpoznpodarou"/>
        <w:spacing w:after="0" w:line="240" w:lineRule="auto"/>
      </w:pPr>
      <w:r>
        <w:rPr>
          <w:rStyle w:val="Znakapoznpodarou"/>
        </w:rPr>
        <w:footnoteRef/>
      </w:r>
      <w:r>
        <w:t xml:space="preserve"> PALANDT, Otto.</w:t>
      </w:r>
      <w:r w:rsidRPr="00654EF9">
        <w:t xml:space="preserve"> </w:t>
      </w:r>
      <w:proofErr w:type="spellStart"/>
      <w:r w:rsidRPr="00654EF9">
        <w:rPr>
          <w:i/>
        </w:rPr>
        <w:t>Bürgerliches</w:t>
      </w:r>
      <w:proofErr w:type="spellEnd"/>
      <w:r w:rsidRPr="00654EF9">
        <w:rPr>
          <w:i/>
        </w:rPr>
        <w:t xml:space="preserve"> </w:t>
      </w:r>
      <w:proofErr w:type="spellStart"/>
      <w:r w:rsidRPr="00654EF9">
        <w:rPr>
          <w:i/>
        </w:rPr>
        <w:t>Gesetzbuch</w:t>
      </w:r>
      <w:proofErr w:type="spellEnd"/>
      <w:r w:rsidRPr="00654EF9">
        <w:rPr>
          <w:i/>
        </w:rPr>
        <w:t xml:space="preserve">. </w:t>
      </w:r>
      <w:proofErr w:type="spellStart"/>
      <w:r w:rsidRPr="00654EF9">
        <w:rPr>
          <w:i/>
        </w:rPr>
        <w:t>Kommentar</w:t>
      </w:r>
      <w:proofErr w:type="spellEnd"/>
      <w:r w:rsidRPr="00654EF9">
        <w:rPr>
          <w:i/>
        </w:rPr>
        <w:t>. Band 7</w:t>
      </w:r>
      <w:r>
        <w:t xml:space="preserve">. </w:t>
      </w:r>
      <w:r w:rsidRPr="00654EF9">
        <w:t>5</w:t>
      </w:r>
      <w:r>
        <w:t xml:space="preserve">4., </w:t>
      </w:r>
      <w:proofErr w:type="spellStart"/>
      <w:r>
        <w:t>neu</w:t>
      </w:r>
      <w:r w:rsidRPr="00654EF9">
        <w:t>bearbeitete</w:t>
      </w:r>
      <w:proofErr w:type="spellEnd"/>
      <w:r w:rsidRPr="00654EF9">
        <w:t xml:space="preserve"> </w:t>
      </w:r>
      <w:proofErr w:type="spellStart"/>
      <w:r>
        <w:t>Auflage</w:t>
      </w:r>
      <w:proofErr w:type="spellEnd"/>
      <w:r>
        <w:t xml:space="preserve">. </w:t>
      </w:r>
      <w:proofErr w:type="spellStart"/>
      <w:r w:rsidRPr="00654EF9">
        <w:t>München</w:t>
      </w:r>
      <w:proofErr w:type="spellEnd"/>
      <w:r w:rsidRPr="00654EF9">
        <w:t xml:space="preserve">: </w:t>
      </w:r>
      <w:proofErr w:type="gramStart"/>
      <w:r w:rsidRPr="00654EF9">
        <w:t>C.H.</w:t>
      </w:r>
      <w:proofErr w:type="gramEnd"/>
      <w:r w:rsidRPr="00654EF9">
        <w:t xml:space="preserve"> Beck, 2006</w:t>
      </w:r>
      <w:r>
        <w:t>, s. 2051-2052.</w:t>
      </w:r>
    </w:p>
  </w:footnote>
  <w:footnote w:id="106">
    <w:p w:rsidR="00967270" w:rsidRDefault="00967270" w:rsidP="00F4047F">
      <w:pPr>
        <w:pStyle w:val="Textpoznpodarou"/>
        <w:spacing w:after="0" w:line="240" w:lineRule="auto"/>
      </w:pPr>
      <w:r>
        <w:rPr>
          <w:rStyle w:val="Znakapoznpodarou"/>
        </w:rPr>
        <w:footnoteRef/>
      </w:r>
      <w:r>
        <w:t xml:space="preserve"> </w:t>
      </w:r>
      <w:r w:rsidRPr="003579CF">
        <w:t xml:space="preserve">SVOBODA, KLIČKA: </w:t>
      </w:r>
      <w:proofErr w:type="gramStart"/>
      <w:r w:rsidRPr="003579CF">
        <w:rPr>
          <w:i/>
        </w:rPr>
        <w:t>Dědické</w:t>
      </w:r>
      <w:r w:rsidRPr="003579CF">
        <w:t>...,</w:t>
      </w:r>
      <w:r>
        <w:t xml:space="preserve"> s.</w:t>
      </w:r>
      <w:proofErr w:type="gramEnd"/>
      <w:r>
        <w:t xml:space="preserve"> 68.</w:t>
      </w:r>
    </w:p>
  </w:footnote>
  <w:footnote w:id="107">
    <w:p w:rsidR="00967270" w:rsidRDefault="00967270" w:rsidP="005D2E36">
      <w:pPr>
        <w:pStyle w:val="Textpoznpodarou"/>
        <w:spacing w:after="0" w:line="240" w:lineRule="auto"/>
      </w:pPr>
      <w:r>
        <w:rPr>
          <w:rStyle w:val="Znakapoznpodarou"/>
        </w:rPr>
        <w:footnoteRef/>
      </w:r>
      <w:r>
        <w:t xml:space="preserve"> </w:t>
      </w:r>
      <w:r w:rsidRPr="00F10BCE">
        <w:t xml:space="preserve">FIALA, DRÁPAL: </w:t>
      </w:r>
      <w:r w:rsidRPr="00F10BCE">
        <w:rPr>
          <w:i/>
        </w:rPr>
        <w:t>Občanský</w:t>
      </w:r>
      <w:r w:rsidRPr="00F10BCE">
        <w:t xml:space="preserve">…, </w:t>
      </w:r>
      <w:r>
        <w:t>s. 202</w:t>
      </w:r>
      <w:r w:rsidRPr="005D2E36">
        <w:t>.</w:t>
      </w:r>
    </w:p>
  </w:footnote>
  <w:footnote w:id="108">
    <w:p w:rsidR="00967270" w:rsidRDefault="00967270" w:rsidP="007B37BF">
      <w:pPr>
        <w:pStyle w:val="Textpoznpodarou"/>
        <w:spacing w:after="0" w:line="240" w:lineRule="auto"/>
      </w:pPr>
      <w:r>
        <w:rPr>
          <w:rStyle w:val="Znakapoznpodarou"/>
        </w:rPr>
        <w:footnoteRef/>
      </w:r>
      <w:r>
        <w:t xml:space="preserve"> PALANDT: </w:t>
      </w:r>
      <w:proofErr w:type="spellStart"/>
      <w:proofErr w:type="gramStart"/>
      <w:r>
        <w:rPr>
          <w:i/>
        </w:rPr>
        <w:t>Bürgerliches</w:t>
      </w:r>
      <w:proofErr w:type="spellEnd"/>
      <w:r>
        <w:rPr>
          <w:i/>
        </w:rPr>
        <w:t>...</w:t>
      </w:r>
      <w:r w:rsidRPr="007B37BF">
        <w:t>, s.</w:t>
      </w:r>
      <w:proofErr w:type="gramEnd"/>
      <w:r>
        <w:t xml:space="preserve"> </w:t>
      </w:r>
      <w:r w:rsidRPr="007B37BF">
        <w:t>2052.</w:t>
      </w:r>
    </w:p>
  </w:footnote>
  <w:footnote w:id="109">
    <w:p w:rsidR="00967270" w:rsidRDefault="00967270" w:rsidP="002B7707">
      <w:pPr>
        <w:pStyle w:val="Textpoznpodarou"/>
        <w:spacing w:after="0" w:line="240" w:lineRule="auto"/>
      </w:pPr>
      <w:r>
        <w:rPr>
          <w:rStyle w:val="Znakapoznpodarou"/>
        </w:rPr>
        <w:footnoteRef/>
      </w:r>
      <w:r>
        <w:t xml:space="preserve"> </w:t>
      </w:r>
      <w:r w:rsidRPr="00F10BCE">
        <w:t xml:space="preserve">FIALA, DRÁPAL: </w:t>
      </w:r>
      <w:r w:rsidRPr="00F10BCE">
        <w:rPr>
          <w:i/>
        </w:rPr>
        <w:t>Občanský</w:t>
      </w:r>
      <w:r w:rsidRPr="00F10BCE">
        <w:t xml:space="preserve">…, </w:t>
      </w:r>
      <w:r w:rsidRPr="002B7707">
        <w:t>s. 202.</w:t>
      </w:r>
    </w:p>
  </w:footnote>
  <w:footnote w:id="110">
    <w:p w:rsidR="00967270" w:rsidRDefault="00967270" w:rsidP="00832F6A">
      <w:pPr>
        <w:pStyle w:val="Textpoznpodarou"/>
        <w:spacing w:after="0" w:line="240" w:lineRule="auto"/>
      </w:pPr>
      <w:r>
        <w:rPr>
          <w:rStyle w:val="Znakapoznpodarou"/>
        </w:rPr>
        <w:footnoteRef/>
      </w:r>
      <w:r>
        <w:t xml:space="preserve"> </w:t>
      </w:r>
      <w:r w:rsidRPr="00B63831">
        <w:t xml:space="preserve">ŠVESTKA, DVOŘÁK, FIALA: </w:t>
      </w:r>
      <w:r w:rsidRPr="00B63831">
        <w:rPr>
          <w:i/>
        </w:rPr>
        <w:t>Občanský</w:t>
      </w:r>
      <w:r w:rsidRPr="00B63831">
        <w:t>…,</w:t>
      </w:r>
      <w:r>
        <w:t xml:space="preserve"> s. 146.</w:t>
      </w:r>
    </w:p>
  </w:footnote>
  <w:footnote w:id="111">
    <w:p w:rsidR="00967270" w:rsidRDefault="00967270" w:rsidP="00734A26">
      <w:pPr>
        <w:pStyle w:val="Textpoznpodarou"/>
        <w:spacing w:after="0" w:line="240" w:lineRule="auto"/>
      </w:pPr>
      <w:r>
        <w:rPr>
          <w:rStyle w:val="Znakapoznpodarou"/>
        </w:rPr>
        <w:footnoteRef/>
      </w:r>
      <w:r>
        <w:t xml:space="preserve"> Srovnej KŘIVSKÁ, Miroslava. Privilegované závěti. </w:t>
      </w:r>
      <w:r w:rsidRPr="00734A26">
        <w:rPr>
          <w:i/>
        </w:rPr>
        <w:t xml:space="preserve">Ad </w:t>
      </w:r>
      <w:proofErr w:type="spellStart"/>
      <w:r w:rsidRPr="00734A26">
        <w:rPr>
          <w:i/>
        </w:rPr>
        <w:t>Notam</w:t>
      </w:r>
      <w:proofErr w:type="spellEnd"/>
      <w:r>
        <w:t>, 2013, roč. 19, č. 5, s. 9.</w:t>
      </w:r>
    </w:p>
  </w:footnote>
  <w:footnote w:id="112">
    <w:p w:rsidR="00967270" w:rsidRDefault="00967270" w:rsidP="000524C4">
      <w:pPr>
        <w:pStyle w:val="Textpoznpodarou"/>
        <w:spacing w:after="0" w:line="240" w:lineRule="auto"/>
      </w:pPr>
      <w:r>
        <w:rPr>
          <w:rStyle w:val="Znakapoznpodarou"/>
        </w:rPr>
        <w:footnoteRef/>
      </w:r>
      <w:r>
        <w:t xml:space="preserve"> Srovnej § 2250 BGB a § 435 VN37. </w:t>
      </w:r>
    </w:p>
  </w:footnote>
  <w:footnote w:id="113">
    <w:p w:rsidR="00967270" w:rsidRPr="002A52B7" w:rsidRDefault="00967270" w:rsidP="000524C4">
      <w:pPr>
        <w:pStyle w:val="Textpoznpodarou"/>
        <w:spacing w:after="0" w:line="240" w:lineRule="auto"/>
      </w:pPr>
      <w:r>
        <w:rPr>
          <w:rStyle w:val="Znakapoznpodarou"/>
        </w:rPr>
        <w:footnoteRef/>
      </w:r>
      <w:r>
        <w:t xml:space="preserve"> </w:t>
      </w:r>
      <w:r w:rsidRPr="002A52B7">
        <w:t xml:space="preserve">BAMBERGER, ROTH: </w:t>
      </w:r>
      <w:proofErr w:type="spellStart"/>
      <w:r w:rsidRPr="002A52B7">
        <w:rPr>
          <w:i/>
        </w:rPr>
        <w:t>Kommentar</w:t>
      </w:r>
      <w:proofErr w:type="spellEnd"/>
      <w:r w:rsidRPr="002A52B7">
        <w:rPr>
          <w:i/>
        </w:rPr>
        <w:t>…</w:t>
      </w:r>
      <w:r w:rsidRPr="002A52B7">
        <w:t>,</w:t>
      </w:r>
      <w:r w:rsidRPr="002A52B7">
        <w:rPr>
          <w:i/>
        </w:rPr>
        <w:t xml:space="preserve"> </w:t>
      </w:r>
      <w:r w:rsidRPr="002A52B7">
        <w:t>s. 1851-1852.</w:t>
      </w:r>
    </w:p>
  </w:footnote>
  <w:footnote w:id="114">
    <w:p w:rsidR="00967270" w:rsidRDefault="00967270" w:rsidP="0069334A">
      <w:pPr>
        <w:pStyle w:val="Textpoznpodarou"/>
        <w:spacing w:after="0" w:line="240" w:lineRule="auto"/>
      </w:pPr>
      <w:r>
        <w:rPr>
          <w:rStyle w:val="Znakapoznpodarou"/>
        </w:rPr>
        <w:footnoteRef/>
      </w:r>
      <w:r>
        <w:t xml:space="preserve"> KARHANOVÁ: </w:t>
      </w:r>
      <w:r w:rsidRPr="00211A53">
        <w:rPr>
          <w:i/>
        </w:rPr>
        <w:t>Závěť v návrhu</w:t>
      </w:r>
      <w:r>
        <w:t>…, s. 162</w:t>
      </w:r>
      <w:r w:rsidRPr="0069334A">
        <w:t>.</w:t>
      </w:r>
    </w:p>
  </w:footnote>
  <w:footnote w:id="115">
    <w:p w:rsidR="00967270" w:rsidRDefault="00967270" w:rsidP="00FA4173">
      <w:pPr>
        <w:pStyle w:val="Textpoznpodarou"/>
        <w:spacing w:after="0" w:line="240" w:lineRule="auto"/>
      </w:pPr>
      <w:r>
        <w:rPr>
          <w:rStyle w:val="Znakapoznpodarou"/>
        </w:rPr>
        <w:footnoteRef/>
      </w:r>
      <w:r>
        <w:t xml:space="preserve"> Důvodová zpráva k NOZ, s. 384-385.</w:t>
      </w:r>
    </w:p>
  </w:footnote>
  <w:footnote w:id="116">
    <w:p w:rsidR="00967270" w:rsidRDefault="00967270" w:rsidP="005D6188">
      <w:pPr>
        <w:pStyle w:val="Textpoznpodarou"/>
        <w:spacing w:after="0" w:line="240" w:lineRule="auto"/>
      </w:pPr>
      <w:r>
        <w:rPr>
          <w:rStyle w:val="Znakapoznpodarou"/>
        </w:rPr>
        <w:footnoteRef/>
      </w:r>
      <w:r>
        <w:t xml:space="preserve"> </w:t>
      </w:r>
      <w:r w:rsidRPr="0005611F">
        <w:t xml:space="preserve">BAMBERGER, ROTH: </w:t>
      </w:r>
      <w:proofErr w:type="spellStart"/>
      <w:r w:rsidRPr="0005611F">
        <w:rPr>
          <w:i/>
        </w:rPr>
        <w:t>Kommentar</w:t>
      </w:r>
      <w:proofErr w:type="spellEnd"/>
      <w:r w:rsidRPr="0005611F">
        <w:t xml:space="preserve">…, </w:t>
      </w:r>
      <w:r w:rsidRPr="005D6188">
        <w:t xml:space="preserve">s. </w:t>
      </w:r>
      <w:r>
        <w:t xml:space="preserve">1846. Podobně </w:t>
      </w:r>
      <w:r w:rsidRPr="0005611F">
        <w:t xml:space="preserve">FIALA, DRÁPAL: </w:t>
      </w:r>
      <w:r w:rsidRPr="0005611F">
        <w:rPr>
          <w:i/>
        </w:rPr>
        <w:t>Občanský</w:t>
      </w:r>
      <w:r w:rsidRPr="0005611F">
        <w:t xml:space="preserve">…, </w:t>
      </w:r>
      <w:r>
        <w:t>s. 204.</w:t>
      </w:r>
    </w:p>
  </w:footnote>
  <w:footnote w:id="117">
    <w:p w:rsidR="00967270" w:rsidRDefault="00967270" w:rsidP="001132AD">
      <w:pPr>
        <w:pStyle w:val="Textpoznpodarou"/>
        <w:spacing w:after="0" w:line="240" w:lineRule="auto"/>
      </w:pPr>
      <w:r>
        <w:rPr>
          <w:rStyle w:val="Znakapoznpodarou"/>
        </w:rPr>
        <w:footnoteRef/>
      </w:r>
      <w:r>
        <w:t xml:space="preserve"> </w:t>
      </w:r>
      <w:r w:rsidRPr="00F10BCE">
        <w:t xml:space="preserve">FIALA, DRÁPAL: </w:t>
      </w:r>
      <w:r w:rsidRPr="00F10BCE">
        <w:rPr>
          <w:i/>
        </w:rPr>
        <w:t>Občanský</w:t>
      </w:r>
      <w:r w:rsidRPr="00F10BCE">
        <w:t xml:space="preserve">…, </w:t>
      </w:r>
      <w:r w:rsidRPr="001132AD">
        <w:t>s. 204</w:t>
      </w:r>
      <w:r>
        <w:t>.</w:t>
      </w:r>
    </w:p>
  </w:footnote>
  <w:footnote w:id="118">
    <w:p w:rsidR="00967270" w:rsidRDefault="00967270" w:rsidP="006573ED">
      <w:pPr>
        <w:pStyle w:val="Textpoznpodarou"/>
        <w:spacing w:after="0" w:line="240" w:lineRule="auto"/>
      </w:pPr>
      <w:r>
        <w:rPr>
          <w:rStyle w:val="Znakapoznpodarou"/>
        </w:rPr>
        <w:footnoteRef/>
      </w:r>
      <w:r>
        <w:t xml:space="preserve"> </w:t>
      </w:r>
      <w:r w:rsidRPr="0005611F">
        <w:t xml:space="preserve">PALANDT: </w:t>
      </w:r>
      <w:proofErr w:type="spellStart"/>
      <w:proofErr w:type="gramStart"/>
      <w:r w:rsidRPr="0005611F">
        <w:rPr>
          <w:i/>
        </w:rPr>
        <w:t>Bürgerliches</w:t>
      </w:r>
      <w:proofErr w:type="spellEnd"/>
      <w:r w:rsidRPr="0005611F">
        <w:t xml:space="preserve">..., </w:t>
      </w:r>
      <w:r>
        <w:t>s.</w:t>
      </w:r>
      <w:proofErr w:type="gramEnd"/>
      <w:r>
        <w:t xml:space="preserve"> 2050</w:t>
      </w:r>
      <w:r w:rsidRPr="006573ED">
        <w:t>.</w:t>
      </w:r>
    </w:p>
  </w:footnote>
  <w:footnote w:id="119">
    <w:p w:rsidR="00967270" w:rsidRDefault="00967270" w:rsidP="00724186">
      <w:pPr>
        <w:pStyle w:val="Textpoznpodarou"/>
        <w:spacing w:after="0" w:line="240" w:lineRule="auto"/>
      </w:pPr>
      <w:r>
        <w:rPr>
          <w:rStyle w:val="Znakapoznpodarou"/>
        </w:rPr>
        <w:footnoteRef/>
      </w:r>
      <w:r>
        <w:t xml:space="preserve"> Srovnej ŠEŠINA: </w:t>
      </w:r>
      <w:proofErr w:type="gramStart"/>
      <w:r w:rsidRPr="0088337D">
        <w:rPr>
          <w:i/>
        </w:rPr>
        <w:t>Zamyšlení</w:t>
      </w:r>
      <w:r>
        <w:t>..., s.</w:t>
      </w:r>
      <w:proofErr w:type="gramEnd"/>
      <w:r>
        <w:t xml:space="preserve"> 57.</w:t>
      </w:r>
    </w:p>
  </w:footnote>
  <w:footnote w:id="120">
    <w:p w:rsidR="00967270" w:rsidRDefault="00967270" w:rsidP="001650C5">
      <w:pPr>
        <w:pStyle w:val="Textpoznpodarou"/>
        <w:spacing w:after="0" w:line="240" w:lineRule="auto"/>
      </w:pPr>
      <w:r>
        <w:rPr>
          <w:rStyle w:val="Znakapoznpodarou"/>
        </w:rPr>
        <w:footnoteRef/>
      </w:r>
      <w:r>
        <w:t xml:space="preserve"> </w:t>
      </w:r>
      <w:r w:rsidRPr="00FC6752">
        <w:t>Důvodová zpráva k NOZ05, s. 502.</w:t>
      </w:r>
    </w:p>
  </w:footnote>
  <w:footnote w:id="121">
    <w:p w:rsidR="00967270" w:rsidRPr="0060119E" w:rsidRDefault="00967270" w:rsidP="0095437D">
      <w:pPr>
        <w:pStyle w:val="Textpoznpodarou"/>
        <w:spacing w:after="0" w:line="240" w:lineRule="auto"/>
      </w:pPr>
      <w:r w:rsidRPr="0060119E">
        <w:rPr>
          <w:rStyle w:val="Znakapoznpodarou"/>
        </w:rPr>
        <w:footnoteRef/>
      </w:r>
      <w:r w:rsidRPr="0060119E">
        <w:t xml:space="preserve"> Důvodová zpráva k</w:t>
      </w:r>
      <w:r>
        <w:t> </w:t>
      </w:r>
      <w:r w:rsidRPr="0060119E">
        <w:t>NOZ</w:t>
      </w:r>
      <w:r>
        <w:t>,</w:t>
      </w:r>
      <w:r w:rsidRPr="0060119E">
        <w:t xml:space="preserve"> s. 385</w:t>
      </w:r>
      <w:r>
        <w:t>.</w:t>
      </w:r>
    </w:p>
  </w:footnote>
  <w:footnote w:id="122">
    <w:p w:rsidR="00967270" w:rsidRPr="0015182B" w:rsidRDefault="00967270" w:rsidP="0095437D">
      <w:pPr>
        <w:pStyle w:val="Textpoznpodarou"/>
        <w:spacing w:after="0" w:line="240" w:lineRule="auto"/>
        <w:rPr>
          <w:color w:val="FF0000"/>
        </w:rPr>
      </w:pPr>
      <w:r>
        <w:rPr>
          <w:rStyle w:val="Znakapoznpodarou"/>
        </w:rPr>
        <w:footnoteRef/>
      </w:r>
      <w:r>
        <w:t xml:space="preserve"> </w:t>
      </w:r>
      <w:r w:rsidRPr="00CD1CC0">
        <w:t xml:space="preserve">TONAROVÁ, Petra. </w:t>
      </w:r>
      <w:r w:rsidRPr="007F573E">
        <w:rPr>
          <w:i/>
        </w:rPr>
        <w:t>Mangan, manganové hlubokomořské konkrece a jejich těžba</w:t>
      </w:r>
      <w:r w:rsidRPr="00CD1CC0">
        <w:t xml:space="preserve">. [online]. gweb.cz, 18. Května, </w:t>
      </w:r>
      <w:proofErr w:type="gramStart"/>
      <w:r w:rsidRPr="00CD1CC0">
        <w:t>2004  [cit</w:t>
      </w:r>
      <w:proofErr w:type="gramEnd"/>
      <w:r w:rsidRPr="00CD1CC0">
        <w:t>. 15. listopadu 2015]. Dostupné na &lt;http://www.gweb.cz/</w:t>
      </w:r>
      <w:proofErr w:type="spellStart"/>
      <w:r w:rsidRPr="00CD1CC0">
        <w:t>clanky</w:t>
      </w:r>
      <w:proofErr w:type="spellEnd"/>
      <w:r w:rsidRPr="00CD1CC0">
        <w:t>/clanek-51/&gt;.</w:t>
      </w:r>
    </w:p>
  </w:footnote>
  <w:footnote w:id="123">
    <w:p w:rsidR="00967270" w:rsidRPr="00754ACE" w:rsidRDefault="00967270" w:rsidP="00E40AC4">
      <w:pPr>
        <w:pStyle w:val="Textpoznpodarou"/>
        <w:spacing w:after="0" w:line="240" w:lineRule="auto"/>
      </w:pPr>
      <w:r>
        <w:rPr>
          <w:rStyle w:val="Znakapoznpodarou"/>
        </w:rPr>
        <w:footnoteRef/>
      </w:r>
      <w:r>
        <w:t xml:space="preserve"> </w:t>
      </w:r>
      <w:r w:rsidRPr="00754ACE">
        <w:t>Důvodová zpráva k NOZ, s. 386.</w:t>
      </w:r>
    </w:p>
  </w:footnote>
  <w:footnote w:id="124">
    <w:p w:rsidR="00967270" w:rsidRPr="00A02524" w:rsidRDefault="00967270" w:rsidP="009D7621">
      <w:pPr>
        <w:pStyle w:val="Textpoznpodarou"/>
        <w:spacing w:after="0" w:line="240" w:lineRule="auto"/>
        <w:rPr>
          <w:color w:val="FF0000"/>
        </w:rPr>
      </w:pPr>
      <w:r>
        <w:rPr>
          <w:rStyle w:val="Znakapoznpodarou"/>
        </w:rPr>
        <w:footnoteRef/>
      </w:r>
      <w:r>
        <w:t xml:space="preserve"> Srovnej KŘIVSKÁ: </w:t>
      </w:r>
      <w:r w:rsidRPr="00B337A0">
        <w:rPr>
          <w:i/>
        </w:rPr>
        <w:t>Privilegované</w:t>
      </w:r>
      <w:r>
        <w:t>…, s. 10.</w:t>
      </w:r>
    </w:p>
  </w:footnote>
  <w:footnote w:id="125">
    <w:p w:rsidR="00967270" w:rsidRDefault="00967270" w:rsidP="00FC5FF9">
      <w:pPr>
        <w:pStyle w:val="Textpoznpodarou"/>
        <w:spacing w:after="0" w:line="240" w:lineRule="auto"/>
      </w:pPr>
      <w:r>
        <w:rPr>
          <w:rStyle w:val="Znakapoznpodarou"/>
        </w:rPr>
        <w:footnoteRef/>
      </w:r>
      <w:r>
        <w:t xml:space="preserve"> Tamtéž.</w:t>
      </w:r>
    </w:p>
  </w:footnote>
  <w:footnote w:id="126">
    <w:p w:rsidR="00967270" w:rsidRDefault="00967270" w:rsidP="00C2015C">
      <w:pPr>
        <w:pStyle w:val="Textpoznpodarou"/>
        <w:spacing w:after="0" w:line="240" w:lineRule="auto"/>
      </w:pPr>
      <w:r>
        <w:rPr>
          <w:rStyle w:val="Znakapoznpodarou"/>
        </w:rPr>
        <w:footnoteRef/>
      </w:r>
      <w:r>
        <w:t xml:space="preserve"> </w:t>
      </w:r>
      <w:r w:rsidRPr="00B63831">
        <w:t xml:space="preserve">ŠVESTKA, DVOŘÁK, FIALA: </w:t>
      </w:r>
      <w:r w:rsidRPr="00B63831">
        <w:rPr>
          <w:i/>
        </w:rPr>
        <w:t>Občanský</w:t>
      </w:r>
      <w:r w:rsidRPr="00B63831">
        <w:t>…,</w:t>
      </w:r>
      <w:r>
        <w:t xml:space="preserve"> s. 152.</w:t>
      </w:r>
    </w:p>
  </w:footnote>
  <w:footnote w:id="127">
    <w:p w:rsidR="00967270" w:rsidRDefault="00967270" w:rsidP="005A5635">
      <w:pPr>
        <w:pStyle w:val="Textpoznpodarou"/>
        <w:spacing w:after="0" w:line="240" w:lineRule="auto"/>
      </w:pPr>
      <w:r>
        <w:rPr>
          <w:rStyle w:val="Znakapoznpodarou"/>
        </w:rPr>
        <w:footnoteRef/>
      </w:r>
      <w:r>
        <w:t xml:space="preserve"> </w:t>
      </w:r>
      <w:r w:rsidRPr="00F10BCE">
        <w:t xml:space="preserve">FIALA, DRÁPAL: </w:t>
      </w:r>
      <w:r w:rsidRPr="00F10BCE">
        <w:rPr>
          <w:i/>
        </w:rPr>
        <w:t>Občanský</w:t>
      </w:r>
      <w:r w:rsidRPr="00F10BCE">
        <w:t xml:space="preserve">…, </w:t>
      </w:r>
      <w:r>
        <w:t>s. 213.</w:t>
      </w:r>
    </w:p>
  </w:footnote>
  <w:footnote w:id="128">
    <w:p w:rsidR="00967270" w:rsidRDefault="00967270" w:rsidP="000440CE">
      <w:pPr>
        <w:pStyle w:val="Textpoznpodarou"/>
        <w:spacing w:after="0" w:line="240" w:lineRule="auto"/>
      </w:pPr>
      <w:r>
        <w:rPr>
          <w:rStyle w:val="Znakapoznpodarou"/>
        </w:rPr>
        <w:footnoteRef/>
      </w:r>
      <w:r>
        <w:t xml:space="preserve"> Může se jednat o překážku na straně svědků (např. svědek se dodatečně nedostaví) nebo na straně zůstavitele (např. zdravotní stav zůstavitele se zhorší tak, že nebude schopen požadované úkony provést). </w:t>
      </w:r>
    </w:p>
  </w:footnote>
  <w:footnote w:id="129">
    <w:p w:rsidR="00967270" w:rsidRDefault="00967270" w:rsidP="001904B4">
      <w:pPr>
        <w:pStyle w:val="Textpoznpodarou"/>
        <w:spacing w:after="0" w:line="240" w:lineRule="auto"/>
      </w:pPr>
      <w:r>
        <w:rPr>
          <w:rStyle w:val="Znakapoznpodarou"/>
        </w:rPr>
        <w:footnoteRef/>
      </w:r>
      <w:r>
        <w:t xml:space="preserve"> </w:t>
      </w:r>
      <w:r w:rsidRPr="0005611F">
        <w:t xml:space="preserve">BAMBERGER, ROTH: </w:t>
      </w:r>
      <w:proofErr w:type="spellStart"/>
      <w:r w:rsidRPr="0005611F">
        <w:rPr>
          <w:i/>
        </w:rPr>
        <w:t>Kommentar</w:t>
      </w:r>
      <w:proofErr w:type="spellEnd"/>
      <w:r w:rsidRPr="0005611F">
        <w:t xml:space="preserve">…, </w:t>
      </w:r>
      <w:r>
        <w:t xml:space="preserve">s. 1847. Podobně </w:t>
      </w:r>
      <w:r w:rsidRPr="002D5F0E">
        <w:t xml:space="preserve">BEDNÁŘ: </w:t>
      </w:r>
      <w:r w:rsidRPr="002D5F0E">
        <w:rPr>
          <w:i/>
        </w:rPr>
        <w:t>Testamentární</w:t>
      </w:r>
      <w:r w:rsidRPr="002D5F0E">
        <w:t xml:space="preserve">…, </w:t>
      </w:r>
      <w:r>
        <w:t>s. 119</w:t>
      </w:r>
      <w:r w:rsidRPr="001904B4">
        <w:t>.</w:t>
      </w:r>
    </w:p>
  </w:footnote>
  <w:footnote w:id="130">
    <w:p w:rsidR="00967270" w:rsidRDefault="00967270" w:rsidP="001D67EE">
      <w:pPr>
        <w:pStyle w:val="Textpoznpodarou"/>
        <w:spacing w:after="0" w:line="240" w:lineRule="auto"/>
      </w:pPr>
      <w:r>
        <w:rPr>
          <w:rStyle w:val="Znakapoznpodarou"/>
        </w:rPr>
        <w:footnoteRef/>
      </w:r>
      <w:r>
        <w:t xml:space="preserve"> ŠEŠINA: </w:t>
      </w:r>
      <w:proofErr w:type="gramStart"/>
      <w:r w:rsidRPr="0088337D">
        <w:rPr>
          <w:i/>
        </w:rPr>
        <w:t>Zamyšlení</w:t>
      </w:r>
      <w:r>
        <w:t>..., s.</w:t>
      </w:r>
      <w:proofErr w:type="gramEnd"/>
      <w:r>
        <w:t xml:space="preserve"> 57</w:t>
      </w:r>
      <w:r w:rsidRPr="00C85C09">
        <w:t>.</w:t>
      </w:r>
    </w:p>
  </w:footnote>
  <w:footnote w:id="131">
    <w:p w:rsidR="00967270" w:rsidRPr="00C14814" w:rsidRDefault="00967270" w:rsidP="00C14814">
      <w:pPr>
        <w:pStyle w:val="Textpoznpodarou"/>
        <w:spacing w:after="0" w:line="240" w:lineRule="auto"/>
        <w:rPr>
          <w:color w:val="FF0000"/>
        </w:rPr>
      </w:pPr>
      <w:r>
        <w:rPr>
          <w:rStyle w:val="Znakapoznpodarou"/>
        </w:rPr>
        <w:footnoteRef/>
      </w:r>
      <w:r>
        <w:t xml:space="preserve"> Usnesení NS ČR ze dne 28.4.1997, </w:t>
      </w:r>
      <w:proofErr w:type="spellStart"/>
      <w:proofErr w:type="gramStart"/>
      <w:r>
        <w:t>sp.</w:t>
      </w:r>
      <w:r w:rsidRPr="00A5237B">
        <w:t>zn</w:t>
      </w:r>
      <w:proofErr w:type="spellEnd"/>
      <w:r w:rsidRPr="00A5237B">
        <w:t>.</w:t>
      </w:r>
      <w:proofErr w:type="gramEnd"/>
      <w:r w:rsidRPr="00A5237B">
        <w:t xml:space="preserve"> 2 </w:t>
      </w:r>
      <w:proofErr w:type="spellStart"/>
      <w:r w:rsidRPr="00A5237B">
        <w:t>Cdon</w:t>
      </w:r>
      <w:proofErr w:type="spellEnd"/>
      <w:r w:rsidRPr="00A5237B">
        <w:t xml:space="preserve"> 988/96</w:t>
      </w:r>
      <w:r>
        <w:t>.</w:t>
      </w:r>
    </w:p>
  </w:footnote>
  <w:footnote w:id="132">
    <w:p w:rsidR="00967270" w:rsidRPr="00E44713" w:rsidRDefault="00967270" w:rsidP="006D2A54">
      <w:pPr>
        <w:pStyle w:val="Textpoznpodarou"/>
        <w:spacing w:after="0" w:line="240" w:lineRule="auto"/>
      </w:pPr>
      <w:r>
        <w:rPr>
          <w:rStyle w:val="Znakapoznpodarou"/>
        </w:rPr>
        <w:footnoteRef/>
      </w:r>
      <w:r>
        <w:t xml:space="preserve"> SVOBODA, KLIČKA: </w:t>
      </w:r>
      <w:proofErr w:type="gramStart"/>
      <w:r w:rsidRPr="004841E9">
        <w:rPr>
          <w:i/>
        </w:rPr>
        <w:t>Dědické</w:t>
      </w:r>
      <w:r>
        <w:t>..., s.</w:t>
      </w:r>
      <w:proofErr w:type="gramEnd"/>
      <w:r>
        <w:t xml:space="preserve"> 114</w:t>
      </w:r>
      <w:r w:rsidRPr="006D2A54">
        <w:t>.</w:t>
      </w:r>
      <w:r>
        <w:t xml:space="preserve"> </w:t>
      </w:r>
      <w:r w:rsidRPr="00E44713">
        <w:t xml:space="preserve">Podobně FIALA, DRÁPAL: </w:t>
      </w:r>
      <w:r w:rsidRPr="00E44713">
        <w:rPr>
          <w:i/>
        </w:rPr>
        <w:t>Občanský</w:t>
      </w:r>
      <w:r>
        <w:t>…, s. 312</w:t>
      </w:r>
      <w:r w:rsidRPr="00E44713">
        <w:t>.</w:t>
      </w:r>
    </w:p>
  </w:footnote>
  <w:footnote w:id="133">
    <w:p w:rsidR="00967270" w:rsidRPr="00902680" w:rsidRDefault="00967270" w:rsidP="006C7C0F">
      <w:pPr>
        <w:pStyle w:val="Textpoznpodarou"/>
        <w:spacing w:after="0" w:line="240" w:lineRule="auto"/>
      </w:pPr>
      <w:r>
        <w:rPr>
          <w:rStyle w:val="Znakapoznpodarou"/>
        </w:rPr>
        <w:footnoteRef/>
      </w:r>
      <w:r>
        <w:t xml:space="preserve"> </w:t>
      </w:r>
      <w:r w:rsidRPr="00902680">
        <w:t>MUZIKÁŘ</w:t>
      </w:r>
      <w:r>
        <w:t xml:space="preserve">, Ladislav. In SUCHÁ, MOKRÝ: </w:t>
      </w:r>
      <w:r w:rsidRPr="00094DDC">
        <w:rPr>
          <w:i/>
        </w:rPr>
        <w:t>Sborník přednášek</w:t>
      </w:r>
      <w:r>
        <w:rPr>
          <w:i/>
        </w:rPr>
        <w:t>…</w:t>
      </w:r>
      <w:r w:rsidRPr="00902680">
        <w:t xml:space="preserve">, s. 134. </w:t>
      </w:r>
    </w:p>
  </w:footnote>
  <w:footnote w:id="134">
    <w:p w:rsidR="00967270" w:rsidRDefault="00967270" w:rsidP="00740240">
      <w:pPr>
        <w:pStyle w:val="Textpoznpodarou"/>
        <w:spacing w:after="0" w:line="240" w:lineRule="auto"/>
      </w:pPr>
      <w:r>
        <w:rPr>
          <w:rStyle w:val="Znakapoznpodarou"/>
        </w:rPr>
        <w:footnoteRef/>
      </w:r>
      <w:r>
        <w:t xml:space="preserve"> Tamtéž, s. 109-135.</w:t>
      </w:r>
    </w:p>
  </w:footnote>
  <w:footnote w:id="135">
    <w:p w:rsidR="00967270" w:rsidRDefault="00967270" w:rsidP="00E32E18">
      <w:pPr>
        <w:pStyle w:val="Textpoznpodarou"/>
        <w:spacing w:after="0" w:line="240" w:lineRule="auto"/>
      </w:pPr>
      <w:r>
        <w:rPr>
          <w:rStyle w:val="Znakapoznpodarou"/>
        </w:rPr>
        <w:footnoteRef/>
      </w:r>
      <w:r>
        <w:t xml:space="preserve"> Důvodová zpráva k NOZ, s. 397.</w:t>
      </w:r>
    </w:p>
  </w:footnote>
  <w:footnote w:id="136">
    <w:p w:rsidR="00967270" w:rsidRDefault="00967270" w:rsidP="00BC3C31">
      <w:pPr>
        <w:pStyle w:val="Textpoznpodarou"/>
        <w:spacing w:after="0" w:line="240" w:lineRule="auto"/>
      </w:pPr>
      <w:r>
        <w:rPr>
          <w:rStyle w:val="Znakapoznpodarou"/>
        </w:rPr>
        <w:footnoteRef/>
      </w:r>
      <w:r>
        <w:t xml:space="preserve"> R. Fiala a K. Beerová se přiklánějí k řešení </w:t>
      </w:r>
      <w:proofErr w:type="gramStart"/>
      <w:r>
        <w:t>naznačeném</w:t>
      </w:r>
      <w:proofErr w:type="gramEnd"/>
      <w:r>
        <w:t xml:space="preserve"> v důvodové zprávě, podle kterého se zohlední výše hodnoty odkazu k celé pozůstalosti. Povolání dědice ke konkrétní věci lze dovodit navíc i z uvození § 1694 odst. 2 NOZ: „přidělil-li zůstavitel dědicům jednotlivé věci ze svého jmění“. FIALA, Roman, BEEROVÁ, Kamila. In </w:t>
      </w:r>
      <w:r w:rsidRPr="00E00B8E">
        <w:t xml:space="preserve">FIALA, DRÁPAL: </w:t>
      </w:r>
      <w:r w:rsidRPr="00E00B8E">
        <w:rPr>
          <w:i/>
        </w:rPr>
        <w:t>Občanský</w:t>
      </w:r>
      <w:r>
        <w:t>…, s. 94</w:t>
      </w:r>
      <w:r w:rsidRPr="00E00B8E">
        <w:t>.</w:t>
      </w:r>
    </w:p>
  </w:footnote>
  <w:footnote w:id="137">
    <w:p w:rsidR="00967270" w:rsidRDefault="00967270" w:rsidP="00E71D58">
      <w:pPr>
        <w:pStyle w:val="Textpoznpodarou"/>
        <w:spacing w:after="0" w:line="240" w:lineRule="auto"/>
      </w:pPr>
      <w:r>
        <w:rPr>
          <w:rStyle w:val="Znakapoznpodarou"/>
        </w:rPr>
        <w:footnoteRef/>
      </w:r>
      <w:r>
        <w:t xml:space="preserve"> HORÁK, Ondřej. Dědictví a odkaz (k přechodu majetkových práv a povinností pro případ smrti). </w:t>
      </w:r>
      <w:r w:rsidRPr="00397449">
        <w:rPr>
          <w:i/>
        </w:rPr>
        <w:t>Právní rozhledy</w:t>
      </w:r>
      <w:r>
        <w:t>, 2015, roč. 22, č. 9, s. 306-307.</w:t>
      </w:r>
    </w:p>
  </w:footnote>
  <w:footnote w:id="138">
    <w:p w:rsidR="00967270" w:rsidRDefault="00967270" w:rsidP="008F65D5">
      <w:pPr>
        <w:pStyle w:val="Textpoznpodarou"/>
        <w:spacing w:after="0" w:line="240" w:lineRule="auto"/>
      </w:pPr>
      <w:r>
        <w:rPr>
          <w:rStyle w:val="Znakapoznpodarou"/>
        </w:rPr>
        <w:footnoteRef/>
      </w:r>
      <w:r>
        <w:t xml:space="preserve"> Tamtéž, s. 306.</w:t>
      </w:r>
    </w:p>
  </w:footnote>
  <w:footnote w:id="139">
    <w:p w:rsidR="00967270" w:rsidRDefault="00967270" w:rsidP="00825DAB">
      <w:pPr>
        <w:pStyle w:val="Textpoznpodarou"/>
        <w:spacing w:after="0" w:line="240" w:lineRule="auto"/>
      </w:pPr>
      <w:r>
        <w:rPr>
          <w:rStyle w:val="Znakapoznpodarou"/>
        </w:rPr>
        <w:footnoteRef/>
      </w:r>
      <w:r>
        <w:t xml:space="preserve"> Je-li úmyslem zůstavitele povolat dědice, měl by užít těchto slov: </w:t>
      </w:r>
      <w:r w:rsidRPr="004F0C8B">
        <w:rPr>
          <w:i/>
        </w:rPr>
        <w:t>„Chci, aby se můj syn Jan stal mým dědicem“</w:t>
      </w:r>
      <w:r>
        <w:t xml:space="preserve">. Zamýšlí-li zůstavitel povolat osobu jako </w:t>
      </w:r>
      <w:proofErr w:type="spellStart"/>
      <w:r>
        <w:t>odkazovníka</w:t>
      </w:r>
      <w:proofErr w:type="spellEnd"/>
      <w:r>
        <w:t xml:space="preserve">, měl by převzít terminologii § 1594 NOZ a uvést: </w:t>
      </w:r>
      <w:r w:rsidRPr="00EC41B0">
        <w:rPr>
          <w:i/>
        </w:rPr>
        <w:t>„Zřizuji svému synu Janovi odkaz obrazu J. Zrzavého a nařizuji svým dědi</w:t>
      </w:r>
      <w:r>
        <w:rPr>
          <w:i/>
        </w:rPr>
        <w:t>cům, aby mu tento předmět odkaz</w:t>
      </w:r>
      <w:r w:rsidRPr="00EC41B0">
        <w:rPr>
          <w:i/>
        </w:rPr>
        <w:t xml:space="preserve">u vydali“. </w:t>
      </w:r>
    </w:p>
  </w:footnote>
  <w:footnote w:id="140">
    <w:p w:rsidR="00967270" w:rsidRDefault="00967270" w:rsidP="00840346">
      <w:pPr>
        <w:pStyle w:val="Textpoznpodarou"/>
        <w:spacing w:after="0" w:line="240" w:lineRule="auto"/>
      </w:pPr>
      <w:r>
        <w:rPr>
          <w:rStyle w:val="Znakapoznpodarou"/>
        </w:rPr>
        <w:footnoteRef/>
      </w:r>
      <w:r>
        <w:t xml:space="preserve"> Jisté pochybnosti ohledně peněžního zadostiučinění nepominutelného dědice ve vztahu k nemovitostem uvádí K. </w:t>
      </w:r>
      <w:proofErr w:type="spellStart"/>
      <w:r>
        <w:t>Wawerka</w:t>
      </w:r>
      <w:proofErr w:type="spellEnd"/>
      <w:r>
        <w:t xml:space="preserve">, který se domnívá, že ten, kdo by k takové výplatě hodnoty povinného dílu byl povinen, nebude disponovat dostatečnými finančními prostředky, takže opominutý dědic bude svá práva jen ze svého podílu na nemovitostech jen obtížně uplatňovat. </w:t>
      </w:r>
      <w:r w:rsidRPr="001D3A5C">
        <w:t xml:space="preserve">WAWERKA, Karel. Jaké dědické právo?. </w:t>
      </w:r>
      <w:r w:rsidRPr="001D3A5C">
        <w:rPr>
          <w:i/>
        </w:rPr>
        <w:t xml:space="preserve">Ad </w:t>
      </w:r>
      <w:proofErr w:type="spellStart"/>
      <w:r w:rsidRPr="001D3A5C">
        <w:rPr>
          <w:i/>
        </w:rPr>
        <w:t>Notam</w:t>
      </w:r>
      <w:proofErr w:type="spellEnd"/>
      <w:r w:rsidRPr="001D3A5C">
        <w:t>,</w:t>
      </w:r>
      <w:r>
        <w:t xml:space="preserve"> 2004, roč. 10, č. 2, s. 40</w:t>
      </w:r>
      <w:r w:rsidRPr="001D3A5C">
        <w:t>.</w:t>
      </w:r>
    </w:p>
  </w:footnote>
  <w:footnote w:id="141">
    <w:p w:rsidR="00967270" w:rsidRDefault="00967270" w:rsidP="00082A4A">
      <w:pPr>
        <w:pStyle w:val="Textpoznpodarou"/>
        <w:spacing w:after="0" w:line="240" w:lineRule="auto"/>
      </w:pPr>
      <w:r>
        <w:rPr>
          <w:rStyle w:val="Znakapoznpodarou"/>
        </w:rPr>
        <w:footnoteRef/>
      </w:r>
      <w:r>
        <w:t xml:space="preserve"> </w:t>
      </w:r>
      <w:r w:rsidRPr="001B1B03">
        <w:t xml:space="preserve">ELIÁŠ, Karel. Základní pojetí návrhu úpravy dědického práva pro nový občanský zákoník. </w:t>
      </w:r>
      <w:r w:rsidRPr="001B1B03">
        <w:rPr>
          <w:i/>
        </w:rPr>
        <w:t xml:space="preserve">Ad </w:t>
      </w:r>
      <w:proofErr w:type="spellStart"/>
      <w:r w:rsidRPr="001B1B03">
        <w:rPr>
          <w:i/>
        </w:rPr>
        <w:t>Notam</w:t>
      </w:r>
      <w:proofErr w:type="spellEnd"/>
      <w:r>
        <w:t>, 2003, roč. 9, č. 5, s. 100</w:t>
      </w:r>
      <w:r w:rsidRPr="001B1B03">
        <w:t>.</w:t>
      </w:r>
      <w:r>
        <w:t xml:space="preserve"> O neúspěšné snaze prosadit rozšíření okruhu nepominutelných dědiců v rámci rekodifikace podobně </w:t>
      </w:r>
      <w:r w:rsidRPr="003474AD">
        <w:t>BEDNÁŘ, Václav. Nepominutelný dědic. In HAVEL, Bohumil, PIHERA, Vlastimil (</w:t>
      </w:r>
      <w:proofErr w:type="spellStart"/>
      <w:r w:rsidRPr="003474AD">
        <w:t>ed</w:t>
      </w:r>
      <w:proofErr w:type="spellEnd"/>
      <w:r w:rsidRPr="003474AD">
        <w:t xml:space="preserve">). </w:t>
      </w:r>
      <w:r w:rsidRPr="009F7EE0">
        <w:rPr>
          <w:i/>
        </w:rPr>
        <w:t>Soukromé právo na cestě: eseje a jiné texty k jubileu Karla Eliáše</w:t>
      </w:r>
      <w:r w:rsidRPr="003474AD">
        <w:t>. Plzeň: Aleš Čeněk, 2010, s. 23.</w:t>
      </w:r>
    </w:p>
  </w:footnote>
  <w:footnote w:id="142">
    <w:p w:rsidR="00967270" w:rsidRDefault="00967270" w:rsidP="00B23D02">
      <w:pPr>
        <w:pStyle w:val="Textpoznpodarou"/>
        <w:spacing w:after="0" w:line="240" w:lineRule="auto"/>
      </w:pPr>
      <w:r>
        <w:rPr>
          <w:rStyle w:val="Znakapoznpodarou"/>
        </w:rPr>
        <w:footnoteRef/>
      </w:r>
      <w:r>
        <w:t xml:space="preserve"> BEDNÁŘ, Václav. In HAVEL, PIHERA: </w:t>
      </w:r>
      <w:r w:rsidRPr="007507FC">
        <w:rPr>
          <w:i/>
        </w:rPr>
        <w:t>Soukr</w:t>
      </w:r>
      <w:r>
        <w:rPr>
          <w:i/>
        </w:rPr>
        <w:t>omé právo…</w:t>
      </w:r>
      <w:r>
        <w:t xml:space="preserve">, s. 23. Podobný názor vyslovil i O. Horák, který navíc uvádí, že právo na nutné zaopatření podle § 1655 a násl. NOZ není vhodným řešením: HORÁK, Ondřej. Ochrana nepominutelných dědiců a povinný díl. </w:t>
      </w:r>
      <w:r w:rsidRPr="00B23D02">
        <w:rPr>
          <w:i/>
        </w:rPr>
        <w:t>Časopis pro právní vědu a praxi</w:t>
      </w:r>
      <w:r>
        <w:t xml:space="preserve">, 2012, </w:t>
      </w:r>
      <w:r w:rsidRPr="00B23D02">
        <w:t>roč. 20</w:t>
      </w:r>
      <w:r>
        <w:t>, č. 3, s. 284.</w:t>
      </w:r>
    </w:p>
  </w:footnote>
  <w:footnote w:id="143">
    <w:p w:rsidR="00967270" w:rsidRPr="00964E02" w:rsidRDefault="00967270" w:rsidP="006217CD">
      <w:pPr>
        <w:pStyle w:val="Textpoznpodarou"/>
        <w:spacing w:after="0" w:line="240" w:lineRule="auto"/>
      </w:pPr>
      <w:r>
        <w:rPr>
          <w:rStyle w:val="Znakapoznpodarou"/>
        </w:rPr>
        <w:footnoteRef/>
      </w:r>
      <w:r>
        <w:t xml:space="preserve"> </w:t>
      </w:r>
      <w:r w:rsidRPr="00964E02">
        <w:t xml:space="preserve">MEDUNOVÁ, Renáta. Dědic, který nemá být opomenut. </w:t>
      </w:r>
      <w:r w:rsidRPr="00964E02">
        <w:rPr>
          <w:i/>
        </w:rPr>
        <w:t xml:space="preserve">Ad </w:t>
      </w:r>
      <w:proofErr w:type="spellStart"/>
      <w:r w:rsidRPr="00964E02">
        <w:rPr>
          <w:i/>
        </w:rPr>
        <w:t>Notam</w:t>
      </w:r>
      <w:proofErr w:type="spellEnd"/>
      <w:r>
        <w:t>, 2009, roč. 14, č. 5,</w:t>
      </w:r>
      <w:r w:rsidRPr="00964E02">
        <w:t xml:space="preserve"> s. 172</w:t>
      </w:r>
      <w:r>
        <w:t>.</w:t>
      </w:r>
    </w:p>
  </w:footnote>
  <w:footnote w:id="144">
    <w:p w:rsidR="00967270" w:rsidRPr="001C608B" w:rsidRDefault="00967270" w:rsidP="001C608B">
      <w:pPr>
        <w:pStyle w:val="Textpoznpodarou"/>
        <w:spacing w:after="0" w:line="240" w:lineRule="auto"/>
        <w:rPr>
          <w:color w:val="FF0000"/>
        </w:rPr>
      </w:pPr>
      <w:r>
        <w:rPr>
          <w:rStyle w:val="Znakapoznpodarou"/>
        </w:rPr>
        <w:footnoteRef/>
      </w:r>
      <w:r>
        <w:t xml:space="preserve"> BALCAROVÁ, Dana. Dědická smlouva de lege </w:t>
      </w:r>
      <w:proofErr w:type="spellStart"/>
      <w:r>
        <w:t>ferenda</w:t>
      </w:r>
      <w:proofErr w:type="spellEnd"/>
      <w:r w:rsidRPr="006736EB">
        <w:t>. In KNOLL</w:t>
      </w:r>
      <w:r>
        <w:t>, Vilém. KARHANOVÁ, Martina (</w:t>
      </w:r>
      <w:proofErr w:type="spellStart"/>
      <w:r>
        <w:t>ed</w:t>
      </w:r>
      <w:proofErr w:type="spellEnd"/>
      <w:r w:rsidRPr="006736EB">
        <w:t xml:space="preserve">). </w:t>
      </w:r>
      <w:r w:rsidRPr="0027049C">
        <w:rPr>
          <w:i/>
        </w:rPr>
        <w:t>Naděje právní vědy. Býkov 2007</w:t>
      </w:r>
      <w:r w:rsidRPr="006736EB">
        <w:t>. Plzeň: Aleš Čeněk,</w:t>
      </w:r>
      <w:r>
        <w:t xml:space="preserve"> 2008, s. 215</w:t>
      </w:r>
      <w:r w:rsidRPr="006736EB">
        <w:t>.</w:t>
      </w:r>
      <w:r>
        <w:t xml:space="preserve"> </w:t>
      </w:r>
      <w:r w:rsidRPr="001C608B">
        <w:t xml:space="preserve">Podobně KAWULOK, Josef. Vydědění - právní úprava a praxe. </w:t>
      </w:r>
      <w:r w:rsidRPr="001C608B">
        <w:rPr>
          <w:i/>
        </w:rPr>
        <w:t xml:space="preserve">Ad </w:t>
      </w:r>
      <w:proofErr w:type="spellStart"/>
      <w:r w:rsidRPr="001C608B">
        <w:rPr>
          <w:i/>
        </w:rPr>
        <w:t>Notam</w:t>
      </w:r>
      <w:proofErr w:type="spellEnd"/>
      <w:r w:rsidRPr="001C608B">
        <w:t>, 1999, roč. 5, č. 4, s. 75.</w:t>
      </w:r>
      <w:r>
        <w:t xml:space="preserve"> </w:t>
      </w:r>
      <w:r w:rsidRPr="00017AAE">
        <w:t>Diskuse o případném zrušení tohoto institutu proběhly rovněž v Rakousku. Zpochybňována byla jeho zajišť</w:t>
      </w:r>
      <w:r>
        <w:t xml:space="preserve">ovací funkce </w:t>
      </w:r>
      <w:r w:rsidRPr="00017AAE">
        <w:t>a negativní ekon</w:t>
      </w:r>
      <w:r>
        <w:t xml:space="preserve">omický dopad při dělení </w:t>
      </w:r>
      <w:r w:rsidRPr="00017AAE">
        <w:t>korporátního majetku velké hodnoty</w:t>
      </w:r>
      <w:r>
        <w:t xml:space="preserve">. Vzhledem ke stanovisku odborné literatury a ohlasů z praxe zůstal tento institut i nadále právně zaručen. </w:t>
      </w:r>
      <w:r w:rsidRPr="004D4E37">
        <w:t>WELSER, Rudolf. In WELSER, Rudolf (</w:t>
      </w:r>
      <w:proofErr w:type="spellStart"/>
      <w:r w:rsidRPr="004D4E37">
        <w:t>ed</w:t>
      </w:r>
      <w:proofErr w:type="spellEnd"/>
      <w:r w:rsidRPr="004D4E37">
        <w:t xml:space="preserve">). </w:t>
      </w:r>
      <w:proofErr w:type="spellStart"/>
      <w:r w:rsidRPr="004D4E37">
        <w:rPr>
          <w:i/>
        </w:rPr>
        <w:t>Erbrechtsentwicklung</w:t>
      </w:r>
      <w:proofErr w:type="spellEnd"/>
      <w:r w:rsidRPr="004D4E37">
        <w:rPr>
          <w:i/>
        </w:rPr>
        <w:t xml:space="preserve"> in </w:t>
      </w:r>
      <w:proofErr w:type="spellStart"/>
      <w:r w:rsidRPr="004D4E37">
        <w:rPr>
          <w:i/>
        </w:rPr>
        <w:t>Zentral-und</w:t>
      </w:r>
      <w:proofErr w:type="spellEnd"/>
      <w:r w:rsidRPr="004D4E37">
        <w:rPr>
          <w:i/>
        </w:rPr>
        <w:t xml:space="preserve"> </w:t>
      </w:r>
      <w:proofErr w:type="spellStart"/>
      <w:r w:rsidRPr="004D4E37">
        <w:rPr>
          <w:i/>
        </w:rPr>
        <w:t>Osteuropa</w:t>
      </w:r>
      <w:proofErr w:type="spellEnd"/>
      <w:r w:rsidRPr="004D4E37">
        <w:t xml:space="preserve">. </w:t>
      </w:r>
      <w:proofErr w:type="spellStart"/>
      <w:r w:rsidRPr="004D4E37">
        <w:t>Wien</w:t>
      </w:r>
      <w:proofErr w:type="spellEnd"/>
      <w:r w:rsidRPr="004D4E37">
        <w:t xml:space="preserve">: </w:t>
      </w:r>
      <w:proofErr w:type="spellStart"/>
      <w:r w:rsidRPr="004D4E37">
        <w:t>Manz</w:t>
      </w:r>
      <w:proofErr w:type="spellEnd"/>
      <w:r w:rsidRPr="004D4E37">
        <w:t>, 2009</w:t>
      </w:r>
      <w:r>
        <w:t>,</w:t>
      </w:r>
      <w:r w:rsidRPr="004D4E37">
        <w:t xml:space="preserve"> s. 2-6.</w:t>
      </w:r>
      <w:r>
        <w:t xml:space="preserve"> </w:t>
      </w:r>
    </w:p>
  </w:footnote>
  <w:footnote w:id="145">
    <w:p w:rsidR="00967270" w:rsidRPr="00D33E95" w:rsidRDefault="00967270" w:rsidP="00C07762">
      <w:pPr>
        <w:pStyle w:val="Textpoznpodarou"/>
        <w:spacing w:after="0" w:line="240" w:lineRule="auto"/>
        <w:rPr>
          <w:color w:val="FF0000"/>
        </w:rPr>
      </w:pPr>
      <w:r>
        <w:rPr>
          <w:rStyle w:val="Znakapoznpodarou"/>
        </w:rPr>
        <w:footnoteRef/>
      </w:r>
      <w:r>
        <w:t xml:space="preserve"> MALÁ, Lenka. Darování pro případ smrti v Německu a Rakousku. </w:t>
      </w:r>
      <w:r w:rsidRPr="00174FD6">
        <w:rPr>
          <w:i/>
        </w:rPr>
        <w:t xml:space="preserve">Ad </w:t>
      </w:r>
      <w:proofErr w:type="spellStart"/>
      <w:r w:rsidRPr="00174FD6">
        <w:rPr>
          <w:i/>
        </w:rPr>
        <w:t>Notam</w:t>
      </w:r>
      <w:proofErr w:type="spellEnd"/>
      <w:r w:rsidRPr="00174FD6">
        <w:t>,</w:t>
      </w:r>
      <w:r>
        <w:rPr>
          <w:i/>
        </w:rPr>
        <w:t xml:space="preserve"> </w:t>
      </w:r>
      <w:r>
        <w:t xml:space="preserve">2014, roč. 20, č. 3, s. 5. Podobně </w:t>
      </w:r>
      <w:r w:rsidRPr="00532DF8">
        <w:t xml:space="preserve">HORÁK, Ondřej. Darování pro případ smrti a ochrana dědiců (k diskusi o novelizaci občanského zákoníku). </w:t>
      </w:r>
      <w:r w:rsidRPr="00532DF8">
        <w:rPr>
          <w:i/>
        </w:rPr>
        <w:t>Právní rozhledy</w:t>
      </w:r>
      <w:r w:rsidRPr="00532DF8">
        <w:t xml:space="preserve">, 2014, roč. 22, č. 22, s. </w:t>
      </w:r>
      <w:r w:rsidRPr="00DC511B">
        <w:t>784.</w:t>
      </w:r>
      <w:r>
        <w:rPr>
          <w:color w:val="FF0000"/>
        </w:rPr>
        <w:t xml:space="preserve"> </w:t>
      </w:r>
      <w:r w:rsidRPr="00375E49">
        <w:t xml:space="preserve">TALANDA, Adam. Darování pro případ smrti-trojský kůň dědického práva. </w:t>
      </w:r>
      <w:r w:rsidRPr="00375E49">
        <w:rPr>
          <w:i/>
        </w:rPr>
        <w:t>Právní rozhledy</w:t>
      </w:r>
      <w:r w:rsidRPr="00375E49">
        <w:t>,</w:t>
      </w:r>
      <w:r>
        <w:t xml:space="preserve"> 2015, roč. 23, č. 13-14, s. 476-477.</w:t>
      </w:r>
    </w:p>
  </w:footnote>
  <w:footnote w:id="146">
    <w:p w:rsidR="00967270" w:rsidRPr="00D33E95" w:rsidRDefault="00967270" w:rsidP="00D33E95">
      <w:pPr>
        <w:pStyle w:val="Textpoznpodarou"/>
        <w:spacing w:after="0" w:line="240" w:lineRule="auto"/>
        <w:rPr>
          <w:color w:val="FF0000"/>
        </w:rPr>
      </w:pPr>
      <w:r>
        <w:rPr>
          <w:rStyle w:val="Znakapoznpodarou"/>
        </w:rPr>
        <w:footnoteRef/>
      </w:r>
      <w:r>
        <w:t xml:space="preserve"> </w:t>
      </w:r>
      <w:r w:rsidRPr="00905CC3">
        <w:t xml:space="preserve">Teorie ani praxe není ve výkladu § 2063 </w:t>
      </w:r>
      <w:r>
        <w:t xml:space="preserve">NOZ jednotná. Blíže </w:t>
      </w:r>
      <w:r w:rsidRPr="00D13ECC">
        <w:t xml:space="preserve">TALANDA: </w:t>
      </w:r>
      <w:r w:rsidRPr="00D13ECC">
        <w:rPr>
          <w:i/>
        </w:rPr>
        <w:t>Darování</w:t>
      </w:r>
      <w:proofErr w:type="gramStart"/>
      <w:r w:rsidRPr="00D13ECC">
        <w:t xml:space="preserve">…, </w:t>
      </w:r>
      <w:r>
        <w:t xml:space="preserve"> s.</w:t>
      </w:r>
      <w:proofErr w:type="gramEnd"/>
      <w:r>
        <w:t xml:space="preserve"> 476-480.</w:t>
      </w:r>
      <w:r>
        <w:rPr>
          <w:color w:val="FF0000"/>
        </w:rPr>
        <w:t xml:space="preserve"> </w:t>
      </w:r>
      <w:r w:rsidRPr="00D33E95">
        <w:t>KLEIN, Šimon. Dědická smlouva a</w:t>
      </w:r>
      <w:r>
        <w:t> </w:t>
      </w:r>
      <w:r w:rsidRPr="00D33E95">
        <w:t xml:space="preserve"> darování pro případ smrti. </w:t>
      </w:r>
      <w:r w:rsidRPr="00D13ECC">
        <w:rPr>
          <w:i/>
        </w:rPr>
        <w:t xml:space="preserve">Ad </w:t>
      </w:r>
      <w:proofErr w:type="spellStart"/>
      <w:r w:rsidRPr="00D13ECC">
        <w:rPr>
          <w:i/>
        </w:rPr>
        <w:t>Notam</w:t>
      </w:r>
      <w:proofErr w:type="spellEnd"/>
      <w:r w:rsidRPr="00D33E95">
        <w:t>, 2013, roč. 19, č. 4,</w:t>
      </w:r>
      <w:r w:rsidRPr="00D33E95">
        <w:rPr>
          <w:color w:val="FF0000"/>
        </w:rPr>
        <w:t xml:space="preserve"> </w:t>
      </w:r>
      <w:r w:rsidRPr="00905CC3">
        <w:t>s. 15.</w:t>
      </w:r>
    </w:p>
  </w:footnote>
  <w:footnote w:id="147">
    <w:p w:rsidR="00967270" w:rsidRPr="00D33E95" w:rsidRDefault="00967270" w:rsidP="007D17FA">
      <w:pPr>
        <w:pStyle w:val="Textpoznpodarou"/>
        <w:spacing w:after="0" w:line="240" w:lineRule="auto"/>
        <w:rPr>
          <w:color w:val="FF0000"/>
        </w:rPr>
      </w:pPr>
      <w:r>
        <w:rPr>
          <w:rStyle w:val="Znakapoznpodarou"/>
        </w:rPr>
        <w:footnoteRef/>
      </w:r>
      <w:r>
        <w:t xml:space="preserve"> </w:t>
      </w:r>
      <w:r w:rsidRPr="00D33E95">
        <w:t>TALAN</w:t>
      </w:r>
      <w:r>
        <w:t xml:space="preserve">DA: </w:t>
      </w:r>
      <w:r w:rsidRPr="00C16E2F">
        <w:rPr>
          <w:i/>
        </w:rPr>
        <w:t>Darování</w:t>
      </w:r>
      <w:r>
        <w:t xml:space="preserve">…, </w:t>
      </w:r>
      <w:r w:rsidRPr="00D33E95">
        <w:t>s. 474</w:t>
      </w:r>
      <w:r>
        <w:t>.</w:t>
      </w:r>
      <w:r w:rsidRPr="00D33E95">
        <w:t xml:space="preserve"> </w:t>
      </w:r>
    </w:p>
  </w:footnote>
  <w:footnote w:id="148">
    <w:p w:rsidR="00967270" w:rsidRPr="002A03DB" w:rsidRDefault="00967270" w:rsidP="0051439A">
      <w:pPr>
        <w:pStyle w:val="Textpoznpodarou"/>
        <w:spacing w:after="0" w:line="240" w:lineRule="auto"/>
      </w:pPr>
      <w:r>
        <w:rPr>
          <w:rStyle w:val="Znakapoznpodarou"/>
        </w:rPr>
        <w:footnoteRef/>
      </w:r>
      <w:r>
        <w:t xml:space="preserve"> ŠEŠINA, Martin. In </w:t>
      </w:r>
      <w:r w:rsidRPr="005D18AE">
        <w:t xml:space="preserve">ŠVESTKA, DVOŘÁK, FIALA: </w:t>
      </w:r>
      <w:r w:rsidRPr="005D18AE">
        <w:rPr>
          <w:i/>
        </w:rPr>
        <w:t>Občanský</w:t>
      </w:r>
      <w:r w:rsidRPr="005D18AE">
        <w:t xml:space="preserve">…, </w:t>
      </w:r>
      <w:r>
        <w:t>s. 390</w:t>
      </w:r>
      <w:r w:rsidRPr="0051439A">
        <w:t>.</w:t>
      </w:r>
      <w:r>
        <w:t xml:space="preserve"> </w:t>
      </w:r>
      <w:proofErr w:type="spellStart"/>
      <w:r w:rsidRPr="002A03DB">
        <w:t>Gl</w:t>
      </w:r>
      <w:proofErr w:type="spellEnd"/>
      <w:r w:rsidRPr="002A03DB">
        <w:t xml:space="preserve">. U. 27: „Darování pro případ smrti se neodpočítávají“. </w:t>
      </w:r>
    </w:p>
  </w:footnote>
  <w:footnote w:id="149">
    <w:p w:rsidR="00967270" w:rsidRDefault="00967270" w:rsidP="00033328">
      <w:pPr>
        <w:pStyle w:val="Textpoznpodarou"/>
        <w:spacing w:after="0" w:line="240" w:lineRule="auto"/>
      </w:pPr>
      <w:r>
        <w:rPr>
          <w:rStyle w:val="Znakapoznpodarou"/>
        </w:rPr>
        <w:footnoteRef/>
      </w:r>
      <w:r>
        <w:t xml:space="preserve"> </w:t>
      </w:r>
      <w:r w:rsidRPr="002B778C">
        <w:t xml:space="preserve">KOZIOL, WELSER: </w:t>
      </w:r>
      <w:proofErr w:type="spellStart"/>
      <w:r w:rsidRPr="002B778C">
        <w:rPr>
          <w:i/>
        </w:rPr>
        <w:t>Grundriß</w:t>
      </w:r>
      <w:proofErr w:type="spellEnd"/>
      <w:r w:rsidRPr="002B778C">
        <w:t xml:space="preserve">…, </w:t>
      </w:r>
      <w:r>
        <w:t>s. 387</w:t>
      </w:r>
      <w:r w:rsidRPr="00033328">
        <w:t>.</w:t>
      </w:r>
      <w:r>
        <w:t xml:space="preserve"> Podobně </w:t>
      </w:r>
      <w:r w:rsidRPr="001E3BF3">
        <w:t xml:space="preserve">GSCHNITZER, FAISTENBERGER: </w:t>
      </w:r>
      <w:proofErr w:type="spellStart"/>
      <w:r w:rsidRPr="001E3BF3">
        <w:rPr>
          <w:i/>
        </w:rPr>
        <w:t>Österreichisches</w:t>
      </w:r>
      <w:proofErr w:type="spellEnd"/>
      <w:r>
        <w:t>…, s. 106-107</w:t>
      </w:r>
      <w:r w:rsidRPr="00BD26DB">
        <w:t>.</w:t>
      </w:r>
    </w:p>
  </w:footnote>
  <w:footnote w:id="150">
    <w:p w:rsidR="00967270" w:rsidRDefault="00967270" w:rsidP="002A51DB">
      <w:pPr>
        <w:pStyle w:val="Textpoznpodarou"/>
        <w:spacing w:after="0" w:line="240" w:lineRule="auto"/>
      </w:pPr>
      <w:r>
        <w:rPr>
          <w:rStyle w:val="Znakapoznpodarou"/>
        </w:rPr>
        <w:footnoteRef/>
      </w:r>
      <w:r>
        <w:t xml:space="preserve"> KLEIN: </w:t>
      </w:r>
      <w:r w:rsidRPr="00D13ECC">
        <w:rPr>
          <w:i/>
        </w:rPr>
        <w:t>Dědická</w:t>
      </w:r>
      <w:r>
        <w:t>…</w:t>
      </w:r>
      <w:r w:rsidRPr="00AE2A30">
        <w:t>, s. 15.</w:t>
      </w:r>
    </w:p>
  </w:footnote>
  <w:footnote w:id="151">
    <w:p w:rsidR="00967270" w:rsidRPr="00C60850" w:rsidRDefault="00967270" w:rsidP="002A51DB">
      <w:pPr>
        <w:pStyle w:val="Textpoznpodarou"/>
        <w:spacing w:after="0" w:line="240" w:lineRule="auto"/>
        <w:rPr>
          <w:strike/>
          <w:color w:val="FF0000"/>
        </w:rPr>
      </w:pPr>
      <w:r>
        <w:rPr>
          <w:rStyle w:val="Znakapoznpodarou"/>
        </w:rPr>
        <w:footnoteRef/>
      </w:r>
      <w:r>
        <w:t xml:space="preserve"> </w:t>
      </w:r>
      <w:r w:rsidRPr="00D13ECC">
        <w:t xml:space="preserve">TALANDA: </w:t>
      </w:r>
      <w:r w:rsidRPr="00D13ECC">
        <w:rPr>
          <w:i/>
        </w:rPr>
        <w:t>Darování</w:t>
      </w:r>
      <w:r w:rsidRPr="00D13ECC">
        <w:t xml:space="preserve">…, </w:t>
      </w:r>
      <w:r>
        <w:t>s. 474</w:t>
      </w:r>
      <w:r w:rsidRPr="00C71370">
        <w:t>.</w:t>
      </w:r>
    </w:p>
  </w:footnote>
  <w:footnote w:id="152">
    <w:p w:rsidR="00967270" w:rsidRDefault="00967270" w:rsidP="000D617F">
      <w:pPr>
        <w:pStyle w:val="Textpoznpodarou"/>
        <w:spacing w:after="0" w:line="240" w:lineRule="auto"/>
      </w:pPr>
      <w:r>
        <w:rPr>
          <w:rStyle w:val="Znakapoznpodarou"/>
        </w:rPr>
        <w:footnoteRef/>
      </w:r>
      <w:r>
        <w:t xml:space="preserve"> </w:t>
      </w:r>
      <w:r w:rsidRPr="000D617F">
        <w:t>§§ 1735-1736 NOZ05</w:t>
      </w:r>
      <w:r>
        <w:t>.</w:t>
      </w:r>
    </w:p>
  </w:footnote>
  <w:footnote w:id="153">
    <w:p w:rsidR="00967270" w:rsidRDefault="00967270" w:rsidP="00FA08F6">
      <w:pPr>
        <w:pStyle w:val="Textpoznpodarou"/>
        <w:spacing w:after="0" w:line="240" w:lineRule="auto"/>
      </w:pPr>
      <w:r>
        <w:rPr>
          <w:rStyle w:val="Znakapoznpodarou"/>
        </w:rPr>
        <w:footnoteRef/>
      </w:r>
      <w:r>
        <w:t xml:space="preserve"> HORÁK: </w:t>
      </w:r>
      <w:r w:rsidRPr="001C608B">
        <w:rPr>
          <w:i/>
        </w:rPr>
        <w:t>Ochrana</w:t>
      </w:r>
      <w:r>
        <w:t xml:space="preserve">…, s. 286. Podobně </w:t>
      </w:r>
      <w:r w:rsidRPr="00680B08">
        <w:t>HORÁK, Ondřej. Tzv. nepominutelný dědic v novém občanském zákoníku</w:t>
      </w:r>
      <w:r w:rsidRPr="00680B08">
        <w:rPr>
          <w:i/>
        </w:rPr>
        <w:t xml:space="preserve">. Právní rozhledy. </w:t>
      </w:r>
      <w:r>
        <w:t>2014</w:t>
      </w:r>
      <w:r w:rsidRPr="00680B08">
        <w:t>. roč. 22. č. 11. s. 383</w:t>
      </w:r>
      <w:r>
        <w:t xml:space="preserve">-385. Nedokonalou ochranu nepominutelných dědiců v návaznosti na O. Horáka kritizuje rovněž P. Bezouška. BEZOUŠKA: </w:t>
      </w:r>
      <w:r w:rsidRPr="00F9391C">
        <w:rPr>
          <w:i/>
        </w:rPr>
        <w:t>Civilněprávní</w:t>
      </w:r>
      <w:r>
        <w:t>…, s. 823</w:t>
      </w:r>
      <w:r w:rsidRPr="009C0019">
        <w:t>.</w:t>
      </w:r>
    </w:p>
  </w:footnote>
  <w:footnote w:id="154">
    <w:p w:rsidR="00967270" w:rsidRDefault="00967270" w:rsidP="00A218EA">
      <w:pPr>
        <w:pStyle w:val="Textpoznpodarou"/>
        <w:spacing w:after="0" w:line="240" w:lineRule="auto"/>
      </w:pPr>
      <w:r>
        <w:rPr>
          <w:rStyle w:val="Znakapoznpodarou"/>
        </w:rPr>
        <w:footnoteRef/>
      </w:r>
      <w:r>
        <w:t xml:space="preserve"> HORÁK: </w:t>
      </w:r>
      <w:r w:rsidRPr="00A05D0F">
        <w:rPr>
          <w:i/>
        </w:rPr>
        <w:t>Tzv. nepominutelný</w:t>
      </w:r>
      <w:r>
        <w:t>…, s. 385.</w:t>
      </w:r>
    </w:p>
  </w:footnote>
  <w:footnote w:id="155">
    <w:p w:rsidR="00967270" w:rsidRDefault="00967270" w:rsidP="005172E7">
      <w:pPr>
        <w:pStyle w:val="Textpoznpodarou"/>
        <w:spacing w:after="0" w:line="240" w:lineRule="auto"/>
      </w:pPr>
      <w:r>
        <w:rPr>
          <w:rStyle w:val="Znakapoznpodarou"/>
        </w:rPr>
        <w:footnoteRef/>
      </w:r>
      <w:r>
        <w:t xml:space="preserve"> SVOBODA, Jiří. In </w:t>
      </w:r>
      <w:r w:rsidRPr="00127259">
        <w:t xml:space="preserve">SVOBODA, KLIČKA: </w:t>
      </w:r>
      <w:proofErr w:type="gramStart"/>
      <w:r w:rsidRPr="00127259">
        <w:rPr>
          <w:i/>
        </w:rPr>
        <w:t>Dědické</w:t>
      </w:r>
      <w:r w:rsidRPr="00127259">
        <w:t>..., s.</w:t>
      </w:r>
      <w:proofErr w:type="gramEnd"/>
      <w:r>
        <w:t xml:space="preserve"> 34-35.</w:t>
      </w:r>
    </w:p>
  </w:footnote>
  <w:footnote w:id="156">
    <w:p w:rsidR="00967270" w:rsidRDefault="00967270" w:rsidP="00FA08F6">
      <w:pPr>
        <w:pStyle w:val="Textpoznpodarou"/>
        <w:spacing w:after="0" w:line="240" w:lineRule="auto"/>
      </w:pPr>
      <w:r>
        <w:rPr>
          <w:rStyle w:val="Znakapoznpodarou"/>
        </w:rPr>
        <w:footnoteRef/>
      </w:r>
      <w:r>
        <w:t xml:space="preserve"> KINCL, URFUS, SKŘEJPEK: </w:t>
      </w:r>
      <w:r>
        <w:rPr>
          <w:i/>
        </w:rPr>
        <w:t>Římské…</w:t>
      </w:r>
      <w:r>
        <w:t>, s. 314-315.</w:t>
      </w:r>
    </w:p>
  </w:footnote>
  <w:footnote w:id="157">
    <w:p w:rsidR="00967270" w:rsidRDefault="00967270" w:rsidP="00550280">
      <w:pPr>
        <w:pStyle w:val="Textpoznpodarou"/>
        <w:spacing w:after="0" w:line="240" w:lineRule="auto"/>
      </w:pPr>
      <w:r>
        <w:rPr>
          <w:rStyle w:val="Znakapoznpodarou"/>
        </w:rPr>
        <w:footnoteRef/>
      </w:r>
      <w:r>
        <w:t xml:space="preserve"> Srovnej § 951 OZO.</w:t>
      </w:r>
    </w:p>
  </w:footnote>
  <w:footnote w:id="158">
    <w:p w:rsidR="00967270" w:rsidRDefault="00967270" w:rsidP="00D2599E">
      <w:pPr>
        <w:pStyle w:val="Textpoznpodarou"/>
        <w:spacing w:after="0" w:line="240" w:lineRule="auto"/>
      </w:pPr>
      <w:r>
        <w:rPr>
          <w:rStyle w:val="Znakapoznpodarou"/>
        </w:rPr>
        <w:footnoteRef/>
      </w:r>
      <w:r>
        <w:t xml:space="preserve"> TILSCH: </w:t>
      </w:r>
      <w:r>
        <w:rPr>
          <w:i/>
        </w:rPr>
        <w:t>Dědické právo…</w:t>
      </w:r>
      <w:r w:rsidRPr="00E114BA">
        <w:t>,</w:t>
      </w:r>
      <w:r>
        <w:rPr>
          <w:i/>
        </w:rPr>
        <w:t xml:space="preserve"> </w:t>
      </w:r>
      <w:r>
        <w:t>s. 24-25.</w:t>
      </w:r>
    </w:p>
  </w:footnote>
  <w:footnote w:id="159">
    <w:p w:rsidR="00967270" w:rsidRDefault="00967270" w:rsidP="00FA5C32">
      <w:pPr>
        <w:pStyle w:val="Textpoznpodarou"/>
        <w:spacing w:after="0" w:line="240" w:lineRule="auto"/>
      </w:pPr>
      <w:r>
        <w:rPr>
          <w:rStyle w:val="Znakapoznpodarou"/>
        </w:rPr>
        <w:footnoteRef/>
      </w:r>
      <w:r>
        <w:t xml:space="preserve"> </w:t>
      </w:r>
      <w:r w:rsidRPr="00FA5C32">
        <w:t>BEDNÁŘ, Václav. In HAVEL</w:t>
      </w:r>
      <w:r>
        <w:t xml:space="preserve">, PIHERA: </w:t>
      </w:r>
      <w:r w:rsidRPr="00FA5C32">
        <w:rPr>
          <w:i/>
        </w:rPr>
        <w:t>Soukromé právo</w:t>
      </w:r>
      <w:r>
        <w:t>…, s. 28</w:t>
      </w:r>
      <w:r w:rsidRPr="00FA5C32">
        <w:t>.</w:t>
      </w:r>
    </w:p>
  </w:footnote>
  <w:footnote w:id="160">
    <w:p w:rsidR="00967270" w:rsidRDefault="00967270" w:rsidP="0091141F">
      <w:pPr>
        <w:pStyle w:val="Textpoznpodarou"/>
        <w:spacing w:after="0" w:line="240" w:lineRule="auto"/>
      </w:pPr>
      <w:r>
        <w:rPr>
          <w:rStyle w:val="Znakapoznpodarou"/>
        </w:rPr>
        <w:footnoteRef/>
      </w:r>
      <w:r>
        <w:t xml:space="preserve"> Důvodová zpráva k NOZ, s. 388-389. </w:t>
      </w:r>
    </w:p>
  </w:footnote>
  <w:footnote w:id="161">
    <w:p w:rsidR="00967270" w:rsidRPr="00E6683A" w:rsidRDefault="00967270" w:rsidP="00D17EA2">
      <w:pPr>
        <w:pStyle w:val="Textpoznpodarou"/>
        <w:spacing w:after="0" w:line="240" w:lineRule="auto"/>
        <w:rPr>
          <w:color w:val="FF0000"/>
        </w:rPr>
      </w:pPr>
      <w:r>
        <w:rPr>
          <w:rStyle w:val="Znakapoznpodarou"/>
        </w:rPr>
        <w:footnoteRef/>
      </w:r>
      <w:r>
        <w:t xml:space="preserve"> Tamtéž</w:t>
      </w:r>
      <w:r w:rsidRPr="00E6683A">
        <w:t>.</w:t>
      </w:r>
    </w:p>
  </w:footnote>
  <w:footnote w:id="162">
    <w:p w:rsidR="00967270" w:rsidRPr="009E1A4E" w:rsidRDefault="00967270" w:rsidP="00AD7593">
      <w:pPr>
        <w:pStyle w:val="Textpoznpodarou"/>
        <w:spacing w:after="0" w:line="240" w:lineRule="auto"/>
        <w:rPr>
          <w:color w:val="FF0000"/>
        </w:rPr>
      </w:pPr>
      <w:r>
        <w:rPr>
          <w:rStyle w:val="Znakapoznpodarou"/>
        </w:rPr>
        <w:footnoteRef/>
      </w:r>
      <w:r>
        <w:t xml:space="preserve"> SVOBODA, Jiří. In SVOBODA, KLIČKA: </w:t>
      </w:r>
      <w:r w:rsidRPr="00AD6D0B">
        <w:rPr>
          <w:i/>
        </w:rPr>
        <w:t>Dědické</w:t>
      </w:r>
      <w:r>
        <w:rPr>
          <w:i/>
        </w:rPr>
        <w:t xml:space="preserve">…, </w:t>
      </w:r>
      <w:r>
        <w:t>s. 71.</w:t>
      </w:r>
    </w:p>
  </w:footnote>
  <w:footnote w:id="163">
    <w:p w:rsidR="00967270" w:rsidRPr="004E71AF" w:rsidRDefault="00967270" w:rsidP="00A13D4D">
      <w:pPr>
        <w:pStyle w:val="Textpoznpodarou"/>
        <w:spacing w:after="0" w:line="240" w:lineRule="auto"/>
      </w:pPr>
      <w:r>
        <w:rPr>
          <w:rStyle w:val="Znakapoznpodarou"/>
        </w:rPr>
        <w:footnoteRef/>
      </w:r>
      <w:r>
        <w:t xml:space="preserve"> </w:t>
      </w:r>
      <w:r w:rsidRPr="00D0246A">
        <w:t xml:space="preserve">MUZIKÁŘ, Ladislav. In SUCHÁ, MOKRÝ: </w:t>
      </w:r>
      <w:r w:rsidRPr="00D0246A">
        <w:rPr>
          <w:i/>
        </w:rPr>
        <w:t>Sborník přednášek</w:t>
      </w:r>
      <w:r w:rsidRPr="00D0246A">
        <w:t xml:space="preserve">…, </w:t>
      </w:r>
      <w:r w:rsidRPr="004E71AF">
        <w:t>s. 118-119.</w:t>
      </w:r>
    </w:p>
  </w:footnote>
  <w:footnote w:id="164">
    <w:p w:rsidR="00967270" w:rsidRDefault="00967270" w:rsidP="00186BA6">
      <w:pPr>
        <w:pStyle w:val="Textpoznpodarou"/>
        <w:spacing w:after="0" w:line="240" w:lineRule="auto"/>
      </w:pPr>
      <w:r>
        <w:rPr>
          <w:rStyle w:val="Znakapoznpodarou"/>
        </w:rPr>
        <w:footnoteRef/>
      </w:r>
      <w:r>
        <w:t xml:space="preserve"> Srovnej </w:t>
      </w:r>
      <w:r w:rsidRPr="00EB7ECF">
        <w:t xml:space="preserve">MELZER: </w:t>
      </w:r>
      <w:r w:rsidRPr="00EB7ECF">
        <w:rPr>
          <w:i/>
        </w:rPr>
        <w:t>Metodologie</w:t>
      </w:r>
      <w:r w:rsidRPr="00EB7ECF">
        <w:t xml:space="preserve">…, </w:t>
      </w:r>
      <w:r>
        <w:t>s. 249.</w:t>
      </w:r>
    </w:p>
  </w:footnote>
  <w:footnote w:id="165">
    <w:p w:rsidR="00967270" w:rsidRPr="00BC027E" w:rsidRDefault="00967270" w:rsidP="000E0541">
      <w:pPr>
        <w:pStyle w:val="Textpoznpodarou"/>
        <w:spacing w:after="0" w:line="240" w:lineRule="auto"/>
        <w:rPr>
          <w:color w:val="000000" w:themeColor="text1"/>
        </w:rPr>
      </w:pPr>
      <w:r>
        <w:rPr>
          <w:rStyle w:val="Znakapoznpodarou"/>
        </w:rPr>
        <w:footnoteRef/>
      </w:r>
      <w:r>
        <w:t xml:space="preserve"> </w:t>
      </w:r>
      <w:proofErr w:type="spellStart"/>
      <w:proofErr w:type="gramStart"/>
      <w:r>
        <w:rPr>
          <w:color w:val="000000" w:themeColor="text1"/>
        </w:rPr>
        <w:t>Gl.U.n.</w:t>
      </w:r>
      <w:proofErr w:type="gramEnd"/>
      <w:r w:rsidRPr="00BC027E">
        <w:rPr>
          <w:color w:val="000000" w:themeColor="text1"/>
        </w:rPr>
        <w:t>f</w:t>
      </w:r>
      <w:proofErr w:type="spellEnd"/>
      <w:r w:rsidRPr="00BC027E">
        <w:rPr>
          <w:color w:val="000000" w:themeColor="text1"/>
        </w:rPr>
        <w:t>. 4838</w:t>
      </w:r>
      <w:r>
        <w:rPr>
          <w:color w:val="000000" w:themeColor="text1"/>
        </w:rPr>
        <w:t>.</w:t>
      </w:r>
    </w:p>
  </w:footnote>
  <w:footnote w:id="166">
    <w:p w:rsidR="00967270" w:rsidRPr="00AD6D0B" w:rsidRDefault="00967270" w:rsidP="00136FB4">
      <w:pPr>
        <w:pStyle w:val="Textpoznpodarou"/>
        <w:spacing w:after="0" w:line="240" w:lineRule="auto"/>
      </w:pPr>
      <w:r>
        <w:rPr>
          <w:rStyle w:val="Znakapoznpodarou"/>
        </w:rPr>
        <w:footnoteRef/>
      </w:r>
      <w:r>
        <w:t xml:space="preserve"> </w:t>
      </w:r>
      <w:r w:rsidRPr="005C26D7">
        <w:t xml:space="preserve">FIALA, DRÁPAL: </w:t>
      </w:r>
      <w:r w:rsidRPr="005C26D7">
        <w:rPr>
          <w:i/>
        </w:rPr>
        <w:t>Občanský…</w:t>
      </w:r>
      <w:r>
        <w:t>, s. 103.</w:t>
      </w:r>
    </w:p>
  </w:footnote>
  <w:footnote w:id="167">
    <w:p w:rsidR="00967270" w:rsidRPr="00186B40" w:rsidRDefault="00967270" w:rsidP="006914AF">
      <w:pPr>
        <w:pStyle w:val="Textpoznpodarou"/>
        <w:spacing w:after="0" w:line="240" w:lineRule="auto"/>
      </w:pPr>
      <w:r>
        <w:rPr>
          <w:rStyle w:val="Znakapoznpodarou"/>
        </w:rPr>
        <w:footnoteRef/>
      </w:r>
      <w:r>
        <w:t xml:space="preserve"> </w:t>
      </w:r>
      <w:r w:rsidRPr="008427E0">
        <w:t>ROUČEK, SEDLÁČ</w:t>
      </w:r>
      <w:r>
        <w:t xml:space="preserve">EK:  </w:t>
      </w:r>
      <w:r w:rsidRPr="008427E0">
        <w:rPr>
          <w:i/>
        </w:rPr>
        <w:t>Komentář</w:t>
      </w:r>
      <w:r>
        <w:t>…, s. 303.</w:t>
      </w:r>
    </w:p>
  </w:footnote>
  <w:footnote w:id="168">
    <w:p w:rsidR="00967270" w:rsidRDefault="00967270" w:rsidP="00B532AB">
      <w:pPr>
        <w:pStyle w:val="Textpoznpodarou"/>
        <w:spacing w:after="0" w:line="240" w:lineRule="auto"/>
      </w:pPr>
      <w:r>
        <w:rPr>
          <w:rStyle w:val="Znakapoznpodarou"/>
        </w:rPr>
        <w:footnoteRef/>
      </w:r>
      <w:r>
        <w:t xml:space="preserve"> </w:t>
      </w:r>
      <w:r w:rsidRPr="00D16EBC">
        <w:t xml:space="preserve">ŠVESTKA, DVOŘÁK, FIALA: </w:t>
      </w:r>
      <w:r w:rsidRPr="00D16EBC">
        <w:rPr>
          <w:i/>
        </w:rPr>
        <w:t>Občanský</w:t>
      </w:r>
      <w:r w:rsidRPr="00D16EBC">
        <w:t>…,</w:t>
      </w:r>
      <w:r>
        <w:t xml:space="preserve"> </w:t>
      </w:r>
      <w:r w:rsidRPr="00474A81">
        <w:t>s. 229.</w:t>
      </w:r>
    </w:p>
  </w:footnote>
  <w:footnote w:id="169">
    <w:p w:rsidR="00967270" w:rsidRPr="00F80D72" w:rsidRDefault="00967270" w:rsidP="00F80D72">
      <w:pPr>
        <w:pStyle w:val="Textpoznpodarou"/>
        <w:spacing w:after="0" w:line="240" w:lineRule="auto"/>
        <w:rPr>
          <w:color w:val="FF0000"/>
        </w:rPr>
      </w:pPr>
      <w:r>
        <w:rPr>
          <w:rStyle w:val="Znakapoznpodarou"/>
        </w:rPr>
        <w:footnoteRef/>
      </w:r>
      <w:r>
        <w:t xml:space="preserve"> Rozhodnutí NS ČSR ze dne </w:t>
      </w:r>
      <w:proofErr w:type="gramStart"/>
      <w:r>
        <w:t>12.5.</w:t>
      </w:r>
      <w:r w:rsidRPr="00481101">
        <w:t>1925</w:t>
      </w:r>
      <w:proofErr w:type="gramEnd"/>
      <w:r w:rsidRPr="00481101">
        <w:t xml:space="preserve">, </w:t>
      </w:r>
      <w:proofErr w:type="spellStart"/>
      <w:r w:rsidRPr="00481101">
        <w:t>Rv</w:t>
      </w:r>
      <w:proofErr w:type="spellEnd"/>
      <w:r w:rsidRPr="00481101">
        <w:t xml:space="preserve"> I 581/25</w:t>
      </w:r>
      <w:r>
        <w:t>.</w:t>
      </w:r>
    </w:p>
  </w:footnote>
  <w:footnote w:id="170">
    <w:p w:rsidR="00967270" w:rsidRDefault="00967270" w:rsidP="00076669">
      <w:pPr>
        <w:pStyle w:val="Textpoznpodarou"/>
        <w:spacing w:after="0" w:line="240" w:lineRule="auto"/>
      </w:pPr>
      <w:r>
        <w:rPr>
          <w:rStyle w:val="Znakapoznpodarou"/>
        </w:rPr>
        <w:footnoteRef/>
      </w:r>
      <w:r>
        <w:t xml:space="preserve"> Srovnej </w:t>
      </w:r>
      <w:r w:rsidRPr="00616EB6">
        <w:t>FI</w:t>
      </w:r>
      <w:r>
        <w:t xml:space="preserve">ALA, DRÁPAL: </w:t>
      </w:r>
      <w:r w:rsidRPr="00E0174C">
        <w:rPr>
          <w:i/>
        </w:rPr>
        <w:t>Občanský</w:t>
      </w:r>
      <w:r>
        <w:t>…, s. 242</w:t>
      </w:r>
      <w:r w:rsidRPr="00616EB6">
        <w:t>.</w:t>
      </w:r>
      <w:r>
        <w:t xml:space="preserve"> Dále srovnej § 701 OZO.</w:t>
      </w:r>
    </w:p>
  </w:footnote>
  <w:footnote w:id="171">
    <w:p w:rsidR="00967270" w:rsidRDefault="00967270" w:rsidP="007F4942">
      <w:pPr>
        <w:pStyle w:val="Textpoznpodarou"/>
        <w:spacing w:after="0" w:line="240" w:lineRule="auto"/>
      </w:pPr>
      <w:r>
        <w:rPr>
          <w:rStyle w:val="Znakapoznpodarou"/>
        </w:rPr>
        <w:footnoteRef/>
      </w:r>
      <w:r>
        <w:t xml:space="preserve"> SVOBODA, KLIČKA: </w:t>
      </w:r>
      <w:proofErr w:type="gramStart"/>
      <w:r w:rsidRPr="004841E9">
        <w:rPr>
          <w:i/>
        </w:rPr>
        <w:t>Dědické</w:t>
      </w:r>
      <w:r w:rsidRPr="004841E9">
        <w:t>.</w:t>
      </w:r>
      <w:r>
        <w:t xml:space="preserve">.., </w:t>
      </w:r>
      <w:r w:rsidRPr="00474A81">
        <w:t>s.</w:t>
      </w:r>
      <w:proofErr w:type="gramEnd"/>
      <w:r w:rsidRPr="00474A81">
        <w:t xml:space="preserve"> 77.</w:t>
      </w:r>
      <w:r>
        <w:t xml:space="preserve"> </w:t>
      </w:r>
      <w:r w:rsidRPr="00D16EBC">
        <w:t xml:space="preserve">ŠVESTKA, DVOŘÁK, FIALA: </w:t>
      </w:r>
      <w:r w:rsidRPr="00D16EBC">
        <w:rPr>
          <w:i/>
        </w:rPr>
        <w:t>Občanský</w:t>
      </w:r>
      <w:r w:rsidRPr="00D16EBC">
        <w:t>…,</w:t>
      </w:r>
      <w:r>
        <w:t xml:space="preserve"> </w:t>
      </w:r>
      <w:r w:rsidRPr="00B532AB">
        <w:t>s. 229.</w:t>
      </w:r>
    </w:p>
  </w:footnote>
  <w:footnote w:id="172">
    <w:p w:rsidR="00967270" w:rsidRDefault="00967270" w:rsidP="00E0174C">
      <w:pPr>
        <w:pStyle w:val="Textpoznpodarou"/>
        <w:spacing w:after="0" w:line="240" w:lineRule="auto"/>
      </w:pPr>
      <w:r>
        <w:rPr>
          <w:rStyle w:val="Znakapoznpodarou"/>
        </w:rPr>
        <w:footnoteRef/>
      </w:r>
      <w:r>
        <w:t xml:space="preserve"> </w:t>
      </w:r>
      <w:r w:rsidRPr="00E0174C">
        <w:t xml:space="preserve">FIALA, DRÁPAL: </w:t>
      </w:r>
      <w:r w:rsidRPr="00E0174C">
        <w:rPr>
          <w:i/>
        </w:rPr>
        <w:t>Občanský</w:t>
      </w:r>
      <w:r>
        <w:t>…, s. 273</w:t>
      </w:r>
      <w:r w:rsidRPr="00E0174C">
        <w:t>.</w:t>
      </w:r>
    </w:p>
  </w:footnote>
  <w:footnote w:id="173">
    <w:p w:rsidR="00967270" w:rsidRDefault="00967270" w:rsidP="00E0174C">
      <w:pPr>
        <w:pStyle w:val="Textpoznpodarou"/>
        <w:spacing w:after="0" w:line="240" w:lineRule="auto"/>
      </w:pPr>
      <w:r>
        <w:rPr>
          <w:rStyle w:val="Znakapoznpodarou"/>
        </w:rPr>
        <w:footnoteRef/>
      </w:r>
      <w:r>
        <w:t xml:space="preserve"> Srovnej </w:t>
      </w:r>
      <w:r w:rsidRPr="004A567F">
        <w:t xml:space="preserve">ŠVESTKA, DVOŘÁK, FIALA: </w:t>
      </w:r>
      <w:r w:rsidRPr="004A567F">
        <w:rPr>
          <w:i/>
        </w:rPr>
        <w:t>Občanský</w:t>
      </w:r>
      <w:r>
        <w:t>…, s. 98.</w:t>
      </w:r>
    </w:p>
  </w:footnote>
  <w:footnote w:id="174">
    <w:p w:rsidR="00967270" w:rsidRDefault="00967270" w:rsidP="00474022">
      <w:pPr>
        <w:pStyle w:val="Textpoznpodarou"/>
        <w:spacing w:after="0" w:line="240" w:lineRule="auto"/>
      </w:pPr>
      <w:r>
        <w:rPr>
          <w:rStyle w:val="Znakapoznpodarou"/>
        </w:rPr>
        <w:footnoteRef/>
      </w:r>
      <w:r>
        <w:t xml:space="preserve"> Blíže </w:t>
      </w:r>
      <w:r w:rsidRPr="00474022">
        <w:t xml:space="preserve">FIALA, DRÁPAL: </w:t>
      </w:r>
      <w:r w:rsidRPr="00474022">
        <w:rPr>
          <w:i/>
        </w:rPr>
        <w:t>Občanský</w:t>
      </w:r>
      <w:r>
        <w:t>…, s. 243-244</w:t>
      </w:r>
      <w:r w:rsidRPr="00474022">
        <w:t>.</w:t>
      </w:r>
      <w:r>
        <w:t xml:space="preserve"> Dále srovnej § 703 OZO.</w:t>
      </w:r>
    </w:p>
  </w:footnote>
  <w:footnote w:id="175">
    <w:p w:rsidR="00967270" w:rsidRDefault="00967270" w:rsidP="00F245C6">
      <w:pPr>
        <w:pStyle w:val="Textpoznpodarou"/>
        <w:spacing w:after="0" w:line="240" w:lineRule="auto"/>
      </w:pPr>
      <w:r>
        <w:rPr>
          <w:rStyle w:val="Znakapoznpodarou"/>
        </w:rPr>
        <w:footnoteRef/>
      </w:r>
      <w:r>
        <w:t xml:space="preserve"> </w:t>
      </w:r>
      <w:r w:rsidRPr="00CB1365">
        <w:t xml:space="preserve">KARHANOVÁ: </w:t>
      </w:r>
      <w:r w:rsidRPr="00CB1365">
        <w:rPr>
          <w:i/>
        </w:rPr>
        <w:t>Závěť</w:t>
      </w:r>
      <w:r w:rsidRPr="00CB1365">
        <w:t>…,</w:t>
      </w:r>
      <w:r>
        <w:t xml:space="preserve"> s. 161.</w:t>
      </w:r>
    </w:p>
  </w:footnote>
  <w:footnote w:id="176">
    <w:p w:rsidR="00967270" w:rsidRDefault="00967270" w:rsidP="00E80BDF">
      <w:pPr>
        <w:pStyle w:val="Textpoznpodarou"/>
        <w:spacing w:after="0" w:line="240" w:lineRule="auto"/>
      </w:pPr>
      <w:r>
        <w:rPr>
          <w:rStyle w:val="Znakapoznpodarou"/>
        </w:rPr>
        <w:footnoteRef/>
      </w:r>
      <w:r>
        <w:t xml:space="preserve"> BEZOUŠKA: </w:t>
      </w:r>
      <w:r w:rsidRPr="009C0019">
        <w:rPr>
          <w:i/>
        </w:rPr>
        <w:t>Civilněprávní</w:t>
      </w:r>
      <w:r>
        <w:t xml:space="preserve">…, </w:t>
      </w:r>
      <w:r w:rsidRPr="003070A9">
        <w:t>s. 817.</w:t>
      </w:r>
    </w:p>
  </w:footnote>
  <w:footnote w:id="177">
    <w:p w:rsidR="00967270" w:rsidRPr="00F75A33" w:rsidRDefault="00967270" w:rsidP="00E66DD7">
      <w:pPr>
        <w:pStyle w:val="Textpoznpodarou"/>
        <w:spacing w:after="0" w:line="240" w:lineRule="auto"/>
        <w:rPr>
          <w:color w:val="FF0000"/>
        </w:rPr>
      </w:pPr>
      <w:r>
        <w:rPr>
          <w:rStyle w:val="Znakapoznpodarou"/>
        </w:rPr>
        <w:footnoteRef/>
      </w:r>
      <w:r>
        <w:t xml:space="preserve"> </w:t>
      </w:r>
      <w:r w:rsidR="0060003B">
        <w:t>Usnesení KS</w:t>
      </w:r>
      <w:r>
        <w:t xml:space="preserve"> </w:t>
      </w:r>
      <w:r w:rsidRPr="00F75A33">
        <w:t>v Brně ze dne 26</w:t>
      </w:r>
      <w:r>
        <w:t xml:space="preserve">.7.1999, </w:t>
      </w:r>
      <w:proofErr w:type="spellStart"/>
      <w:proofErr w:type="gramStart"/>
      <w:r>
        <w:t>sp.zn</w:t>
      </w:r>
      <w:proofErr w:type="spellEnd"/>
      <w:r>
        <w:t>.</w:t>
      </w:r>
      <w:proofErr w:type="gramEnd"/>
      <w:r>
        <w:t xml:space="preserve"> 18 Co 385/98.</w:t>
      </w:r>
    </w:p>
  </w:footnote>
  <w:footnote w:id="178">
    <w:p w:rsidR="00967270" w:rsidRPr="00F043D5" w:rsidRDefault="00967270" w:rsidP="00E66DD7">
      <w:pPr>
        <w:pStyle w:val="Textpoznpodarou"/>
        <w:spacing w:after="0" w:line="240" w:lineRule="auto"/>
      </w:pPr>
      <w:r>
        <w:rPr>
          <w:rStyle w:val="Znakapoznpodarou"/>
        </w:rPr>
        <w:footnoteRef/>
      </w:r>
      <w:r>
        <w:t xml:space="preserve"> </w:t>
      </w:r>
      <w:r w:rsidRPr="007A344C">
        <w:t xml:space="preserve">BEDNÁŘ, Václav. Zrušení závěti. In </w:t>
      </w:r>
      <w:r w:rsidRPr="007A344C">
        <w:rPr>
          <w:i/>
        </w:rPr>
        <w:t>Pocta Sentě Radvanové k 80. narozeninám</w:t>
      </w:r>
      <w:r>
        <w:t>. 1. vydání. Praha: ASPI, 2009,</w:t>
      </w:r>
      <w:r w:rsidRPr="007A344C">
        <w:t xml:space="preserve"> s.</w:t>
      </w:r>
      <w:r>
        <w:rPr>
          <w:color w:val="FF0000"/>
        </w:rPr>
        <w:t xml:space="preserve"> </w:t>
      </w:r>
      <w:r w:rsidRPr="00F043D5">
        <w:t>44</w:t>
      </w:r>
      <w:r>
        <w:t>-</w:t>
      </w:r>
      <w:r w:rsidRPr="00F043D5">
        <w:t>47.</w:t>
      </w:r>
    </w:p>
  </w:footnote>
  <w:footnote w:id="179">
    <w:p w:rsidR="00967270" w:rsidRDefault="00967270" w:rsidP="00E66DD7">
      <w:pPr>
        <w:pStyle w:val="Textpoznpodarou"/>
        <w:spacing w:after="0" w:line="240" w:lineRule="auto"/>
      </w:pPr>
      <w:r>
        <w:rPr>
          <w:rStyle w:val="Znakapoznpodarou"/>
        </w:rPr>
        <w:footnoteRef/>
      </w:r>
      <w:r>
        <w:t xml:space="preserve"> </w:t>
      </w:r>
      <w:r w:rsidRPr="005B67C7">
        <w:t>MUZIKÁŘ, Ladislav. Nabývání dědictví. In ŠVESTKA, Jiří, DVOŘÁK, Jan, TICHÝ, Luboš (</w:t>
      </w:r>
      <w:proofErr w:type="spellStart"/>
      <w:r w:rsidRPr="005B67C7">
        <w:t>eds</w:t>
      </w:r>
      <w:proofErr w:type="spellEnd"/>
      <w:r w:rsidRPr="005B67C7">
        <w:t xml:space="preserve">). </w:t>
      </w:r>
      <w:r w:rsidRPr="005B67C7">
        <w:rPr>
          <w:i/>
        </w:rPr>
        <w:t>Sborník statí z diskusních fór o rekodifikaci občanského práva</w:t>
      </w:r>
      <w:r>
        <w:t>. Praha: ASPI, 2006, s. 168</w:t>
      </w:r>
      <w:r w:rsidRPr="005B67C7">
        <w:t>.</w:t>
      </w:r>
    </w:p>
  </w:footnote>
  <w:footnote w:id="180">
    <w:p w:rsidR="00967270" w:rsidRDefault="00967270" w:rsidP="00E66DD7">
      <w:pPr>
        <w:pStyle w:val="Textpoznpodarou"/>
        <w:spacing w:after="0" w:line="240" w:lineRule="auto"/>
      </w:pPr>
      <w:r>
        <w:rPr>
          <w:rStyle w:val="Znakapoznpodarou"/>
        </w:rPr>
        <w:footnoteRef/>
      </w:r>
      <w:r>
        <w:t xml:space="preserve"> </w:t>
      </w:r>
      <w:r w:rsidRPr="00A55CB9">
        <w:t>ELIÁŠ, Karel, ZUKLÍNOVÁ, Michaela. Principy a východiska nového kodexu soukr</w:t>
      </w:r>
      <w:r>
        <w:t>omého práva. Praha: Linde, 2001,</w:t>
      </w:r>
      <w:r w:rsidRPr="00A55CB9">
        <w:t xml:space="preserve"> </w:t>
      </w:r>
      <w:r w:rsidRPr="00CD35AF">
        <w:t>s. 119.</w:t>
      </w:r>
    </w:p>
  </w:footnote>
  <w:footnote w:id="181">
    <w:p w:rsidR="00967270" w:rsidRDefault="00967270" w:rsidP="00A914F1">
      <w:pPr>
        <w:pStyle w:val="Textpoznpodarou"/>
        <w:spacing w:after="0" w:line="240" w:lineRule="auto"/>
      </w:pPr>
      <w:r>
        <w:rPr>
          <w:rStyle w:val="Znakapoznpodarou"/>
        </w:rPr>
        <w:footnoteRef/>
      </w:r>
      <w:r>
        <w:t xml:space="preserve"> Rozhodnutí NS ČR ze dne 20.3.2008, </w:t>
      </w:r>
      <w:proofErr w:type="spellStart"/>
      <w:proofErr w:type="gramStart"/>
      <w:r>
        <w:t>sp.zn</w:t>
      </w:r>
      <w:proofErr w:type="spellEnd"/>
      <w:r>
        <w:t>.</w:t>
      </w:r>
      <w:proofErr w:type="gramEnd"/>
      <w:r>
        <w:t xml:space="preserve"> 21 </w:t>
      </w:r>
      <w:proofErr w:type="spellStart"/>
      <w:r>
        <w:t>Cdo</w:t>
      </w:r>
      <w:proofErr w:type="spellEnd"/>
      <w:r w:rsidR="002F11A2">
        <w:t xml:space="preserve"> </w:t>
      </w:r>
      <w:r>
        <w:t>2968/2006.</w:t>
      </w:r>
    </w:p>
  </w:footnote>
  <w:footnote w:id="182">
    <w:p w:rsidR="00967270" w:rsidRDefault="00967270" w:rsidP="00940391">
      <w:pPr>
        <w:pStyle w:val="Textpoznpodarou"/>
        <w:spacing w:after="0" w:line="240" w:lineRule="auto"/>
      </w:pPr>
      <w:r>
        <w:rPr>
          <w:rStyle w:val="Znakapoznpodarou"/>
        </w:rPr>
        <w:footnoteRef/>
      </w:r>
      <w:r>
        <w:t xml:space="preserve"> Shodně </w:t>
      </w:r>
      <w:r w:rsidRPr="00940391">
        <w:t xml:space="preserve">FIALA, DRÁPAL: </w:t>
      </w:r>
      <w:r w:rsidRPr="00940391">
        <w:rPr>
          <w:i/>
        </w:rPr>
        <w:t>Občanský</w:t>
      </w:r>
      <w:r>
        <w:t xml:space="preserve">…, s. 273. Naopak J. Svoboda připouští zničení listiny i jinou osobou, ale jen tehdy předá-li ji zůstavitel s výslovným příkazem listinu zničit. Blíže </w:t>
      </w:r>
      <w:r w:rsidRPr="004414A1">
        <w:t xml:space="preserve">SVOBODA, KLIČKA: </w:t>
      </w:r>
      <w:proofErr w:type="gramStart"/>
      <w:r w:rsidRPr="004414A1">
        <w:rPr>
          <w:i/>
        </w:rPr>
        <w:t>Dědické</w:t>
      </w:r>
      <w:r>
        <w:t>..., s.</w:t>
      </w:r>
      <w:proofErr w:type="gramEnd"/>
      <w:r>
        <w:t>  83.</w:t>
      </w:r>
    </w:p>
  </w:footnote>
  <w:footnote w:id="183">
    <w:p w:rsidR="00967270" w:rsidRDefault="00967270" w:rsidP="00F83657">
      <w:pPr>
        <w:pStyle w:val="Textpoznpodarou"/>
        <w:spacing w:after="0" w:line="240" w:lineRule="auto"/>
      </w:pPr>
      <w:r>
        <w:rPr>
          <w:rStyle w:val="Znakapoznpodarou"/>
        </w:rPr>
        <w:footnoteRef/>
      </w:r>
      <w:r>
        <w:t xml:space="preserve"> Srovnej § 721 OZO.</w:t>
      </w:r>
    </w:p>
  </w:footnote>
  <w:footnote w:id="184">
    <w:p w:rsidR="00967270" w:rsidRPr="003B0D81" w:rsidRDefault="00967270" w:rsidP="00DD0C63">
      <w:pPr>
        <w:pStyle w:val="Textpoznpodarou"/>
        <w:spacing w:after="0" w:line="240" w:lineRule="auto"/>
      </w:pPr>
      <w:r>
        <w:rPr>
          <w:rStyle w:val="Znakapoznpodarou"/>
        </w:rPr>
        <w:footnoteRef/>
      </w:r>
      <w:r>
        <w:t xml:space="preserve"> </w:t>
      </w:r>
      <w:r w:rsidRPr="00867AEC">
        <w:t xml:space="preserve">SVOBODA, KLIČKA: </w:t>
      </w:r>
      <w:proofErr w:type="gramStart"/>
      <w:r w:rsidRPr="00867AEC">
        <w:t>Dědické</w:t>
      </w:r>
      <w:r>
        <w:t>..., s.</w:t>
      </w:r>
      <w:proofErr w:type="gramEnd"/>
      <w:r>
        <w:t xml:space="preserve"> 83.</w:t>
      </w:r>
    </w:p>
  </w:footnote>
  <w:footnote w:id="185">
    <w:p w:rsidR="00967270" w:rsidRDefault="00967270" w:rsidP="00F178AA">
      <w:pPr>
        <w:pStyle w:val="Textpoznpodarou"/>
        <w:spacing w:after="0" w:line="240" w:lineRule="auto"/>
      </w:pPr>
      <w:r>
        <w:rPr>
          <w:rStyle w:val="Znakapoznpodarou"/>
        </w:rPr>
        <w:footnoteRef/>
      </w:r>
      <w:r>
        <w:t xml:space="preserve"> </w:t>
      </w:r>
      <w:r w:rsidRPr="00F178AA">
        <w:t xml:space="preserve">CHODĚRA, Ondřej. Závěť jako projev vůle zůstavitele. </w:t>
      </w:r>
      <w:r w:rsidRPr="00F178AA">
        <w:rPr>
          <w:i/>
        </w:rPr>
        <w:t>Právník</w:t>
      </w:r>
      <w:r>
        <w:t>, 1984, č. 5, s. 440-442.</w:t>
      </w:r>
    </w:p>
  </w:footnote>
  <w:footnote w:id="186">
    <w:p w:rsidR="00967270" w:rsidRDefault="00967270" w:rsidP="00F83657">
      <w:pPr>
        <w:pStyle w:val="Textpoznpodarou"/>
        <w:spacing w:after="0" w:line="240" w:lineRule="auto"/>
      </w:pPr>
      <w:r>
        <w:rPr>
          <w:rStyle w:val="Znakapoznpodarou"/>
        </w:rPr>
        <w:footnoteRef/>
      </w:r>
      <w:r>
        <w:t xml:space="preserve"> Opačně </w:t>
      </w:r>
      <w:proofErr w:type="spellStart"/>
      <w:proofErr w:type="gramStart"/>
      <w:r>
        <w:t>Gl.U.n.</w:t>
      </w:r>
      <w:proofErr w:type="gramEnd"/>
      <w:r>
        <w:t>f</w:t>
      </w:r>
      <w:proofErr w:type="spellEnd"/>
      <w:r>
        <w:t>. 3637: „Neprovedený příkaz daný schovateli závěti, aby ji zničil, není platným odvoláním závěti“.</w:t>
      </w:r>
    </w:p>
  </w:footnote>
  <w:footnote w:id="187">
    <w:p w:rsidR="00967270" w:rsidRPr="00273B0F" w:rsidRDefault="00967270" w:rsidP="00416B0D">
      <w:pPr>
        <w:pStyle w:val="Textpoznpodarou"/>
        <w:spacing w:after="0" w:line="240" w:lineRule="auto"/>
        <w:rPr>
          <w:strike/>
        </w:rPr>
      </w:pPr>
      <w:r>
        <w:rPr>
          <w:rStyle w:val="Znakapoznpodarou"/>
        </w:rPr>
        <w:footnoteRef/>
      </w:r>
      <w:r>
        <w:t xml:space="preserve"> </w:t>
      </w:r>
      <w:r w:rsidRPr="00A954F4">
        <w:t xml:space="preserve">Usnesení KS </w:t>
      </w:r>
      <w:r>
        <w:t xml:space="preserve">v Brně ze dne 26.7.1999, </w:t>
      </w:r>
      <w:proofErr w:type="spellStart"/>
      <w:proofErr w:type="gramStart"/>
      <w:r>
        <w:t>sp.</w:t>
      </w:r>
      <w:r w:rsidRPr="00A954F4">
        <w:t>zn</w:t>
      </w:r>
      <w:proofErr w:type="spellEnd"/>
      <w:r w:rsidRPr="00A954F4">
        <w:t>.</w:t>
      </w:r>
      <w:proofErr w:type="gramEnd"/>
      <w:r w:rsidRPr="00A954F4">
        <w:t xml:space="preserve"> 18 Co 385/98</w:t>
      </w:r>
      <w:r>
        <w:t>.</w:t>
      </w:r>
    </w:p>
  </w:footnote>
  <w:footnote w:id="188">
    <w:p w:rsidR="00967270" w:rsidRDefault="00967270" w:rsidP="00416B0D">
      <w:pPr>
        <w:pStyle w:val="Textpoznpodarou"/>
        <w:spacing w:after="0" w:line="240" w:lineRule="auto"/>
      </w:pPr>
      <w:r>
        <w:rPr>
          <w:rStyle w:val="Znakapoznpodarou"/>
        </w:rPr>
        <w:footnoteRef/>
      </w:r>
      <w:r>
        <w:t xml:space="preserve"> Usnesení MS v Praze ze dne 30.5.</w:t>
      </w:r>
      <w:r w:rsidRPr="00A954F4">
        <w:t xml:space="preserve">1980, </w:t>
      </w:r>
      <w:proofErr w:type="spellStart"/>
      <w:proofErr w:type="gramStart"/>
      <w:r>
        <w:t>sp.zn</w:t>
      </w:r>
      <w:proofErr w:type="spellEnd"/>
      <w:r>
        <w:t>.</w:t>
      </w:r>
      <w:proofErr w:type="gramEnd"/>
      <w:r>
        <w:t xml:space="preserve"> </w:t>
      </w:r>
      <w:r w:rsidRPr="00A954F4">
        <w:t>11 Co 127/80</w:t>
      </w:r>
      <w:r>
        <w:t>.</w:t>
      </w:r>
    </w:p>
  </w:footnote>
  <w:footnote w:id="189">
    <w:p w:rsidR="00967270" w:rsidRDefault="00967270" w:rsidP="00273B0F">
      <w:pPr>
        <w:pStyle w:val="Textpoznpodarou"/>
        <w:spacing w:after="0" w:line="240" w:lineRule="auto"/>
      </w:pPr>
      <w:r>
        <w:rPr>
          <w:rStyle w:val="Znakapoznpodarou"/>
        </w:rPr>
        <w:footnoteRef/>
      </w:r>
      <w:r>
        <w:t xml:space="preserve"> </w:t>
      </w:r>
      <w:r w:rsidRPr="00273B0F">
        <w:t xml:space="preserve">BEDNÁŘ: </w:t>
      </w:r>
      <w:r w:rsidRPr="00273B0F">
        <w:rPr>
          <w:i/>
        </w:rPr>
        <w:t>Testamentární</w:t>
      </w:r>
      <w:r>
        <w:t>…, s. 90-95.</w:t>
      </w:r>
    </w:p>
  </w:footnote>
  <w:footnote w:id="190">
    <w:p w:rsidR="00967270" w:rsidRPr="001371F9" w:rsidRDefault="00967270" w:rsidP="00332B77">
      <w:pPr>
        <w:pStyle w:val="Textpoznpodarou"/>
        <w:spacing w:after="0" w:line="240" w:lineRule="auto"/>
      </w:pPr>
      <w:r>
        <w:rPr>
          <w:rStyle w:val="Znakapoznpodarou"/>
        </w:rPr>
        <w:footnoteRef/>
      </w:r>
      <w:r>
        <w:t xml:space="preserve"> </w:t>
      </w:r>
      <w:r w:rsidRPr="00D0246A">
        <w:t xml:space="preserve">MUZIKÁŘ, Ladislav. In SUCHÁ, MOKRÝ: </w:t>
      </w:r>
      <w:r w:rsidRPr="00D0246A">
        <w:rPr>
          <w:i/>
        </w:rPr>
        <w:t>Sborník přednášek</w:t>
      </w:r>
      <w:r w:rsidRPr="00D0246A">
        <w:t xml:space="preserve">…, </w:t>
      </w:r>
      <w:r w:rsidRPr="001371F9">
        <w:t>s. 146.</w:t>
      </w:r>
    </w:p>
  </w:footnote>
  <w:footnote w:id="191">
    <w:p w:rsidR="00967270" w:rsidRDefault="00967270" w:rsidP="00332B77">
      <w:pPr>
        <w:pStyle w:val="Textpoznpodarou"/>
        <w:spacing w:after="0" w:line="240" w:lineRule="auto"/>
      </w:pPr>
      <w:r>
        <w:rPr>
          <w:rStyle w:val="Znakapoznpodarou"/>
        </w:rPr>
        <w:footnoteRef/>
      </w:r>
      <w:r>
        <w:t xml:space="preserve"> </w:t>
      </w:r>
      <w:r w:rsidRPr="00D16EBC">
        <w:t xml:space="preserve">ŠVESTKA, DVOŘÁK, FIALA: </w:t>
      </w:r>
      <w:r w:rsidRPr="00D16EBC">
        <w:rPr>
          <w:i/>
        </w:rPr>
        <w:t>Občanský</w:t>
      </w:r>
      <w:r w:rsidRPr="00D16EBC">
        <w:t>…,</w:t>
      </w:r>
      <w:r>
        <w:t xml:space="preserve"> s. 201</w:t>
      </w:r>
      <w:r w:rsidRPr="00A005FA">
        <w:t>.</w:t>
      </w:r>
    </w:p>
  </w:footnote>
  <w:footnote w:id="192">
    <w:p w:rsidR="00967270" w:rsidRDefault="00967270" w:rsidP="003141C6">
      <w:pPr>
        <w:pStyle w:val="Textpoznpodarou"/>
        <w:spacing w:after="0" w:line="240" w:lineRule="auto"/>
      </w:pPr>
      <w:r>
        <w:rPr>
          <w:rStyle w:val="Znakapoznpodarou"/>
        </w:rPr>
        <w:footnoteRef/>
      </w:r>
      <w:r>
        <w:t xml:space="preserve"> </w:t>
      </w:r>
      <w:r w:rsidRPr="00D0246A">
        <w:t xml:space="preserve">MUZIKÁŘ, Ladislav. In SUCHÁ, MOKRÝ: </w:t>
      </w:r>
      <w:r w:rsidRPr="00D0246A">
        <w:rPr>
          <w:i/>
        </w:rPr>
        <w:t>Sborník přednášek</w:t>
      </w:r>
      <w:r w:rsidRPr="00D0246A">
        <w:t xml:space="preserve">…, </w:t>
      </w:r>
      <w:r w:rsidRPr="001371F9">
        <w:t>s. 146</w:t>
      </w:r>
      <w:r>
        <w:t>-147</w:t>
      </w:r>
      <w:r w:rsidRPr="001371F9">
        <w:t>.</w:t>
      </w:r>
    </w:p>
  </w:footnote>
  <w:footnote w:id="193">
    <w:p w:rsidR="00967270" w:rsidRDefault="00967270" w:rsidP="007239A4">
      <w:pPr>
        <w:pStyle w:val="Textpoznpodarou"/>
        <w:spacing w:after="0" w:line="240" w:lineRule="auto"/>
      </w:pPr>
      <w:r>
        <w:rPr>
          <w:rStyle w:val="Znakapoznpodarou"/>
        </w:rPr>
        <w:footnoteRef/>
      </w:r>
      <w:r>
        <w:t xml:space="preserve"> </w:t>
      </w:r>
      <w:r w:rsidRPr="006D6BE7">
        <w:t xml:space="preserve">ŠVESTKA, DVOŘÁK, FIALA: </w:t>
      </w:r>
      <w:r w:rsidRPr="006D6BE7">
        <w:rPr>
          <w:i/>
        </w:rPr>
        <w:t>Občanský</w:t>
      </w:r>
      <w:r w:rsidRPr="006D6BE7">
        <w:t>…,</w:t>
      </w:r>
      <w:r>
        <w:t xml:space="preserve"> </w:t>
      </w:r>
      <w:r w:rsidRPr="007239A4">
        <w:t>s. 201.</w:t>
      </w:r>
    </w:p>
  </w:footnote>
  <w:footnote w:id="194">
    <w:p w:rsidR="00967270" w:rsidRDefault="00967270" w:rsidP="00682269">
      <w:pPr>
        <w:pStyle w:val="Textpoznpodarou"/>
        <w:spacing w:after="0" w:line="240" w:lineRule="auto"/>
      </w:pPr>
      <w:r>
        <w:rPr>
          <w:rStyle w:val="Znakapoznpodarou"/>
        </w:rPr>
        <w:footnoteRef/>
      </w:r>
      <w:r>
        <w:t xml:space="preserve"> </w:t>
      </w:r>
      <w:r w:rsidRPr="00D0246A">
        <w:t>MUZIKÁŘ, Ladislav. In S</w:t>
      </w:r>
      <w:r>
        <w:t xml:space="preserve">UCHÁ, MOKRÝ: </w:t>
      </w:r>
      <w:r w:rsidRPr="00D0246A">
        <w:rPr>
          <w:i/>
        </w:rPr>
        <w:t>Sborník přednášek</w:t>
      </w:r>
      <w:r>
        <w:t>…, s. 147</w:t>
      </w:r>
      <w:r w:rsidRPr="001371F9">
        <w:t>.</w:t>
      </w:r>
      <w:r w:rsidRPr="00682269">
        <w:t xml:space="preserve"> </w:t>
      </w:r>
    </w:p>
  </w:footnote>
  <w:footnote w:id="195">
    <w:p w:rsidR="00967270" w:rsidRDefault="00967270" w:rsidP="00647927">
      <w:pPr>
        <w:pStyle w:val="Textpoznpodarou"/>
        <w:spacing w:after="0" w:line="240" w:lineRule="auto"/>
      </w:pPr>
      <w:r>
        <w:rPr>
          <w:rStyle w:val="Znakapoznpodarou"/>
        </w:rPr>
        <w:footnoteRef/>
      </w:r>
      <w:r>
        <w:t xml:space="preserve"> </w:t>
      </w:r>
      <w:r w:rsidRPr="00296C63">
        <w:t xml:space="preserve">MIKEŠ, MUZIKÁŘ: </w:t>
      </w:r>
      <w:r w:rsidRPr="00296C63">
        <w:rPr>
          <w:i/>
        </w:rPr>
        <w:t>Dědické</w:t>
      </w:r>
      <w:r w:rsidRPr="00296C63">
        <w:t xml:space="preserve">…, s. </w:t>
      </w:r>
      <w:r>
        <w:t>112</w:t>
      </w:r>
      <w:r w:rsidRPr="00296C63">
        <w:t>.</w:t>
      </w:r>
    </w:p>
  </w:footnote>
  <w:footnote w:id="196">
    <w:p w:rsidR="00967270" w:rsidRPr="004E3359" w:rsidRDefault="00967270" w:rsidP="00647927">
      <w:pPr>
        <w:pStyle w:val="Textpoznpodarou"/>
        <w:spacing w:after="0" w:line="240" w:lineRule="auto"/>
      </w:pPr>
      <w:r>
        <w:rPr>
          <w:rStyle w:val="Znakapoznpodarou"/>
        </w:rPr>
        <w:footnoteRef/>
      </w:r>
      <w:r>
        <w:t xml:space="preserve"> SALÁK, Pavel. Zásady římského práva dědického a jejich odraz v novodobých kodifikacích. </w:t>
      </w:r>
      <w:r w:rsidRPr="004E3359">
        <w:rPr>
          <w:i/>
        </w:rPr>
        <w:t>Časopis pro právní vědu a praxi</w:t>
      </w:r>
      <w:r>
        <w:t xml:space="preserve">, 2012, </w:t>
      </w:r>
      <w:r w:rsidRPr="002850ED">
        <w:t>roč. 20</w:t>
      </w:r>
      <w:r>
        <w:t>, č. 3, s. 231.</w:t>
      </w:r>
    </w:p>
  </w:footnote>
  <w:footnote w:id="197">
    <w:p w:rsidR="00967270" w:rsidRDefault="00967270" w:rsidP="00DE23CD">
      <w:pPr>
        <w:pStyle w:val="Textpoznpodarou"/>
        <w:spacing w:after="0" w:line="240" w:lineRule="auto"/>
      </w:pPr>
      <w:r>
        <w:rPr>
          <w:rStyle w:val="Znakapoznpodarou"/>
        </w:rPr>
        <w:footnoteRef/>
      </w:r>
      <w:r>
        <w:t xml:space="preserve"> </w:t>
      </w:r>
      <w:r w:rsidRPr="00DE23CD">
        <w:t xml:space="preserve">FIALA, DRÁPAL: </w:t>
      </w:r>
      <w:r w:rsidRPr="00DE23CD">
        <w:rPr>
          <w:i/>
        </w:rPr>
        <w:t>Občanský</w:t>
      </w:r>
      <w:r>
        <w:t>…, s. 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BD5"/>
    <w:multiLevelType w:val="hybridMultilevel"/>
    <w:tmpl w:val="93C8E744"/>
    <w:lvl w:ilvl="0" w:tplc="CE6471FE">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E127CB"/>
    <w:multiLevelType w:val="hybridMultilevel"/>
    <w:tmpl w:val="BFB05B8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nsid w:val="18C5754C"/>
    <w:multiLevelType w:val="hybridMultilevel"/>
    <w:tmpl w:val="3C3ACD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BE41D7"/>
    <w:multiLevelType w:val="hybridMultilevel"/>
    <w:tmpl w:val="1994C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20C7755"/>
    <w:multiLevelType w:val="hybridMultilevel"/>
    <w:tmpl w:val="C0B8F114"/>
    <w:lvl w:ilvl="0" w:tplc="2BDAA8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E14DC1"/>
    <w:multiLevelType w:val="hybridMultilevel"/>
    <w:tmpl w:val="A2BA461E"/>
    <w:lvl w:ilvl="0" w:tplc="E5C68054">
      <w:start w:val="3"/>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51893F27"/>
    <w:multiLevelType w:val="hybridMultilevel"/>
    <w:tmpl w:val="46C2EA2E"/>
    <w:lvl w:ilvl="0" w:tplc="9432B9B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20"/>
    <w:rsid w:val="00000649"/>
    <w:rsid w:val="0000089B"/>
    <w:rsid w:val="00000997"/>
    <w:rsid w:val="00000B8C"/>
    <w:rsid w:val="00000EA2"/>
    <w:rsid w:val="000014BA"/>
    <w:rsid w:val="00001A7D"/>
    <w:rsid w:val="000024BC"/>
    <w:rsid w:val="0000265B"/>
    <w:rsid w:val="000027DC"/>
    <w:rsid w:val="00003F93"/>
    <w:rsid w:val="00004152"/>
    <w:rsid w:val="00004E35"/>
    <w:rsid w:val="000051EC"/>
    <w:rsid w:val="000067B1"/>
    <w:rsid w:val="00006B46"/>
    <w:rsid w:val="00007DC8"/>
    <w:rsid w:val="00011448"/>
    <w:rsid w:val="00011538"/>
    <w:rsid w:val="00012012"/>
    <w:rsid w:val="00012139"/>
    <w:rsid w:val="0001242D"/>
    <w:rsid w:val="000125E2"/>
    <w:rsid w:val="0001281C"/>
    <w:rsid w:val="00013234"/>
    <w:rsid w:val="00013AAE"/>
    <w:rsid w:val="00013D48"/>
    <w:rsid w:val="00014273"/>
    <w:rsid w:val="00014570"/>
    <w:rsid w:val="00015822"/>
    <w:rsid w:val="0001587B"/>
    <w:rsid w:val="00015F6E"/>
    <w:rsid w:val="00016D18"/>
    <w:rsid w:val="00017315"/>
    <w:rsid w:val="000177E0"/>
    <w:rsid w:val="00017AAE"/>
    <w:rsid w:val="00020249"/>
    <w:rsid w:val="000210B4"/>
    <w:rsid w:val="0002141D"/>
    <w:rsid w:val="00021ADB"/>
    <w:rsid w:val="00021DA9"/>
    <w:rsid w:val="0002238A"/>
    <w:rsid w:val="0002245E"/>
    <w:rsid w:val="0002255B"/>
    <w:rsid w:val="00022624"/>
    <w:rsid w:val="00022EDA"/>
    <w:rsid w:val="00023CF3"/>
    <w:rsid w:val="0002463A"/>
    <w:rsid w:val="00024973"/>
    <w:rsid w:val="000249EB"/>
    <w:rsid w:val="000253C0"/>
    <w:rsid w:val="00027305"/>
    <w:rsid w:val="00027578"/>
    <w:rsid w:val="0002768C"/>
    <w:rsid w:val="00027842"/>
    <w:rsid w:val="00027E24"/>
    <w:rsid w:val="00027F60"/>
    <w:rsid w:val="000300B7"/>
    <w:rsid w:val="00030567"/>
    <w:rsid w:val="000305FA"/>
    <w:rsid w:val="00030683"/>
    <w:rsid w:val="00031805"/>
    <w:rsid w:val="00031865"/>
    <w:rsid w:val="00031D33"/>
    <w:rsid w:val="00031D8D"/>
    <w:rsid w:val="00031DDD"/>
    <w:rsid w:val="000321F4"/>
    <w:rsid w:val="00032479"/>
    <w:rsid w:val="0003287C"/>
    <w:rsid w:val="00032B86"/>
    <w:rsid w:val="00033328"/>
    <w:rsid w:val="00034278"/>
    <w:rsid w:val="0003451B"/>
    <w:rsid w:val="0003462F"/>
    <w:rsid w:val="00034A66"/>
    <w:rsid w:val="00034C33"/>
    <w:rsid w:val="00034D1A"/>
    <w:rsid w:val="000355BF"/>
    <w:rsid w:val="00036622"/>
    <w:rsid w:val="00037346"/>
    <w:rsid w:val="0003748E"/>
    <w:rsid w:val="00037843"/>
    <w:rsid w:val="000378D6"/>
    <w:rsid w:val="000408E1"/>
    <w:rsid w:val="00041BD7"/>
    <w:rsid w:val="000422D9"/>
    <w:rsid w:val="00042550"/>
    <w:rsid w:val="000427AB"/>
    <w:rsid w:val="000440CE"/>
    <w:rsid w:val="00045031"/>
    <w:rsid w:val="00045F15"/>
    <w:rsid w:val="000472CC"/>
    <w:rsid w:val="000474EA"/>
    <w:rsid w:val="00047AD1"/>
    <w:rsid w:val="00047F14"/>
    <w:rsid w:val="000501EB"/>
    <w:rsid w:val="000512A0"/>
    <w:rsid w:val="00051945"/>
    <w:rsid w:val="00051EA8"/>
    <w:rsid w:val="000524C4"/>
    <w:rsid w:val="00052989"/>
    <w:rsid w:val="00052AA3"/>
    <w:rsid w:val="00052FDB"/>
    <w:rsid w:val="000533D4"/>
    <w:rsid w:val="000535FC"/>
    <w:rsid w:val="00053FC7"/>
    <w:rsid w:val="000541B4"/>
    <w:rsid w:val="000545E8"/>
    <w:rsid w:val="00054D8C"/>
    <w:rsid w:val="00054F86"/>
    <w:rsid w:val="0005553C"/>
    <w:rsid w:val="00055B82"/>
    <w:rsid w:val="00055D3D"/>
    <w:rsid w:val="00055DB4"/>
    <w:rsid w:val="00055FC1"/>
    <w:rsid w:val="0005611F"/>
    <w:rsid w:val="00056CE9"/>
    <w:rsid w:val="0005725D"/>
    <w:rsid w:val="00057B1C"/>
    <w:rsid w:val="00057F18"/>
    <w:rsid w:val="000600A6"/>
    <w:rsid w:val="00060703"/>
    <w:rsid w:val="00060B92"/>
    <w:rsid w:val="0006101C"/>
    <w:rsid w:val="000613C1"/>
    <w:rsid w:val="000625A0"/>
    <w:rsid w:val="00062727"/>
    <w:rsid w:val="00062B61"/>
    <w:rsid w:val="000634DF"/>
    <w:rsid w:val="00063B23"/>
    <w:rsid w:val="00063BF2"/>
    <w:rsid w:val="00063E89"/>
    <w:rsid w:val="00064124"/>
    <w:rsid w:val="0006461C"/>
    <w:rsid w:val="000649BD"/>
    <w:rsid w:val="00064E89"/>
    <w:rsid w:val="00064EA1"/>
    <w:rsid w:val="00064F19"/>
    <w:rsid w:val="00065362"/>
    <w:rsid w:val="0006563A"/>
    <w:rsid w:val="00066040"/>
    <w:rsid w:val="00066596"/>
    <w:rsid w:val="00066756"/>
    <w:rsid w:val="00067688"/>
    <w:rsid w:val="00067710"/>
    <w:rsid w:val="000679F3"/>
    <w:rsid w:val="0007009D"/>
    <w:rsid w:val="00070CB1"/>
    <w:rsid w:val="00071623"/>
    <w:rsid w:val="0007218A"/>
    <w:rsid w:val="000724FB"/>
    <w:rsid w:val="000734F9"/>
    <w:rsid w:val="00073539"/>
    <w:rsid w:val="00074CAA"/>
    <w:rsid w:val="00074DB8"/>
    <w:rsid w:val="00075BDA"/>
    <w:rsid w:val="00075FA4"/>
    <w:rsid w:val="000762BE"/>
    <w:rsid w:val="00076428"/>
    <w:rsid w:val="00076669"/>
    <w:rsid w:val="000766D5"/>
    <w:rsid w:val="000766E7"/>
    <w:rsid w:val="00077108"/>
    <w:rsid w:val="0007711A"/>
    <w:rsid w:val="0007796D"/>
    <w:rsid w:val="00080459"/>
    <w:rsid w:val="00080DDA"/>
    <w:rsid w:val="00080F50"/>
    <w:rsid w:val="000826C8"/>
    <w:rsid w:val="00082A4A"/>
    <w:rsid w:val="00082B5E"/>
    <w:rsid w:val="00082CCD"/>
    <w:rsid w:val="00083673"/>
    <w:rsid w:val="000836B9"/>
    <w:rsid w:val="00083763"/>
    <w:rsid w:val="000839C2"/>
    <w:rsid w:val="00084447"/>
    <w:rsid w:val="00084C89"/>
    <w:rsid w:val="00085BEE"/>
    <w:rsid w:val="00086329"/>
    <w:rsid w:val="00086777"/>
    <w:rsid w:val="00086D80"/>
    <w:rsid w:val="00086FD9"/>
    <w:rsid w:val="00087306"/>
    <w:rsid w:val="00087C8F"/>
    <w:rsid w:val="00087FB6"/>
    <w:rsid w:val="00090EC5"/>
    <w:rsid w:val="00091592"/>
    <w:rsid w:val="00091B10"/>
    <w:rsid w:val="00091B62"/>
    <w:rsid w:val="00091F13"/>
    <w:rsid w:val="00092013"/>
    <w:rsid w:val="000922AB"/>
    <w:rsid w:val="000939F6"/>
    <w:rsid w:val="00093C8B"/>
    <w:rsid w:val="0009447B"/>
    <w:rsid w:val="00094555"/>
    <w:rsid w:val="00094DDC"/>
    <w:rsid w:val="00094F4E"/>
    <w:rsid w:val="0009520F"/>
    <w:rsid w:val="00095282"/>
    <w:rsid w:val="0009528F"/>
    <w:rsid w:val="000957B1"/>
    <w:rsid w:val="00096280"/>
    <w:rsid w:val="00096817"/>
    <w:rsid w:val="0009688E"/>
    <w:rsid w:val="000968EF"/>
    <w:rsid w:val="00096E8C"/>
    <w:rsid w:val="00096EA1"/>
    <w:rsid w:val="00097950"/>
    <w:rsid w:val="000A05D2"/>
    <w:rsid w:val="000A12EE"/>
    <w:rsid w:val="000A13EB"/>
    <w:rsid w:val="000A1785"/>
    <w:rsid w:val="000A1BB4"/>
    <w:rsid w:val="000A2CDF"/>
    <w:rsid w:val="000A2D83"/>
    <w:rsid w:val="000A2FE7"/>
    <w:rsid w:val="000A3166"/>
    <w:rsid w:val="000A4920"/>
    <w:rsid w:val="000A5470"/>
    <w:rsid w:val="000A689B"/>
    <w:rsid w:val="000A6E9F"/>
    <w:rsid w:val="000A776D"/>
    <w:rsid w:val="000A7D0F"/>
    <w:rsid w:val="000A7F94"/>
    <w:rsid w:val="000B0196"/>
    <w:rsid w:val="000B0D0D"/>
    <w:rsid w:val="000B2854"/>
    <w:rsid w:val="000B2A98"/>
    <w:rsid w:val="000B2ED9"/>
    <w:rsid w:val="000B3A5F"/>
    <w:rsid w:val="000B3D76"/>
    <w:rsid w:val="000B4496"/>
    <w:rsid w:val="000B47FC"/>
    <w:rsid w:val="000B4B45"/>
    <w:rsid w:val="000B5581"/>
    <w:rsid w:val="000B5832"/>
    <w:rsid w:val="000B58F5"/>
    <w:rsid w:val="000B5C30"/>
    <w:rsid w:val="000B633A"/>
    <w:rsid w:val="000B6882"/>
    <w:rsid w:val="000C0594"/>
    <w:rsid w:val="000C11D5"/>
    <w:rsid w:val="000C28A2"/>
    <w:rsid w:val="000C29ED"/>
    <w:rsid w:val="000C3284"/>
    <w:rsid w:val="000C335B"/>
    <w:rsid w:val="000C4138"/>
    <w:rsid w:val="000C41E0"/>
    <w:rsid w:val="000C4569"/>
    <w:rsid w:val="000C47D0"/>
    <w:rsid w:val="000C4B8B"/>
    <w:rsid w:val="000C5960"/>
    <w:rsid w:val="000C59CF"/>
    <w:rsid w:val="000C5B41"/>
    <w:rsid w:val="000C5E98"/>
    <w:rsid w:val="000C6E3E"/>
    <w:rsid w:val="000C7702"/>
    <w:rsid w:val="000D0636"/>
    <w:rsid w:val="000D0D03"/>
    <w:rsid w:val="000D1B79"/>
    <w:rsid w:val="000D1EEE"/>
    <w:rsid w:val="000D2058"/>
    <w:rsid w:val="000D2865"/>
    <w:rsid w:val="000D32CE"/>
    <w:rsid w:val="000D3336"/>
    <w:rsid w:val="000D3D2F"/>
    <w:rsid w:val="000D3DF9"/>
    <w:rsid w:val="000D452C"/>
    <w:rsid w:val="000D4746"/>
    <w:rsid w:val="000D4AB6"/>
    <w:rsid w:val="000D4EB6"/>
    <w:rsid w:val="000D51EB"/>
    <w:rsid w:val="000D56C6"/>
    <w:rsid w:val="000D5912"/>
    <w:rsid w:val="000D5D62"/>
    <w:rsid w:val="000D5EFD"/>
    <w:rsid w:val="000D602F"/>
    <w:rsid w:val="000D617F"/>
    <w:rsid w:val="000D622C"/>
    <w:rsid w:val="000D62D9"/>
    <w:rsid w:val="000D708F"/>
    <w:rsid w:val="000D70B3"/>
    <w:rsid w:val="000D7270"/>
    <w:rsid w:val="000D7E03"/>
    <w:rsid w:val="000E0541"/>
    <w:rsid w:val="000E068B"/>
    <w:rsid w:val="000E10E1"/>
    <w:rsid w:val="000E164A"/>
    <w:rsid w:val="000E16DD"/>
    <w:rsid w:val="000E1F80"/>
    <w:rsid w:val="000E2248"/>
    <w:rsid w:val="000E2284"/>
    <w:rsid w:val="000E2956"/>
    <w:rsid w:val="000E2B20"/>
    <w:rsid w:val="000E3DD7"/>
    <w:rsid w:val="000E4158"/>
    <w:rsid w:val="000E46BE"/>
    <w:rsid w:val="000E4C06"/>
    <w:rsid w:val="000E4D7A"/>
    <w:rsid w:val="000E5524"/>
    <w:rsid w:val="000E55B9"/>
    <w:rsid w:val="000E5843"/>
    <w:rsid w:val="000E59EE"/>
    <w:rsid w:val="000E6786"/>
    <w:rsid w:val="000E68E6"/>
    <w:rsid w:val="000E6AC4"/>
    <w:rsid w:val="000E74B5"/>
    <w:rsid w:val="000F2F07"/>
    <w:rsid w:val="000F2F8D"/>
    <w:rsid w:val="000F346A"/>
    <w:rsid w:val="000F3746"/>
    <w:rsid w:val="000F57EF"/>
    <w:rsid w:val="000F5900"/>
    <w:rsid w:val="000F647A"/>
    <w:rsid w:val="000F73EF"/>
    <w:rsid w:val="000F7E0A"/>
    <w:rsid w:val="00100725"/>
    <w:rsid w:val="0010082C"/>
    <w:rsid w:val="00100BEC"/>
    <w:rsid w:val="0010104E"/>
    <w:rsid w:val="001011B8"/>
    <w:rsid w:val="00101965"/>
    <w:rsid w:val="001019C5"/>
    <w:rsid w:val="00101A1A"/>
    <w:rsid w:val="00102047"/>
    <w:rsid w:val="00102496"/>
    <w:rsid w:val="001028E8"/>
    <w:rsid w:val="00102DB8"/>
    <w:rsid w:val="00104133"/>
    <w:rsid w:val="00104BA5"/>
    <w:rsid w:val="00104F84"/>
    <w:rsid w:val="001051A0"/>
    <w:rsid w:val="001056F1"/>
    <w:rsid w:val="00105969"/>
    <w:rsid w:val="001064EB"/>
    <w:rsid w:val="00106AF8"/>
    <w:rsid w:val="00106B64"/>
    <w:rsid w:val="00106CD7"/>
    <w:rsid w:val="00106D09"/>
    <w:rsid w:val="0010720C"/>
    <w:rsid w:val="0010722B"/>
    <w:rsid w:val="001073FF"/>
    <w:rsid w:val="00107F92"/>
    <w:rsid w:val="001104F2"/>
    <w:rsid w:val="001106E4"/>
    <w:rsid w:val="00110CF5"/>
    <w:rsid w:val="001118CB"/>
    <w:rsid w:val="001119A3"/>
    <w:rsid w:val="00111C3B"/>
    <w:rsid w:val="0011221A"/>
    <w:rsid w:val="00112665"/>
    <w:rsid w:val="00112BB3"/>
    <w:rsid w:val="00112FC2"/>
    <w:rsid w:val="001132AD"/>
    <w:rsid w:val="0011341A"/>
    <w:rsid w:val="001138B4"/>
    <w:rsid w:val="00114104"/>
    <w:rsid w:val="00114513"/>
    <w:rsid w:val="00114B01"/>
    <w:rsid w:val="00114C83"/>
    <w:rsid w:val="00114EB5"/>
    <w:rsid w:val="0011501B"/>
    <w:rsid w:val="00115063"/>
    <w:rsid w:val="00115C3F"/>
    <w:rsid w:val="00115EE8"/>
    <w:rsid w:val="001164EF"/>
    <w:rsid w:val="00116973"/>
    <w:rsid w:val="00116997"/>
    <w:rsid w:val="00116C36"/>
    <w:rsid w:val="00116F50"/>
    <w:rsid w:val="00117394"/>
    <w:rsid w:val="00117DE7"/>
    <w:rsid w:val="00120020"/>
    <w:rsid w:val="0012019B"/>
    <w:rsid w:val="00120935"/>
    <w:rsid w:val="00120F70"/>
    <w:rsid w:val="0012161F"/>
    <w:rsid w:val="0012184A"/>
    <w:rsid w:val="001226B6"/>
    <w:rsid w:val="001227F2"/>
    <w:rsid w:val="001228D1"/>
    <w:rsid w:val="00122EDB"/>
    <w:rsid w:val="0012323E"/>
    <w:rsid w:val="001237B7"/>
    <w:rsid w:val="00123B3C"/>
    <w:rsid w:val="0012412E"/>
    <w:rsid w:val="001255A5"/>
    <w:rsid w:val="00125CAE"/>
    <w:rsid w:val="00125D10"/>
    <w:rsid w:val="00125E7A"/>
    <w:rsid w:val="0012600F"/>
    <w:rsid w:val="00126D36"/>
    <w:rsid w:val="00126D53"/>
    <w:rsid w:val="00127259"/>
    <w:rsid w:val="00127534"/>
    <w:rsid w:val="00127628"/>
    <w:rsid w:val="0012762A"/>
    <w:rsid w:val="00127818"/>
    <w:rsid w:val="00127863"/>
    <w:rsid w:val="00131476"/>
    <w:rsid w:val="00131791"/>
    <w:rsid w:val="001319B2"/>
    <w:rsid w:val="00131FA7"/>
    <w:rsid w:val="00132D82"/>
    <w:rsid w:val="001330FC"/>
    <w:rsid w:val="001335A4"/>
    <w:rsid w:val="00133A02"/>
    <w:rsid w:val="00134649"/>
    <w:rsid w:val="00134A1F"/>
    <w:rsid w:val="00134EEC"/>
    <w:rsid w:val="00135A3F"/>
    <w:rsid w:val="00135CA2"/>
    <w:rsid w:val="00136176"/>
    <w:rsid w:val="001363EB"/>
    <w:rsid w:val="00136FB4"/>
    <w:rsid w:val="00136FC6"/>
    <w:rsid w:val="001371F9"/>
    <w:rsid w:val="00137504"/>
    <w:rsid w:val="001401CC"/>
    <w:rsid w:val="001409C4"/>
    <w:rsid w:val="00140EB7"/>
    <w:rsid w:val="001412AA"/>
    <w:rsid w:val="001413B6"/>
    <w:rsid w:val="001416E0"/>
    <w:rsid w:val="001418AA"/>
    <w:rsid w:val="00141C88"/>
    <w:rsid w:val="00141CD6"/>
    <w:rsid w:val="00142F7F"/>
    <w:rsid w:val="00143546"/>
    <w:rsid w:val="00143D33"/>
    <w:rsid w:val="00143D34"/>
    <w:rsid w:val="00143F81"/>
    <w:rsid w:val="001440FC"/>
    <w:rsid w:val="00145551"/>
    <w:rsid w:val="00145978"/>
    <w:rsid w:val="001460F7"/>
    <w:rsid w:val="00146C9F"/>
    <w:rsid w:val="00146E8C"/>
    <w:rsid w:val="00146E98"/>
    <w:rsid w:val="001478F7"/>
    <w:rsid w:val="00147F19"/>
    <w:rsid w:val="00151444"/>
    <w:rsid w:val="0015182B"/>
    <w:rsid w:val="00151CE1"/>
    <w:rsid w:val="00152BB9"/>
    <w:rsid w:val="00152E62"/>
    <w:rsid w:val="00152F56"/>
    <w:rsid w:val="00153307"/>
    <w:rsid w:val="001534B0"/>
    <w:rsid w:val="00153A3D"/>
    <w:rsid w:val="00153D83"/>
    <w:rsid w:val="0015492A"/>
    <w:rsid w:val="00155173"/>
    <w:rsid w:val="00155176"/>
    <w:rsid w:val="00155700"/>
    <w:rsid w:val="00155A4F"/>
    <w:rsid w:val="0015628D"/>
    <w:rsid w:val="00156994"/>
    <w:rsid w:val="001572A2"/>
    <w:rsid w:val="00157451"/>
    <w:rsid w:val="001578C3"/>
    <w:rsid w:val="0015793B"/>
    <w:rsid w:val="00157967"/>
    <w:rsid w:val="0016082C"/>
    <w:rsid w:val="001612EC"/>
    <w:rsid w:val="00161BAA"/>
    <w:rsid w:val="00161FF9"/>
    <w:rsid w:val="001620C4"/>
    <w:rsid w:val="001621EB"/>
    <w:rsid w:val="001634F5"/>
    <w:rsid w:val="00163947"/>
    <w:rsid w:val="001641D8"/>
    <w:rsid w:val="001642B5"/>
    <w:rsid w:val="00164324"/>
    <w:rsid w:val="00164389"/>
    <w:rsid w:val="00164541"/>
    <w:rsid w:val="001650C5"/>
    <w:rsid w:val="001653FC"/>
    <w:rsid w:val="00165460"/>
    <w:rsid w:val="00165762"/>
    <w:rsid w:val="001664DD"/>
    <w:rsid w:val="0016660C"/>
    <w:rsid w:val="001670DC"/>
    <w:rsid w:val="0016734B"/>
    <w:rsid w:val="00167E1D"/>
    <w:rsid w:val="00170133"/>
    <w:rsid w:val="00171591"/>
    <w:rsid w:val="00171736"/>
    <w:rsid w:val="0017282C"/>
    <w:rsid w:val="0017298A"/>
    <w:rsid w:val="00173626"/>
    <w:rsid w:val="00173B17"/>
    <w:rsid w:val="00174FD6"/>
    <w:rsid w:val="001752D4"/>
    <w:rsid w:val="00175A54"/>
    <w:rsid w:val="00175E56"/>
    <w:rsid w:val="00176577"/>
    <w:rsid w:val="001765C5"/>
    <w:rsid w:val="00176C4A"/>
    <w:rsid w:val="00176D08"/>
    <w:rsid w:val="001772E5"/>
    <w:rsid w:val="00180011"/>
    <w:rsid w:val="00181131"/>
    <w:rsid w:val="00181C8B"/>
    <w:rsid w:val="00181D1F"/>
    <w:rsid w:val="00181EB5"/>
    <w:rsid w:val="00181F78"/>
    <w:rsid w:val="00182032"/>
    <w:rsid w:val="00182476"/>
    <w:rsid w:val="001829AB"/>
    <w:rsid w:val="00182FDA"/>
    <w:rsid w:val="0018324C"/>
    <w:rsid w:val="0018439D"/>
    <w:rsid w:val="00184AAB"/>
    <w:rsid w:val="00184C21"/>
    <w:rsid w:val="001857E5"/>
    <w:rsid w:val="00185913"/>
    <w:rsid w:val="00185AF4"/>
    <w:rsid w:val="00185B2D"/>
    <w:rsid w:val="00185ECE"/>
    <w:rsid w:val="00186985"/>
    <w:rsid w:val="00186B40"/>
    <w:rsid w:val="00186B90"/>
    <w:rsid w:val="00186BA6"/>
    <w:rsid w:val="00186DFB"/>
    <w:rsid w:val="00186F13"/>
    <w:rsid w:val="001871D4"/>
    <w:rsid w:val="0019043D"/>
    <w:rsid w:val="001904B4"/>
    <w:rsid w:val="00190BB9"/>
    <w:rsid w:val="00190E96"/>
    <w:rsid w:val="00191AB9"/>
    <w:rsid w:val="00191B3B"/>
    <w:rsid w:val="001928F3"/>
    <w:rsid w:val="00192B6C"/>
    <w:rsid w:val="001936CD"/>
    <w:rsid w:val="001937F4"/>
    <w:rsid w:val="00193A29"/>
    <w:rsid w:val="00193F3F"/>
    <w:rsid w:val="00194243"/>
    <w:rsid w:val="00195988"/>
    <w:rsid w:val="001959A4"/>
    <w:rsid w:val="00195A55"/>
    <w:rsid w:val="001960BF"/>
    <w:rsid w:val="00196776"/>
    <w:rsid w:val="00196EC7"/>
    <w:rsid w:val="00197029"/>
    <w:rsid w:val="00197261"/>
    <w:rsid w:val="00197CBC"/>
    <w:rsid w:val="00197D38"/>
    <w:rsid w:val="00197E7C"/>
    <w:rsid w:val="001A059A"/>
    <w:rsid w:val="001A0DA5"/>
    <w:rsid w:val="001A1073"/>
    <w:rsid w:val="001A10DF"/>
    <w:rsid w:val="001A150A"/>
    <w:rsid w:val="001A166D"/>
    <w:rsid w:val="001A1942"/>
    <w:rsid w:val="001A2EE7"/>
    <w:rsid w:val="001A35E2"/>
    <w:rsid w:val="001A3671"/>
    <w:rsid w:val="001A38AF"/>
    <w:rsid w:val="001A452A"/>
    <w:rsid w:val="001A4697"/>
    <w:rsid w:val="001A592C"/>
    <w:rsid w:val="001A6DBC"/>
    <w:rsid w:val="001A6ED5"/>
    <w:rsid w:val="001A6F76"/>
    <w:rsid w:val="001A717F"/>
    <w:rsid w:val="001B04B1"/>
    <w:rsid w:val="001B0F37"/>
    <w:rsid w:val="001B1286"/>
    <w:rsid w:val="001B1328"/>
    <w:rsid w:val="001B1B03"/>
    <w:rsid w:val="001B20FE"/>
    <w:rsid w:val="001B2375"/>
    <w:rsid w:val="001B2788"/>
    <w:rsid w:val="001B30FA"/>
    <w:rsid w:val="001B3E83"/>
    <w:rsid w:val="001B40A6"/>
    <w:rsid w:val="001B4871"/>
    <w:rsid w:val="001B4EFE"/>
    <w:rsid w:val="001B5691"/>
    <w:rsid w:val="001B59E0"/>
    <w:rsid w:val="001B6119"/>
    <w:rsid w:val="001B647D"/>
    <w:rsid w:val="001B6482"/>
    <w:rsid w:val="001B76CA"/>
    <w:rsid w:val="001B7BB8"/>
    <w:rsid w:val="001B7D45"/>
    <w:rsid w:val="001B7F00"/>
    <w:rsid w:val="001C02A5"/>
    <w:rsid w:val="001C11C4"/>
    <w:rsid w:val="001C1397"/>
    <w:rsid w:val="001C1702"/>
    <w:rsid w:val="001C183D"/>
    <w:rsid w:val="001C22B5"/>
    <w:rsid w:val="001C2499"/>
    <w:rsid w:val="001C24A7"/>
    <w:rsid w:val="001C288D"/>
    <w:rsid w:val="001C2A5B"/>
    <w:rsid w:val="001C2F5E"/>
    <w:rsid w:val="001C396D"/>
    <w:rsid w:val="001C3C1A"/>
    <w:rsid w:val="001C4D78"/>
    <w:rsid w:val="001C4F37"/>
    <w:rsid w:val="001C56F6"/>
    <w:rsid w:val="001C5CD7"/>
    <w:rsid w:val="001C608B"/>
    <w:rsid w:val="001C60B2"/>
    <w:rsid w:val="001C63AB"/>
    <w:rsid w:val="001C63BF"/>
    <w:rsid w:val="001C6FF4"/>
    <w:rsid w:val="001C7BEA"/>
    <w:rsid w:val="001C7C16"/>
    <w:rsid w:val="001D0E26"/>
    <w:rsid w:val="001D183C"/>
    <w:rsid w:val="001D1DD3"/>
    <w:rsid w:val="001D20C9"/>
    <w:rsid w:val="001D2360"/>
    <w:rsid w:val="001D2DDE"/>
    <w:rsid w:val="001D3525"/>
    <w:rsid w:val="001D35E3"/>
    <w:rsid w:val="001D3A5C"/>
    <w:rsid w:val="001D474F"/>
    <w:rsid w:val="001D4952"/>
    <w:rsid w:val="001D607C"/>
    <w:rsid w:val="001D6157"/>
    <w:rsid w:val="001D6731"/>
    <w:rsid w:val="001D67EE"/>
    <w:rsid w:val="001D6828"/>
    <w:rsid w:val="001D6F35"/>
    <w:rsid w:val="001D6F75"/>
    <w:rsid w:val="001D71D5"/>
    <w:rsid w:val="001D78FA"/>
    <w:rsid w:val="001D7A9C"/>
    <w:rsid w:val="001D7DA4"/>
    <w:rsid w:val="001D7F59"/>
    <w:rsid w:val="001D7F84"/>
    <w:rsid w:val="001E0253"/>
    <w:rsid w:val="001E0674"/>
    <w:rsid w:val="001E07E3"/>
    <w:rsid w:val="001E0955"/>
    <w:rsid w:val="001E0A79"/>
    <w:rsid w:val="001E0DCE"/>
    <w:rsid w:val="001E175D"/>
    <w:rsid w:val="001E1A54"/>
    <w:rsid w:val="001E1E02"/>
    <w:rsid w:val="001E25C1"/>
    <w:rsid w:val="001E30AE"/>
    <w:rsid w:val="001E3BF3"/>
    <w:rsid w:val="001E4A01"/>
    <w:rsid w:val="001E4A69"/>
    <w:rsid w:val="001E543B"/>
    <w:rsid w:val="001E55E5"/>
    <w:rsid w:val="001E66E3"/>
    <w:rsid w:val="001E6AA9"/>
    <w:rsid w:val="001E7168"/>
    <w:rsid w:val="001E771F"/>
    <w:rsid w:val="001F03A2"/>
    <w:rsid w:val="001F1245"/>
    <w:rsid w:val="001F1CFF"/>
    <w:rsid w:val="001F1DB7"/>
    <w:rsid w:val="001F25E1"/>
    <w:rsid w:val="001F294C"/>
    <w:rsid w:val="001F2B75"/>
    <w:rsid w:val="001F3E06"/>
    <w:rsid w:val="001F406F"/>
    <w:rsid w:val="001F428E"/>
    <w:rsid w:val="001F42B8"/>
    <w:rsid w:val="001F4841"/>
    <w:rsid w:val="001F4E3D"/>
    <w:rsid w:val="001F5067"/>
    <w:rsid w:val="001F5362"/>
    <w:rsid w:val="001F560B"/>
    <w:rsid w:val="001F5F2D"/>
    <w:rsid w:val="001F5F56"/>
    <w:rsid w:val="001F6128"/>
    <w:rsid w:val="001F6A2F"/>
    <w:rsid w:val="001F7E64"/>
    <w:rsid w:val="002000D2"/>
    <w:rsid w:val="00200497"/>
    <w:rsid w:val="00201330"/>
    <w:rsid w:val="002015EA"/>
    <w:rsid w:val="00201EDC"/>
    <w:rsid w:val="00202381"/>
    <w:rsid w:val="00202917"/>
    <w:rsid w:val="00202C29"/>
    <w:rsid w:val="00203688"/>
    <w:rsid w:val="00203D6B"/>
    <w:rsid w:val="002043A7"/>
    <w:rsid w:val="0020440F"/>
    <w:rsid w:val="002045AD"/>
    <w:rsid w:val="002046DD"/>
    <w:rsid w:val="002047A2"/>
    <w:rsid w:val="0020486C"/>
    <w:rsid w:val="0020513A"/>
    <w:rsid w:val="0020589B"/>
    <w:rsid w:val="0020698F"/>
    <w:rsid w:val="00206DC1"/>
    <w:rsid w:val="00206E8B"/>
    <w:rsid w:val="00207184"/>
    <w:rsid w:val="00207309"/>
    <w:rsid w:val="002077F7"/>
    <w:rsid w:val="002101EF"/>
    <w:rsid w:val="00210595"/>
    <w:rsid w:val="00210A77"/>
    <w:rsid w:val="00210F43"/>
    <w:rsid w:val="00210F52"/>
    <w:rsid w:val="00211A53"/>
    <w:rsid w:val="00212138"/>
    <w:rsid w:val="002126C9"/>
    <w:rsid w:val="002139DA"/>
    <w:rsid w:val="002139E1"/>
    <w:rsid w:val="00213F23"/>
    <w:rsid w:val="002140C9"/>
    <w:rsid w:val="0021596E"/>
    <w:rsid w:val="00216262"/>
    <w:rsid w:val="0021655D"/>
    <w:rsid w:val="00217189"/>
    <w:rsid w:val="0021763F"/>
    <w:rsid w:val="002205B8"/>
    <w:rsid w:val="002209C2"/>
    <w:rsid w:val="00220F74"/>
    <w:rsid w:val="00220FD3"/>
    <w:rsid w:val="00221131"/>
    <w:rsid w:val="00221519"/>
    <w:rsid w:val="002218A1"/>
    <w:rsid w:val="00223969"/>
    <w:rsid w:val="00223BE8"/>
    <w:rsid w:val="002244B9"/>
    <w:rsid w:val="002249FF"/>
    <w:rsid w:val="00224D91"/>
    <w:rsid w:val="00224F1D"/>
    <w:rsid w:val="002259A8"/>
    <w:rsid w:val="00225B41"/>
    <w:rsid w:val="00226443"/>
    <w:rsid w:val="002267D4"/>
    <w:rsid w:val="0022773B"/>
    <w:rsid w:val="00227894"/>
    <w:rsid w:val="002278F6"/>
    <w:rsid w:val="00227A15"/>
    <w:rsid w:val="0023018E"/>
    <w:rsid w:val="00230338"/>
    <w:rsid w:val="00230636"/>
    <w:rsid w:val="002308B2"/>
    <w:rsid w:val="0023096D"/>
    <w:rsid w:val="00231A62"/>
    <w:rsid w:val="00232056"/>
    <w:rsid w:val="0023209A"/>
    <w:rsid w:val="00232130"/>
    <w:rsid w:val="00232B17"/>
    <w:rsid w:val="00233BD5"/>
    <w:rsid w:val="00234515"/>
    <w:rsid w:val="00234D44"/>
    <w:rsid w:val="00235EF9"/>
    <w:rsid w:val="00236596"/>
    <w:rsid w:val="002365D1"/>
    <w:rsid w:val="00240D02"/>
    <w:rsid w:val="00240D9D"/>
    <w:rsid w:val="00241AA9"/>
    <w:rsid w:val="00241CE6"/>
    <w:rsid w:val="00243357"/>
    <w:rsid w:val="002436E1"/>
    <w:rsid w:val="00243DB8"/>
    <w:rsid w:val="00244046"/>
    <w:rsid w:val="00244575"/>
    <w:rsid w:val="002445A6"/>
    <w:rsid w:val="0024498E"/>
    <w:rsid w:val="00244A75"/>
    <w:rsid w:val="00244B46"/>
    <w:rsid w:val="00244F36"/>
    <w:rsid w:val="00244FF2"/>
    <w:rsid w:val="002457CC"/>
    <w:rsid w:val="00245E46"/>
    <w:rsid w:val="00245F36"/>
    <w:rsid w:val="00245FE6"/>
    <w:rsid w:val="002462FD"/>
    <w:rsid w:val="00246BC5"/>
    <w:rsid w:val="00246F66"/>
    <w:rsid w:val="0024785A"/>
    <w:rsid w:val="00247FF1"/>
    <w:rsid w:val="00250E71"/>
    <w:rsid w:val="00250EAB"/>
    <w:rsid w:val="00250FE0"/>
    <w:rsid w:val="00250FFB"/>
    <w:rsid w:val="002514DF"/>
    <w:rsid w:val="00251E77"/>
    <w:rsid w:val="00252361"/>
    <w:rsid w:val="00253C12"/>
    <w:rsid w:val="00254CA6"/>
    <w:rsid w:val="00255969"/>
    <w:rsid w:val="0025649B"/>
    <w:rsid w:val="002567F5"/>
    <w:rsid w:val="002568DD"/>
    <w:rsid w:val="00256CF3"/>
    <w:rsid w:val="002601B0"/>
    <w:rsid w:val="00260304"/>
    <w:rsid w:val="00260720"/>
    <w:rsid w:val="002608EB"/>
    <w:rsid w:val="00260EB4"/>
    <w:rsid w:val="00261D91"/>
    <w:rsid w:val="002625D0"/>
    <w:rsid w:val="002627A6"/>
    <w:rsid w:val="00263B4D"/>
    <w:rsid w:val="00263E4C"/>
    <w:rsid w:val="00265186"/>
    <w:rsid w:val="002653EF"/>
    <w:rsid w:val="002657CC"/>
    <w:rsid w:val="00265B16"/>
    <w:rsid w:val="002664D5"/>
    <w:rsid w:val="00266604"/>
    <w:rsid w:val="00266931"/>
    <w:rsid w:val="00266F4D"/>
    <w:rsid w:val="002676F0"/>
    <w:rsid w:val="0026792A"/>
    <w:rsid w:val="00267CD1"/>
    <w:rsid w:val="00270111"/>
    <w:rsid w:val="00270412"/>
    <w:rsid w:val="0027049C"/>
    <w:rsid w:val="00270AC0"/>
    <w:rsid w:val="00270ED6"/>
    <w:rsid w:val="00272496"/>
    <w:rsid w:val="00272E00"/>
    <w:rsid w:val="002730DC"/>
    <w:rsid w:val="0027388D"/>
    <w:rsid w:val="00273B0F"/>
    <w:rsid w:val="00273DAF"/>
    <w:rsid w:val="00274225"/>
    <w:rsid w:val="0027422E"/>
    <w:rsid w:val="00274F1B"/>
    <w:rsid w:val="0027506E"/>
    <w:rsid w:val="002756B0"/>
    <w:rsid w:val="00275766"/>
    <w:rsid w:val="0027587A"/>
    <w:rsid w:val="002758AB"/>
    <w:rsid w:val="00275F31"/>
    <w:rsid w:val="0027605D"/>
    <w:rsid w:val="002763EA"/>
    <w:rsid w:val="00276F71"/>
    <w:rsid w:val="00276FB2"/>
    <w:rsid w:val="00277261"/>
    <w:rsid w:val="002772F3"/>
    <w:rsid w:val="002803FD"/>
    <w:rsid w:val="002805B6"/>
    <w:rsid w:val="002809D5"/>
    <w:rsid w:val="002812B1"/>
    <w:rsid w:val="00281C2B"/>
    <w:rsid w:val="002821E5"/>
    <w:rsid w:val="00282717"/>
    <w:rsid w:val="00282D3E"/>
    <w:rsid w:val="002832B1"/>
    <w:rsid w:val="002834A9"/>
    <w:rsid w:val="00283994"/>
    <w:rsid w:val="00283DDD"/>
    <w:rsid w:val="0028455A"/>
    <w:rsid w:val="002850ED"/>
    <w:rsid w:val="002853A2"/>
    <w:rsid w:val="00286122"/>
    <w:rsid w:val="0028647B"/>
    <w:rsid w:val="00286980"/>
    <w:rsid w:val="00286A6B"/>
    <w:rsid w:val="00287488"/>
    <w:rsid w:val="002878FA"/>
    <w:rsid w:val="00287EE7"/>
    <w:rsid w:val="002900EB"/>
    <w:rsid w:val="0029047B"/>
    <w:rsid w:val="0029078A"/>
    <w:rsid w:val="00290B98"/>
    <w:rsid w:val="00290CDC"/>
    <w:rsid w:val="0029104C"/>
    <w:rsid w:val="002915FC"/>
    <w:rsid w:val="00291E10"/>
    <w:rsid w:val="0029202F"/>
    <w:rsid w:val="00292192"/>
    <w:rsid w:val="002927A0"/>
    <w:rsid w:val="00293239"/>
    <w:rsid w:val="00293413"/>
    <w:rsid w:val="00293A29"/>
    <w:rsid w:val="00293DB2"/>
    <w:rsid w:val="00294454"/>
    <w:rsid w:val="002944C2"/>
    <w:rsid w:val="002945A5"/>
    <w:rsid w:val="00294805"/>
    <w:rsid w:val="00294C81"/>
    <w:rsid w:val="00295292"/>
    <w:rsid w:val="002954E3"/>
    <w:rsid w:val="00295D7D"/>
    <w:rsid w:val="00296832"/>
    <w:rsid w:val="00296C63"/>
    <w:rsid w:val="00297355"/>
    <w:rsid w:val="002A0207"/>
    <w:rsid w:val="002A03DB"/>
    <w:rsid w:val="002A0472"/>
    <w:rsid w:val="002A099E"/>
    <w:rsid w:val="002A0A45"/>
    <w:rsid w:val="002A0A77"/>
    <w:rsid w:val="002A1614"/>
    <w:rsid w:val="002A1696"/>
    <w:rsid w:val="002A1B8E"/>
    <w:rsid w:val="002A24D7"/>
    <w:rsid w:val="002A293A"/>
    <w:rsid w:val="002A2F17"/>
    <w:rsid w:val="002A31A6"/>
    <w:rsid w:val="002A329A"/>
    <w:rsid w:val="002A32B4"/>
    <w:rsid w:val="002A377C"/>
    <w:rsid w:val="002A3929"/>
    <w:rsid w:val="002A3F79"/>
    <w:rsid w:val="002A43AA"/>
    <w:rsid w:val="002A45FB"/>
    <w:rsid w:val="002A4813"/>
    <w:rsid w:val="002A51DB"/>
    <w:rsid w:val="002A5286"/>
    <w:rsid w:val="002A52B7"/>
    <w:rsid w:val="002A57C5"/>
    <w:rsid w:val="002A5904"/>
    <w:rsid w:val="002A5C61"/>
    <w:rsid w:val="002A5F55"/>
    <w:rsid w:val="002A6210"/>
    <w:rsid w:val="002A6BA4"/>
    <w:rsid w:val="002A6EB4"/>
    <w:rsid w:val="002A6F4A"/>
    <w:rsid w:val="002A79F4"/>
    <w:rsid w:val="002B0D71"/>
    <w:rsid w:val="002B1301"/>
    <w:rsid w:val="002B1D92"/>
    <w:rsid w:val="002B2254"/>
    <w:rsid w:val="002B329B"/>
    <w:rsid w:val="002B3415"/>
    <w:rsid w:val="002B4530"/>
    <w:rsid w:val="002B4657"/>
    <w:rsid w:val="002B4B88"/>
    <w:rsid w:val="002B4BA0"/>
    <w:rsid w:val="002B637A"/>
    <w:rsid w:val="002B69DE"/>
    <w:rsid w:val="002B705B"/>
    <w:rsid w:val="002B714F"/>
    <w:rsid w:val="002B7707"/>
    <w:rsid w:val="002B778C"/>
    <w:rsid w:val="002B7B2C"/>
    <w:rsid w:val="002B7B73"/>
    <w:rsid w:val="002B7C07"/>
    <w:rsid w:val="002B7D5B"/>
    <w:rsid w:val="002C074D"/>
    <w:rsid w:val="002C082E"/>
    <w:rsid w:val="002C11E9"/>
    <w:rsid w:val="002C16BE"/>
    <w:rsid w:val="002C1A7D"/>
    <w:rsid w:val="002C1C5C"/>
    <w:rsid w:val="002C207E"/>
    <w:rsid w:val="002C241C"/>
    <w:rsid w:val="002C29A4"/>
    <w:rsid w:val="002C326A"/>
    <w:rsid w:val="002C3ED4"/>
    <w:rsid w:val="002C5704"/>
    <w:rsid w:val="002C614D"/>
    <w:rsid w:val="002C64BF"/>
    <w:rsid w:val="002C64CB"/>
    <w:rsid w:val="002C663C"/>
    <w:rsid w:val="002C71D3"/>
    <w:rsid w:val="002C7492"/>
    <w:rsid w:val="002C7FA2"/>
    <w:rsid w:val="002D0BB5"/>
    <w:rsid w:val="002D102C"/>
    <w:rsid w:val="002D11BD"/>
    <w:rsid w:val="002D1BDA"/>
    <w:rsid w:val="002D31D3"/>
    <w:rsid w:val="002D3426"/>
    <w:rsid w:val="002D3D63"/>
    <w:rsid w:val="002D3E19"/>
    <w:rsid w:val="002D401C"/>
    <w:rsid w:val="002D442F"/>
    <w:rsid w:val="002D49EF"/>
    <w:rsid w:val="002D4F9A"/>
    <w:rsid w:val="002D53CB"/>
    <w:rsid w:val="002D581A"/>
    <w:rsid w:val="002D5F0E"/>
    <w:rsid w:val="002D63AA"/>
    <w:rsid w:val="002D6A91"/>
    <w:rsid w:val="002D6D27"/>
    <w:rsid w:val="002D7206"/>
    <w:rsid w:val="002D7658"/>
    <w:rsid w:val="002D79D7"/>
    <w:rsid w:val="002D7CD1"/>
    <w:rsid w:val="002D7FEF"/>
    <w:rsid w:val="002E013C"/>
    <w:rsid w:val="002E01B0"/>
    <w:rsid w:val="002E0890"/>
    <w:rsid w:val="002E1A0F"/>
    <w:rsid w:val="002E3934"/>
    <w:rsid w:val="002E39E2"/>
    <w:rsid w:val="002E3AE6"/>
    <w:rsid w:val="002E3FA2"/>
    <w:rsid w:val="002E53DA"/>
    <w:rsid w:val="002E5501"/>
    <w:rsid w:val="002E5611"/>
    <w:rsid w:val="002E56B1"/>
    <w:rsid w:val="002E5B85"/>
    <w:rsid w:val="002E5D4E"/>
    <w:rsid w:val="002E5FF7"/>
    <w:rsid w:val="002E64BE"/>
    <w:rsid w:val="002E6882"/>
    <w:rsid w:val="002E78B1"/>
    <w:rsid w:val="002E7B66"/>
    <w:rsid w:val="002E7C2F"/>
    <w:rsid w:val="002F0544"/>
    <w:rsid w:val="002F11A2"/>
    <w:rsid w:val="002F15E2"/>
    <w:rsid w:val="002F1D8A"/>
    <w:rsid w:val="002F1E2E"/>
    <w:rsid w:val="002F2E86"/>
    <w:rsid w:val="002F45ED"/>
    <w:rsid w:val="002F47C7"/>
    <w:rsid w:val="002F5984"/>
    <w:rsid w:val="002F5A9C"/>
    <w:rsid w:val="002F5B9A"/>
    <w:rsid w:val="002F5FB5"/>
    <w:rsid w:val="002F6155"/>
    <w:rsid w:val="002F653B"/>
    <w:rsid w:val="002F65A8"/>
    <w:rsid w:val="002F70D7"/>
    <w:rsid w:val="002F79E2"/>
    <w:rsid w:val="00300165"/>
    <w:rsid w:val="00300201"/>
    <w:rsid w:val="003006D1"/>
    <w:rsid w:val="003007BA"/>
    <w:rsid w:val="00300B95"/>
    <w:rsid w:val="00300EAD"/>
    <w:rsid w:val="00300F86"/>
    <w:rsid w:val="0030165A"/>
    <w:rsid w:val="00301B76"/>
    <w:rsid w:val="00302866"/>
    <w:rsid w:val="00302EE5"/>
    <w:rsid w:val="003031DF"/>
    <w:rsid w:val="003032F7"/>
    <w:rsid w:val="003041B4"/>
    <w:rsid w:val="00304924"/>
    <w:rsid w:val="0030546B"/>
    <w:rsid w:val="003059EA"/>
    <w:rsid w:val="00306E1A"/>
    <w:rsid w:val="003070A9"/>
    <w:rsid w:val="003076A6"/>
    <w:rsid w:val="00307B99"/>
    <w:rsid w:val="00307C66"/>
    <w:rsid w:val="00307E7B"/>
    <w:rsid w:val="0031037B"/>
    <w:rsid w:val="0031040E"/>
    <w:rsid w:val="003106B3"/>
    <w:rsid w:val="00310BE3"/>
    <w:rsid w:val="003113D1"/>
    <w:rsid w:val="0031165E"/>
    <w:rsid w:val="003117C3"/>
    <w:rsid w:val="00311C07"/>
    <w:rsid w:val="00311D0D"/>
    <w:rsid w:val="003120F1"/>
    <w:rsid w:val="00312876"/>
    <w:rsid w:val="003129E4"/>
    <w:rsid w:val="00312DE9"/>
    <w:rsid w:val="003131D8"/>
    <w:rsid w:val="00313FC4"/>
    <w:rsid w:val="00314002"/>
    <w:rsid w:val="003141C6"/>
    <w:rsid w:val="00314E99"/>
    <w:rsid w:val="00315DA9"/>
    <w:rsid w:val="003174CA"/>
    <w:rsid w:val="003177D2"/>
    <w:rsid w:val="00317913"/>
    <w:rsid w:val="00317F9F"/>
    <w:rsid w:val="0032012D"/>
    <w:rsid w:val="003204B6"/>
    <w:rsid w:val="00320B5B"/>
    <w:rsid w:val="00320FB0"/>
    <w:rsid w:val="003210B2"/>
    <w:rsid w:val="003210E6"/>
    <w:rsid w:val="00321360"/>
    <w:rsid w:val="0032163F"/>
    <w:rsid w:val="003220C6"/>
    <w:rsid w:val="00322935"/>
    <w:rsid w:val="00322F37"/>
    <w:rsid w:val="0032301A"/>
    <w:rsid w:val="00323276"/>
    <w:rsid w:val="00323310"/>
    <w:rsid w:val="003236EF"/>
    <w:rsid w:val="00324363"/>
    <w:rsid w:val="0032495D"/>
    <w:rsid w:val="00324CB3"/>
    <w:rsid w:val="00324EDB"/>
    <w:rsid w:val="00325045"/>
    <w:rsid w:val="0032505A"/>
    <w:rsid w:val="003259DD"/>
    <w:rsid w:val="00325B6A"/>
    <w:rsid w:val="00326506"/>
    <w:rsid w:val="00326C7E"/>
    <w:rsid w:val="00327C4E"/>
    <w:rsid w:val="0033033F"/>
    <w:rsid w:val="0033098D"/>
    <w:rsid w:val="00330DCF"/>
    <w:rsid w:val="00330FF9"/>
    <w:rsid w:val="003313F0"/>
    <w:rsid w:val="0033179F"/>
    <w:rsid w:val="0033284B"/>
    <w:rsid w:val="00332B77"/>
    <w:rsid w:val="00332BE7"/>
    <w:rsid w:val="00332EEF"/>
    <w:rsid w:val="00333516"/>
    <w:rsid w:val="00333B9F"/>
    <w:rsid w:val="00333E28"/>
    <w:rsid w:val="0033451B"/>
    <w:rsid w:val="0033454E"/>
    <w:rsid w:val="003346B1"/>
    <w:rsid w:val="003349F3"/>
    <w:rsid w:val="00335068"/>
    <w:rsid w:val="00335B71"/>
    <w:rsid w:val="00335DB6"/>
    <w:rsid w:val="003364E1"/>
    <w:rsid w:val="003365B5"/>
    <w:rsid w:val="00336D91"/>
    <w:rsid w:val="0034066D"/>
    <w:rsid w:val="00340948"/>
    <w:rsid w:val="00341C61"/>
    <w:rsid w:val="00341E03"/>
    <w:rsid w:val="00342304"/>
    <w:rsid w:val="0034249F"/>
    <w:rsid w:val="003424F0"/>
    <w:rsid w:val="0034295C"/>
    <w:rsid w:val="003429A1"/>
    <w:rsid w:val="00342C0C"/>
    <w:rsid w:val="00342F92"/>
    <w:rsid w:val="0034316E"/>
    <w:rsid w:val="0034332A"/>
    <w:rsid w:val="00343ADF"/>
    <w:rsid w:val="003442A7"/>
    <w:rsid w:val="003448FB"/>
    <w:rsid w:val="00344A5F"/>
    <w:rsid w:val="0034595D"/>
    <w:rsid w:val="00345A65"/>
    <w:rsid w:val="00345E49"/>
    <w:rsid w:val="00346014"/>
    <w:rsid w:val="00346211"/>
    <w:rsid w:val="0034646F"/>
    <w:rsid w:val="0034672C"/>
    <w:rsid w:val="00346AA4"/>
    <w:rsid w:val="003474AD"/>
    <w:rsid w:val="003476E5"/>
    <w:rsid w:val="0035005A"/>
    <w:rsid w:val="003503A9"/>
    <w:rsid w:val="00350430"/>
    <w:rsid w:val="00350B0F"/>
    <w:rsid w:val="00350B92"/>
    <w:rsid w:val="00351573"/>
    <w:rsid w:val="00352446"/>
    <w:rsid w:val="00352692"/>
    <w:rsid w:val="00352C4C"/>
    <w:rsid w:val="003530BB"/>
    <w:rsid w:val="003539A9"/>
    <w:rsid w:val="0035418C"/>
    <w:rsid w:val="003543CE"/>
    <w:rsid w:val="00354689"/>
    <w:rsid w:val="00354788"/>
    <w:rsid w:val="00354821"/>
    <w:rsid w:val="00354985"/>
    <w:rsid w:val="00355715"/>
    <w:rsid w:val="00355AE3"/>
    <w:rsid w:val="00356443"/>
    <w:rsid w:val="00356970"/>
    <w:rsid w:val="00356E19"/>
    <w:rsid w:val="00356F68"/>
    <w:rsid w:val="003572C9"/>
    <w:rsid w:val="003575F8"/>
    <w:rsid w:val="003579CF"/>
    <w:rsid w:val="00357DB9"/>
    <w:rsid w:val="0036043F"/>
    <w:rsid w:val="0036053A"/>
    <w:rsid w:val="0036087E"/>
    <w:rsid w:val="00360F82"/>
    <w:rsid w:val="00361753"/>
    <w:rsid w:val="00362CCB"/>
    <w:rsid w:val="00362D65"/>
    <w:rsid w:val="00363688"/>
    <w:rsid w:val="00363902"/>
    <w:rsid w:val="003640FD"/>
    <w:rsid w:val="003653BF"/>
    <w:rsid w:val="00365425"/>
    <w:rsid w:val="0036546A"/>
    <w:rsid w:val="00365813"/>
    <w:rsid w:val="00365F56"/>
    <w:rsid w:val="003660A0"/>
    <w:rsid w:val="00366405"/>
    <w:rsid w:val="00366EE3"/>
    <w:rsid w:val="00367706"/>
    <w:rsid w:val="003677AB"/>
    <w:rsid w:val="0037036B"/>
    <w:rsid w:val="00370F8D"/>
    <w:rsid w:val="0037194B"/>
    <w:rsid w:val="00371F3F"/>
    <w:rsid w:val="00372410"/>
    <w:rsid w:val="00372597"/>
    <w:rsid w:val="00372612"/>
    <w:rsid w:val="0037288C"/>
    <w:rsid w:val="0037292C"/>
    <w:rsid w:val="00372B6A"/>
    <w:rsid w:val="00372D68"/>
    <w:rsid w:val="0037372C"/>
    <w:rsid w:val="00374A16"/>
    <w:rsid w:val="00374C3D"/>
    <w:rsid w:val="003752A9"/>
    <w:rsid w:val="003756E9"/>
    <w:rsid w:val="00375832"/>
    <w:rsid w:val="00375A02"/>
    <w:rsid w:val="00375E49"/>
    <w:rsid w:val="00376044"/>
    <w:rsid w:val="0037663B"/>
    <w:rsid w:val="003775E3"/>
    <w:rsid w:val="00377E28"/>
    <w:rsid w:val="003806F8"/>
    <w:rsid w:val="00380737"/>
    <w:rsid w:val="0038237F"/>
    <w:rsid w:val="00382470"/>
    <w:rsid w:val="0038259F"/>
    <w:rsid w:val="00382762"/>
    <w:rsid w:val="00382D1F"/>
    <w:rsid w:val="00383BA9"/>
    <w:rsid w:val="0038404B"/>
    <w:rsid w:val="00384EA0"/>
    <w:rsid w:val="00385220"/>
    <w:rsid w:val="003855DC"/>
    <w:rsid w:val="0038565B"/>
    <w:rsid w:val="00386D1B"/>
    <w:rsid w:val="00386E19"/>
    <w:rsid w:val="0038724C"/>
    <w:rsid w:val="00387383"/>
    <w:rsid w:val="00387A8C"/>
    <w:rsid w:val="00387DA9"/>
    <w:rsid w:val="00387EE5"/>
    <w:rsid w:val="003905CF"/>
    <w:rsid w:val="00391336"/>
    <w:rsid w:val="0039171E"/>
    <w:rsid w:val="00391DC2"/>
    <w:rsid w:val="003920DF"/>
    <w:rsid w:val="00392771"/>
    <w:rsid w:val="00393FB0"/>
    <w:rsid w:val="003940F1"/>
    <w:rsid w:val="003940F5"/>
    <w:rsid w:val="00394586"/>
    <w:rsid w:val="003949B9"/>
    <w:rsid w:val="00394A31"/>
    <w:rsid w:val="00394EA9"/>
    <w:rsid w:val="00395460"/>
    <w:rsid w:val="003957C5"/>
    <w:rsid w:val="00395892"/>
    <w:rsid w:val="00395A95"/>
    <w:rsid w:val="003962E7"/>
    <w:rsid w:val="00396970"/>
    <w:rsid w:val="00396F8B"/>
    <w:rsid w:val="00397449"/>
    <w:rsid w:val="00397B29"/>
    <w:rsid w:val="003A105B"/>
    <w:rsid w:val="003A1760"/>
    <w:rsid w:val="003A2101"/>
    <w:rsid w:val="003A243F"/>
    <w:rsid w:val="003A2BC0"/>
    <w:rsid w:val="003A2C1E"/>
    <w:rsid w:val="003A2CFC"/>
    <w:rsid w:val="003A37E2"/>
    <w:rsid w:val="003A3A3C"/>
    <w:rsid w:val="003A3B6A"/>
    <w:rsid w:val="003A3BCB"/>
    <w:rsid w:val="003A3CEF"/>
    <w:rsid w:val="003A4361"/>
    <w:rsid w:val="003A4493"/>
    <w:rsid w:val="003A4620"/>
    <w:rsid w:val="003A4C40"/>
    <w:rsid w:val="003A4F78"/>
    <w:rsid w:val="003A4FFF"/>
    <w:rsid w:val="003A52C1"/>
    <w:rsid w:val="003A5528"/>
    <w:rsid w:val="003A5C9F"/>
    <w:rsid w:val="003A644F"/>
    <w:rsid w:val="003A6AF3"/>
    <w:rsid w:val="003A7680"/>
    <w:rsid w:val="003A7BD0"/>
    <w:rsid w:val="003A7D81"/>
    <w:rsid w:val="003A7FB9"/>
    <w:rsid w:val="003B0139"/>
    <w:rsid w:val="003B0691"/>
    <w:rsid w:val="003B07ED"/>
    <w:rsid w:val="003B0BCE"/>
    <w:rsid w:val="003B0D81"/>
    <w:rsid w:val="003B1126"/>
    <w:rsid w:val="003B123E"/>
    <w:rsid w:val="003B1580"/>
    <w:rsid w:val="003B1AFE"/>
    <w:rsid w:val="003B203F"/>
    <w:rsid w:val="003B231B"/>
    <w:rsid w:val="003B289A"/>
    <w:rsid w:val="003B2E4E"/>
    <w:rsid w:val="003B3A1B"/>
    <w:rsid w:val="003B3C5F"/>
    <w:rsid w:val="003B3D72"/>
    <w:rsid w:val="003B3DFC"/>
    <w:rsid w:val="003B40C9"/>
    <w:rsid w:val="003B4356"/>
    <w:rsid w:val="003B4366"/>
    <w:rsid w:val="003B45C6"/>
    <w:rsid w:val="003B487A"/>
    <w:rsid w:val="003B48E7"/>
    <w:rsid w:val="003B499B"/>
    <w:rsid w:val="003B4EED"/>
    <w:rsid w:val="003B5E99"/>
    <w:rsid w:val="003B6293"/>
    <w:rsid w:val="003B69A0"/>
    <w:rsid w:val="003B6AEE"/>
    <w:rsid w:val="003B6C16"/>
    <w:rsid w:val="003B6CCF"/>
    <w:rsid w:val="003B7433"/>
    <w:rsid w:val="003C0677"/>
    <w:rsid w:val="003C09D6"/>
    <w:rsid w:val="003C0E29"/>
    <w:rsid w:val="003C13DE"/>
    <w:rsid w:val="003C1647"/>
    <w:rsid w:val="003C2698"/>
    <w:rsid w:val="003C294A"/>
    <w:rsid w:val="003C2EB6"/>
    <w:rsid w:val="003C2FA2"/>
    <w:rsid w:val="003C343E"/>
    <w:rsid w:val="003C35E4"/>
    <w:rsid w:val="003C3765"/>
    <w:rsid w:val="003C3FD1"/>
    <w:rsid w:val="003C42B1"/>
    <w:rsid w:val="003C51FC"/>
    <w:rsid w:val="003C55CE"/>
    <w:rsid w:val="003C58AB"/>
    <w:rsid w:val="003C5ADB"/>
    <w:rsid w:val="003C6017"/>
    <w:rsid w:val="003C6580"/>
    <w:rsid w:val="003C73F0"/>
    <w:rsid w:val="003C7F8A"/>
    <w:rsid w:val="003D0571"/>
    <w:rsid w:val="003D0C10"/>
    <w:rsid w:val="003D11C0"/>
    <w:rsid w:val="003D1438"/>
    <w:rsid w:val="003D1508"/>
    <w:rsid w:val="003D2590"/>
    <w:rsid w:val="003D2C37"/>
    <w:rsid w:val="003D2ED8"/>
    <w:rsid w:val="003D36F1"/>
    <w:rsid w:val="003D422F"/>
    <w:rsid w:val="003D47FB"/>
    <w:rsid w:val="003D59BE"/>
    <w:rsid w:val="003D625A"/>
    <w:rsid w:val="003D6414"/>
    <w:rsid w:val="003D6862"/>
    <w:rsid w:val="003D7776"/>
    <w:rsid w:val="003D7A46"/>
    <w:rsid w:val="003D7A55"/>
    <w:rsid w:val="003D7EBE"/>
    <w:rsid w:val="003E00B8"/>
    <w:rsid w:val="003E0481"/>
    <w:rsid w:val="003E0623"/>
    <w:rsid w:val="003E0B11"/>
    <w:rsid w:val="003E0F95"/>
    <w:rsid w:val="003E1836"/>
    <w:rsid w:val="003E188D"/>
    <w:rsid w:val="003E19B6"/>
    <w:rsid w:val="003E2682"/>
    <w:rsid w:val="003E268F"/>
    <w:rsid w:val="003E271C"/>
    <w:rsid w:val="003E2C15"/>
    <w:rsid w:val="003E3175"/>
    <w:rsid w:val="003E31EA"/>
    <w:rsid w:val="003E3BC6"/>
    <w:rsid w:val="003E3C98"/>
    <w:rsid w:val="003E4139"/>
    <w:rsid w:val="003E46CC"/>
    <w:rsid w:val="003E48D3"/>
    <w:rsid w:val="003E4F17"/>
    <w:rsid w:val="003E53F8"/>
    <w:rsid w:val="003E5B60"/>
    <w:rsid w:val="003E5C3B"/>
    <w:rsid w:val="003E5EAF"/>
    <w:rsid w:val="003E5FE5"/>
    <w:rsid w:val="003E612E"/>
    <w:rsid w:val="003E6209"/>
    <w:rsid w:val="003E6825"/>
    <w:rsid w:val="003E6923"/>
    <w:rsid w:val="003E7040"/>
    <w:rsid w:val="003E70DE"/>
    <w:rsid w:val="003E733A"/>
    <w:rsid w:val="003F0F2C"/>
    <w:rsid w:val="003F10C4"/>
    <w:rsid w:val="003F138F"/>
    <w:rsid w:val="003F13E2"/>
    <w:rsid w:val="003F1611"/>
    <w:rsid w:val="003F1DC3"/>
    <w:rsid w:val="003F2136"/>
    <w:rsid w:val="003F24F0"/>
    <w:rsid w:val="003F38E1"/>
    <w:rsid w:val="003F3DBA"/>
    <w:rsid w:val="003F3ECD"/>
    <w:rsid w:val="003F4E96"/>
    <w:rsid w:val="003F533B"/>
    <w:rsid w:val="003F5B7C"/>
    <w:rsid w:val="003F60AC"/>
    <w:rsid w:val="003F61BC"/>
    <w:rsid w:val="003F61EC"/>
    <w:rsid w:val="003F62D9"/>
    <w:rsid w:val="003F68D6"/>
    <w:rsid w:val="003F7284"/>
    <w:rsid w:val="003F740C"/>
    <w:rsid w:val="004008E0"/>
    <w:rsid w:val="00400D7B"/>
    <w:rsid w:val="00400E31"/>
    <w:rsid w:val="00401124"/>
    <w:rsid w:val="00402063"/>
    <w:rsid w:val="004020C4"/>
    <w:rsid w:val="0040211E"/>
    <w:rsid w:val="00402360"/>
    <w:rsid w:val="004024E0"/>
    <w:rsid w:val="00402B26"/>
    <w:rsid w:val="00402D2C"/>
    <w:rsid w:val="00402ED8"/>
    <w:rsid w:val="004034BC"/>
    <w:rsid w:val="00403674"/>
    <w:rsid w:val="004036EB"/>
    <w:rsid w:val="00403C58"/>
    <w:rsid w:val="00403CB4"/>
    <w:rsid w:val="00404059"/>
    <w:rsid w:val="00404343"/>
    <w:rsid w:val="004044A9"/>
    <w:rsid w:val="0040503D"/>
    <w:rsid w:val="00405495"/>
    <w:rsid w:val="0040557F"/>
    <w:rsid w:val="004059CF"/>
    <w:rsid w:val="00406F69"/>
    <w:rsid w:val="004075F1"/>
    <w:rsid w:val="004100F3"/>
    <w:rsid w:val="00410652"/>
    <w:rsid w:val="0041104E"/>
    <w:rsid w:val="004120B9"/>
    <w:rsid w:val="00412C88"/>
    <w:rsid w:val="00412CCB"/>
    <w:rsid w:val="004158A2"/>
    <w:rsid w:val="00416217"/>
    <w:rsid w:val="00416A39"/>
    <w:rsid w:val="00416B0D"/>
    <w:rsid w:val="00416C79"/>
    <w:rsid w:val="00416D3C"/>
    <w:rsid w:val="00416DCB"/>
    <w:rsid w:val="00416F11"/>
    <w:rsid w:val="00416FC1"/>
    <w:rsid w:val="00417003"/>
    <w:rsid w:val="00417258"/>
    <w:rsid w:val="004176A3"/>
    <w:rsid w:val="00417984"/>
    <w:rsid w:val="00417C6D"/>
    <w:rsid w:val="004211F1"/>
    <w:rsid w:val="00421FE9"/>
    <w:rsid w:val="00422804"/>
    <w:rsid w:val="00422D84"/>
    <w:rsid w:val="004249C3"/>
    <w:rsid w:val="00424A07"/>
    <w:rsid w:val="00424A24"/>
    <w:rsid w:val="00425348"/>
    <w:rsid w:val="004258C1"/>
    <w:rsid w:val="00425D4E"/>
    <w:rsid w:val="00426E90"/>
    <w:rsid w:val="00427248"/>
    <w:rsid w:val="0042770E"/>
    <w:rsid w:val="004279AE"/>
    <w:rsid w:val="00427C3C"/>
    <w:rsid w:val="00427FA5"/>
    <w:rsid w:val="004304E1"/>
    <w:rsid w:val="00430E33"/>
    <w:rsid w:val="00431EA0"/>
    <w:rsid w:val="0043236E"/>
    <w:rsid w:val="00432730"/>
    <w:rsid w:val="00432765"/>
    <w:rsid w:val="00433142"/>
    <w:rsid w:val="00433546"/>
    <w:rsid w:val="00433986"/>
    <w:rsid w:val="00433AE8"/>
    <w:rsid w:val="00433CF1"/>
    <w:rsid w:val="004345B3"/>
    <w:rsid w:val="0043464C"/>
    <w:rsid w:val="00434B17"/>
    <w:rsid w:val="00434B99"/>
    <w:rsid w:val="0043500C"/>
    <w:rsid w:val="004359BB"/>
    <w:rsid w:val="004362B5"/>
    <w:rsid w:val="004366DE"/>
    <w:rsid w:val="004368F3"/>
    <w:rsid w:val="00436AC6"/>
    <w:rsid w:val="0043735A"/>
    <w:rsid w:val="00437C77"/>
    <w:rsid w:val="0044044E"/>
    <w:rsid w:val="00440606"/>
    <w:rsid w:val="004411A6"/>
    <w:rsid w:val="0044129F"/>
    <w:rsid w:val="004412A7"/>
    <w:rsid w:val="004412AC"/>
    <w:rsid w:val="004414A1"/>
    <w:rsid w:val="004419C5"/>
    <w:rsid w:val="00441C2C"/>
    <w:rsid w:val="00441D7D"/>
    <w:rsid w:val="004422C3"/>
    <w:rsid w:val="004422FF"/>
    <w:rsid w:val="004426F5"/>
    <w:rsid w:val="00442846"/>
    <w:rsid w:val="00442AAE"/>
    <w:rsid w:val="00442E63"/>
    <w:rsid w:val="00443C30"/>
    <w:rsid w:val="00443C63"/>
    <w:rsid w:val="00443FAB"/>
    <w:rsid w:val="0044439E"/>
    <w:rsid w:val="00445EE3"/>
    <w:rsid w:val="00446BBB"/>
    <w:rsid w:val="0044757A"/>
    <w:rsid w:val="00450BEB"/>
    <w:rsid w:val="00450F87"/>
    <w:rsid w:val="00451BD6"/>
    <w:rsid w:val="00452284"/>
    <w:rsid w:val="0045252C"/>
    <w:rsid w:val="0045269C"/>
    <w:rsid w:val="00452992"/>
    <w:rsid w:val="0045299B"/>
    <w:rsid w:val="00452C2F"/>
    <w:rsid w:val="00452CC5"/>
    <w:rsid w:val="00452DC9"/>
    <w:rsid w:val="004532A6"/>
    <w:rsid w:val="004539F9"/>
    <w:rsid w:val="00453AF4"/>
    <w:rsid w:val="004551BE"/>
    <w:rsid w:val="004555F8"/>
    <w:rsid w:val="00456052"/>
    <w:rsid w:val="00456538"/>
    <w:rsid w:val="004566B1"/>
    <w:rsid w:val="0045675B"/>
    <w:rsid w:val="00457B2E"/>
    <w:rsid w:val="00457CDA"/>
    <w:rsid w:val="00457FB1"/>
    <w:rsid w:val="004601FE"/>
    <w:rsid w:val="004605CD"/>
    <w:rsid w:val="0046097F"/>
    <w:rsid w:val="00462852"/>
    <w:rsid w:val="004639B0"/>
    <w:rsid w:val="00463CA8"/>
    <w:rsid w:val="00464312"/>
    <w:rsid w:val="004644A4"/>
    <w:rsid w:val="0046463C"/>
    <w:rsid w:val="00464930"/>
    <w:rsid w:val="00465ABD"/>
    <w:rsid w:val="00466548"/>
    <w:rsid w:val="00466664"/>
    <w:rsid w:val="0046708D"/>
    <w:rsid w:val="004678A8"/>
    <w:rsid w:val="004679C3"/>
    <w:rsid w:val="004700EC"/>
    <w:rsid w:val="0047044F"/>
    <w:rsid w:val="00470B6B"/>
    <w:rsid w:val="00470BEB"/>
    <w:rsid w:val="00470C76"/>
    <w:rsid w:val="00470F8E"/>
    <w:rsid w:val="004715F6"/>
    <w:rsid w:val="00471856"/>
    <w:rsid w:val="00471A70"/>
    <w:rsid w:val="00471C7A"/>
    <w:rsid w:val="0047253C"/>
    <w:rsid w:val="0047262C"/>
    <w:rsid w:val="004726F2"/>
    <w:rsid w:val="00472D58"/>
    <w:rsid w:val="004733A9"/>
    <w:rsid w:val="004738E4"/>
    <w:rsid w:val="00473CD8"/>
    <w:rsid w:val="00474022"/>
    <w:rsid w:val="00474A2F"/>
    <w:rsid w:val="00474A81"/>
    <w:rsid w:val="004755F9"/>
    <w:rsid w:val="00475DCF"/>
    <w:rsid w:val="0047642C"/>
    <w:rsid w:val="004770D1"/>
    <w:rsid w:val="004771A4"/>
    <w:rsid w:val="004778E0"/>
    <w:rsid w:val="00477B87"/>
    <w:rsid w:val="00480AF1"/>
    <w:rsid w:val="00481101"/>
    <w:rsid w:val="0048160E"/>
    <w:rsid w:val="00481E0F"/>
    <w:rsid w:val="00481EFD"/>
    <w:rsid w:val="00482574"/>
    <w:rsid w:val="00483851"/>
    <w:rsid w:val="00483E1E"/>
    <w:rsid w:val="00483F02"/>
    <w:rsid w:val="00484050"/>
    <w:rsid w:val="004841E9"/>
    <w:rsid w:val="00484A00"/>
    <w:rsid w:val="004851C3"/>
    <w:rsid w:val="004861DD"/>
    <w:rsid w:val="00486DFE"/>
    <w:rsid w:val="00487CB7"/>
    <w:rsid w:val="00490CB2"/>
    <w:rsid w:val="00490D42"/>
    <w:rsid w:val="00490ED8"/>
    <w:rsid w:val="00490F61"/>
    <w:rsid w:val="00491347"/>
    <w:rsid w:val="00492153"/>
    <w:rsid w:val="004923CC"/>
    <w:rsid w:val="004924ED"/>
    <w:rsid w:val="004928BF"/>
    <w:rsid w:val="00492D5B"/>
    <w:rsid w:val="00492EF4"/>
    <w:rsid w:val="00493195"/>
    <w:rsid w:val="00493464"/>
    <w:rsid w:val="004935F5"/>
    <w:rsid w:val="0049369C"/>
    <w:rsid w:val="00494398"/>
    <w:rsid w:val="00494773"/>
    <w:rsid w:val="0049507D"/>
    <w:rsid w:val="00495208"/>
    <w:rsid w:val="00495B1E"/>
    <w:rsid w:val="00495C16"/>
    <w:rsid w:val="00496373"/>
    <w:rsid w:val="004965DE"/>
    <w:rsid w:val="00496821"/>
    <w:rsid w:val="00496892"/>
    <w:rsid w:val="004968B4"/>
    <w:rsid w:val="00496DBB"/>
    <w:rsid w:val="00496F7A"/>
    <w:rsid w:val="0049742F"/>
    <w:rsid w:val="00497A47"/>
    <w:rsid w:val="004A02C2"/>
    <w:rsid w:val="004A02D8"/>
    <w:rsid w:val="004A0434"/>
    <w:rsid w:val="004A1120"/>
    <w:rsid w:val="004A1831"/>
    <w:rsid w:val="004A1AFD"/>
    <w:rsid w:val="004A1B49"/>
    <w:rsid w:val="004A1DFE"/>
    <w:rsid w:val="004A2A17"/>
    <w:rsid w:val="004A349B"/>
    <w:rsid w:val="004A44BC"/>
    <w:rsid w:val="004A44CB"/>
    <w:rsid w:val="004A463A"/>
    <w:rsid w:val="004A5084"/>
    <w:rsid w:val="004A567F"/>
    <w:rsid w:val="004A6291"/>
    <w:rsid w:val="004A6A6D"/>
    <w:rsid w:val="004A7D51"/>
    <w:rsid w:val="004B0AE5"/>
    <w:rsid w:val="004B0CCE"/>
    <w:rsid w:val="004B2020"/>
    <w:rsid w:val="004B2C88"/>
    <w:rsid w:val="004B2E27"/>
    <w:rsid w:val="004B3185"/>
    <w:rsid w:val="004B3C1A"/>
    <w:rsid w:val="004B3F73"/>
    <w:rsid w:val="004B3FD5"/>
    <w:rsid w:val="004B40E4"/>
    <w:rsid w:val="004B55D7"/>
    <w:rsid w:val="004B586F"/>
    <w:rsid w:val="004B5DED"/>
    <w:rsid w:val="004B5FCC"/>
    <w:rsid w:val="004B622A"/>
    <w:rsid w:val="004B6852"/>
    <w:rsid w:val="004B71D4"/>
    <w:rsid w:val="004B7211"/>
    <w:rsid w:val="004B793F"/>
    <w:rsid w:val="004B7AA7"/>
    <w:rsid w:val="004C022A"/>
    <w:rsid w:val="004C031B"/>
    <w:rsid w:val="004C03C3"/>
    <w:rsid w:val="004C0679"/>
    <w:rsid w:val="004C07DE"/>
    <w:rsid w:val="004C1145"/>
    <w:rsid w:val="004C1D9D"/>
    <w:rsid w:val="004C207A"/>
    <w:rsid w:val="004C3019"/>
    <w:rsid w:val="004C32EE"/>
    <w:rsid w:val="004C380B"/>
    <w:rsid w:val="004C44BE"/>
    <w:rsid w:val="004C44CE"/>
    <w:rsid w:val="004C4712"/>
    <w:rsid w:val="004C4BC0"/>
    <w:rsid w:val="004C519E"/>
    <w:rsid w:val="004C5498"/>
    <w:rsid w:val="004C5A8B"/>
    <w:rsid w:val="004C5B73"/>
    <w:rsid w:val="004C624C"/>
    <w:rsid w:val="004C774B"/>
    <w:rsid w:val="004C77EC"/>
    <w:rsid w:val="004C7B5B"/>
    <w:rsid w:val="004D08FF"/>
    <w:rsid w:val="004D113A"/>
    <w:rsid w:val="004D11C5"/>
    <w:rsid w:val="004D24BA"/>
    <w:rsid w:val="004D2CBB"/>
    <w:rsid w:val="004D38C1"/>
    <w:rsid w:val="004D3A5B"/>
    <w:rsid w:val="004D3F9F"/>
    <w:rsid w:val="004D43A5"/>
    <w:rsid w:val="004D4B40"/>
    <w:rsid w:val="004D4E37"/>
    <w:rsid w:val="004D6E04"/>
    <w:rsid w:val="004D706F"/>
    <w:rsid w:val="004D71F3"/>
    <w:rsid w:val="004D781B"/>
    <w:rsid w:val="004D7945"/>
    <w:rsid w:val="004E15D3"/>
    <w:rsid w:val="004E20D2"/>
    <w:rsid w:val="004E22D5"/>
    <w:rsid w:val="004E3162"/>
    <w:rsid w:val="004E3359"/>
    <w:rsid w:val="004E34DD"/>
    <w:rsid w:val="004E3640"/>
    <w:rsid w:val="004E40EF"/>
    <w:rsid w:val="004E4BAA"/>
    <w:rsid w:val="004E4EE2"/>
    <w:rsid w:val="004E4F3D"/>
    <w:rsid w:val="004E4F93"/>
    <w:rsid w:val="004E5097"/>
    <w:rsid w:val="004E6AA3"/>
    <w:rsid w:val="004E6BEF"/>
    <w:rsid w:val="004E6D58"/>
    <w:rsid w:val="004E6E6B"/>
    <w:rsid w:val="004E71AF"/>
    <w:rsid w:val="004F0574"/>
    <w:rsid w:val="004F0C8B"/>
    <w:rsid w:val="004F169A"/>
    <w:rsid w:val="004F19C2"/>
    <w:rsid w:val="004F1DEB"/>
    <w:rsid w:val="004F2384"/>
    <w:rsid w:val="004F290A"/>
    <w:rsid w:val="004F39E4"/>
    <w:rsid w:val="004F5085"/>
    <w:rsid w:val="004F5A80"/>
    <w:rsid w:val="004F63C4"/>
    <w:rsid w:val="004F6592"/>
    <w:rsid w:val="004F6B5D"/>
    <w:rsid w:val="004F6B7A"/>
    <w:rsid w:val="004F7123"/>
    <w:rsid w:val="004F734F"/>
    <w:rsid w:val="004F752B"/>
    <w:rsid w:val="004F7BF0"/>
    <w:rsid w:val="00500945"/>
    <w:rsid w:val="00500E3C"/>
    <w:rsid w:val="00501398"/>
    <w:rsid w:val="00502319"/>
    <w:rsid w:val="00502E84"/>
    <w:rsid w:val="00502F8E"/>
    <w:rsid w:val="00504C98"/>
    <w:rsid w:val="00505534"/>
    <w:rsid w:val="00505853"/>
    <w:rsid w:val="00505B50"/>
    <w:rsid w:val="005060E1"/>
    <w:rsid w:val="005064C7"/>
    <w:rsid w:val="00506BB9"/>
    <w:rsid w:val="00510747"/>
    <w:rsid w:val="00510AC1"/>
    <w:rsid w:val="005121C4"/>
    <w:rsid w:val="00512C4E"/>
    <w:rsid w:val="00513192"/>
    <w:rsid w:val="005141F6"/>
    <w:rsid w:val="0051439A"/>
    <w:rsid w:val="0051481B"/>
    <w:rsid w:val="00514A75"/>
    <w:rsid w:val="00515C94"/>
    <w:rsid w:val="00516387"/>
    <w:rsid w:val="0051700B"/>
    <w:rsid w:val="00517181"/>
    <w:rsid w:val="005172E7"/>
    <w:rsid w:val="00517C1D"/>
    <w:rsid w:val="0052012B"/>
    <w:rsid w:val="005203B2"/>
    <w:rsid w:val="00520C49"/>
    <w:rsid w:val="00520C54"/>
    <w:rsid w:val="00520EEB"/>
    <w:rsid w:val="005212DC"/>
    <w:rsid w:val="0052130B"/>
    <w:rsid w:val="0052138E"/>
    <w:rsid w:val="00521A44"/>
    <w:rsid w:val="00522217"/>
    <w:rsid w:val="005223B0"/>
    <w:rsid w:val="00522768"/>
    <w:rsid w:val="005235B8"/>
    <w:rsid w:val="0052382B"/>
    <w:rsid w:val="00523887"/>
    <w:rsid w:val="005238AB"/>
    <w:rsid w:val="005245BE"/>
    <w:rsid w:val="005253DA"/>
    <w:rsid w:val="00525CEA"/>
    <w:rsid w:val="00525DE5"/>
    <w:rsid w:val="005269B7"/>
    <w:rsid w:val="00526E33"/>
    <w:rsid w:val="005270E9"/>
    <w:rsid w:val="005272CD"/>
    <w:rsid w:val="005277B9"/>
    <w:rsid w:val="00530F9A"/>
    <w:rsid w:val="0053110B"/>
    <w:rsid w:val="0053197B"/>
    <w:rsid w:val="00531D70"/>
    <w:rsid w:val="005327D6"/>
    <w:rsid w:val="00532DF8"/>
    <w:rsid w:val="00532E87"/>
    <w:rsid w:val="00533421"/>
    <w:rsid w:val="005338DD"/>
    <w:rsid w:val="0053414E"/>
    <w:rsid w:val="005341D7"/>
    <w:rsid w:val="00534EEA"/>
    <w:rsid w:val="00535504"/>
    <w:rsid w:val="0053571F"/>
    <w:rsid w:val="00536260"/>
    <w:rsid w:val="005379FC"/>
    <w:rsid w:val="00540131"/>
    <w:rsid w:val="00540255"/>
    <w:rsid w:val="0054029A"/>
    <w:rsid w:val="00540503"/>
    <w:rsid w:val="0054193D"/>
    <w:rsid w:val="00542343"/>
    <w:rsid w:val="00542586"/>
    <w:rsid w:val="00542829"/>
    <w:rsid w:val="00542A3D"/>
    <w:rsid w:val="00543583"/>
    <w:rsid w:val="00543693"/>
    <w:rsid w:val="00543B70"/>
    <w:rsid w:val="00543E1E"/>
    <w:rsid w:val="005441A9"/>
    <w:rsid w:val="0054435B"/>
    <w:rsid w:val="005445EE"/>
    <w:rsid w:val="0054472A"/>
    <w:rsid w:val="0054595D"/>
    <w:rsid w:val="00546134"/>
    <w:rsid w:val="00546AB4"/>
    <w:rsid w:val="00546AFD"/>
    <w:rsid w:val="00546B19"/>
    <w:rsid w:val="00546D7A"/>
    <w:rsid w:val="0054709B"/>
    <w:rsid w:val="00547DB2"/>
    <w:rsid w:val="00550191"/>
    <w:rsid w:val="00550280"/>
    <w:rsid w:val="00550809"/>
    <w:rsid w:val="00550A53"/>
    <w:rsid w:val="005511AE"/>
    <w:rsid w:val="00551C0A"/>
    <w:rsid w:val="005526A7"/>
    <w:rsid w:val="0055313F"/>
    <w:rsid w:val="00554571"/>
    <w:rsid w:val="005557D1"/>
    <w:rsid w:val="00555BE4"/>
    <w:rsid w:val="00556219"/>
    <w:rsid w:val="0055635F"/>
    <w:rsid w:val="00556B0C"/>
    <w:rsid w:val="005574D3"/>
    <w:rsid w:val="00557D77"/>
    <w:rsid w:val="005603C6"/>
    <w:rsid w:val="00560AFD"/>
    <w:rsid w:val="00560DF7"/>
    <w:rsid w:val="00561ABC"/>
    <w:rsid w:val="00561E5C"/>
    <w:rsid w:val="00562FD7"/>
    <w:rsid w:val="00563729"/>
    <w:rsid w:val="00563F3F"/>
    <w:rsid w:val="00563F56"/>
    <w:rsid w:val="00564CBF"/>
    <w:rsid w:val="005658A7"/>
    <w:rsid w:val="00565B31"/>
    <w:rsid w:val="00566434"/>
    <w:rsid w:val="00566928"/>
    <w:rsid w:val="005672AD"/>
    <w:rsid w:val="005674E1"/>
    <w:rsid w:val="00567819"/>
    <w:rsid w:val="005701A9"/>
    <w:rsid w:val="00570429"/>
    <w:rsid w:val="005706C5"/>
    <w:rsid w:val="0057081E"/>
    <w:rsid w:val="00570CB3"/>
    <w:rsid w:val="005713AE"/>
    <w:rsid w:val="0057306E"/>
    <w:rsid w:val="0057358E"/>
    <w:rsid w:val="005737ED"/>
    <w:rsid w:val="00574367"/>
    <w:rsid w:val="0057441F"/>
    <w:rsid w:val="005745DA"/>
    <w:rsid w:val="00574FCA"/>
    <w:rsid w:val="00575027"/>
    <w:rsid w:val="005757B5"/>
    <w:rsid w:val="00575E81"/>
    <w:rsid w:val="00577349"/>
    <w:rsid w:val="00577F30"/>
    <w:rsid w:val="005801CF"/>
    <w:rsid w:val="005803C2"/>
    <w:rsid w:val="0058086D"/>
    <w:rsid w:val="00581124"/>
    <w:rsid w:val="00581399"/>
    <w:rsid w:val="0058146C"/>
    <w:rsid w:val="00582895"/>
    <w:rsid w:val="00582C0F"/>
    <w:rsid w:val="00582E2F"/>
    <w:rsid w:val="00582E5F"/>
    <w:rsid w:val="0058312E"/>
    <w:rsid w:val="00583150"/>
    <w:rsid w:val="005835E8"/>
    <w:rsid w:val="00583AED"/>
    <w:rsid w:val="005840CE"/>
    <w:rsid w:val="005841C3"/>
    <w:rsid w:val="0058433C"/>
    <w:rsid w:val="0058495A"/>
    <w:rsid w:val="00584D9B"/>
    <w:rsid w:val="00585E79"/>
    <w:rsid w:val="00585EAA"/>
    <w:rsid w:val="00586367"/>
    <w:rsid w:val="005865EA"/>
    <w:rsid w:val="0058775A"/>
    <w:rsid w:val="005877AE"/>
    <w:rsid w:val="00587A0D"/>
    <w:rsid w:val="00590219"/>
    <w:rsid w:val="005907F5"/>
    <w:rsid w:val="00590A39"/>
    <w:rsid w:val="00590E9D"/>
    <w:rsid w:val="0059101F"/>
    <w:rsid w:val="005913E3"/>
    <w:rsid w:val="005918FD"/>
    <w:rsid w:val="00591F8C"/>
    <w:rsid w:val="00592FCE"/>
    <w:rsid w:val="00593145"/>
    <w:rsid w:val="005936F3"/>
    <w:rsid w:val="00593A36"/>
    <w:rsid w:val="00593FF8"/>
    <w:rsid w:val="00594C1F"/>
    <w:rsid w:val="00594C40"/>
    <w:rsid w:val="00595541"/>
    <w:rsid w:val="0059565E"/>
    <w:rsid w:val="005959AF"/>
    <w:rsid w:val="00595E16"/>
    <w:rsid w:val="0059653C"/>
    <w:rsid w:val="00597512"/>
    <w:rsid w:val="005A009D"/>
    <w:rsid w:val="005A1269"/>
    <w:rsid w:val="005A1391"/>
    <w:rsid w:val="005A288F"/>
    <w:rsid w:val="005A2CEA"/>
    <w:rsid w:val="005A2D18"/>
    <w:rsid w:val="005A35F1"/>
    <w:rsid w:val="005A3920"/>
    <w:rsid w:val="005A3D16"/>
    <w:rsid w:val="005A409C"/>
    <w:rsid w:val="005A4E65"/>
    <w:rsid w:val="005A5142"/>
    <w:rsid w:val="005A5635"/>
    <w:rsid w:val="005A5986"/>
    <w:rsid w:val="005A5F64"/>
    <w:rsid w:val="005A61FF"/>
    <w:rsid w:val="005A6E82"/>
    <w:rsid w:val="005A73BC"/>
    <w:rsid w:val="005A74E5"/>
    <w:rsid w:val="005A7A5B"/>
    <w:rsid w:val="005A7D82"/>
    <w:rsid w:val="005B0172"/>
    <w:rsid w:val="005B085C"/>
    <w:rsid w:val="005B1BD6"/>
    <w:rsid w:val="005B255B"/>
    <w:rsid w:val="005B2ACB"/>
    <w:rsid w:val="005B32B9"/>
    <w:rsid w:val="005B342C"/>
    <w:rsid w:val="005B4255"/>
    <w:rsid w:val="005B4594"/>
    <w:rsid w:val="005B48A7"/>
    <w:rsid w:val="005B4BF5"/>
    <w:rsid w:val="005B527F"/>
    <w:rsid w:val="005B67C7"/>
    <w:rsid w:val="005B6A40"/>
    <w:rsid w:val="005B7586"/>
    <w:rsid w:val="005B779E"/>
    <w:rsid w:val="005B7822"/>
    <w:rsid w:val="005C081B"/>
    <w:rsid w:val="005C0AF3"/>
    <w:rsid w:val="005C1B65"/>
    <w:rsid w:val="005C1C54"/>
    <w:rsid w:val="005C1F1B"/>
    <w:rsid w:val="005C1FEA"/>
    <w:rsid w:val="005C26D7"/>
    <w:rsid w:val="005C28E4"/>
    <w:rsid w:val="005C2E7E"/>
    <w:rsid w:val="005C333F"/>
    <w:rsid w:val="005C3633"/>
    <w:rsid w:val="005C36DE"/>
    <w:rsid w:val="005C3BD7"/>
    <w:rsid w:val="005C4567"/>
    <w:rsid w:val="005C5680"/>
    <w:rsid w:val="005C5722"/>
    <w:rsid w:val="005C5C3F"/>
    <w:rsid w:val="005C6595"/>
    <w:rsid w:val="005C6A40"/>
    <w:rsid w:val="005C6F5B"/>
    <w:rsid w:val="005C6FA2"/>
    <w:rsid w:val="005C7DC3"/>
    <w:rsid w:val="005D0323"/>
    <w:rsid w:val="005D11EB"/>
    <w:rsid w:val="005D18AE"/>
    <w:rsid w:val="005D22CC"/>
    <w:rsid w:val="005D27C8"/>
    <w:rsid w:val="005D2AFD"/>
    <w:rsid w:val="005D2E36"/>
    <w:rsid w:val="005D3A1D"/>
    <w:rsid w:val="005D3A4E"/>
    <w:rsid w:val="005D43EA"/>
    <w:rsid w:val="005D4E03"/>
    <w:rsid w:val="005D5999"/>
    <w:rsid w:val="005D6188"/>
    <w:rsid w:val="005D6189"/>
    <w:rsid w:val="005D6726"/>
    <w:rsid w:val="005D72BC"/>
    <w:rsid w:val="005D7333"/>
    <w:rsid w:val="005D74C9"/>
    <w:rsid w:val="005D76A4"/>
    <w:rsid w:val="005D77A2"/>
    <w:rsid w:val="005D7BCB"/>
    <w:rsid w:val="005D7ED6"/>
    <w:rsid w:val="005E13AB"/>
    <w:rsid w:val="005E16E4"/>
    <w:rsid w:val="005E1F48"/>
    <w:rsid w:val="005E2A07"/>
    <w:rsid w:val="005E394A"/>
    <w:rsid w:val="005E46FD"/>
    <w:rsid w:val="005E493C"/>
    <w:rsid w:val="005E4C32"/>
    <w:rsid w:val="005E4E22"/>
    <w:rsid w:val="005E56F0"/>
    <w:rsid w:val="005E577E"/>
    <w:rsid w:val="005E5E0E"/>
    <w:rsid w:val="005E60C3"/>
    <w:rsid w:val="005E62DF"/>
    <w:rsid w:val="005E6369"/>
    <w:rsid w:val="005E6F15"/>
    <w:rsid w:val="005E7131"/>
    <w:rsid w:val="005E7356"/>
    <w:rsid w:val="005E76D9"/>
    <w:rsid w:val="005E76E7"/>
    <w:rsid w:val="005F0C3A"/>
    <w:rsid w:val="005F1956"/>
    <w:rsid w:val="005F29D8"/>
    <w:rsid w:val="005F2F12"/>
    <w:rsid w:val="005F3166"/>
    <w:rsid w:val="005F3BD7"/>
    <w:rsid w:val="005F3E9E"/>
    <w:rsid w:val="005F3F48"/>
    <w:rsid w:val="005F40D0"/>
    <w:rsid w:val="005F4921"/>
    <w:rsid w:val="005F4AC7"/>
    <w:rsid w:val="005F522B"/>
    <w:rsid w:val="005F568A"/>
    <w:rsid w:val="005F5733"/>
    <w:rsid w:val="005F5F57"/>
    <w:rsid w:val="005F614A"/>
    <w:rsid w:val="0060003B"/>
    <w:rsid w:val="006003E1"/>
    <w:rsid w:val="006005F9"/>
    <w:rsid w:val="00600CA0"/>
    <w:rsid w:val="00600D67"/>
    <w:rsid w:val="00600DB2"/>
    <w:rsid w:val="0060119E"/>
    <w:rsid w:val="00601CEC"/>
    <w:rsid w:val="006026B9"/>
    <w:rsid w:val="006026EA"/>
    <w:rsid w:val="00602A1D"/>
    <w:rsid w:val="00603B5C"/>
    <w:rsid w:val="00603B92"/>
    <w:rsid w:val="00603F70"/>
    <w:rsid w:val="006041FF"/>
    <w:rsid w:val="00604852"/>
    <w:rsid w:val="00604F52"/>
    <w:rsid w:val="0060536E"/>
    <w:rsid w:val="006062A7"/>
    <w:rsid w:val="00606568"/>
    <w:rsid w:val="00607707"/>
    <w:rsid w:val="00607A84"/>
    <w:rsid w:val="00607D79"/>
    <w:rsid w:val="00610424"/>
    <w:rsid w:val="006105C5"/>
    <w:rsid w:val="00610E40"/>
    <w:rsid w:val="00610ECD"/>
    <w:rsid w:val="00611245"/>
    <w:rsid w:val="00611497"/>
    <w:rsid w:val="006121AA"/>
    <w:rsid w:val="00612546"/>
    <w:rsid w:val="00612582"/>
    <w:rsid w:val="00612F7C"/>
    <w:rsid w:val="006131EE"/>
    <w:rsid w:val="00613513"/>
    <w:rsid w:val="006144BE"/>
    <w:rsid w:val="006151A3"/>
    <w:rsid w:val="00615962"/>
    <w:rsid w:val="00615A8B"/>
    <w:rsid w:val="00615F42"/>
    <w:rsid w:val="00616172"/>
    <w:rsid w:val="006161EE"/>
    <w:rsid w:val="0061637F"/>
    <w:rsid w:val="00616440"/>
    <w:rsid w:val="00616457"/>
    <w:rsid w:val="00616EB6"/>
    <w:rsid w:val="00620967"/>
    <w:rsid w:val="006217CD"/>
    <w:rsid w:val="00621B73"/>
    <w:rsid w:val="00621CE9"/>
    <w:rsid w:val="00621F08"/>
    <w:rsid w:val="006221D5"/>
    <w:rsid w:val="00622473"/>
    <w:rsid w:val="006224BA"/>
    <w:rsid w:val="006225CC"/>
    <w:rsid w:val="00622F7E"/>
    <w:rsid w:val="0062418E"/>
    <w:rsid w:val="00624685"/>
    <w:rsid w:val="00624B47"/>
    <w:rsid w:val="006250A3"/>
    <w:rsid w:val="00625446"/>
    <w:rsid w:val="00627926"/>
    <w:rsid w:val="006279B2"/>
    <w:rsid w:val="00627FCC"/>
    <w:rsid w:val="00630B89"/>
    <w:rsid w:val="0063114B"/>
    <w:rsid w:val="006312AE"/>
    <w:rsid w:val="006313A9"/>
    <w:rsid w:val="00631439"/>
    <w:rsid w:val="00631904"/>
    <w:rsid w:val="00631B02"/>
    <w:rsid w:val="00631D45"/>
    <w:rsid w:val="00633AE8"/>
    <w:rsid w:val="00634FF8"/>
    <w:rsid w:val="00635140"/>
    <w:rsid w:val="00635152"/>
    <w:rsid w:val="006354F1"/>
    <w:rsid w:val="00635B0D"/>
    <w:rsid w:val="0063656E"/>
    <w:rsid w:val="00636933"/>
    <w:rsid w:val="006374BB"/>
    <w:rsid w:val="00637C1F"/>
    <w:rsid w:val="00637F16"/>
    <w:rsid w:val="006405ED"/>
    <w:rsid w:val="00640E7C"/>
    <w:rsid w:val="006416C7"/>
    <w:rsid w:val="0064180D"/>
    <w:rsid w:val="00641C3D"/>
    <w:rsid w:val="00641C46"/>
    <w:rsid w:val="00641DD6"/>
    <w:rsid w:val="00642A34"/>
    <w:rsid w:val="00643C09"/>
    <w:rsid w:val="00644D68"/>
    <w:rsid w:val="00645486"/>
    <w:rsid w:val="0064569D"/>
    <w:rsid w:val="006465BF"/>
    <w:rsid w:val="00646B48"/>
    <w:rsid w:val="00646FB6"/>
    <w:rsid w:val="0064750E"/>
    <w:rsid w:val="00647927"/>
    <w:rsid w:val="00647CB8"/>
    <w:rsid w:val="00647F2A"/>
    <w:rsid w:val="00647F73"/>
    <w:rsid w:val="00650AA8"/>
    <w:rsid w:val="00650BCF"/>
    <w:rsid w:val="006512C7"/>
    <w:rsid w:val="006515C5"/>
    <w:rsid w:val="0065170D"/>
    <w:rsid w:val="00651DD5"/>
    <w:rsid w:val="006525B0"/>
    <w:rsid w:val="00652904"/>
    <w:rsid w:val="00652A6B"/>
    <w:rsid w:val="00652D11"/>
    <w:rsid w:val="00653125"/>
    <w:rsid w:val="00653148"/>
    <w:rsid w:val="0065383A"/>
    <w:rsid w:val="00654EF9"/>
    <w:rsid w:val="00654FE4"/>
    <w:rsid w:val="006553E3"/>
    <w:rsid w:val="0065543A"/>
    <w:rsid w:val="0065680B"/>
    <w:rsid w:val="006570C2"/>
    <w:rsid w:val="006573ED"/>
    <w:rsid w:val="00657529"/>
    <w:rsid w:val="006605E1"/>
    <w:rsid w:val="00660EF9"/>
    <w:rsid w:val="00661338"/>
    <w:rsid w:val="00663494"/>
    <w:rsid w:val="00664606"/>
    <w:rsid w:val="00664A54"/>
    <w:rsid w:val="00664F17"/>
    <w:rsid w:val="00664F22"/>
    <w:rsid w:val="00665123"/>
    <w:rsid w:val="0066571B"/>
    <w:rsid w:val="00665930"/>
    <w:rsid w:val="00666078"/>
    <w:rsid w:val="006665B2"/>
    <w:rsid w:val="00666732"/>
    <w:rsid w:val="00666736"/>
    <w:rsid w:val="00666E7F"/>
    <w:rsid w:val="006670EA"/>
    <w:rsid w:val="00667AEC"/>
    <w:rsid w:val="00670913"/>
    <w:rsid w:val="00671971"/>
    <w:rsid w:val="0067198A"/>
    <w:rsid w:val="00671DD0"/>
    <w:rsid w:val="00671FEE"/>
    <w:rsid w:val="006720E1"/>
    <w:rsid w:val="006723DD"/>
    <w:rsid w:val="00672801"/>
    <w:rsid w:val="00672CCD"/>
    <w:rsid w:val="006736EB"/>
    <w:rsid w:val="00673C81"/>
    <w:rsid w:val="0067406E"/>
    <w:rsid w:val="0067454C"/>
    <w:rsid w:val="0067461F"/>
    <w:rsid w:val="0067463B"/>
    <w:rsid w:val="006747B3"/>
    <w:rsid w:val="0067665C"/>
    <w:rsid w:val="00676758"/>
    <w:rsid w:val="00676992"/>
    <w:rsid w:val="00676B4F"/>
    <w:rsid w:val="00677289"/>
    <w:rsid w:val="00677FF4"/>
    <w:rsid w:val="00680B08"/>
    <w:rsid w:val="00681286"/>
    <w:rsid w:val="00681D16"/>
    <w:rsid w:val="00681EC3"/>
    <w:rsid w:val="00682269"/>
    <w:rsid w:val="006828AD"/>
    <w:rsid w:val="00682F1A"/>
    <w:rsid w:val="00683C16"/>
    <w:rsid w:val="006844B4"/>
    <w:rsid w:val="006849C2"/>
    <w:rsid w:val="0068553A"/>
    <w:rsid w:val="006856A3"/>
    <w:rsid w:val="0068576A"/>
    <w:rsid w:val="006859D7"/>
    <w:rsid w:val="00685AAE"/>
    <w:rsid w:val="00685B6F"/>
    <w:rsid w:val="00685E58"/>
    <w:rsid w:val="00686651"/>
    <w:rsid w:val="00687AB9"/>
    <w:rsid w:val="00690564"/>
    <w:rsid w:val="0069085E"/>
    <w:rsid w:val="00690965"/>
    <w:rsid w:val="00690F66"/>
    <w:rsid w:val="006914AF"/>
    <w:rsid w:val="00691644"/>
    <w:rsid w:val="00691B40"/>
    <w:rsid w:val="00691F52"/>
    <w:rsid w:val="00691FFF"/>
    <w:rsid w:val="00692156"/>
    <w:rsid w:val="006925F8"/>
    <w:rsid w:val="006928FD"/>
    <w:rsid w:val="00692D1B"/>
    <w:rsid w:val="00693050"/>
    <w:rsid w:val="006932DB"/>
    <w:rsid w:val="0069334A"/>
    <w:rsid w:val="00693A6C"/>
    <w:rsid w:val="00693ACD"/>
    <w:rsid w:val="00694DDF"/>
    <w:rsid w:val="006960E4"/>
    <w:rsid w:val="006966EA"/>
    <w:rsid w:val="00696AE1"/>
    <w:rsid w:val="00696B41"/>
    <w:rsid w:val="00696F91"/>
    <w:rsid w:val="006970E9"/>
    <w:rsid w:val="006971D5"/>
    <w:rsid w:val="0069786D"/>
    <w:rsid w:val="00697B5C"/>
    <w:rsid w:val="006A01A0"/>
    <w:rsid w:val="006A0F71"/>
    <w:rsid w:val="006A188B"/>
    <w:rsid w:val="006A1ACE"/>
    <w:rsid w:val="006A1AF1"/>
    <w:rsid w:val="006A3973"/>
    <w:rsid w:val="006A3AB1"/>
    <w:rsid w:val="006A3CB2"/>
    <w:rsid w:val="006A3D89"/>
    <w:rsid w:val="006A411D"/>
    <w:rsid w:val="006A541E"/>
    <w:rsid w:val="006A57D5"/>
    <w:rsid w:val="006A6431"/>
    <w:rsid w:val="006A66D0"/>
    <w:rsid w:val="006A6B23"/>
    <w:rsid w:val="006A704E"/>
    <w:rsid w:val="006A7097"/>
    <w:rsid w:val="006A7DA5"/>
    <w:rsid w:val="006B0C5E"/>
    <w:rsid w:val="006B0D4D"/>
    <w:rsid w:val="006B16E0"/>
    <w:rsid w:val="006B1917"/>
    <w:rsid w:val="006B1A80"/>
    <w:rsid w:val="006B2891"/>
    <w:rsid w:val="006B297B"/>
    <w:rsid w:val="006B3047"/>
    <w:rsid w:val="006B3E51"/>
    <w:rsid w:val="006B424A"/>
    <w:rsid w:val="006B47A6"/>
    <w:rsid w:val="006B54DF"/>
    <w:rsid w:val="006B5943"/>
    <w:rsid w:val="006B5C71"/>
    <w:rsid w:val="006B69CB"/>
    <w:rsid w:val="006B7A99"/>
    <w:rsid w:val="006C04CD"/>
    <w:rsid w:val="006C07CF"/>
    <w:rsid w:val="006C155C"/>
    <w:rsid w:val="006C2AEF"/>
    <w:rsid w:val="006C31E6"/>
    <w:rsid w:val="006C3375"/>
    <w:rsid w:val="006C375E"/>
    <w:rsid w:val="006C3EDF"/>
    <w:rsid w:val="006C45A4"/>
    <w:rsid w:val="006C4B16"/>
    <w:rsid w:val="006C4E1B"/>
    <w:rsid w:val="006C4E64"/>
    <w:rsid w:val="006C51A2"/>
    <w:rsid w:val="006C5C22"/>
    <w:rsid w:val="006C5C99"/>
    <w:rsid w:val="006C6CFE"/>
    <w:rsid w:val="006C72C2"/>
    <w:rsid w:val="006C7C0F"/>
    <w:rsid w:val="006C7F45"/>
    <w:rsid w:val="006D0211"/>
    <w:rsid w:val="006D0247"/>
    <w:rsid w:val="006D044F"/>
    <w:rsid w:val="006D0588"/>
    <w:rsid w:val="006D1501"/>
    <w:rsid w:val="006D156F"/>
    <w:rsid w:val="006D1A45"/>
    <w:rsid w:val="006D1E47"/>
    <w:rsid w:val="006D1FA0"/>
    <w:rsid w:val="006D2A54"/>
    <w:rsid w:val="006D2F9D"/>
    <w:rsid w:val="006D33E6"/>
    <w:rsid w:val="006D3511"/>
    <w:rsid w:val="006D3A04"/>
    <w:rsid w:val="006D3A28"/>
    <w:rsid w:val="006D3E9A"/>
    <w:rsid w:val="006D6099"/>
    <w:rsid w:val="006D678C"/>
    <w:rsid w:val="006D6BE7"/>
    <w:rsid w:val="006D749C"/>
    <w:rsid w:val="006D7700"/>
    <w:rsid w:val="006D7A53"/>
    <w:rsid w:val="006E0076"/>
    <w:rsid w:val="006E0245"/>
    <w:rsid w:val="006E0EDB"/>
    <w:rsid w:val="006E1C51"/>
    <w:rsid w:val="006E1DE6"/>
    <w:rsid w:val="006E2204"/>
    <w:rsid w:val="006E257F"/>
    <w:rsid w:val="006E2AE3"/>
    <w:rsid w:val="006E2E25"/>
    <w:rsid w:val="006E3D6C"/>
    <w:rsid w:val="006E3DAD"/>
    <w:rsid w:val="006E4663"/>
    <w:rsid w:val="006E4CDD"/>
    <w:rsid w:val="006E4D4A"/>
    <w:rsid w:val="006E5593"/>
    <w:rsid w:val="006E5630"/>
    <w:rsid w:val="006E697E"/>
    <w:rsid w:val="006E6C52"/>
    <w:rsid w:val="006E79F6"/>
    <w:rsid w:val="006E7A30"/>
    <w:rsid w:val="006E7A51"/>
    <w:rsid w:val="006E7B90"/>
    <w:rsid w:val="006E7F09"/>
    <w:rsid w:val="006F04A3"/>
    <w:rsid w:val="006F04F2"/>
    <w:rsid w:val="006F0F45"/>
    <w:rsid w:val="006F1432"/>
    <w:rsid w:val="006F15DF"/>
    <w:rsid w:val="006F2046"/>
    <w:rsid w:val="006F2331"/>
    <w:rsid w:val="006F25B1"/>
    <w:rsid w:val="006F280E"/>
    <w:rsid w:val="006F2FD9"/>
    <w:rsid w:val="006F347F"/>
    <w:rsid w:val="006F4079"/>
    <w:rsid w:val="006F468F"/>
    <w:rsid w:val="006F498F"/>
    <w:rsid w:val="006F5051"/>
    <w:rsid w:val="006F5549"/>
    <w:rsid w:val="006F590F"/>
    <w:rsid w:val="006F5FB0"/>
    <w:rsid w:val="006F6377"/>
    <w:rsid w:val="006F72AD"/>
    <w:rsid w:val="006F74DB"/>
    <w:rsid w:val="006F7A87"/>
    <w:rsid w:val="006F7E22"/>
    <w:rsid w:val="00700724"/>
    <w:rsid w:val="00700831"/>
    <w:rsid w:val="00700FC9"/>
    <w:rsid w:val="007013DA"/>
    <w:rsid w:val="007017C5"/>
    <w:rsid w:val="00701C41"/>
    <w:rsid w:val="00701F00"/>
    <w:rsid w:val="00702ABD"/>
    <w:rsid w:val="00702C5A"/>
    <w:rsid w:val="00703FE8"/>
    <w:rsid w:val="00704487"/>
    <w:rsid w:val="00704D73"/>
    <w:rsid w:val="00704DE2"/>
    <w:rsid w:val="00705623"/>
    <w:rsid w:val="007059CC"/>
    <w:rsid w:val="00705B6F"/>
    <w:rsid w:val="00706357"/>
    <w:rsid w:val="0071019B"/>
    <w:rsid w:val="00710264"/>
    <w:rsid w:val="007102CF"/>
    <w:rsid w:val="00710783"/>
    <w:rsid w:val="00710C52"/>
    <w:rsid w:val="0071115B"/>
    <w:rsid w:val="0071172C"/>
    <w:rsid w:val="00712196"/>
    <w:rsid w:val="00712F33"/>
    <w:rsid w:val="00713147"/>
    <w:rsid w:val="007136DE"/>
    <w:rsid w:val="00713D87"/>
    <w:rsid w:val="007144C3"/>
    <w:rsid w:val="00714548"/>
    <w:rsid w:val="00714DF6"/>
    <w:rsid w:val="00716612"/>
    <w:rsid w:val="0071697F"/>
    <w:rsid w:val="00717110"/>
    <w:rsid w:val="0071794C"/>
    <w:rsid w:val="007179B1"/>
    <w:rsid w:val="00717AE9"/>
    <w:rsid w:val="00717FF3"/>
    <w:rsid w:val="00720181"/>
    <w:rsid w:val="007209DF"/>
    <w:rsid w:val="00720CCF"/>
    <w:rsid w:val="0072157E"/>
    <w:rsid w:val="007216A4"/>
    <w:rsid w:val="007219C6"/>
    <w:rsid w:val="0072209B"/>
    <w:rsid w:val="007239A4"/>
    <w:rsid w:val="00724186"/>
    <w:rsid w:val="007248D1"/>
    <w:rsid w:val="007248E1"/>
    <w:rsid w:val="00724C07"/>
    <w:rsid w:val="0072521F"/>
    <w:rsid w:val="007264B2"/>
    <w:rsid w:val="007274E2"/>
    <w:rsid w:val="00727CDA"/>
    <w:rsid w:val="00731479"/>
    <w:rsid w:val="007317E2"/>
    <w:rsid w:val="00732178"/>
    <w:rsid w:val="007324CA"/>
    <w:rsid w:val="0073273C"/>
    <w:rsid w:val="0073465F"/>
    <w:rsid w:val="00734866"/>
    <w:rsid w:val="00734A26"/>
    <w:rsid w:val="00734E3C"/>
    <w:rsid w:val="0073525E"/>
    <w:rsid w:val="00735F27"/>
    <w:rsid w:val="0073669A"/>
    <w:rsid w:val="0073674D"/>
    <w:rsid w:val="00737465"/>
    <w:rsid w:val="00737DEC"/>
    <w:rsid w:val="00740240"/>
    <w:rsid w:val="00740656"/>
    <w:rsid w:val="00740FFC"/>
    <w:rsid w:val="007412A7"/>
    <w:rsid w:val="007413D2"/>
    <w:rsid w:val="00741846"/>
    <w:rsid w:val="007424C5"/>
    <w:rsid w:val="00743F3E"/>
    <w:rsid w:val="00743F83"/>
    <w:rsid w:val="007441EB"/>
    <w:rsid w:val="00744412"/>
    <w:rsid w:val="00744A2B"/>
    <w:rsid w:val="00745AD9"/>
    <w:rsid w:val="00745E14"/>
    <w:rsid w:val="00746483"/>
    <w:rsid w:val="00746522"/>
    <w:rsid w:val="007466BB"/>
    <w:rsid w:val="007467CC"/>
    <w:rsid w:val="00746B2E"/>
    <w:rsid w:val="00746CB5"/>
    <w:rsid w:val="00747001"/>
    <w:rsid w:val="007470CC"/>
    <w:rsid w:val="00747855"/>
    <w:rsid w:val="00747F12"/>
    <w:rsid w:val="007507FC"/>
    <w:rsid w:val="0075084B"/>
    <w:rsid w:val="00750B13"/>
    <w:rsid w:val="00750BDE"/>
    <w:rsid w:val="00750DB1"/>
    <w:rsid w:val="00751DE0"/>
    <w:rsid w:val="00752246"/>
    <w:rsid w:val="0075309F"/>
    <w:rsid w:val="0075319E"/>
    <w:rsid w:val="0075377C"/>
    <w:rsid w:val="007538E8"/>
    <w:rsid w:val="00753D60"/>
    <w:rsid w:val="00754285"/>
    <w:rsid w:val="00754685"/>
    <w:rsid w:val="00754ACE"/>
    <w:rsid w:val="00755515"/>
    <w:rsid w:val="00756227"/>
    <w:rsid w:val="0075760F"/>
    <w:rsid w:val="0075769F"/>
    <w:rsid w:val="0076079A"/>
    <w:rsid w:val="00760A4B"/>
    <w:rsid w:val="00760FE7"/>
    <w:rsid w:val="007610AC"/>
    <w:rsid w:val="00761BBF"/>
    <w:rsid w:val="00762109"/>
    <w:rsid w:val="0076219C"/>
    <w:rsid w:val="007621C3"/>
    <w:rsid w:val="00763565"/>
    <w:rsid w:val="00764086"/>
    <w:rsid w:val="00764463"/>
    <w:rsid w:val="007648C3"/>
    <w:rsid w:val="00765884"/>
    <w:rsid w:val="007663A7"/>
    <w:rsid w:val="007663F2"/>
    <w:rsid w:val="007664D0"/>
    <w:rsid w:val="00766AF3"/>
    <w:rsid w:val="00767564"/>
    <w:rsid w:val="00767821"/>
    <w:rsid w:val="00767A82"/>
    <w:rsid w:val="00767E63"/>
    <w:rsid w:val="0077002F"/>
    <w:rsid w:val="00770152"/>
    <w:rsid w:val="0077058D"/>
    <w:rsid w:val="007705AC"/>
    <w:rsid w:val="007706FD"/>
    <w:rsid w:val="007710C1"/>
    <w:rsid w:val="007711EE"/>
    <w:rsid w:val="007719B3"/>
    <w:rsid w:val="0077204A"/>
    <w:rsid w:val="007726FB"/>
    <w:rsid w:val="00772AD6"/>
    <w:rsid w:val="00772DB8"/>
    <w:rsid w:val="007735AF"/>
    <w:rsid w:val="007737AA"/>
    <w:rsid w:val="0077404D"/>
    <w:rsid w:val="00775D63"/>
    <w:rsid w:val="00776113"/>
    <w:rsid w:val="007766D2"/>
    <w:rsid w:val="00776B3E"/>
    <w:rsid w:val="007770D8"/>
    <w:rsid w:val="007774E9"/>
    <w:rsid w:val="007779A0"/>
    <w:rsid w:val="00780496"/>
    <w:rsid w:val="00780E4A"/>
    <w:rsid w:val="00780ED4"/>
    <w:rsid w:val="007819E2"/>
    <w:rsid w:val="00781ECF"/>
    <w:rsid w:val="00782035"/>
    <w:rsid w:val="00782263"/>
    <w:rsid w:val="007827A8"/>
    <w:rsid w:val="007830B5"/>
    <w:rsid w:val="007833A6"/>
    <w:rsid w:val="00784733"/>
    <w:rsid w:val="00784F3F"/>
    <w:rsid w:val="007855C6"/>
    <w:rsid w:val="00785A65"/>
    <w:rsid w:val="007866EF"/>
    <w:rsid w:val="00786AB5"/>
    <w:rsid w:val="00786B50"/>
    <w:rsid w:val="00786CAA"/>
    <w:rsid w:val="00787A8E"/>
    <w:rsid w:val="0079002F"/>
    <w:rsid w:val="00790564"/>
    <w:rsid w:val="00790C78"/>
    <w:rsid w:val="0079172B"/>
    <w:rsid w:val="00791EBA"/>
    <w:rsid w:val="00792C89"/>
    <w:rsid w:val="0079317A"/>
    <w:rsid w:val="007936F4"/>
    <w:rsid w:val="00793775"/>
    <w:rsid w:val="0079446D"/>
    <w:rsid w:val="0079598A"/>
    <w:rsid w:val="00797068"/>
    <w:rsid w:val="007976AF"/>
    <w:rsid w:val="007A0536"/>
    <w:rsid w:val="007A0DAB"/>
    <w:rsid w:val="007A1270"/>
    <w:rsid w:val="007A1384"/>
    <w:rsid w:val="007A2978"/>
    <w:rsid w:val="007A2AB7"/>
    <w:rsid w:val="007A2C40"/>
    <w:rsid w:val="007A2E00"/>
    <w:rsid w:val="007A2FE2"/>
    <w:rsid w:val="007A3086"/>
    <w:rsid w:val="007A30FF"/>
    <w:rsid w:val="007A3296"/>
    <w:rsid w:val="007A344C"/>
    <w:rsid w:val="007A3455"/>
    <w:rsid w:val="007A35C3"/>
    <w:rsid w:val="007A3F47"/>
    <w:rsid w:val="007A4AC6"/>
    <w:rsid w:val="007A4EA6"/>
    <w:rsid w:val="007A507C"/>
    <w:rsid w:val="007A564B"/>
    <w:rsid w:val="007A5A8C"/>
    <w:rsid w:val="007A5CE5"/>
    <w:rsid w:val="007A6064"/>
    <w:rsid w:val="007A62F4"/>
    <w:rsid w:val="007A6688"/>
    <w:rsid w:val="007A6995"/>
    <w:rsid w:val="007A7250"/>
    <w:rsid w:val="007A7F32"/>
    <w:rsid w:val="007B00DE"/>
    <w:rsid w:val="007B0896"/>
    <w:rsid w:val="007B10CE"/>
    <w:rsid w:val="007B1106"/>
    <w:rsid w:val="007B153D"/>
    <w:rsid w:val="007B1998"/>
    <w:rsid w:val="007B1E90"/>
    <w:rsid w:val="007B1F07"/>
    <w:rsid w:val="007B206C"/>
    <w:rsid w:val="007B2780"/>
    <w:rsid w:val="007B2A31"/>
    <w:rsid w:val="007B2C4A"/>
    <w:rsid w:val="007B2C65"/>
    <w:rsid w:val="007B2D31"/>
    <w:rsid w:val="007B3143"/>
    <w:rsid w:val="007B31AE"/>
    <w:rsid w:val="007B3243"/>
    <w:rsid w:val="007B32CD"/>
    <w:rsid w:val="007B32F8"/>
    <w:rsid w:val="007B34BA"/>
    <w:rsid w:val="007B37BF"/>
    <w:rsid w:val="007B393E"/>
    <w:rsid w:val="007B3D0D"/>
    <w:rsid w:val="007B40B3"/>
    <w:rsid w:val="007B4506"/>
    <w:rsid w:val="007B4837"/>
    <w:rsid w:val="007B4CCE"/>
    <w:rsid w:val="007B4D62"/>
    <w:rsid w:val="007B646F"/>
    <w:rsid w:val="007B69BC"/>
    <w:rsid w:val="007B6A1F"/>
    <w:rsid w:val="007B6CA0"/>
    <w:rsid w:val="007B78DF"/>
    <w:rsid w:val="007B7AED"/>
    <w:rsid w:val="007C03B1"/>
    <w:rsid w:val="007C0598"/>
    <w:rsid w:val="007C0884"/>
    <w:rsid w:val="007C0F0A"/>
    <w:rsid w:val="007C134A"/>
    <w:rsid w:val="007C1F9B"/>
    <w:rsid w:val="007C202F"/>
    <w:rsid w:val="007C2516"/>
    <w:rsid w:val="007C2A2C"/>
    <w:rsid w:val="007C2E53"/>
    <w:rsid w:val="007C2E95"/>
    <w:rsid w:val="007C3DE6"/>
    <w:rsid w:val="007C40D9"/>
    <w:rsid w:val="007C4E9A"/>
    <w:rsid w:val="007C52BA"/>
    <w:rsid w:val="007C54BE"/>
    <w:rsid w:val="007C58A6"/>
    <w:rsid w:val="007C5A75"/>
    <w:rsid w:val="007C61AE"/>
    <w:rsid w:val="007C6246"/>
    <w:rsid w:val="007C672D"/>
    <w:rsid w:val="007C6786"/>
    <w:rsid w:val="007C75F5"/>
    <w:rsid w:val="007C7958"/>
    <w:rsid w:val="007D05E7"/>
    <w:rsid w:val="007D08AD"/>
    <w:rsid w:val="007D0BB1"/>
    <w:rsid w:val="007D0E36"/>
    <w:rsid w:val="007D0F72"/>
    <w:rsid w:val="007D121A"/>
    <w:rsid w:val="007D1377"/>
    <w:rsid w:val="007D1422"/>
    <w:rsid w:val="007D17FA"/>
    <w:rsid w:val="007D1BBC"/>
    <w:rsid w:val="007D1EAE"/>
    <w:rsid w:val="007D1FBC"/>
    <w:rsid w:val="007D25BD"/>
    <w:rsid w:val="007D2F03"/>
    <w:rsid w:val="007D32ED"/>
    <w:rsid w:val="007D38E2"/>
    <w:rsid w:val="007D4515"/>
    <w:rsid w:val="007D4B6A"/>
    <w:rsid w:val="007D4E19"/>
    <w:rsid w:val="007D53FE"/>
    <w:rsid w:val="007D54DD"/>
    <w:rsid w:val="007D6133"/>
    <w:rsid w:val="007D6173"/>
    <w:rsid w:val="007D67CD"/>
    <w:rsid w:val="007D6B4A"/>
    <w:rsid w:val="007D7146"/>
    <w:rsid w:val="007D71CE"/>
    <w:rsid w:val="007D7288"/>
    <w:rsid w:val="007D7368"/>
    <w:rsid w:val="007D7621"/>
    <w:rsid w:val="007E0058"/>
    <w:rsid w:val="007E0129"/>
    <w:rsid w:val="007E0444"/>
    <w:rsid w:val="007E04DF"/>
    <w:rsid w:val="007E0988"/>
    <w:rsid w:val="007E134C"/>
    <w:rsid w:val="007E1811"/>
    <w:rsid w:val="007E1E94"/>
    <w:rsid w:val="007E1EB2"/>
    <w:rsid w:val="007E21A4"/>
    <w:rsid w:val="007E2AEB"/>
    <w:rsid w:val="007E2F06"/>
    <w:rsid w:val="007E34E6"/>
    <w:rsid w:val="007E3F1E"/>
    <w:rsid w:val="007E4033"/>
    <w:rsid w:val="007E45AD"/>
    <w:rsid w:val="007E49FC"/>
    <w:rsid w:val="007E548C"/>
    <w:rsid w:val="007E6E22"/>
    <w:rsid w:val="007E6F9D"/>
    <w:rsid w:val="007E7464"/>
    <w:rsid w:val="007F086E"/>
    <w:rsid w:val="007F0C58"/>
    <w:rsid w:val="007F0DF2"/>
    <w:rsid w:val="007F0F01"/>
    <w:rsid w:val="007F0FB1"/>
    <w:rsid w:val="007F1503"/>
    <w:rsid w:val="007F157B"/>
    <w:rsid w:val="007F16B6"/>
    <w:rsid w:val="007F1823"/>
    <w:rsid w:val="007F1B12"/>
    <w:rsid w:val="007F1F85"/>
    <w:rsid w:val="007F23D2"/>
    <w:rsid w:val="007F29D4"/>
    <w:rsid w:val="007F2E7F"/>
    <w:rsid w:val="007F315E"/>
    <w:rsid w:val="007F3480"/>
    <w:rsid w:val="007F35EF"/>
    <w:rsid w:val="007F36A7"/>
    <w:rsid w:val="007F4942"/>
    <w:rsid w:val="007F4BA0"/>
    <w:rsid w:val="007F5085"/>
    <w:rsid w:val="007F5427"/>
    <w:rsid w:val="007F5472"/>
    <w:rsid w:val="007F5555"/>
    <w:rsid w:val="007F573E"/>
    <w:rsid w:val="007F5A29"/>
    <w:rsid w:val="007F5D62"/>
    <w:rsid w:val="007F62D6"/>
    <w:rsid w:val="007F64E5"/>
    <w:rsid w:val="007F66D2"/>
    <w:rsid w:val="007F6A33"/>
    <w:rsid w:val="007F6DC2"/>
    <w:rsid w:val="007F716C"/>
    <w:rsid w:val="007F72AE"/>
    <w:rsid w:val="007F7CCB"/>
    <w:rsid w:val="008000D6"/>
    <w:rsid w:val="00800159"/>
    <w:rsid w:val="00800452"/>
    <w:rsid w:val="008009A2"/>
    <w:rsid w:val="00800DB8"/>
    <w:rsid w:val="0080134C"/>
    <w:rsid w:val="0080140A"/>
    <w:rsid w:val="008017E3"/>
    <w:rsid w:val="008028AA"/>
    <w:rsid w:val="00803646"/>
    <w:rsid w:val="008039E8"/>
    <w:rsid w:val="00803BD2"/>
    <w:rsid w:val="00803E1D"/>
    <w:rsid w:val="008044B2"/>
    <w:rsid w:val="00804C80"/>
    <w:rsid w:val="008064E4"/>
    <w:rsid w:val="008065DD"/>
    <w:rsid w:val="008066A4"/>
    <w:rsid w:val="00806871"/>
    <w:rsid w:val="008074AB"/>
    <w:rsid w:val="00807690"/>
    <w:rsid w:val="00807828"/>
    <w:rsid w:val="00807AA0"/>
    <w:rsid w:val="0081011E"/>
    <w:rsid w:val="00810AF8"/>
    <w:rsid w:val="00811175"/>
    <w:rsid w:val="00811539"/>
    <w:rsid w:val="00811586"/>
    <w:rsid w:val="00811C02"/>
    <w:rsid w:val="00811FDA"/>
    <w:rsid w:val="00812034"/>
    <w:rsid w:val="008120FB"/>
    <w:rsid w:val="0081271A"/>
    <w:rsid w:val="0081312B"/>
    <w:rsid w:val="0081326B"/>
    <w:rsid w:val="0081363F"/>
    <w:rsid w:val="008136C2"/>
    <w:rsid w:val="00814142"/>
    <w:rsid w:val="008148ED"/>
    <w:rsid w:val="008149CB"/>
    <w:rsid w:val="00814F71"/>
    <w:rsid w:val="008151AB"/>
    <w:rsid w:val="008154D3"/>
    <w:rsid w:val="00816C56"/>
    <w:rsid w:val="0081730C"/>
    <w:rsid w:val="00817DFE"/>
    <w:rsid w:val="008201BA"/>
    <w:rsid w:val="00820315"/>
    <w:rsid w:val="00821020"/>
    <w:rsid w:val="0082118D"/>
    <w:rsid w:val="008212CC"/>
    <w:rsid w:val="0082167F"/>
    <w:rsid w:val="00821A71"/>
    <w:rsid w:val="00821DD4"/>
    <w:rsid w:val="00822519"/>
    <w:rsid w:val="008225AE"/>
    <w:rsid w:val="008225F3"/>
    <w:rsid w:val="00822CD3"/>
    <w:rsid w:val="00823675"/>
    <w:rsid w:val="008237F7"/>
    <w:rsid w:val="00823975"/>
    <w:rsid w:val="00824337"/>
    <w:rsid w:val="0082453B"/>
    <w:rsid w:val="00824A18"/>
    <w:rsid w:val="00824B13"/>
    <w:rsid w:val="00824C84"/>
    <w:rsid w:val="0082556B"/>
    <w:rsid w:val="00825DAB"/>
    <w:rsid w:val="008266FB"/>
    <w:rsid w:val="00826B06"/>
    <w:rsid w:val="008301D8"/>
    <w:rsid w:val="008311FB"/>
    <w:rsid w:val="0083159B"/>
    <w:rsid w:val="00831A29"/>
    <w:rsid w:val="00832605"/>
    <w:rsid w:val="00832BB0"/>
    <w:rsid w:val="00832F6A"/>
    <w:rsid w:val="00832FF3"/>
    <w:rsid w:val="0083335E"/>
    <w:rsid w:val="00834B9C"/>
    <w:rsid w:val="00834E20"/>
    <w:rsid w:val="008350AE"/>
    <w:rsid w:val="008354BA"/>
    <w:rsid w:val="00836066"/>
    <w:rsid w:val="00836400"/>
    <w:rsid w:val="00836490"/>
    <w:rsid w:val="008368FC"/>
    <w:rsid w:val="00837CDE"/>
    <w:rsid w:val="00837DC2"/>
    <w:rsid w:val="00840001"/>
    <w:rsid w:val="00840346"/>
    <w:rsid w:val="00840576"/>
    <w:rsid w:val="00841496"/>
    <w:rsid w:val="008414FD"/>
    <w:rsid w:val="008415BC"/>
    <w:rsid w:val="00842288"/>
    <w:rsid w:val="0084238C"/>
    <w:rsid w:val="00842575"/>
    <w:rsid w:val="008427E0"/>
    <w:rsid w:val="00842D11"/>
    <w:rsid w:val="00842D23"/>
    <w:rsid w:val="00842EDC"/>
    <w:rsid w:val="00843538"/>
    <w:rsid w:val="00845DCB"/>
    <w:rsid w:val="0084630C"/>
    <w:rsid w:val="00846DE1"/>
    <w:rsid w:val="008474CA"/>
    <w:rsid w:val="00847BC8"/>
    <w:rsid w:val="00847C70"/>
    <w:rsid w:val="00847DE4"/>
    <w:rsid w:val="00850664"/>
    <w:rsid w:val="00850C1F"/>
    <w:rsid w:val="008512B6"/>
    <w:rsid w:val="008518FA"/>
    <w:rsid w:val="00851D3B"/>
    <w:rsid w:val="00852433"/>
    <w:rsid w:val="00852AD8"/>
    <w:rsid w:val="00853330"/>
    <w:rsid w:val="0085384C"/>
    <w:rsid w:val="00853BAC"/>
    <w:rsid w:val="008542F9"/>
    <w:rsid w:val="00854755"/>
    <w:rsid w:val="00854AB5"/>
    <w:rsid w:val="00855271"/>
    <w:rsid w:val="00855381"/>
    <w:rsid w:val="0085572F"/>
    <w:rsid w:val="00855A39"/>
    <w:rsid w:val="00855BAF"/>
    <w:rsid w:val="00855EA6"/>
    <w:rsid w:val="00856464"/>
    <w:rsid w:val="00856CBC"/>
    <w:rsid w:val="00856DC6"/>
    <w:rsid w:val="00856E1F"/>
    <w:rsid w:val="0085755C"/>
    <w:rsid w:val="0086057D"/>
    <w:rsid w:val="00860B57"/>
    <w:rsid w:val="00860CAA"/>
    <w:rsid w:val="00861453"/>
    <w:rsid w:val="00861A23"/>
    <w:rsid w:val="0086211F"/>
    <w:rsid w:val="0086232E"/>
    <w:rsid w:val="00862481"/>
    <w:rsid w:val="0086313F"/>
    <w:rsid w:val="008634E8"/>
    <w:rsid w:val="00863529"/>
    <w:rsid w:val="0086382F"/>
    <w:rsid w:val="0086437C"/>
    <w:rsid w:val="00864946"/>
    <w:rsid w:val="00864A22"/>
    <w:rsid w:val="00864ACD"/>
    <w:rsid w:val="008652FD"/>
    <w:rsid w:val="0086548C"/>
    <w:rsid w:val="00865762"/>
    <w:rsid w:val="00866179"/>
    <w:rsid w:val="0086681C"/>
    <w:rsid w:val="00866E68"/>
    <w:rsid w:val="00867381"/>
    <w:rsid w:val="00867AEC"/>
    <w:rsid w:val="00867B23"/>
    <w:rsid w:val="00870286"/>
    <w:rsid w:val="0087037B"/>
    <w:rsid w:val="0087135E"/>
    <w:rsid w:val="0087334E"/>
    <w:rsid w:val="00874370"/>
    <w:rsid w:val="0087471F"/>
    <w:rsid w:val="008747B3"/>
    <w:rsid w:val="00874CE0"/>
    <w:rsid w:val="00875C43"/>
    <w:rsid w:val="00877CAF"/>
    <w:rsid w:val="00877F40"/>
    <w:rsid w:val="00880D69"/>
    <w:rsid w:val="00880FB9"/>
    <w:rsid w:val="00881E56"/>
    <w:rsid w:val="00882323"/>
    <w:rsid w:val="00883124"/>
    <w:rsid w:val="0088312A"/>
    <w:rsid w:val="0088337D"/>
    <w:rsid w:val="00883410"/>
    <w:rsid w:val="0088348A"/>
    <w:rsid w:val="008839F6"/>
    <w:rsid w:val="0088405E"/>
    <w:rsid w:val="00884106"/>
    <w:rsid w:val="00884CC0"/>
    <w:rsid w:val="008868F8"/>
    <w:rsid w:val="00887287"/>
    <w:rsid w:val="00887489"/>
    <w:rsid w:val="00887527"/>
    <w:rsid w:val="00887EFA"/>
    <w:rsid w:val="00887F61"/>
    <w:rsid w:val="0089024D"/>
    <w:rsid w:val="00890641"/>
    <w:rsid w:val="0089081D"/>
    <w:rsid w:val="00890BC1"/>
    <w:rsid w:val="00890BFD"/>
    <w:rsid w:val="00890CC8"/>
    <w:rsid w:val="00890D03"/>
    <w:rsid w:val="00891289"/>
    <w:rsid w:val="00891A62"/>
    <w:rsid w:val="00891BA4"/>
    <w:rsid w:val="008920AB"/>
    <w:rsid w:val="00892936"/>
    <w:rsid w:val="00892973"/>
    <w:rsid w:val="00894730"/>
    <w:rsid w:val="00894F57"/>
    <w:rsid w:val="008950EF"/>
    <w:rsid w:val="00895218"/>
    <w:rsid w:val="00895582"/>
    <w:rsid w:val="00895A65"/>
    <w:rsid w:val="00896471"/>
    <w:rsid w:val="0089652D"/>
    <w:rsid w:val="00897946"/>
    <w:rsid w:val="00897E82"/>
    <w:rsid w:val="008A00B9"/>
    <w:rsid w:val="008A0775"/>
    <w:rsid w:val="008A0D28"/>
    <w:rsid w:val="008A1A78"/>
    <w:rsid w:val="008A1FFB"/>
    <w:rsid w:val="008A2441"/>
    <w:rsid w:val="008A2AEA"/>
    <w:rsid w:val="008A2EF5"/>
    <w:rsid w:val="008A301A"/>
    <w:rsid w:val="008A32C4"/>
    <w:rsid w:val="008A3B7D"/>
    <w:rsid w:val="008A3EF6"/>
    <w:rsid w:val="008A4330"/>
    <w:rsid w:val="008A5011"/>
    <w:rsid w:val="008A56D1"/>
    <w:rsid w:val="008A59DC"/>
    <w:rsid w:val="008A5D33"/>
    <w:rsid w:val="008A69B3"/>
    <w:rsid w:val="008A6CFF"/>
    <w:rsid w:val="008A6EB5"/>
    <w:rsid w:val="008A71A6"/>
    <w:rsid w:val="008A7AA5"/>
    <w:rsid w:val="008B0633"/>
    <w:rsid w:val="008B0777"/>
    <w:rsid w:val="008B0CD3"/>
    <w:rsid w:val="008B1A84"/>
    <w:rsid w:val="008B285B"/>
    <w:rsid w:val="008B2964"/>
    <w:rsid w:val="008B30A2"/>
    <w:rsid w:val="008B320F"/>
    <w:rsid w:val="008B3642"/>
    <w:rsid w:val="008B394C"/>
    <w:rsid w:val="008B3D91"/>
    <w:rsid w:val="008B3FBB"/>
    <w:rsid w:val="008B440B"/>
    <w:rsid w:val="008B452D"/>
    <w:rsid w:val="008B52D8"/>
    <w:rsid w:val="008B5752"/>
    <w:rsid w:val="008B6142"/>
    <w:rsid w:val="008B6338"/>
    <w:rsid w:val="008B698C"/>
    <w:rsid w:val="008B787A"/>
    <w:rsid w:val="008B7935"/>
    <w:rsid w:val="008B7AF4"/>
    <w:rsid w:val="008B7CA6"/>
    <w:rsid w:val="008B7CE3"/>
    <w:rsid w:val="008C0E27"/>
    <w:rsid w:val="008C17DF"/>
    <w:rsid w:val="008C1E48"/>
    <w:rsid w:val="008C1FB3"/>
    <w:rsid w:val="008C2460"/>
    <w:rsid w:val="008C258D"/>
    <w:rsid w:val="008C2697"/>
    <w:rsid w:val="008C3441"/>
    <w:rsid w:val="008C346C"/>
    <w:rsid w:val="008C4E9C"/>
    <w:rsid w:val="008C5274"/>
    <w:rsid w:val="008C58BC"/>
    <w:rsid w:val="008C58FE"/>
    <w:rsid w:val="008C59D9"/>
    <w:rsid w:val="008C5CD7"/>
    <w:rsid w:val="008C6C9A"/>
    <w:rsid w:val="008C6D45"/>
    <w:rsid w:val="008C7CA3"/>
    <w:rsid w:val="008D034A"/>
    <w:rsid w:val="008D1078"/>
    <w:rsid w:val="008D1174"/>
    <w:rsid w:val="008D16DD"/>
    <w:rsid w:val="008D16F1"/>
    <w:rsid w:val="008D1861"/>
    <w:rsid w:val="008D2025"/>
    <w:rsid w:val="008D21D9"/>
    <w:rsid w:val="008D251B"/>
    <w:rsid w:val="008D291A"/>
    <w:rsid w:val="008D2B8B"/>
    <w:rsid w:val="008D4144"/>
    <w:rsid w:val="008D45B7"/>
    <w:rsid w:val="008D4BC7"/>
    <w:rsid w:val="008D4D8C"/>
    <w:rsid w:val="008D5046"/>
    <w:rsid w:val="008D5236"/>
    <w:rsid w:val="008D544B"/>
    <w:rsid w:val="008D56EE"/>
    <w:rsid w:val="008D65A1"/>
    <w:rsid w:val="008D6725"/>
    <w:rsid w:val="008D740F"/>
    <w:rsid w:val="008D7BCA"/>
    <w:rsid w:val="008D7ED2"/>
    <w:rsid w:val="008E0525"/>
    <w:rsid w:val="008E06EE"/>
    <w:rsid w:val="008E090F"/>
    <w:rsid w:val="008E0F0B"/>
    <w:rsid w:val="008E1012"/>
    <w:rsid w:val="008E1051"/>
    <w:rsid w:val="008E1250"/>
    <w:rsid w:val="008E153E"/>
    <w:rsid w:val="008E15DB"/>
    <w:rsid w:val="008E2D2C"/>
    <w:rsid w:val="008E2DB3"/>
    <w:rsid w:val="008E35CA"/>
    <w:rsid w:val="008E378E"/>
    <w:rsid w:val="008E3B32"/>
    <w:rsid w:val="008E3E3C"/>
    <w:rsid w:val="008E3F62"/>
    <w:rsid w:val="008E482B"/>
    <w:rsid w:val="008E4E21"/>
    <w:rsid w:val="008E501A"/>
    <w:rsid w:val="008E5523"/>
    <w:rsid w:val="008E60B5"/>
    <w:rsid w:val="008E6B13"/>
    <w:rsid w:val="008E74C5"/>
    <w:rsid w:val="008E7608"/>
    <w:rsid w:val="008E79F9"/>
    <w:rsid w:val="008E7A51"/>
    <w:rsid w:val="008E7EC1"/>
    <w:rsid w:val="008E7F2A"/>
    <w:rsid w:val="008F077C"/>
    <w:rsid w:val="008F0A2D"/>
    <w:rsid w:val="008F0A3C"/>
    <w:rsid w:val="008F0BFC"/>
    <w:rsid w:val="008F0D64"/>
    <w:rsid w:val="008F147A"/>
    <w:rsid w:val="008F1EEA"/>
    <w:rsid w:val="008F42FA"/>
    <w:rsid w:val="008F461F"/>
    <w:rsid w:val="008F4871"/>
    <w:rsid w:val="008F4DA0"/>
    <w:rsid w:val="008F5354"/>
    <w:rsid w:val="008F5709"/>
    <w:rsid w:val="008F573C"/>
    <w:rsid w:val="008F5915"/>
    <w:rsid w:val="008F5F73"/>
    <w:rsid w:val="008F6352"/>
    <w:rsid w:val="008F6568"/>
    <w:rsid w:val="008F65D5"/>
    <w:rsid w:val="008F67A8"/>
    <w:rsid w:val="008F6C29"/>
    <w:rsid w:val="008F6DF1"/>
    <w:rsid w:val="008F7317"/>
    <w:rsid w:val="008F762F"/>
    <w:rsid w:val="008F77A6"/>
    <w:rsid w:val="008F7819"/>
    <w:rsid w:val="008F7938"/>
    <w:rsid w:val="0090024F"/>
    <w:rsid w:val="0090079C"/>
    <w:rsid w:val="00900F2C"/>
    <w:rsid w:val="009011D9"/>
    <w:rsid w:val="0090175F"/>
    <w:rsid w:val="00901DF6"/>
    <w:rsid w:val="009023D3"/>
    <w:rsid w:val="00902680"/>
    <w:rsid w:val="00902999"/>
    <w:rsid w:val="009030F6"/>
    <w:rsid w:val="00903746"/>
    <w:rsid w:val="00903798"/>
    <w:rsid w:val="0090408C"/>
    <w:rsid w:val="00904097"/>
    <w:rsid w:val="00904463"/>
    <w:rsid w:val="0090564F"/>
    <w:rsid w:val="00905CC3"/>
    <w:rsid w:val="00905D28"/>
    <w:rsid w:val="00905FDB"/>
    <w:rsid w:val="009060D9"/>
    <w:rsid w:val="0090617E"/>
    <w:rsid w:val="0090677C"/>
    <w:rsid w:val="00906A1C"/>
    <w:rsid w:val="00906D6B"/>
    <w:rsid w:val="00907780"/>
    <w:rsid w:val="00910C65"/>
    <w:rsid w:val="00910E59"/>
    <w:rsid w:val="0091141F"/>
    <w:rsid w:val="00911CFE"/>
    <w:rsid w:val="00912D3B"/>
    <w:rsid w:val="00913890"/>
    <w:rsid w:val="00914382"/>
    <w:rsid w:val="009149DF"/>
    <w:rsid w:val="0091539F"/>
    <w:rsid w:val="00916E33"/>
    <w:rsid w:val="00917188"/>
    <w:rsid w:val="009171D3"/>
    <w:rsid w:val="00917420"/>
    <w:rsid w:val="00917557"/>
    <w:rsid w:val="00917772"/>
    <w:rsid w:val="00917790"/>
    <w:rsid w:val="009177E8"/>
    <w:rsid w:val="00917995"/>
    <w:rsid w:val="00917E49"/>
    <w:rsid w:val="009209C7"/>
    <w:rsid w:val="00920E03"/>
    <w:rsid w:val="00921B85"/>
    <w:rsid w:val="00921D6B"/>
    <w:rsid w:val="00922165"/>
    <w:rsid w:val="009227DA"/>
    <w:rsid w:val="00923450"/>
    <w:rsid w:val="00923B5F"/>
    <w:rsid w:val="009243A4"/>
    <w:rsid w:val="00924998"/>
    <w:rsid w:val="00924B36"/>
    <w:rsid w:val="00924F06"/>
    <w:rsid w:val="009255BE"/>
    <w:rsid w:val="0092725A"/>
    <w:rsid w:val="00927E9D"/>
    <w:rsid w:val="009300CC"/>
    <w:rsid w:val="0093136B"/>
    <w:rsid w:val="00931D83"/>
    <w:rsid w:val="00932479"/>
    <w:rsid w:val="009326FD"/>
    <w:rsid w:val="0093294B"/>
    <w:rsid w:val="00932A83"/>
    <w:rsid w:val="0093345E"/>
    <w:rsid w:val="00933807"/>
    <w:rsid w:val="00933BA6"/>
    <w:rsid w:val="00933E74"/>
    <w:rsid w:val="00934825"/>
    <w:rsid w:val="009348C1"/>
    <w:rsid w:val="00934A40"/>
    <w:rsid w:val="00934CB8"/>
    <w:rsid w:val="00934EB3"/>
    <w:rsid w:val="009353FF"/>
    <w:rsid w:val="00935886"/>
    <w:rsid w:val="00935C26"/>
    <w:rsid w:val="009364B3"/>
    <w:rsid w:val="00936CBE"/>
    <w:rsid w:val="0093716D"/>
    <w:rsid w:val="00937A25"/>
    <w:rsid w:val="00937AD2"/>
    <w:rsid w:val="00940391"/>
    <w:rsid w:val="009405F9"/>
    <w:rsid w:val="00940708"/>
    <w:rsid w:val="00941823"/>
    <w:rsid w:val="009429DD"/>
    <w:rsid w:val="009431FD"/>
    <w:rsid w:val="009441F2"/>
    <w:rsid w:val="0094428F"/>
    <w:rsid w:val="00944CA2"/>
    <w:rsid w:val="00944CDB"/>
    <w:rsid w:val="0094577A"/>
    <w:rsid w:val="00945954"/>
    <w:rsid w:val="00946A5E"/>
    <w:rsid w:val="0094799C"/>
    <w:rsid w:val="00947BFC"/>
    <w:rsid w:val="0095023A"/>
    <w:rsid w:val="00950AD1"/>
    <w:rsid w:val="00950AF4"/>
    <w:rsid w:val="0095124A"/>
    <w:rsid w:val="0095184E"/>
    <w:rsid w:val="0095199A"/>
    <w:rsid w:val="00952131"/>
    <w:rsid w:val="00952827"/>
    <w:rsid w:val="0095334A"/>
    <w:rsid w:val="00953BD9"/>
    <w:rsid w:val="00954097"/>
    <w:rsid w:val="0095437D"/>
    <w:rsid w:val="00954677"/>
    <w:rsid w:val="009549E7"/>
    <w:rsid w:val="00954D92"/>
    <w:rsid w:val="00954F72"/>
    <w:rsid w:val="0095521F"/>
    <w:rsid w:val="00955288"/>
    <w:rsid w:val="0095544F"/>
    <w:rsid w:val="00955BB0"/>
    <w:rsid w:val="00955EDF"/>
    <w:rsid w:val="0095611C"/>
    <w:rsid w:val="00956970"/>
    <w:rsid w:val="00956B97"/>
    <w:rsid w:val="0095753C"/>
    <w:rsid w:val="00961382"/>
    <w:rsid w:val="009619B9"/>
    <w:rsid w:val="00961A77"/>
    <w:rsid w:val="00961F17"/>
    <w:rsid w:val="00962196"/>
    <w:rsid w:val="00962348"/>
    <w:rsid w:val="009629E2"/>
    <w:rsid w:val="00962DB8"/>
    <w:rsid w:val="00963427"/>
    <w:rsid w:val="00963B0C"/>
    <w:rsid w:val="00963F10"/>
    <w:rsid w:val="00964054"/>
    <w:rsid w:val="009645D5"/>
    <w:rsid w:val="00965170"/>
    <w:rsid w:val="009668FF"/>
    <w:rsid w:val="00966E0A"/>
    <w:rsid w:val="0096723D"/>
    <w:rsid w:val="00967270"/>
    <w:rsid w:val="00967881"/>
    <w:rsid w:val="00967F84"/>
    <w:rsid w:val="009709F1"/>
    <w:rsid w:val="00970D92"/>
    <w:rsid w:val="00970E51"/>
    <w:rsid w:val="00971FF4"/>
    <w:rsid w:val="009720C9"/>
    <w:rsid w:val="0097269E"/>
    <w:rsid w:val="00973106"/>
    <w:rsid w:val="009732F5"/>
    <w:rsid w:val="0097372C"/>
    <w:rsid w:val="009741B3"/>
    <w:rsid w:val="0097447A"/>
    <w:rsid w:val="00974AED"/>
    <w:rsid w:val="00974E33"/>
    <w:rsid w:val="009751A2"/>
    <w:rsid w:val="0097529D"/>
    <w:rsid w:val="00975E4C"/>
    <w:rsid w:val="0097626C"/>
    <w:rsid w:val="00976506"/>
    <w:rsid w:val="00976C57"/>
    <w:rsid w:val="00976DAF"/>
    <w:rsid w:val="009776FC"/>
    <w:rsid w:val="00980246"/>
    <w:rsid w:val="00981D1D"/>
    <w:rsid w:val="0098202D"/>
    <w:rsid w:val="00983301"/>
    <w:rsid w:val="009842D7"/>
    <w:rsid w:val="00984307"/>
    <w:rsid w:val="009845A8"/>
    <w:rsid w:val="00984C7C"/>
    <w:rsid w:val="00985251"/>
    <w:rsid w:val="00985A6E"/>
    <w:rsid w:val="00985BE7"/>
    <w:rsid w:val="0098699F"/>
    <w:rsid w:val="00986C49"/>
    <w:rsid w:val="009871F6"/>
    <w:rsid w:val="009876D9"/>
    <w:rsid w:val="00987B85"/>
    <w:rsid w:val="00990DCF"/>
    <w:rsid w:val="00990DD2"/>
    <w:rsid w:val="00991060"/>
    <w:rsid w:val="00991071"/>
    <w:rsid w:val="00991D86"/>
    <w:rsid w:val="009921B4"/>
    <w:rsid w:val="009943AD"/>
    <w:rsid w:val="009944B6"/>
    <w:rsid w:val="0099528D"/>
    <w:rsid w:val="00995566"/>
    <w:rsid w:val="00996C76"/>
    <w:rsid w:val="009970E8"/>
    <w:rsid w:val="009A0685"/>
    <w:rsid w:val="009A0973"/>
    <w:rsid w:val="009A0A56"/>
    <w:rsid w:val="009A139B"/>
    <w:rsid w:val="009A1A6F"/>
    <w:rsid w:val="009A1B01"/>
    <w:rsid w:val="009A2CA9"/>
    <w:rsid w:val="009A2E19"/>
    <w:rsid w:val="009A31C5"/>
    <w:rsid w:val="009A459F"/>
    <w:rsid w:val="009A5128"/>
    <w:rsid w:val="009A60F7"/>
    <w:rsid w:val="009B00D6"/>
    <w:rsid w:val="009B0286"/>
    <w:rsid w:val="009B0DBF"/>
    <w:rsid w:val="009B1E54"/>
    <w:rsid w:val="009B204E"/>
    <w:rsid w:val="009B2D36"/>
    <w:rsid w:val="009B31BD"/>
    <w:rsid w:val="009B3AEC"/>
    <w:rsid w:val="009B3BD8"/>
    <w:rsid w:val="009B45C2"/>
    <w:rsid w:val="009B471F"/>
    <w:rsid w:val="009B4D20"/>
    <w:rsid w:val="009B5022"/>
    <w:rsid w:val="009B5749"/>
    <w:rsid w:val="009B5D93"/>
    <w:rsid w:val="009B6110"/>
    <w:rsid w:val="009B6D5B"/>
    <w:rsid w:val="009B7560"/>
    <w:rsid w:val="009B79D8"/>
    <w:rsid w:val="009B7E32"/>
    <w:rsid w:val="009C0019"/>
    <w:rsid w:val="009C0D36"/>
    <w:rsid w:val="009C0DA0"/>
    <w:rsid w:val="009C1442"/>
    <w:rsid w:val="009C36C0"/>
    <w:rsid w:val="009C385D"/>
    <w:rsid w:val="009C3E57"/>
    <w:rsid w:val="009C42B3"/>
    <w:rsid w:val="009C4506"/>
    <w:rsid w:val="009C452D"/>
    <w:rsid w:val="009C4976"/>
    <w:rsid w:val="009C498D"/>
    <w:rsid w:val="009C49CF"/>
    <w:rsid w:val="009C5B66"/>
    <w:rsid w:val="009C5C5C"/>
    <w:rsid w:val="009C6A84"/>
    <w:rsid w:val="009C6F2D"/>
    <w:rsid w:val="009C6FD9"/>
    <w:rsid w:val="009C7361"/>
    <w:rsid w:val="009C796F"/>
    <w:rsid w:val="009C7E22"/>
    <w:rsid w:val="009D123A"/>
    <w:rsid w:val="009D1AA8"/>
    <w:rsid w:val="009D1EBA"/>
    <w:rsid w:val="009D2225"/>
    <w:rsid w:val="009D22D3"/>
    <w:rsid w:val="009D2624"/>
    <w:rsid w:val="009D28B6"/>
    <w:rsid w:val="009D2B33"/>
    <w:rsid w:val="009D383A"/>
    <w:rsid w:val="009D3C80"/>
    <w:rsid w:val="009D4BCF"/>
    <w:rsid w:val="009D5478"/>
    <w:rsid w:val="009D562D"/>
    <w:rsid w:val="009D5856"/>
    <w:rsid w:val="009D63FC"/>
    <w:rsid w:val="009D701C"/>
    <w:rsid w:val="009D7448"/>
    <w:rsid w:val="009D7621"/>
    <w:rsid w:val="009D762C"/>
    <w:rsid w:val="009D7712"/>
    <w:rsid w:val="009D77AC"/>
    <w:rsid w:val="009D7DB6"/>
    <w:rsid w:val="009E0B19"/>
    <w:rsid w:val="009E0F18"/>
    <w:rsid w:val="009E0F3B"/>
    <w:rsid w:val="009E15ED"/>
    <w:rsid w:val="009E1A4E"/>
    <w:rsid w:val="009E1E6E"/>
    <w:rsid w:val="009E211F"/>
    <w:rsid w:val="009E267A"/>
    <w:rsid w:val="009E283D"/>
    <w:rsid w:val="009E2901"/>
    <w:rsid w:val="009E298B"/>
    <w:rsid w:val="009E2C9E"/>
    <w:rsid w:val="009E2E0B"/>
    <w:rsid w:val="009E34CA"/>
    <w:rsid w:val="009E34CB"/>
    <w:rsid w:val="009E3B76"/>
    <w:rsid w:val="009E3D01"/>
    <w:rsid w:val="009E3D78"/>
    <w:rsid w:val="009E43AA"/>
    <w:rsid w:val="009E49CB"/>
    <w:rsid w:val="009E4C80"/>
    <w:rsid w:val="009E502A"/>
    <w:rsid w:val="009E583F"/>
    <w:rsid w:val="009E5D78"/>
    <w:rsid w:val="009E5F7E"/>
    <w:rsid w:val="009E61A7"/>
    <w:rsid w:val="009E61C2"/>
    <w:rsid w:val="009E658E"/>
    <w:rsid w:val="009E6696"/>
    <w:rsid w:val="009E6D02"/>
    <w:rsid w:val="009E7800"/>
    <w:rsid w:val="009E7E8B"/>
    <w:rsid w:val="009F11CE"/>
    <w:rsid w:val="009F29A5"/>
    <w:rsid w:val="009F2CE0"/>
    <w:rsid w:val="009F2E41"/>
    <w:rsid w:val="009F30A0"/>
    <w:rsid w:val="009F30C4"/>
    <w:rsid w:val="009F3BFC"/>
    <w:rsid w:val="009F407D"/>
    <w:rsid w:val="009F439A"/>
    <w:rsid w:val="009F48D6"/>
    <w:rsid w:val="009F492B"/>
    <w:rsid w:val="009F530F"/>
    <w:rsid w:val="009F5633"/>
    <w:rsid w:val="009F59E9"/>
    <w:rsid w:val="009F6C99"/>
    <w:rsid w:val="009F6E05"/>
    <w:rsid w:val="009F7238"/>
    <w:rsid w:val="009F7E13"/>
    <w:rsid w:val="009F7EE0"/>
    <w:rsid w:val="00A00216"/>
    <w:rsid w:val="00A00561"/>
    <w:rsid w:val="00A005FA"/>
    <w:rsid w:val="00A006F0"/>
    <w:rsid w:val="00A016D8"/>
    <w:rsid w:val="00A02524"/>
    <w:rsid w:val="00A0253B"/>
    <w:rsid w:val="00A0358B"/>
    <w:rsid w:val="00A037A6"/>
    <w:rsid w:val="00A03B1C"/>
    <w:rsid w:val="00A048F5"/>
    <w:rsid w:val="00A0501A"/>
    <w:rsid w:val="00A05215"/>
    <w:rsid w:val="00A05D0F"/>
    <w:rsid w:val="00A06650"/>
    <w:rsid w:val="00A067A2"/>
    <w:rsid w:val="00A06E0B"/>
    <w:rsid w:val="00A07245"/>
    <w:rsid w:val="00A10FA7"/>
    <w:rsid w:val="00A11837"/>
    <w:rsid w:val="00A12061"/>
    <w:rsid w:val="00A125CD"/>
    <w:rsid w:val="00A12A40"/>
    <w:rsid w:val="00A12F63"/>
    <w:rsid w:val="00A13D4D"/>
    <w:rsid w:val="00A143CD"/>
    <w:rsid w:val="00A149D2"/>
    <w:rsid w:val="00A14A54"/>
    <w:rsid w:val="00A156F4"/>
    <w:rsid w:val="00A15F48"/>
    <w:rsid w:val="00A16027"/>
    <w:rsid w:val="00A16241"/>
    <w:rsid w:val="00A16F7E"/>
    <w:rsid w:val="00A17057"/>
    <w:rsid w:val="00A175BB"/>
    <w:rsid w:val="00A17A94"/>
    <w:rsid w:val="00A20934"/>
    <w:rsid w:val="00A214EA"/>
    <w:rsid w:val="00A218EA"/>
    <w:rsid w:val="00A21D96"/>
    <w:rsid w:val="00A2298E"/>
    <w:rsid w:val="00A22B42"/>
    <w:rsid w:val="00A235BF"/>
    <w:rsid w:val="00A238B5"/>
    <w:rsid w:val="00A23997"/>
    <w:rsid w:val="00A23BEE"/>
    <w:rsid w:val="00A24535"/>
    <w:rsid w:val="00A2496C"/>
    <w:rsid w:val="00A24E1F"/>
    <w:rsid w:val="00A24F79"/>
    <w:rsid w:val="00A24FB0"/>
    <w:rsid w:val="00A25502"/>
    <w:rsid w:val="00A25548"/>
    <w:rsid w:val="00A25B2E"/>
    <w:rsid w:val="00A262D6"/>
    <w:rsid w:val="00A26458"/>
    <w:rsid w:val="00A26502"/>
    <w:rsid w:val="00A2652A"/>
    <w:rsid w:val="00A268FD"/>
    <w:rsid w:val="00A26E25"/>
    <w:rsid w:val="00A27686"/>
    <w:rsid w:val="00A27865"/>
    <w:rsid w:val="00A301F2"/>
    <w:rsid w:val="00A303AE"/>
    <w:rsid w:val="00A305F2"/>
    <w:rsid w:val="00A3070C"/>
    <w:rsid w:val="00A308B8"/>
    <w:rsid w:val="00A30B70"/>
    <w:rsid w:val="00A30E0A"/>
    <w:rsid w:val="00A31C89"/>
    <w:rsid w:val="00A31EF9"/>
    <w:rsid w:val="00A31FB0"/>
    <w:rsid w:val="00A32707"/>
    <w:rsid w:val="00A337A9"/>
    <w:rsid w:val="00A33878"/>
    <w:rsid w:val="00A3396F"/>
    <w:rsid w:val="00A3436A"/>
    <w:rsid w:val="00A34432"/>
    <w:rsid w:val="00A34489"/>
    <w:rsid w:val="00A348C8"/>
    <w:rsid w:val="00A35546"/>
    <w:rsid w:val="00A35581"/>
    <w:rsid w:val="00A35C87"/>
    <w:rsid w:val="00A35E0E"/>
    <w:rsid w:val="00A368BC"/>
    <w:rsid w:val="00A3691D"/>
    <w:rsid w:val="00A36CC6"/>
    <w:rsid w:val="00A37564"/>
    <w:rsid w:val="00A37BA9"/>
    <w:rsid w:val="00A4026C"/>
    <w:rsid w:val="00A40DF1"/>
    <w:rsid w:val="00A4120B"/>
    <w:rsid w:val="00A41582"/>
    <w:rsid w:val="00A4172C"/>
    <w:rsid w:val="00A429FB"/>
    <w:rsid w:val="00A42B1A"/>
    <w:rsid w:val="00A439E0"/>
    <w:rsid w:val="00A443A1"/>
    <w:rsid w:val="00A44AC4"/>
    <w:rsid w:val="00A44D99"/>
    <w:rsid w:val="00A45927"/>
    <w:rsid w:val="00A4622D"/>
    <w:rsid w:val="00A46858"/>
    <w:rsid w:val="00A46BCD"/>
    <w:rsid w:val="00A47276"/>
    <w:rsid w:val="00A47325"/>
    <w:rsid w:val="00A47C7C"/>
    <w:rsid w:val="00A50784"/>
    <w:rsid w:val="00A508A4"/>
    <w:rsid w:val="00A50C1C"/>
    <w:rsid w:val="00A515CB"/>
    <w:rsid w:val="00A5167F"/>
    <w:rsid w:val="00A517B4"/>
    <w:rsid w:val="00A51F16"/>
    <w:rsid w:val="00A5237B"/>
    <w:rsid w:val="00A526F4"/>
    <w:rsid w:val="00A52C28"/>
    <w:rsid w:val="00A530E3"/>
    <w:rsid w:val="00A531F5"/>
    <w:rsid w:val="00A53221"/>
    <w:rsid w:val="00A532DC"/>
    <w:rsid w:val="00A53318"/>
    <w:rsid w:val="00A53862"/>
    <w:rsid w:val="00A53FC2"/>
    <w:rsid w:val="00A559ED"/>
    <w:rsid w:val="00A55CB9"/>
    <w:rsid w:val="00A55D8E"/>
    <w:rsid w:val="00A563F0"/>
    <w:rsid w:val="00A56CED"/>
    <w:rsid w:val="00A56D7A"/>
    <w:rsid w:val="00A5752A"/>
    <w:rsid w:val="00A57601"/>
    <w:rsid w:val="00A57B84"/>
    <w:rsid w:val="00A60011"/>
    <w:rsid w:val="00A60B7E"/>
    <w:rsid w:val="00A61079"/>
    <w:rsid w:val="00A61746"/>
    <w:rsid w:val="00A618A0"/>
    <w:rsid w:val="00A61ABE"/>
    <w:rsid w:val="00A61DAF"/>
    <w:rsid w:val="00A62119"/>
    <w:rsid w:val="00A6227C"/>
    <w:rsid w:val="00A623CB"/>
    <w:rsid w:val="00A62DDE"/>
    <w:rsid w:val="00A64378"/>
    <w:rsid w:val="00A64C0B"/>
    <w:rsid w:val="00A64D4C"/>
    <w:rsid w:val="00A64F1D"/>
    <w:rsid w:val="00A652F1"/>
    <w:rsid w:val="00A65966"/>
    <w:rsid w:val="00A65A4A"/>
    <w:rsid w:val="00A65B3E"/>
    <w:rsid w:val="00A65C8B"/>
    <w:rsid w:val="00A6642E"/>
    <w:rsid w:val="00A664EF"/>
    <w:rsid w:val="00A665CC"/>
    <w:rsid w:val="00A66DB4"/>
    <w:rsid w:val="00A6705D"/>
    <w:rsid w:val="00A7008B"/>
    <w:rsid w:val="00A70E04"/>
    <w:rsid w:val="00A70F7D"/>
    <w:rsid w:val="00A71487"/>
    <w:rsid w:val="00A71699"/>
    <w:rsid w:val="00A7187F"/>
    <w:rsid w:val="00A7188C"/>
    <w:rsid w:val="00A7192C"/>
    <w:rsid w:val="00A719F4"/>
    <w:rsid w:val="00A71B47"/>
    <w:rsid w:val="00A71F5A"/>
    <w:rsid w:val="00A72967"/>
    <w:rsid w:val="00A72E84"/>
    <w:rsid w:val="00A735F9"/>
    <w:rsid w:val="00A73B3E"/>
    <w:rsid w:val="00A743A8"/>
    <w:rsid w:val="00A74992"/>
    <w:rsid w:val="00A74AED"/>
    <w:rsid w:val="00A75008"/>
    <w:rsid w:val="00A75D72"/>
    <w:rsid w:val="00A75E1A"/>
    <w:rsid w:val="00A75E3C"/>
    <w:rsid w:val="00A76AE2"/>
    <w:rsid w:val="00A76FDA"/>
    <w:rsid w:val="00A772E5"/>
    <w:rsid w:val="00A776F1"/>
    <w:rsid w:val="00A7774C"/>
    <w:rsid w:val="00A779DF"/>
    <w:rsid w:val="00A77AF1"/>
    <w:rsid w:val="00A77E6F"/>
    <w:rsid w:val="00A81191"/>
    <w:rsid w:val="00A81351"/>
    <w:rsid w:val="00A814E5"/>
    <w:rsid w:val="00A8156A"/>
    <w:rsid w:val="00A81C4B"/>
    <w:rsid w:val="00A83901"/>
    <w:rsid w:val="00A839EE"/>
    <w:rsid w:val="00A852E5"/>
    <w:rsid w:val="00A8580F"/>
    <w:rsid w:val="00A85CCD"/>
    <w:rsid w:val="00A85F53"/>
    <w:rsid w:val="00A86096"/>
    <w:rsid w:val="00A86522"/>
    <w:rsid w:val="00A87047"/>
    <w:rsid w:val="00A874DF"/>
    <w:rsid w:val="00A876D3"/>
    <w:rsid w:val="00A9042D"/>
    <w:rsid w:val="00A9055C"/>
    <w:rsid w:val="00A90880"/>
    <w:rsid w:val="00A90B54"/>
    <w:rsid w:val="00A90E54"/>
    <w:rsid w:val="00A90E78"/>
    <w:rsid w:val="00A914F1"/>
    <w:rsid w:val="00A91651"/>
    <w:rsid w:val="00A917E2"/>
    <w:rsid w:val="00A91B0B"/>
    <w:rsid w:val="00A91F64"/>
    <w:rsid w:val="00A92204"/>
    <w:rsid w:val="00A92B74"/>
    <w:rsid w:val="00A93195"/>
    <w:rsid w:val="00A93524"/>
    <w:rsid w:val="00A93540"/>
    <w:rsid w:val="00A93ADA"/>
    <w:rsid w:val="00A93B9D"/>
    <w:rsid w:val="00A94599"/>
    <w:rsid w:val="00A94CFE"/>
    <w:rsid w:val="00A953C9"/>
    <w:rsid w:val="00A95DE0"/>
    <w:rsid w:val="00A96582"/>
    <w:rsid w:val="00A96995"/>
    <w:rsid w:val="00A979AA"/>
    <w:rsid w:val="00A97AD0"/>
    <w:rsid w:val="00A97F58"/>
    <w:rsid w:val="00AA18B7"/>
    <w:rsid w:val="00AA2E03"/>
    <w:rsid w:val="00AA36E6"/>
    <w:rsid w:val="00AA3BEA"/>
    <w:rsid w:val="00AA48FF"/>
    <w:rsid w:val="00AA5384"/>
    <w:rsid w:val="00AA5F17"/>
    <w:rsid w:val="00AA648B"/>
    <w:rsid w:val="00AA6689"/>
    <w:rsid w:val="00AA6B06"/>
    <w:rsid w:val="00AA6DDA"/>
    <w:rsid w:val="00AA74D3"/>
    <w:rsid w:val="00AA77C3"/>
    <w:rsid w:val="00AA7BF7"/>
    <w:rsid w:val="00AB017A"/>
    <w:rsid w:val="00AB1766"/>
    <w:rsid w:val="00AB17ED"/>
    <w:rsid w:val="00AB2264"/>
    <w:rsid w:val="00AB2389"/>
    <w:rsid w:val="00AB28DD"/>
    <w:rsid w:val="00AB2AD8"/>
    <w:rsid w:val="00AB2BE6"/>
    <w:rsid w:val="00AB3078"/>
    <w:rsid w:val="00AB310E"/>
    <w:rsid w:val="00AB3277"/>
    <w:rsid w:val="00AB3445"/>
    <w:rsid w:val="00AB3A39"/>
    <w:rsid w:val="00AB3ADC"/>
    <w:rsid w:val="00AB3BEE"/>
    <w:rsid w:val="00AB557B"/>
    <w:rsid w:val="00AB5702"/>
    <w:rsid w:val="00AB6032"/>
    <w:rsid w:val="00AB6504"/>
    <w:rsid w:val="00AB66EF"/>
    <w:rsid w:val="00AB6792"/>
    <w:rsid w:val="00AB6B58"/>
    <w:rsid w:val="00AB6C94"/>
    <w:rsid w:val="00AB7A6B"/>
    <w:rsid w:val="00AB7B22"/>
    <w:rsid w:val="00AB7C41"/>
    <w:rsid w:val="00AC0138"/>
    <w:rsid w:val="00AC0690"/>
    <w:rsid w:val="00AC08FD"/>
    <w:rsid w:val="00AC129A"/>
    <w:rsid w:val="00AC161A"/>
    <w:rsid w:val="00AC176D"/>
    <w:rsid w:val="00AC20F5"/>
    <w:rsid w:val="00AC2957"/>
    <w:rsid w:val="00AC3068"/>
    <w:rsid w:val="00AC45C7"/>
    <w:rsid w:val="00AC4FFC"/>
    <w:rsid w:val="00AC6190"/>
    <w:rsid w:val="00AC636B"/>
    <w:rsid w:val="00AC63BC"/>
    <w:rsid w:val="00AC655F"/>
    <w:rsid w:val="00AC65AF"/>
    <w:rsid w:val="00AC6F90"/>
    <w:rsid w:val="00AC7AF4"/>
    <w:rsid w:val="00AC7D4E"/>
    <w:rsid w:val="00AC7EBB"/>
    <w:rsid w:val="00AD0317"/>
    <w:rsid w:val="00AD0970"/>
    <w:rsid w:val="00AD0B5A"/>
    <w:rsid w:val="00AD0CF7"/>
    <w:rsid w:val="00AD11EC"/>
    <w:rsid w:val="00AD2092"/>
    <w:rsid w:val="00AD2E4F"/>
    <w:rsid w:val="00AD3667"/>
    <w:rsid w:val="00AD3E0A"/>
    <w:rsid w:val="00AD444C"/>
    <w:rsid w:val="00AD49F0"/>
    <w:rsid w:val="00AD52E0"/>
    <w:rsid w:val="00AD5C75"/>
    <w:rsid w:val="00AD5E14"/>
    <w:rsid w:val="00AD6D0B"/>
    <w:rsid w:val="00AD742E"/>
    <w:rsid w:val="00AD7593"/>
    <w:rsid w:val="00AE0324"/>
    <w:rsid w:val="00AE08E8"/>
    <w:rsid w:val="00AE0978"/>
    <w:rsid w:val="00AE0BFE"/>
    <w:rsid w:val="00AE10F7"/>
    <w:rsid w:val="00AE120C"/>
    <w:rsid w:val="00AE1B22"/>
    <w:rsid w:val="00AE2025"/>
    <w:rsid w:val="00AE2300"/>
    <w:rsid w:val="00AE27CE"/>
    <w:rsid w:val="00AE2969"/>
    <w:rsid w:val="00AE2A30"/>
    <w:rsid w:val="00AE2AFB"/>
    <w:rsid w:val="00AE2C85"/>
    <w:rsid w:val="00AE2D5C"/>
    <w:rsid w:val="00AE301C"/>
    <w:rsid w:val="00AE3193"/>
    <w:rsid w:val="00AE43D5"/>
    <w:rsid w:val="00AE468C"/>
    <w:rsid w:val="00AE4909"/>
    <w:rsid w:val="00AE5298"/>
    <w:rsid w:val="00AE54D5"/>
    <w:rsid w:val="00AE5640"/>
    <w:rsid w:val="00AE5CA2"/>
    <w:rsid w:val="00AE6ECF"/>
    <w:rsid w:val="00AE708D"/>
    <w:rsid w:val="00AE7198"/>
    <w:rsid w:val="00AE7717"/>
    <w:rsid w:val="00AE7F53"/>
    <w:rsid w:val="00AF00AF"/>
    <w:rsid w:val="00AF068B"/>
    <w:rsid w:val="00AF07E5"/>
    <w:rsid w:val="00AF1F0A"/>
    <w:rsid w:val="00AF201E"/>
    <w:rsid w:val="00AF2885"/>
    <w:rsid w:val="00AF2C77"/>
    <w:rsid w:val="00AF2E36"/>
    <w:rsid w:val="00AF3388"/>
    <w:rsid w:val="00AF3BC0"/>
    <w:rsid w:val="00AF458A"/>
    <w:rsid w:val="00AF49B0"/>
    <w:rsid w:val="00AF608A"/>
    <w:rsid w:val="00AF65DE"/>
    <w:rsid w:val="00AF6775"/>
    <w:rsid w:val="00AF6C42"/>
    <w:rsid w:val="00AF7166"/>
    <w:rsid w:val="00AF7E79"/>
    <w:rsid w:val="00B0012B"/>
    <w:rsid w:val="00B0046A"/>
    <w:rsid w:val="00B01282"/>
    <w:rsid w:val="00B014C2"/>
    <w:rsid w:val="00B01ED7"/>
    <w:rsid w:val="00B031DC"/>
    <w:rsid w:val="00B03DB3"/>
    <w:rsid w:val="00B03FC7"/>
    <w:rsid w:val="00B04020"/>
    <w:rsid w:val="00B04569"/>
    <w:rsid w:val="00B0486B"/>
    <w:rsid w:val="00B058C2"/>
    <w:rsid w:val="00B05FC3"/>
    <w:rsid w:val="00B06538"/>
    <w:rsid w:val="00B067C2"/>
    <w:rsid w:val="00B0683B"/>
    <w:rsid w:val="00B077FF"/>
    <w:rsid w:val="00B10535"/>
    <w:rsid w:val="00B10814"/>
    <w:rsid w:val="00B110E1"/>
    <w:rsid w:val="00B11140"/>
    <w:rsid w:val="00B1184E"/>
    <w:rsid w:val="00B11C23"/>
    <w:rsid w:val="00B1248E"/>
    <w:rsid w:val="00B12746"/>
    <w:rsid w:val="00B12C24"/>
    <w:rsid w:val="00B12D32"/>
    <w:rsid w:val="00B13741"/>
    <w:rsid w:val="00B14DD8"/>
    <w:rsid w:val="00B14E13"/>
    <w:rsid w:val="00B150A9"/>
    <w:rsid w:val="00B1565D"/>
    <w:rsid w:val="00B159EB"/>
    <w:rsid w:val="00B16930"/>
    <w:rsid w:val="00B169DF"/>
    <w:rsid w:val="00B16B82"/>
    <w:rsid w:val="00B1716C"/>
    <w:rsid w:val="00B178E6"/>
    <w:rsid w:val="00B17EAE"/>
    <w:rsid w:val="00B2011E"/>
    <w:rsid w:val="00B206AA"/>
    <w:rsid w:val="00B20C98"/>
    <w:rsid w:val="00B22283"/>
    <w:rsid w:val="00B23051"/>
    <w:rsid w:val="00B232D7"/>
    <w:rsid w:val="00B23777"/>
    <w:rsid w:val="00B23818"/>
    <w:rsid w:val="00B23D02"/>
    <w:rsid w:val="00B25301"/>
    <w:rsid w:val="00B25B07"/>
    <w:rsid w:val="00B25C02"/>
    <w:rsid w:val="00B263E3"/>
    <w:rsid w:val="00B2790B"/>
    <w:rsid w:val="00B27A68"/>
    <w:rsid w:val="00B30EB2"/>
    <w:rsid w:val="00B30EE5"/>
    <w:rsid w:val="00B30F16"/>
    <w:rsid w:val="00B31BDA"/>
    <w:rsid w:val="00B3326E"/>
    <w:rsid w:val="00B333CF"/>
    <w:rsid w:val="00B337A0"/>
    <w:rsid w:val="00B33EBA"/>
    <w:rsid w:val="00B341F1"/>
    <w:rsid w:val="00B34F8F"/>
    <w:rsid w:val="00B36954"/>
    <w:rsid w:val="00B37527"/>
    <w:rsid w:val="00B4060E"/>
    <w:rsid w:val="00B418BF"/>
    <w:rsid w:val="00B431E6"/>
    <w:rsid w:val="00B4353C"/>
    <w:rsid w:val="00B437AA"/>
    <w:rsid w:val="00B43D78"/>
    <w:rsid w:val="00B449B0"/>
    <w:rsid w:val="00B46658"/>
    <w:rsid w:val="00B4687C"/>
    <w:rsid w:val="00B4763D"/>
    <w:rsid w:val="00B4767E"/>
    <w:rsid w:val="00B477DC"/>
    <w:rsid w:val="00B47853"/>
    <w:rsid w:val="00B479FC"/>
    <w:rsid w:val="00B47D56"/>
    <w:rsid w:val="00B5086E"/>
    <w:rsid w:val="00B50B62"/>
    <w:rsid w:val="00B50C29"/>
    <w:rsid w:val="00B51911"/>
    <w:rsid w:val="00B5244E"/>
    <w:rsid w:val="00B52AD1"/>
    <w:rsid w:val="00B52C17"/>
    <w:rsid w:val="00B52C5D"/>
    <w:rsid w:val="00B53165"/>
    <w:rsid w:val="00B532AB"/>
    <w:rsid w:val="00B532D4"/>
    <w:rsid w:val="00B536E5"/>
    <w:rsid w:val="00B53A22"/>
    <w:rsid w:val="00B54117"/>
    <w:rsid w:val="00B54475"/>
    <w:rsid w:val="00B5458C"/>
    <w:rsid w:val="00B54738"/>
    <w:rsid w:val="00B54905"/>
    <w:rsid w:val="00B54B20"/>
    <w:rsid w:val="00B54B2E"/>
    <w:rsid w:val="00B54C3A"/>
    <w:rsid w:val="00B54DA0"/>
    <w:rsid w:val="00B5515E"/>
    <w:rsid w:val="00B554C4"/>
    <w:rsid w:val="00B558BC"/>
    <w:rsid w:val="00B56095"/>
    <w:rsid w:val="00B56521"/>
    <w:rsid w:val="00B56589"/>
    <w:rsid w:val="00B6286E"/>
    <w:rsid w:val="00B62ABB"/>
    <w:rsid w:val="00B62D18"/>
    <w:rsid w:val="00B62E6E"/>
    <w:rsid w:val="00B631A4"/>
    <w:rsid w:val="00B63649"/>
    <w:rsid w:val="00B63831"/>
    <w:rsid w:val="00B638B1"/>
    <w:rsid w:val="00B63E67"/>
    <w:rsid w:val="00B640B3"/>
    <w:rsid w:val="00B64293"/>
    <w:rsid w:val="00B65CCE"/>
    <w:rsid w:val="00B66370"/>
    <w:rsid w:val="00B6640A"/>
    <w:rsid w:val="00B6661F"/>
    <w:rsid w:val="00B66CD5"/>
    <w:rsid w:val="00B66F65"/>
    <w:rsid w:val="00B66FF3"/>
    <w:rsid w:val="00B67277"/>
    <w:rsid w:val="00B675A5"/>
    <w:rsid w:val="00B67B92"/>
    <w:rsid w:val="00B709CA"/>
    <w:rsid w:val="00B70E75"/>
    <w:rsid w:val="00B7133A"/>
    <w:rsid w:val="00B71F2C"/>
    <w:rsid w:val="00B72454"/>
    <w:rsid w:val="00B72935"/>
    <w:rsid w:val="00B73524"/>
    <w:rsid w:val="00B7353C"/>
    <w:rsid w:val="00B74206"/>
    <w:rsid w:val="00B74478"/>
    <w:rsid w:val="00B74B99"/>
    <w:rsid w:val="00B74EC4"/>
    <w:rsid w:val="00B752C9"/>
    <w:rsid w:val="00B752E9"/>
    <w:rsid w:val="00B7554F"/>
    <w:rsid w:val="00B75683"/>
    <w:rsid w:val="00B75A38"/>
    <w:rsid w:val="00B76A27"/>
    <w:rsid w:val="00B76BC1"/>
    <w:rsid w:val="00B774A9"/>
    <w:rsid w:val="00B77BA8"/>
    <w:rsid w:val="00B77CCD"/>
    <w:rsid w:val="00B77E07"/>
    <w:rsid w:val="00B801B4"/>
    <w:rsid w:val="00B8030C"/>
    <w:rsid w:val="00B8076F"/>
    <w:rsid w:val="00B807CB"/>
    <w:rsid w:val="00B811E0"/>
    <w:rsid w:val="00B8138D"/>
    <w:rsid w:val="00B82E85"/>
    <w:rsid w:val="00B82EA2"/>
    <w:rsid w:val="00B83085"/>
    <w:rsid w:val="00B83903"/>
    <w:rsid w:val="00B83EB2"/>
    <w:rsid w:val="00B84575"/>
    <w:rsid w:val="00B858E2"/>
    <w:rsid w:val="00B858EA"/>
    <w:rsid w:val="00B85D35"/>
    <w:rsid w:val="00B865A1"/>
    <w:rsid w:val="00B87232"/>
    <w:rsid w:val="00B873F6"/>
    <w:rsid w:val="00B87514"/>
    <w:rsid w:val="00B901E5"/>
    <w:rsid w:val="00B90D40"/>
    <w:rsid w:val="00B91C6E"/>
    <w:rsid w:val="00B92AC3"/>
    <w:rsid w:val="00B92B8B"/>
    <w:rsid w:val="00B934B0"/>
    <w:rsid w:val="00B93FAE"/>
    <w:rsid w:val="00B95094"/>
    <w:rsid w:val="00B951F3"/>
    <w:rsid w:val="00B953E1"/>
    <w:rsid w:val="00B956CE"/>
    <w:rsid w:val="00B95AAA"/>
    <w:rsid w:val="00B95F41"/>
    <w:rsid w:val="00B96127"/>
    <w:rsid w:val="00B96A77"/>
    <w:rsid w:val="00B9776F"/>
    <w:rsid w:val="00B977F5"/>
    <w:rsid w:val="00B97BE2"/>
    <w:rsid w:val="00B97D08"/>
    <w:rsid w:val="00BA05A3"/>
    <w:rsid w:val="00BA0D1E"/>
    <w:rsid w:val="00BA0DC9"/>
    <w:rsid w:val="00BA10B8"/>
    <w:rsid w:val="00BA10D2"/>
    <w:rsid w:val="00BA16C0"/>
    <w:rsid w:val="00BA1EB0"/>
    <w:rsid w:val="00BA2E3A"/>
    <w:rsid w:val="00BA3032"/>
    <w:rsid w:val="00BA3B9B"/>
    <w:rsid w:val="00BA49C4"/>
    <w:rsid w:val="00BA4A74"/>
    <w:rsid w:val="00BA4B24"/>
    <w:rsid w:val="00BA4B55"/>
    <w:rsid w:val="00BA51B4"/>
    <w:rsid w:val="00BA56AF"/>
    <w:rsid w:val="00BA592A"/>
    <w:rsid w:val="00BA5C4C"/>
    <w:rsid w:val="00BA684A"/>
    <w:rsid w:val="00BA72B5"/>
    <w:rsid w:val="00BA757D"/>
    <w:rsid w:val="00BA7ABD"/>
    <w:rsid w:val="00BA7FEF"/>
    <w:rsid w:val="00BB0427"/>
    <w:rsid w:val="00BB0AD3"/>
    <w:rsid w:val="00BB1699"/>
    <w:rsid w:val="00BB1B89"/>
    <w:rsid w:val="00BB23C7"/>
    <w:rsid w:val="00BB271A"/>
    <w:rsid w:val="00BB37B7"/>
    <w:rsid w:val="00BB4ADF"/>
    <w:rsid w:val="00BB5076"/>
    <w:rsid w:val="00BB56E2"/>
    <w:rsid w:val="00BB5D1B"/>
    <w:rsid w:val="00BB6115"/>
    <w:rsid w:val="00BB7BA1"/>
    <w:rsid w:val="00BB7ED7"/>
    <w:rsid w:val="00BC027E"/>
    <w:rsid w:val="00BC07EE"/>
    <w:rsid w:val="00BC0CD9"/>
    <w:rsid w:val="00BC0E6B"/>
    <w:rsid w:val="00BC1FCA"/>
    <w:rsid w:val="00BC20C8"/>
    <w:rsid w:val="00BC2B99"/>
    <w:rsid w:val="00BC3C31"/>
    <w:rsid w:val="00BC43AA"/>
    <w:rsid w:val="00BC4726"/>
    <w:rsid w:val="00BC492A"/>
    <w:rsid w:val="00BC4CD6"/>
    <w:rsid w:val="00BC59DC"/>
    <w:rsid w:val="00BC5ED3"/>
    <w:rsid w:val="00BC62CE"/>
    <w:rsid w:val="00BC67E3"/>
    <w:rsid w:val="00BC69F4"/>
    <w:rsid w:val="00BC6BC6"/>
    <w:rsid w:val="00BC6D82"/>
    <w:rsid w:val="00BC7912"/>
    <w:rsid w:val="00BC7D9C"/>
    <w:rsid w:val="00BD0A17"/>
    <w:rsid w:val="00BD0DE7"/>
    <w:rsid w:val="00BD1560"/>
    <w:rsid w:val="00BD1D6E"/>
    <w:rsid w:val="00BD217A"/>
    <w:rsid w:val="00BD2556"/>
    <w:rsid w:val="00BD26DB"/>
    <w:rsid w:val="00BD3BD3"/>
    <w:rsid w:val="00BD3E3F"/>
    <w:rsid w:val="00BD42D2"/>
    <w:rsid w:val="00BD46B3"/>
    <w:rsid w:val="00BD4914"/>
    <w:rsid w:val="00BD4F48"/>
    <w:rsid w:val="00BD4F8A"/>
    <w:rsid w:val="00BD4FBB"/>
    <w:rsid w:val="00BD59F0"/>
    <w:rsid w:val="00BD6753"/>
    <w:rsid w:val="00BD6D6C"/>
    <w:rsid w:val="00BD6E49"/>
    <w:rsid w:val="00BD70F0"/>
    <w:rsid w:val="00BD722B"/>
    <w:rsid w:val="00BD7577"/>
    <w:rsid w:val="00BD76EF"/>
    <w:rsid w:val="00BD77AA"/>
    <w:rsid w:val="00BE0044"/>
    <w:rsid w:val="00BE00B2"/>
    <w:rsid w:val="00BE0275"/>
    <w:rsid w:val="00BE0B26"/>
    <w:rsid w:val="00BE11EF"/>
    <w:rsid w:val="00BE12FB"/>
    <w:rsid w:val="00BE13D5"/>
    <w:rsid w:val="00BE17F4"/>
    <w:rsid w:val="00BE24C3"/>
    <w:rsid w:val="00BE2C2A"/>
    <w:rsid w:val="00BE4178"/>
    <w:rsid w:val="00BE4576"/>
    <w:rsid w:val="00BE4883"/>
    <w:rsid w:val="00BE5201"/>
    <w:rsid w:val="00BE5BFB"/>
    <w:rsid w:val="00BE5DB7"/>
    <w:rsid w:val="00BE6A0A"/>
    <w:rsid w:val="00BE6A2E"/>
    <w:rsid w:val="00BE6D92"/>
    <w:rsid w:val="00BE7887"/>
    <w:rsid w:val="00BF07ED"/>
    <w:rsid w:val="00BF0D53"/>
    <w:rsid w:val="00BF0DFE"/>
    <w:rsid w:val="00BF159F"/>
    <w:rsid w:val="00BF167D"/>
    <w:rsid w:val="00BF1C57"/>
    <w:rsid w:val="00BF1D95"/>
    <w:rsid w:val="00BF2554"/>
    <w:rsid w:val="00BF3C5A"/>
    <w:rsid w:val="00BF3C88"/>
    <w:rsid w:val="00BF461E"/>
    <w:rsid w:val="00BF46CC"/>
    <w:rsid w:val="00BF49CF"/>
    <w:rsid w:val="00BF5112"/>
    <w:rsid w:val="00BF5ACD"/>
    <w:rsid w:val="00BF5C27"/>
    <w:rsid w:val="00BF631B"/>
    <w:rsid w:val="00BF6B11"/>
    <w:rsid w:val="00BF6C4C"/>
    <w:rsid w:val="00BF7345"/>
    <w:rsid w:val="00BF7652"/>
    <w:rsid w:val="00BF7752"/>
    <w:rsid w:val="00BF785C"/>
    <w:rsid w:val="00BF7E14"/>
    <w:rsid w:val="00BF7F4E"/>
    <w:rsid w:val="00C00584"/>
    <w:rsid w:val="00C01092"/>
    <w:rsid w:val="00C0166F"/>
    <w:rsid w:val="00C01F03"/>
    <w:rsid w:val="00C0260C"/>
    <w:rsid w:val="00C0268C"/>
    <w:rsid w:val="00C02901"/>
    <w:rsid w:val="00C02905"/>
    <w:rsid w:val="00C02B91"/>
    <w:rsid w:val="00C02C22"/>
    <w:rsid w:val="00C032A8"/>
    <w:rsid w:val="00C03510"/>
    <w:rsid w:val="00C037AB"/>
    <w:rsid w:val="00C039F2"/>
    <w:rsid w:val="00C03F70"/>
    <w:rsid w:val="00C03FF9"/>
    <w:rsid w:val="00C04AAA"/>
    <w:rsid w:val="00C05082"/>
    <w:rsid w:val="00C0571F"/>
    <w:rsid w:val="00C064A9"/>
    <w:rsid w:val="00C066A8"/>
    <w:rsid w:val="00C066DC"/>
    <w:rsid w:val="00C067F1"/>
    <w:rsid w:val="00C06876"/>
    <w:rsid w:val="00C070D1"/>
    <w:rsid w:val="00C07762"/>
    <w:rsid w:val="00C07E67"/>
    <w:rsid w:val="00C10639"/>
    <w:rsid w:val="00C10EEE"/>
    <w:rsid w:val="00C10FAD"/>
    <w:rsid w:val="00C113D6"/>
    <w:rsid w:val="00C114C9"/>
    <w:rsid w:val="00C11B13"/>
    <w:rsid w:val="00C12373"/>
    <w:rsid w:val="00C12575"/>
    <w:rsid w:val="00C12810"/>
    <w:rsid w:val="00C12AA4"/>
    <w:rsid w:val="00C13131"/>
    <w:rsid w:val="00C1368D"/>
    <w:rsid w:val="00C13B7D"/>
    <w:rsid w:val="00C13EDA"/>
    <w:rsid w:val="00C13EF0"/>
    <w:rsid w:val="00C14405"/>
    <w:rsid w:val="00C14814"/>
    <w:rsid w:val="00C14F61"/>
    <w:rsid w:val="00C151AF"/>
    <w:rsid w:val="00C15348"/>
    <w:rsid w:val="00C15B72"/>
    <w:rsid w:val="00C16671"/>
    <w:rsid w:val="00C168BA"/>
    <w:rsid w:val="00C16B6D"/>
    <w:rsid w:val="00C16E2F"/>
    <w:rsid w:val="00C172A2"/>
    <w:rsid w:val="00C17532"/>
    <w:rsid w:val="00C17A33"/>
    <w:rsid w:val="00C17C98"/>
    <w:rsid w:val="00C2015C"/>
    <w:rsid w:val="00C201A2"/>
    <w:rsid w:val="00C20C93"/>
    <w:rsid w:val="00C20DD2"/>
    <w:rsid w:val="00C21162"/>
    <w:rsid w:val="00C217BD"/>
    <w:rsid w:val="00C220EE"/>
    <w:rsid w:val="00C2262A"/>
    <w:rsid w:val="00C22B79"/>
    <w:rsid w:val="00C22F84"/>
    <w:rsid w:val="00C2345F"/>
    <w:rsid w:val="00C23A5F"/>
    <w:rsid w:val="00C2487C"/>
    <w:rsid w:val="00C2539D"/>
    <w:rsid w:val="00C25BDA"/>
    <w:rsid w:val="00C26681"/>
    <w:rsid w:val="00C26992"/>
    <w:rsid w:val="00C26AFE"/>
    <w:rsid w:val="00C27663"/>
    <w:rsid w:val="00C276C6"/>
    <w:rsid w:val="00C301E6"/>
    <w:rsid w:val="00C30C9F"/>
    <w:rsid w:val="00C30CA8"/>
    <w:rsid w:val="00C310FB"/>
    <w:rsid w:val="00C3143F"/>
    <w:rsid w:val="00C32350"/>
    <w:rsid w:val="00C32829"/>
    <w:rsid w:val="00C32835"/>
    <w:rsid w:val="00C332E4"/>
    <w:rsid w:val="00C33720"/>
    <w:rsid w:val="00C343FA"/>
    <w:rsid w:val="00C34810"/>
    <w:rsid w:val="00C36397"/>
    <w:rsid w:val="00C36B16"/>
    <w:rsid w:val="00C36B28"/>
    <w:rsid w:val="00C40B84"/>
    <w:rsid w:val="00C40F6C"/>
    <w:rsid w:val="00C4152C"/>
    <w:rsid w:val="00C41962"/>
    <w:rsid w:val="00C429F1"/>
    <w:rsid w:val="00C43E1C"/>
    <w:rsid w:val="00C44438"/>
    <w:rsid w:val="00C449FB"/>
    <w:rsid w:val="00C45012"/>
    <w:rsid w:val="00C450CE"/>
    <w:rsid w:val="00C451E4"/>
    <w:rsid w:val="00C454AE"/>
    <w:rsid w:val="00C4561C"/>
    <w:rsid w:val="00C458FB"/>
    <w:rsid w:val="00C460CC"/>
    <w:rsid w:val="00C4631C"/>
    <w:rsid w:val="00C46EBD"/>
    <w:rsid w:val="00C4719F"/>
    <w:rsid w:val="00C47803"/>
    <w:rsid w:val="00C47BBC"/>
    <w:rsid w:val="00C47C62"/>
    <w:rsid w:val="00C47E2B"/>
    <w:rsid w:val="00C512CD"/>
    <w:rsid w:val="00C51339"/>
    <w:rsid w:val="00C514F8"/>
    <w:rsid w:val="00C517AA"/>
    <w:rsid w:val="00C51C4D"/>
    <w:rsid w:val="00C526F1"/>
    <w:rsid w:val="00C5290C"/>
    <w:rsid w:val="00C52941"/>
    <w:rsid w:val="00C52A29"/>
    <w:rsid w:val="00C52AB1"/>
    <w:rsid w:val="00C5417B"/>
    <w:rsid w:val="00C54650"/>
    <w:rsid w:val="00C54ECE"/>
    <w:rsid w:val="00C55BAE"/>
    <w:rsid w:val="00C55CB5"/>
    <w:rsid w:val="00C560DD"/>
    <w:rsid w:val="00C569D6"/>
    <w:rsid w:val="00C56AA8"/>
    <w:rsid w:val="00C56E72"/>
    <w:rsid w:val="00C56EA6"/>
    <w:rsid w:val="00C57012"/>
    <w:rsid w:val="00C571B7"/>
    <w:rsid w:val="00C5725B"/>
    <w:rsid w:val="00C57BA6"/>
    <w:rsid w:val="00C60616"/>
    <w:rsid w:val="00C60850"/>
    <w:rsid w:val="00C60A7F"/>
    <w:rsid w:val="00C6199E"/>
    <w:rsid w:val="00C62475"/>
    <w:rsid w:val="00C628BE"/>
    <w:rsid w:val="00C62C29"/>
    <w:rsid w:val="00C62D02"/>
    <w:rsid w:val="00C62DFC"/>
    <w:rsid w:val="00C62F8D"/>
    <w:rsid w:val="00C631B0"/>
    <w:rsid w:val="00C637F8"/>
    <w:rsid w:val="00C63A7C"/>
    <w:rsid w:val="00C64123"/>
    <w:rsid w:val="00C64602"/>
    <w:rsid w:val="00C64E28"/>
    <w:rsid w:val="00C65141"/>
    <w:rsid w:val="00C65489"/>
    <w:rsid w:val="00C659E8"/>
    <w:rsid w:val="00C65F7F"/>
    <w:rsid w:val="00C67149"/>
    <w:rsid w:val="00C67A0A"/>
    <w:rsid w:val="00C67B01"/>
    <w:rsid w:val="00C70202"/>
    <w:rsid w:val="00C7046A"/>
    <w:rsid w:val="00C71370"/>
    <w:rsid w:val="00C71598"/>
    <w:rsid w:val="00C723FB"/>
    <w:rsid w:val="00C739F1"/>
    <w:rsid w:val="00C73A7B"/>
    <w:rsid w:val="00C73F28"/>
    <w:rsid w:val="00C74247"/>
    <w:rsid w:val="00C7513F"/>
    <w:rsid w:val="00C75672"/>
    <w:rsid w:val="00C75E2D"/>
    <w:rsid w:val="00C76049"/>
    <w:rsid w:val="00C76399"/>
    <w:rsid w:val="00C76CB5"/>
    <w:rsid w:val="00C777C4"/>
    <w:rsid w:val="00C77B54"/>
    <w:rsid w:val="00C77EC1"/>
    <w:rsid w:val="00C80015"/>
    <w:rsid w:val="00C8036F"/>
    <w:rsid w:val="00C80DED"/>
    <w:rsid w:val="00C80F36"/>
    <w:rsid w:val="00C814C4"/>
    <w:rsid w:val="00C81943"/>
    <w:rsid w:val="00C820AF"/>
    <w:rsid w:val="00C82A7B"/>
    <w:rsid w:val="00C83E51"/>
    <w:rsid w:val="00C843BC"/>
    <w:rsid w:val="00C84419"/>
    <w:rsid w:val="00C84AA6"/>
    <w:rsid w:val="00C8517C"/>
    <w:rsid w:val="00C852AE"/>
    <w:rsid w:val="00C85395"/>
    <w:rsid w:val="00C854DE"/>
    <w:rsid w:val="00C85603"/>
    <w:rsid w:val="00C85C09"/>
    <w:rsid w:val="00C85DA6"/>
    <w:rsid w:val="00C85F42"/>
    <w:rsid w:val="00C8632D"/>
    <w:rsid w:val="00C86554"/>
    <w:rsid w:val="00C8735F"/>
    <w:rsid w:val="00C87984"/>
    <w:rsid w:val="00C87B8D"/>
    <w:rsid w:val="00C90768"/>
    <w:rsid w:val="00C90D27"/>
    <w:rsid w:val="00C90E68"/>
    <w:rsid w:val="00C92BCE"/>
    <w:rsid w:val="00C92F55"/>
    <w:rsid w:val="00C93CE1"/>
    <w:rsid w:val="00C93D0E"/>
    <w:rsid w:val="00C947B7"/>
    <w:rsid w:val="00C948C0"/>
    <w:rsid w:val="00C94B8A"/>
    <w:rsid w:val="00C955BB"/>
    <w:rsid w:val="00C95AE0"/>
    <w:rsid w:val="00C95F30"/>
    <w:rsid w:val="00C96D3B"/>
    <w:rsid w:val="00C96E08"/>
    <w:rsid w:val="00C96F34"/>
    <w:rsid w:val="00C96F7A"/>
    <w:rsid w:val="00C97A35"/>
    <w:rsid w:val="00CA0E65"/>
    <w:rsid w:val="00CA144A"/>
    <w:rsid w:val="00CA17FF"/>
    <w:rsid w:val="00CA1A93"/>
    <w:rsid w:val="00CA2656"/>
    <w:rsid w:val="00CA35DD"/>
    <w:rsid w:val="00CA3B5E"/>
    <w:rsid w:val="00CA3B89"/>
    <w:rsid w:val="00CA4078"/>
    <w:rsid w:val="00CA47FE"/>
    <w:rsid w:val="00CA4FE3"/>
    <w:rsid w:val="00CA5007"/>
    <w:rsid w:val="00CA5C5F"/>
    <w:rsid w:val="00CA5F07"/>
    <w:rsid w:val="00CA6102"/>
    <w:rsid w:val="00CA6320"/>
    <w:rsid w:val="00CA6409"/>
    <w:rsid w:val="00CA69E6"/>
    <w:rsid w:val="00CA7600"/>
    <w:rsid w:val="00CA7DD5"/>
    <w:rsid w:val="00CB1365"/>
    <w:rsid w:val="00CB1596"/>
    <w:rsid w:val="00CB2582"/>
    <w:rsid w:val="00CB2BE8"/>
    <w:rsid w:val="00CB345D"/>
    <w:rsid w:val="00CB3914"/>
    <w:rsid w:val="00CB422E"/>
    <w:rsid w:val="00CB4599"/>
    <w:rsid w:val="00CB4784"/>
    <w:rsid w:val="00CB4E17"/>
    <w:rsid w:val="00CB5913"/>
    <w:rsid w:val="00CB5930"/>
    <w:rsid w:val="00CB5C67"/>
    <w:rsid w:val="00CB5E8D"/>
    <w:rsid w:val="00CB681C"/>
    <w:rsid w:val="00CB6BF8"/>
    <w:rsid w:val="00CB6F9B"/>
    <w:rsid w:val="00CB73DF"/>
    <w:rsid w:val="00CB7866"/>
    <w:rsid w:val="00CB7B91"/>
    <w:rsid w:val="00CC01AF"/>
    <w:rsid w:val="00CC03C4"/>
    <w:rsid w:val="00CC1106"/>
    <w:rsid w:val="00CC1A8F"/>
    <w:rsid w:val="00CC1DFD"/>
    <w:rsid w:val="00CC24EA"/>
    <w:rsid w:val="00CC2934"/>
    <w:rsid w:val="00CC2C4D"/>
    <w:rsid w:val="00CC336E"/>
    <w:rsid w:val="00CC3A73"/>
    <w:rsid w:val="00CC3A74"/>
    <w:rsid w:val="00CC3F29"/>
    <w:rsid w:val="00CC4140"/>
    <w:rsid w:val="00CC54F1"/>
    <w:rsid w:val="00CC581E"/>
    <w:rsid w:val="00CC5A3E"/>
    <w:rsid w:val="00CC5F0D"/>
    <w:rsid w:val="00CC6142"/>
    <w:rsid w:val="00CC6B4C"/>
    <w:rsid w:val="00CC6F07"/>
    <w:rsid w:val="00CC7A60"/>
    <w:rsid w:val="00CC7B57"/>
    <w:rsid w:val="00CD00A7"/>
    <w:rsid w:val="00CD0DD7"/>
    <w:rsid w:val="00CD1248"/>
    <w:rsid w:val="00CD1428"/>
    <w:rsid w:val="00CD1CC0"/>
    <w:rsid w:val="00CD1D28"/>
    <w:rsid w:val="00CD35AF"/>
    <w:rsid w:val="00CD3846"/>
    <w:rsid w:val="00CD4047"/>
    <w:rsid w:val="00CD4214"/>
    <w:rsid w:val="00CD4FC3"/>
    <w:rsid w:val="00CD580B"/>
    <w:rsid w:val="00CD59DE"/>
    <w:rsid w:val="00CD5B8C"/>
    <w:rsid w:val="00CD7614"/>
    <w:rsid w:val="00CD785C"/>
    <w:rsid w:val="00CD7BFF"/>
    <w:rsid w:val="00CE0846"/>
    <w:rsid w:val="00CE0F2A"/>
    <w:rsid w:val="00CE10C0"/>
    <w:rsid w:val="00CE1247"/>
    <w:rsid w:val="00CE125D"/>
    <w:rsid w:val="00CE14A9"/>
    <w:rsid w:val="00CE17DE"/>
    <w:rsid w:val="00CE2ABF"/>
    <w:rsid w:val="00CE2C94"/>
    <w:rsid w:val="00CE30DB"/>
    <w:rsid w:val="00CE3388"/>
    <w:rsid w:val="00CE35B9"/>
    <w:rsid w:val="00CE37A8"/>
    <w:rsid w:val="00CE3C09"/>
    <w:rsid w:val="00CE5114"/>
    <w:rsid w:val="00CE53F2"/>
    <w:rsid w:val="00CE55CA"/>
    <w:rsid w:val="00CE5960"/>
    <w:rsid w:val="00CE5B05"/>
    <w:rsid w:val="00CE63C8"/>
    <w:rsid w:val="00CE739E"/>
    <w:rsid w:val="00CE7416"/>
    <w:rsid w:val="00CE74D2"/>
    <w:rsid w:val="00CE782F"/>
    <w:rsid w:val="00CE799C"/>
    <w:rsid w:val="00CE7A34"/>
    <w:rsid w:val="00CE7BA6"/>
    <w:rsid w:val="00CE7BF6"/>
    <w:rsid w:val="00CF0080"/>
    <w:rsid w:val="00CF053F"/>
    <w:rsid w:val="00CF0CA9"/>
    <w:rsid w:val="00CF1060"/>
    <w:rsid w:val="00CF1634"/>
    <w:rsid w:val="00CF1F8D"/>
    <w:rsid w:val="00CF20D0"/>
    <w:rsid w:val="00CF292B"/>
    <w:rsid w:val="00CF2B81"/>
    <w:rsid w:val="00CF2DB4"/>
    <w:rsid w:val="00CF31F5"/>
    <w:rsid w:val="00CF3307"/>
    <w:rsid w:val="00CF3323"/>
    <w:rsid w:val="00CF4106"/>
    <w:rsid w:val="00CF49F6"/>
    <w:rsid w:val="00CF51F4"/>
    <w:rsid w:val="00CF55F5"/>
    <w:rsid w:val="00CF5679"/>
    <w:rsid w:val="00CF6013"/>
    <w:rsid w:val="00CF6057"/>
    <w:rsid w:val="00CF61C9"/>
    <w:rsid w:val="00CF6293"/>
    <w:rsid w:val="00CF65D9"/>
    <w:rsid w:val="00CF6C4F"/>
    <w:rsid w:val="00CF6FFA"/>
    <w:rsid w:val="00CF773E"/>
    <w:rsid w:val="00D00542"/>
    <w:rsid w:val="00D01102"/>
    <w:rsid w:val="00D017CA"/>
    <w:rsid w:val="00D01889"/>
    <w:rsid w:val="00D01D22"/>
    <w:rsid w:val="00D02087"/>
    <w:rsid w:val="00D0246A"/>
    <w:rsid w:val="00D024B8"/>
    <w:rsid w:val="00D03222"/>
    <w:rsid w:val="00D0337A"/>
    <w:rsid w:val="00D036CF"/>
    <w:rsid w:val="00D03878"/>
    <w:rsid w:val="00D03F4F"/>
    <w:rsid w:val="00D04F5D"/>
    <w:rsid w:val="00D05247"/>
    <w:rsid w:val="00D054B6"/>
    <w:rsid w:val="00D05BC3"/>
    <w:rsid w:val="00D05D50"/>
    <w:rsid w:val="00D06076"/>
    <w:rsid w:val="00D060E6"/>
    <w:rsid w:val="00D06C5D"/>
    <w:rsid w:val="00D071F9"/>
    <w:rsid w:val="00D07738"/>
    <w:rsid w:val="00D079F5"/>
    <w:rsid w:val="00D07F53"/>
    <w:rsid w:val="00D10EDF"/>
    <w:rsid w:val="00D10FC5"/>
    <w:rsid w:val="00D11D8F"/>
    <w:rsid w:val="00D11E6F"/>
    <w:rsid w:val="00D1264E"/>
    <w:rsid w:val="00D135CC"/>
    <w:rsid w:val="00D13809"/>
    <w:rsid w:val="00D13B09"/>
    <w:rsid w:val="00D13C10"/>
    <w:rsid w:val="00D13ECC"/>
    <w:rsid w:val="00D13F0B"/>
    <w:rsid w:val="00D14F37"/>
    <w:rsid w:val="00D152E4"/>
    <w:rsid w:val="00D15382"/>
    <w:rsid w:val="00D15535"/>
    <w:rsid w:val="00D1625C"/>
    <w:rsid w:val="00D162C0"/>
    <w:rsid w:val="00D166E6"/>
    <w:rsid w:val="00D16810"/>
    <w:rsid w:val="00D16A4B"/>
    <w:rsid w:val="00D16C8C"/>
    <w:rsid w:val="00D16E3B"/>
    <w:rsid w:val="00D16EBC"/>
    <w:rsid w:val="00D17699"/>
    <w:rsid w:val="00D17B30"/>
    <w:rsid w:val="00D17C8B"/>
    <w:rsid w:val="00D17D79"/>
    <w:rsid w:val="00D17EA2"/>
    <w:rsid w:val="00D17F95"/>
    <w:rsid w:val="00D20139"/>
    <w:rsid w:val="00D2014F"/>
    <w:rsid w:val="00D2051C"/>
    <w:rsid w:val="00D206F7"/>
    <w:rsid w:val="00D2165E"/>
    <w:rsid w:val="00D2167A"/>
    <w:rsid w:val="00D21731"/>
    <w:rsid w:val="00D218AC"/>
    <w:rsid w:val="00D21B09"/>
    <w:rsid w:val="00D223AE"/>
    <w:rsid w:val="00D2242D"/>
    <w:rsid w:val="00D22760"/>
    <w:rsid w:val="00D2285F"/>
    <w:rsid w:val="00D23274"/>
    <w:rsid w:val="00D23ACF"/>
    <w:rsid w:val="00D23C32"/>
    <w:rsid w:val="00D24360"/>
    <w:rsid w:val="00D24424"/>
    <w:rsid w:val="00D2452C"/>
    <w:rsid w:val="00D24FF4"/>
    <w:rsid w:val="00D2599E"/>
    <w:rsid w:val="00D25AA8"/>
    <w:rsid w:val="00D26785"/>
    <w:rsid w:val="00D268FB"/>
    <w:rsid w:val="00D26EEA"/>
    <w:rsid w:val="00D273BF"/>
    <w:rsid w:val="00D27BAC"/>
    <w:rsid w:val="00D27BF8"/>
    <w:rsid w:val="00D27E50"/>
    <w:rsid w:val="00D30EA2"/>
    <w:rsid w:val="00D3137E"/>
    <w:rsid w:val="00D32419"/>
    <w:rsid w:val="00D32919"/>
    <w:rsid w:val="00D33E95"/>
    <w:rsid w:val="00D365D8"/>
    <w:rsid w:val="00D367A7"/>
    <w:rsid w:val="00D376CE"/>
    <w:rsid w:val="00D37FC3"/>
    <w:rsid w:val="00D4237E"/>
    <w:rsid w:val="00D42726"/>
    <w:rsid w:val="00D42C17"/>
    <w:rsid w:val="00D42D5F"/>
    <w:rsid w:val="00D42E63"/>
    <w:rsid w:val="00D42FBF"/>
    <w:rsid w:val="00D44762"/>
    <w:rsid w:val="00D44FA2"/>
    <w:rsid w:val="00D4589E"/>
    <w:rsid w:val="00D463FC"/>
    <w:rsid w:val="00D46AA2"/>
    <w:rsid w:val="00D46C73"/>
    <w:rsid w:val="00D473DF"/>
    <w:rsid w:val="00D4788D"/>
    <w:rsid w:val="00D5034F"/>
    <w:rsid w:val="00D50B63"/>
    <w:rsid w:val="00D50D23"/>
    <w:rsid w:val="00D50DFD"/>
    <w:rsid w:val="00D525CF"/>
    <w:rsid w:val="00D5268C"/>
    <w:rsid w:val="00D526FA"/>
    <w:rsid w:val="00D52BF9"/>
    <w:rsid w:val="00D535A9"/>
    <w:rsid w:val="00D53630"/>
    <w:rsid w:val="00D5374B"/>
    <w:rsid w:val="00D53EB4"/>
    <w:rsid w:val="00D53F1F"/>
    <w:rsid w:val="00D53FD1"/>
    <w:rsid w:val="00D54830"/>
    <w:rsid w:val="00D551F9"/>
    <w:rsid w:val="00D55306"/>
    <w:rsid w:val="00D55D59"/>
    <w:rsid w:val="00D57E2D"/>
    <w:rsid w:val="00D600F8"/>
    <w:rsid w:val="00D61A8B"/>
    <w:rsid w:val="00D61CC1"/>
    <w:rsid w:val="00D62DEF"/>
    <w:rsid w:val="00D63420"/>
    <w:rsid w:val="00D6360D"/>
    <w:rsid w:val="00D6426A"/>
    <w:rsid w:val="00D643A6"/>
    <w:rsid w:val="00D64815"/>
    <w:rsid w:val="00D651B7"/>
    <w:rsid w:val="00D651B8"/>
    <w:rsid w:val="00D656C4"/>
    <w:rsid w:val="00D65976"/>
    <w:rsid w:val="00D659A0"/>
    <w:rsid w:val="00D65B82"/>
    <w:rsid w:val="00D66E31"/>
    <w:rsid w:val="00D671D6"/>
    <w:rsid w:val="00D70469"/>
    <w:rsid w:val="00D705BB"/>
    <w:rsid w:val="00D7079D"/>
    <w:rsid w:val="00D71171"/>
    <w:rsid w:val="00D71A04"/>
    <w:rsid w:val="00D7210D"/>
    <w:rsid w:val="00D72651"/>
    <w:rsid w:val="00D72951"/>
    <w:rsid w:val="00D72C03"/>
    <w:rsid w:val="00D72CE2"/>
    <w:rsid w:val="00D7324C"/>
    <w:rsid w:val="00D737F5"/>
    <w:rsid w:val="00D7388D"/>
    <w:rsid w:val="00D73A13"/>
    <w:rsid w:val="00D73DBD"/>
    <w:rsid w:val="00D74045"/>
    <w:rsid w:val="00D7410C"/>
    <w:rsid w:val="00D7412F"/>
    <w:rsid w:val="00D7477E"/>
    <w:rsid w:val="00D74CE0"/>
    <w:rsid w:val="00D74F15"/>
    <w:rsid w:val="00D75932"/>
    <w:rsid w:val="00D75CCE"/>
    <w:rsid w:val="00D761AF"/>
    <w:rsid w:val="00D7626F"/>
    <w:rsid w:val="00D768C4"/>
    <w:rsid w:val="00D769B6"/>
    <w:rsid w:val="00D76ADC"/>
    <w:rsid w:val="00D76B86"/>
    <w:rsid w:val="00D772B4"/>
    <w:rsid w:val="00D77388"/>
    <w:rsid w:val="00D800F0"/>
    <w:rsid w:val="00D805E7"/>
    <w:rsid w:val="00D81376"/>
    <w:rsid w:val="00D816A4"/>
    <w:rsid w:val="00D81EF5"/>
    <w:rsid w:val="00D82EA0"/>
    <w:rsid w:val="00D83E05"/>
    <w:rsid w:val="00D8449F"/>
    <w:rsid w:val="00D84867"/>
    <w:rsid w:val="00D85A2A"/>
    <w:rsid w:val="00D85CDB"/>
    <w:rsid w:val="00D85E99"/>
    <w:rsid w:val="00D86692"/>
    <w:rsid w:val="00D86D47"/>
    <w:rsid w:val="00D87E07"/>
    <w:rsid w:val="00D87E5D"/>
    <w:rsid w:val="00D9078A"/>
    <w:rsid w:val="00D90956"/>
    <w:rsid w:val="00D90BA7"/>
    <w:rsid w:val="00D90C91"/>
    <w:rsid w:val="00D91187"/>
    <w:rsid w:val="00D91B2B"/>
    <w:rsid w:val="00D928DD"/>
    <w:rsid w:val="00D92D08"/>
    <w:rsid w:val="00D940C0"/>
    <w:rsid w:val="00D9419A"/>
    <w:rsid w:val="00D95C31"/>
    <w:rsid w:val="00D95F12"/>
    <w:rsid w:val="00D96448"/>
    <w:rsid w:val="00D965B9"/>
    <w:rsid w:val="00D96BDD"/>
    <w:rsid w:val="00D96C7E"/>
    <w:rsid w:val="00D97D59"/>
    <w:rsid w:val="00DA0154"/>
    <w:rsid w:val="00DA0B8E"/>
    <w:rsid w:val="00DA1169"/>
    <w:rsid w:val="00DA12C4"/>
    <w:rsid w:val="00DA17EB"/>
    <w:rsid w:val="00DA3B69"/>
    <w:rsid w:val="00DA3CF5"/>
    <w:rsid w:val="00DA44F6"/>
    <w:rsid w:val="00DA4524"/>
    <w:rsid w:val="00DA4527"/>
    <w:rsid w:val="00DA4CB1"/>
    <w:rsid w:val="00DA5069"/>
    <w:rsid w:val="00DA5804"/>
    <w:rsid w:val="00DA5E03"/>
    <w:rsid w:val="00DA6224"/>
    <w:rsid w:val="00DA6679"/>
    <w:rsid w:val="00DA6920"/>
    <w:rsid w:val="00DA6B22"/>
    <w:rsid w:val="00DA798E"/>
    <w:rsid w:val="00DB0286"/>
    <w:rsid w:val="00DB088B"/>
    <w:rsid w:val="00DB0D33"/>
    <w:rsid w:val="00DB16B1"/>
    <w:rsid w:val="00DB1C63"/>
    <w:rsid w:val="00DB1FDD"/>
    <w:rsid w:val="00DB2CC1"/>
    <w:rsid w:val="00DB3221"/>
    <w:rsid w:val="00DB33B9"/>
    <w:rsid w:val="00DB3851"/>
    <w:rsid w:val="00DB3892"/>
    <w:rsid w:val="00DB4862"/>
    <w:rsid w:val="00DB4EC8"/>
    <w:rsid w:val="00DB4FB6"/>
    <w:rsid w:val="00DB5043"/>
    <w:rsid w:val="00DB5663"/>
    <w:rsid w:val="00DB5A39"/>
    <w:rsid w:val="00DB5C28"/>
    <w:rsid w:val="00DB5E08"/>
    <w:rsid w:val="00DB662E"/>
    <w:rsid w:val="00DB6B69"/>
    <w:rsid w:val="00DB6CB1"/>
    <w:rsid w:val="00DC0A60"/>
    <w:rsid w:val="00DC0EE0"/>
    <w:rsid w:val="00DC171E"/>
    <w:rsid w:val="00DC1A28"/>
    <w:rsid w:val="00DC1A48"/>
    <w:rsid w:val="00DC20B6"/>
    <w:rsid w:val="00DC2D8D"/>
    <w:rsid w:val="00DC4C0C"/>
    <w:rsid w:val="00DC4DEA"/>
    <w:rsid w:val="00DC4F7F"/>
    <w:rsid w:val="00DC511B"/>
    <w:rsid w:val="00DC5698"/>
    <w:rsid w:val="00DC636A"/>
    <w:rsid w:val="00DC6B79"/>
    <w:rsid w:val="00DC6ED3"/>
    <w:rsid w:val="00DC748E"/>
    <w:rsid w:val="00DD048F"/>
    <w:rsid w:val="00DD0C63"/>
    <w:rsid w:val="00DD132C"/>
    <w:rsid w:val="00DD13E6"/>
    <w:rsid w:val="00DD1996"/>
    <w:rsid w:val="00DD19F5"/>
    <w:rsid w:val="00DD1B52"/>
    <w:rsid w:val="00DD1DEC"/>
    <w:rsid w:val="00DD27D2"/>
    <w:rsid w:val="00DD280D"/>
    <w:rsid w:val="00DD37CE"/>
    <w:rsid w:val="00DD3C72"/>
    <w:rsid w:val="00DD40B3"/>
    <w:rsid w:val="00DD4D6B"/>
    <w:rsid w:val="00DD57DB"/>
    <w:rsid w:val="00DD6258"/>
    <w:rsid w:val="00DD7681"/>
    <w:rsid w:val="00DD7D80"/>
    <w:rsid w:val="00DD7DDB"/>
    <w:rsid w:val="00DE0139"/>
    <w:rsid w:val="00DE05DA"/>
    <w:rsid w:val="00DE0708"/>
    <w:rsid w:val="00DE07F1"/>
    <w:rsid w:val="00DE0FC3"/>
    <w:rsid w:val="00DE10CD"/>
    <w:rsid w:val="00DE1304"/>
    <w:rsid w:val="00DE23CD"/>
    <w:rsid w:val="00DE2D1E"/>
    <w:rsid w:val="00DE2ECD"/>
    <w:rsid w:val="00DE374B"/>
    <w:rsid w:val="00DE3D86"/>
    <w:rsid w:val="00DE4400"/>
    <w:rsid w:val="00DE4490"/>
    <w:rsid w:val="00DE47B5"/>
    <w:rsid w:val="00DE49A7"/>
    <w:rsid w:val="00DE4F56"/>
    <w:rsid w:val="00DE6565"/>
    <w:rsid w:val="00DE659E"/>
    <w:rsid w:val="00DE668E"/>
    <w:rsid w:val="00DE75CA"/>
    <w:rsid w:val="00DE78DB"/>
    <w:rsid w:val="00DF0953"/>
    <w:rsid w:val="00DF0A14"/>
    <w:rsid w:val="00DF12B7"/>
    <w:rsid w:val="00DF1CA1"/>
    <w:rsid w:val="00DF2C4D"/>
    <w:rsid w:val="00DF307E"/>
    <w:rsid w:val="00DF47B8"/>
    <w:rsid w:val="00DF4BA1"/>
    <w:rsid w:val="00DF536A"/>
    <w:rsid w:val="00DF5B95"/>
    <w:rsid w:val="00DF6C14"/>
    <w:rsid w:val="00DF74FA"/>
    <w:rsid w:val="00DF79D4"/>
    <w:rsid w:val="00DF7CCC"/>
    <w:rsid w:val="00DF7D77"/>
    <w:rsid w:val="00DF7D97"/>
    <w:rsid w:val="00E00B67"/>
    <w:rsid w:val="00E00B8E"/>
    <w:rsid w:val="00E00F96"/>
    <w:rsid w:val="00E0137B"/>
    <w:rsid w:val="00E0174C"/>
    <w:rsid w:val="00E02638"/>
    <w:rsid w:val="00E02743"/>
    <w:rsid w:val="00E02AAF"/>
    <w:rsid w:val="00E03158"/>
    <w:rsid w:val="00E036B5"/>
    <w:rsid w:val="00E03700"/>
    <w:rsid w:val="00E041D4"/>
    <w:rsid w:val="00E0443D"/>
    <w:rsid w:val="00E04452"/>
    <w:rsid w:val="00E0493F"/>
    <w:rsid w:val="00E05DC2"/>
    <w:rsid w:val="00E06B39"/>
    <w:rsid w:val="00E06E85"/>
    <w:rsid w:val="00E06E8C"/>
    <w:rsid w:val="00E073F5"/>
    <w:rsid w:val="00E07A96"/>
    <w:rsid w:val="00E07AB9"/>
    <w:rsid w:val="00E104D4"/>
    <w:rsid w:val="00E111D0"/>
    <w:rsid w:val="00E112D0"/>
    <w:rsid w:val="00E11396"/>
    <w:rsid w:val="00E114BA"/>
    <w:rsid w:val="00E11528"/>
    <w:rsid w:val="00E11B45"/>
    <w:rsid w:val="00E12001"/>
    <w:rsid w:val="00E12189"/>
    <w:rsid w:val="00E12984"/>
    <w:rsid w:val="00E129C9"/>
    <w:rsid w:val="00E12EB3"/>
    <w:rsid w:val="00E139F8"/>
    <w:rsid w:val="00E13DD7"/>
    <w:rsid w:val="00E1440D"/>
    <w:rsid w:val="00E14FB2"/>
    <w:rsid w:val="00E15766"/>
    <w:rsid w:val="00E15C2C"/>
    <w:rsid w:val="00E15EF9"/>
    <w:rsid w:val="00E16094"/>
    <w:rsid w:val="00E160DA"/>
    <w:rsid w:val="00E168F7"/>
    <w:rsid w:val="00E17071"/>
    <w:rsid w:val="00E17075"/>
    <w:rsid w:val="00E1755B"/>
    <w:rsid w:val="00E17DBC"/>
    <w:rsid w:val="00E17E43"/>
    <w:rsid w:val="00E17FE5"/>
    <w:rsid w:val="00E21185"/>
    <w:rsid w:val="00E2141C"/>
    <w:rsid w:val="00E21671"/>
    <w:rsid w:val="00E21A3C"/>
    <w:rsid w:val="00E2218E"/>
    <w:rsid w:val="00E22304"/>
    <w:rsid w:val="00E2388C"/>
    <w:rsid w:val="00E24781"/>
    <w:rsid w:val="00E248E3"/>
    <w:rsid w:val="00E25397"/>
    <w:rsid w:val="00E2567B"/>
    <w:rsid w:val="00E26937"/>
    <w:rsid w:val="00E27459"/>
    <w:rsid w:val="00E305E8"/>
    <w:rsid w:val="00E308D3"/>
    <w:rsid w:val="00E30C99"/>
    <w:rsid w:val="00E30E4A"/>
    <w:rsid w:val="00E316B9"/>
    <w:rsid w:val="00E32546"/>
    <w:rsid w:val="00E32E18"/>
    <w:rsid w:val="00E3322C"/>
    <w:rsid w:val="00E3356B"/>
    <w:rsid w:val="00E33AEC"/>
    <w:rsid w:val="00E33EA3"/>
    <w:rsid w:val="00E347A8"/>
    <w:rsid w:val="00E34C08"/>
    <w:rsid w:val="00E34DD7"/>
    <w:rsid w:val="00E35AA1"/>
    <w:rsid w:val="00E35D30"/>
    <w:rsid w:val="00E365BD"/>
    <w:rsid w:val="00E368B1"/>
    <w:rsid w:val="00E37923"/>
    <w:rsid w:val="00E40342"/>
    <w:rsid w:val="00E40AC4"/>
    <w:rsid w:val="00E40AC6"/>
    <w:rsid w:val="00E4117C"/>
    <w:rsid w:val="00E415FD"/>
    <w:rsid w:val="00E416E3"/>
    <w:rsid w:val="00E4211F"/>
    <w:rsid w:val="00E427DA"/>
    <w:rsid w:val="00E42870"/>
    <w:rsid w:val="00E42C49"/>
    <w:rsid w:val="00E42E53"/>
    <w:rsid w:val="00E43113"/>
    <w:rsid w:val="00E43125"/>
    <w:rsid w:val="00E43D19"/>
    <w:rsid w:val="00E440D8"/>
    <w:rsid w:val="00E44463"/>
    <w:rsid w:val="00E44713"/>
    <w:rsid w:val="00E44A87"/>
    <w:rsid w:val="00E44BF2"/>
    <w:rsid w:val="00E44D69"/>
    <w:rsid w:val="00E46831"/>
    <w:rsid w:val="00E46D16"/>
    <w:rsid w:val="00E474C7"/>
    <w:rsid w:val="00E478E9"/>
    <w:rsid w:val="00E47AB3"/>
    <w:rsid w:val="00E502F3"/>
    <w:rsid w:val="00E51953"/>
    <w:rsid w:val="00E519C1"/>
    <w:rsid w:val="00E525AA"/>
    <w:rsid w:val="00E52982"/>
    <w:rsid w:val="00E53B37"/>
    <w:rsid w:val="00E53B73"/>
    <w:rsid w:val="00E54208"/>
    <w:rsid w:val="00E54917"/>
    <w:rsid w:val="00E5578B"/>
    <w:rsid w:val="00E55BBB"/>
    <w:rsid w:val="00E55BFC"/>
    <w:rsid w:val="00E55E4C"/>
    <w:rsid w:val="00E5647A"/>
    <w:rsid w:val="00E57DC5"/>
    <w:rsid w:val="00E600D8"/>
    <w:rsid w:val="00E60D3E"/>
    <w:rsid w:val="00E6119F"/>
    <w:rsid w:val="00E61535"/>
    <w:rsid w:val="00E615AE"/>
    <w:rsid w:val="00E61CFC"/>
    <w:rsid w:val="00E61CFD"/>
    <w:rsid w:val="00E61D89"/>
    <w:rsid w:val="00E623C0"/>
    <w:rsid w:val="00E6279A"/>
    <w:rsid w:val="00E62AA1"/>
    <w:rsid w:val="00E63101"/>
    <w:rsid w:val="00E632D1"/>
    <w:rsid w:val="00E63B60"/>
    <w:rsid w:val="00E648FB"/>
    <w:rsid w:val="00E64F19"/>
    <w:rsid w:val="00E65393"/>
    <w:rsid w:val="00E6543E"/>
    <w:rsid w:val="00E65D3D"/>
    <w:rsid w:val="00E6683A"/>
    <w:rsid w:val="00E66DD7"/>
    <w:rsid w:val="00E679C1"/>
    <w:rsid w:val="00E67EFF"/>
    <w:rsid w:val="00E67F3D"/>
    <w:rsid w:val="00E70657"/>
    <w:rsid w:val="00E706AE"/>
    <w:rsid w:val="00E708C0"/>
    <w:rsid w:val="00E70BF5"/>
    <w:rsid w:val="00E71D58"/>
    <w:rsid w:val="00E728A8"/>
    <w:rsid w:val="00E72B95"/>
    <w:rsid w:val="00E7324A"/>
    <w:rsid w:val="00E7380D"/>
    <w:rsid w:val="00E738A6"/>
    <w:rsid w:val="00E73CD5"/>
    <w:rsid w:val="00E73F9B"/>
    <w:rsid w:val="00E746A0"/>
    <w:rsid w:val="00E74A61"/>
    <w:rsid w:val="00E74CF1"/>
    <w:rsid w:val="00E74F75"/>
    <w:rsid w:val="00E75202"/>
    <w:rsid w:val="00E754C9"/>
    <w:rsid w:val="00E755D2"/>
    <w:rsid w:val="00E757E1"/>
    <w:rsid w:val="00E759C8"/>
    <w:rsid w:val="00E75B55"/>
    <w:rsid w:val="00E75CCF"/>
    <w:rsid w:val="00E765DB"/>
    <w:rsid w:val="00E77088"/>
    <w:rsid w:val="00E77741"/>
    <w:rsid w:val="00E77A8F"/>
    <w:rsid w:val="00E77C76"/>
    <w:rsid w:val="00E77CD9"/>
    <w:rsid w:val="00E804AE"/>
    <w:rsid w:val="00E805DA"/>
    <w:rsid w:val="00E80BDF"/>
    <w:rsid w:val="00E80F54"/>
    <w:rsid w:val="00E812DF"/>
    <w:rsid w:val="00E8133A"/>
    <w:rsid w:val="00E814D4"/>
    <w:rsid w:val="00E81681"/>
    <w:rsid w:val="00E823CF"/>
    <w:rsid w:val="00E829A4"/>
    <w:rsid w:val="00E82DFB"/>
    <w:rsid w:val="00E83226"/>
    <w:rsid w:val="00E832A1"/>
    <w:rsid w:val="00E839B2"/>
    <w:rsid w:val="00E83C6F"/>
    <w:rsid w:val="00E8429F"/>
    <w:rsid w:val="00E8439D"/>
    <w:rsid w:val="00E846BA"/>
    <w:rsid w:val="00E84A3C"/>
    <w:rsid w:val="00E856BF"/>
    <w:rsid w:val="00E859EF"/>
    <w:rsid w:val="00E85AA5"/>
    <w:rsid w:val="00E86181"/>
    <w:rsid w:val="00E86F5E"/>
    <w:rsid w:val="00E87051"/>
    <w:rsid w:val="00E87135"/>
    <w:rsid w:val="00E87698"/>
    <w:rsid w:val="00E87868"/>
    <w:rsid w:val="00E87B3A"/>
    <w:rsid w:val="00E9043C"/>
    <w:rsid w:val="00E9086B"/>
    <w:rsid w:val="00E909DF"/>
    <w:rsid w:val="00E90BFE"/>
    <w:rsid w:val="00E919FF"/>
    <w:rsid w:val="00E91EC9"/>
    <w:rsid w:val="00E9206B"/>
    <w:rsid w:val="00E9212D"/>
    <w:rsid w:val="00E92AD3"/>
    <w:rsid w:val="00E9338B"/>
    <w:rsid w:val="00E938C6"/>
    <w:rsid w:val="00E93A8F"/>
    <w:rsid w:val="00E93B01"/>
    <w:rsid w:val="00E94720"/>
    <w:rsid w:val="00E94723"/>
    <w:rsid w:val="00E94F93"/>
    <w:rsid w:val="00E955A0"/>
    <w:rsid w:val="00E956DE"/>
    <w:rsid w:val="00E95A15"/>
    <w:rsid w:val="00E96109"/>
    <w:rsid w:val="00E964EF"/>
    <w:rsid w:val="00E97136"/>
    <w:rsid w:val="00E976CE"/>
    <w:rsid w:val="00EA07F1"/>
    <w:rsid w:val="00EA0A7E"/>
    <w:rsid w:val="00EA176F"/>
    <w:rsid w:val="00EA254C"/>
    <w:rsid w:val="00EA287C"/>
    <w:rsid w:val="00EA2959"/>
    <w:rsid w:val="00EA335C"/>
    <w:rsid w:val="00EA3CDC"/>
    <w:rsid w:val="00EA4E35"/>
    <w:rsid w:val="00EA5306"/>
    <w:rsid w:val="00EA5465"/>
    <w:rsid w:val="00EA5976"/>
    <w:rsid w:val="00EA6151"/>
    <w:rsid w:val="00EA6246"/>
    <w:rsid w:val="00EA65B6"/>
    <w:rsid w:val="00EA666E"/>
    <w:rsid w:val="00EA719B"/>
    <w:rsid w:val="00EA7201"/>
    <w:rsid w:val="00EA7672"/>
    <w:rsid w:val="00EA76CC"/>
    <w:rsid w:val="00EA7FF4"/>
    <w:rsid w:val="00EB0645"/>
    <w:rsid w:val="00EB133E"/>
    <w:rsid w:val="00EB1B5D"/>
    <w:rsid w:val="00EB20E7"/>
    <w:rsid w:val="00EB2384"/>
    <w:rsid w:val="00EB2666"/>
    <w:rsid w:val="00EB29C1"/>
    <w:rsid w:val="00EB2BB6"/>
    <w:rsid w:val="00EB303A"/>
    <w:rsid w:val="00EB4068"/>
    <w:rsid w:val="00EB49E7"/>
    <w:rsid w:val="00EB50F9"/>
    <w:rsid w:val="00EB5342"/>
    <w:rsid w:val="00EB5497"/>
    <w:rsid w:val="00EB6132"/>
    <w:rsid w:val="00EB641B"/>
    <w:rsid w:val="00EB643F"/>
    <w:rsid w:val="00EB69D3"/>
    <w:rsid w:val="00EB6A3E"/>
    <w:rsid w:val="00EB7ECF"/>
    <w:rsid w:val="00EC012D"/>
    <w:rsid w:val="00EC01D5"/>
    <w:rsid w:val="00EC03C0"/>
    <w:rsid w:val="00EC078A"/>
    <w:rsid w:val="00EC0DE5"/>
    <w:rsid w:val="00EC1A61"/>
    <w:rsid w:val="00EC1C24"/>
    <w:rsid w:val="00EC20CD"/>
    <w:rsid w:val="00EC2497"/>
    <w:rsid w:val="00EC24CB"/>
    <w:rsid w:val="00EC2754"/>
    <w:rsid w:val="00EC2AAB"/>
    <w:rsid w:val="00EC3758"/>
    <w:rsid w:val="00EC41B0"/>
    <w:rsid w:val="00EC51E8"/>
    <w:rsid w:val="00EC5696"/>
    <w:rsid w:val="00EC5C77"/>
    <w:rsid w:val="00EC5D99"/>
    <w:rsid w:val="00EC60C2"/>
    <w:rsid w:val="00EC660B"/>
    <w:rsid w:val="00EC6861"/>
    <w:rsid w:val="00EC7F97"/>
    <w:rsid w:val="00ED01D3"/>
    <w:rsid w:val="00ED0CCB"/>
    <w:rsid w:val="00ED15B1"/>
    <w:rsid w:val="00ED16C9"/>
    <w:rsid w:val="00ED1A8D"/>
    <w:rsid w:val="00ED2196"/>
    <w:rsid w:val="00ED24E4"/>
    <w:rsid w:val="00ED25B9"/>
    <w:rsid w:val="00ED2626"/>
    <w:rsid w:val="00ED305B"/>
    <w:rsid w:val="00ED355C"/>
    <w:rsid w:val="00ED3956"/>
    <w:rsid w:val="00ED42D1"/>
    <w:rsid w:val="00ED477A"/>
    <w:rsid w:val="00ED4C1C"/>
    <w:rsid w:val="00ED4C37"/>
    <w:rsid w:val="00ED5579"/>
    <w:rsid w:val="00ED55C8"/>
    <w:rsid w:val="00ED5DAA"/>
    <w:rsid w:val="00ED5E36"/>
    <w:rsid w:val="00ED630A"/>
    <w:rsid w:val="00ED7FA9"/>
    <w:rsid w:val="00EE0009"/>
    <w:rsid w:val="00EE08B6"/>
    <w:rsid w:val="00EE0DBA"/>
    <w:rsid w:val="00EE0F95"/>
    <w:rsid w:val="00EE1F34"/>
    <w:rsid w:val="00EE2474"/>
    <w:rsid w:val="00EE2682"/>
    <w:rsid w:val="00EE2C04"/>
    <w:rsid w:val="00EE3205"/>
    <w:rsid w:val="00EE34DE"/>
    <w:rsid w:val="00EE3BDA"/>
    <w:rsid w:val="00EE43DB"/>
    <w:rsid w:val="00EE49EF"/>
    <w:rsid w:val="00EE6398"/>
    <w:rsid w:val="00EE6CA0"/>
    <w:rsid w:val="00EE6CCD"/>
    <w:rsid w:val="00EE710C"/>
    <w:rsid w:val="00EE71AE"/>
    <w:rsid w:val="00EE763C"/>
    <w:rsid w:val="00EE7A23"/>
    <w:rsid w:val="00EF040A"/>
    <w:rsid w:val="00EF06AA"/>
    <w:rsid w:val="00EF0DC3"/>
    <w:rsid w:val="00EF0EA5"/>
    <w:rsid w:val="00EF1292"/>
    <w:rsid w:val="00EF1820"/>
    <w:rsid w:val="00EF2118"/>
    <w:rsid w:val="00EF280A"/>
    <w:rsid w:val="00EF289B"/>
    <w:rsid w:val="00EF2F9B"/>
    <w:rsid w:val="00EF319A"/>
    <w:rsid w:val="00EF3CDD"/>
    <w:rsid w:val="00EF40ED"/>
    <w:rsid w:val="00EF4342"/>
    <w:rsid w:val="00EF498A"/>
    <w:rsid w:val="00EF4B68"/>
    <w:rsid w:val="00EF4C7E"/>
    <w:rsid w:val="00EF4F78"/>
    <w:rsid w:val="00EF58FC"/>
    <w:rsid w:val="00EF59EC"/>
    <w:rsid w:val="00EF63F9"/>
    <w:rsid w:val="00EF7224"/>
    <w:rsid w:val="00EF7454"/>
    <w:rsid w:val="00EF75B6"/>
    <w:rsid w:val="00EF7844"/>
    <w:rsid w:val="00EF79CB"/>
    <w:rsid w:val="00F00E55"/>
    <w:rsid w:val="00F01FDB"/>
    <w:rsid w:val="00F03417"/>
    <w:rsid w:val="00F038B7"/>
    <w:rsid w:val="00F03FE1"/>
    <w:rsid w:val="00F043D5"/>
    <w:rsid w:val="00F04429"/>
    <w:rsid w:val="00F04649"/>
    <w:rsid w:val="00F04CBD"/>
    <w:rsid w:val="00F04D69"/>
    <w:rsid w:val="00F04E5E"/>
    <w:rsid w:val="00F04F46"/>
    <w:rsid w:val="00F057E2"/>
    <w:rsid w:val="00F0599B"/>
    <w:rsid w:val="00F063C0"/>
    <w:rsid w:val="00F0644F"/>
    <w:rsid w:val="00F06734"/>
    <w:rsid w:val="00F06985"/>
    <w:rsid w:val="00F07234"/>
    <w:rsid w:val="00F07262"/>
    <w:rsid w:val="00F072B7"/>
    <w:rsid w:val="00F07476"/>
    <w:rsid w:val="00F07A71"/>
    <w:rsid w:val="00F10321"/>
    <w:rsid w:val="00F103D5"/>
    <w:rsid w:val="00F10579"/>
    <w:rsid w:val="00F107D1"/>
    <w:rsid w:val="00F10BCE"/>
    <w:rsid w:val="00F10E7C"/>
    <w:rsid w:val="00F11592"/>
    <w:rsid w:val="00F119FB"/>
    <w:rsid w:val="00F11A64"/>
    <w:rsid w:val="00F11A86"/>
    <w:rsid w:val="00F11C2C"/>
    <w:rsid w:val="00F12778"/>
    <w:rsid w:val="00F13053"/>
    <w:rsid w:val="00F1305C"/>
    <w:rsid w:val="00F130FB"/>
    <w:rsid w:val="00F13A0C"/>
    <w:rsid w:val="00F13F59"/>
    <w:rsid w:val="00F14DAF"/>
    <w:rsid w:val="00F14FAC"/>
    <w:rsid w:val="00F15BE0"/>
    <w:rsid w:val="00F16788"/>
    <w:rsid w:val="00F169F5"/>
    <w:rsid w:val="00F16CAA"/>
    <w:rsid w:val="00F177D7"/>
    <w:rsid w:val="00F178AA"/>
    <w:rsid w:val="00F178DA"/>
    <w:rsid w:val="00F2000B"/>
    <w:rsid w:val="00F2052D"/>
    <w:rsid w:val="00F210B3"/>
    <w:rsid w:val="00F21123"/>
    <w:rsid w:val="00F21B19"/>
    <w:rsid w:val="00F223D0"/>
    <w:rsid w:val="00F224C2"/>
    <w:rsid w:val="00F2264E"/>
    <w:rsid w:val="00F22C61"/>
    <w:rsid w:val="00F23423"/>
    <w:rsid w:val="00F243E7"/>
    <w:rsid w:val="00F244C7"/>
    <w:rsid w:val="00F2451B"/>
    <w:rsid w:val="00F245C6"/>
    <w:rsid w:val="00F24733"/>
    <w:rsid w:val="00F24E91"/>
    <w:rsid w:val="00F26515"/>
    <w:rsid w:val="00F27A94"/>
    <w:rsid w:val="00F27C9C"/>
    <w:rsid w:val="00F27F17"/>
    <w:rsid w:val="00F30BF1"/>
    <w:rsid w:val="00F30C32"/>
    <w:rsid w:val="00F3139F"/>
    <w:rsid w:val="00F31E42"/>
    <w:rsid w:val="00F31E9F"/>
    <w:rsid w:val="00F32157"/>
    <w:rsid w:val="00F32343"/>
    <w:rsid w:val="00F324AA"/>
    <w:rsid w:val="00F32729"/>
    <w:rsid w:val="00F32972"/>
    <w:rsid w:val="00F3301A"/>
    <w:rsid w:val="00F33099"/>
    <w:rsid w:val="00F333CB"/>
    <w:rsid w:val="00F335C3"/>
    <w:rsid w:val="00F33721"/>
    <w:rsid w:val="00F337F6"/>
    <w:rsid w:val="00F34387"/>
    <w:rsid w:val="00F347D3"/>
    <w:rsid w:val="00F352E7"/>
    <w:rsid w:val="00F359F0"/>
    <w:rsid w:val="00F36394"/>
    <w:rsid w:val="00F364B7"/>
    <w:rsid w:val="00F36AD3"/>
    <w:rsid w:val="00F37C86"/>
    <w:rsid w:val="00F400B7"/>
    <w:rsid w:val="00F400E1"/>
    <w:rsid w:val="00F4047F"/>
    <w:rsid w:val="00F42029"/>
    <w:rsid w:val="00F420F1"/>
    <w:rsid w:val="00F4239F"/>
    <w:rsid w:val="00F42D72"/>
    <w:rsid w:val="00F43AAF"/>
    <w:rsid w:val="00F43B9D"/>
    <w:rsid w:val="00F43C13"/>
    <w:rsid w:val="00F43F96"/>
    <w:rsid w:val="00F44231"/>
    <w:rsid w:val="00F448F4"/>
    <w:rsid w:val="00F45650"/>
    <w:rsid w:val="00F456BA"/>
    <w:rsid w:val="00F4573C"/>
    <w:rsid w:val="00F466C2"/>
    <w:rsid w:val="00F46839"/>
    <w:rsid w:val="00F46B0B"/>
    <w:rsid w:val="00F46D56"/>
    <w:rsid w:val="00F46F20"/>
    <w:rsid w:val="00F477F4"/>
    <w:rsid w:val="00F47E80"/>
    <w:rsid w:val="00F50606"/>
    <w:rsid w:val="00F50689"/>
    <w:rsid w:val="00F50976"/>
    <w:rsid w:val="00F50C2C"/>
    <w:rsid w:val="00F50C36"/>
    <w:rsid w:val="00F50D75"/>
    <w:rsid w:val="00F50EA1"/>
    <w:rsid w:val="00F51797"/>
    <w:rsid w:val="00F51845"/>
    <w:rsid w:val="00F5222D"/>
    <w:rsid w:val="00F524BB"/>
    <w:rsid w:val="00F5274A"/>
    <w:rsid w:val="00F528FD"/>
    <w:rsid w:val="00F53114"/>
    <w:rsid w:val="00F5459D"/>
    <w:rsid w:val="00F5464C"/>
    <w:rsid w:val="00F55372"/>
    <w:rsid w:val="00F560B3"/>
    <w:rsid w:val="00F56531"/>
    <w:rsid w:val="00F5668C"/>
    <w:rsid w:val="00F57228"/>
    <w:rsid w:val="00F5753E"/>
    <w:rsid w:val="00F57743"/>
    <w:rsid w:val="00F57FCF"/>
    <w:rsid w:val="00F6093B"/>
    <w:rsid w:val="00F60961"/>
    <w:rsid w:val="00F60DA2"/>
    <w:rsid w:val="00F60EB9"/>
    <w:rsid w:val="00F60EBF"/>
    <w:rsid w:val="00F61B56"/>
    <w:rsid w:val="00F6218B"/>
    <w:rsid w:val="00F62B41"/>
    <w:rsid w:val="00F62FD9"/>
    <w:rsid w:val="00F6310E"/>
    <w:rsid w:val="00F644AA"/>
    <w:rsid w:val="00F64B14"/>
    <w:rsid w:val="00F65257"/>
    <w:rsid w:val="00F6600B"/>
    <w:rsid w:val="00F66B6C"/>
    <w:rsid w:val="00F6714E"/>
    <w:rsid w:val="00F67303"/>
    <w:rsid w:val="00F6735A"/>
    <w:rsid w:val="00F70991"/>
    <w:rsid w:val="00F70C6A"/>
    <w:rsid w:val="00F70F1F"/>
    <w:rsid w:val="00F71405"/>
    <w:rsid w:val="00F71DC4"/>
    <w:rsid w:val="00F71F14"/>
    <w:rsid w:val="00F72207"/>
    <w:rsid w:val="00F723CE"/>
    <w:rsid w:val="00F732AC"/>
    <w:rsid w:val="00F73868"/>
    <w:rsid w:val="00F738BE"/>
    <w:rsid w:val="00F73B4B"/>
    <w:rsid w:val="00F73B4E"/>
    <w:rsid w:val="00F73E26"/>
    <w:rsid w:val="00F756B9"/>
    <w:rsid w:val="00F759E2"/>
    <w:rsid w:val="00F75A33"/>
    <w:rsid w:val="00F75C2F"/>
    <w:rsid w:val="00F75EFE"/>
    <w:rsid w:val="00F75FFF"/>
    <w:rsid w:val="00F774CA"/>
    <w:rsid w:val="00F77670"/>
    <w:rsid w:val="00F802E2"/>
    <w:rsid w:val="00F805A9"/>
    <w:rsid w:val="00F80D72"/>
    <w:rsid w:val="00F817D7"/>
    <w:rsid w:val="00F8199B"/>
    <w:rsid w:val="00F81FA1"/>
    <w:rsid w:val="00F81FE6"/>
    <w:rsid w:val="00F82153"/>
    <w:rsid w:val="00F823B8"/>
    <w:rsid w:val="00F82BDD"/>
    <w:rsid w:val="00F82F79"/>
    <w:rsid w:val="00F83372"/>
    <w:rsid w:val="00F83389"/>
    <w:rsid w:val="00F8364A"/>
    <w:rsid w:val="00F83657"/>
    <w:rsid w:val="00F836D5"/>
    <w:rsid w:val="00F83965"/>
    <w:rsid w:val="00F83EDD"/>
    <w:rsid w:val="00F84767"/>
    <w:rsid w:val="00F84F78"/>
    <w:rsid w:val="00F856B3"/>
    <w:rsid w:val="00F85AB5"/>
    <w:rsid w:val="00F86C0D"/>
    <w:rsid w:val="00F87294"/>
    <w:rsid w:val="00F874ED"/>
    <w:rsid w:val="00F90028"/>
    <w:rsid w:val="00F9051A"/>
    <w:rsid w:val="00F90E66"/>
    <w:rsid w:val="00F9190D"/>
    <w:rsid w:val="00F91BD3"/>
    <w:rsid w:val="00F92930"/>
    <w:rsid w:val="00F92C06"/>
    <w:rsid w:val="00F92D5C"/>
    <w:rsid w:val="00F936BD"/>
    <w:rsid w:val="00F9391C"/>
    <w:rsid w:val="00F93DFE"/>
    <w:rsid w:val="00F9459E"/>
    <w:rsid w:val="00F94A15"/>
    <w:rsid w:val="00F94BD8"/>
    <w:rsid w:val="00F959AC"/>
    <w:rsid w:val="00F965C7"/>
    <w:rsid w:val="00F965F4"/>
    <w:rsid w:val="00F9684C"/>
    <w:rsid w:val="00F96A48"/>
    <w:rsid w:val="00F96AA2"/>
    <w:rsid w:val="00F9742E"/>
    <w:rsid w:val="00F9755C"/>
    <w:rsid w:val="00F97792"/>
    <w:rsid w:val="00F97A1B"/>
    <w:rsid w:val="00F97A7C"/>
    <w:rsid w:val="00FA0156"/>
    <w:rsid w:val="00FA045F"/>
    <w:rsid w:val="00FA08F6"/>
    <w:rsid w:val="00FA0C78"/>
    <w:rsid w:val="00FA0E63"/>
    <w:rsid w:val="00FA110B"/>
    <w:rsid w:val="00FA1ECC"/>
    <w:rsid w:val="00FA1FDE"/>
    <w:rsid w:val="00FA29E3"/>
    <w:rsid w:val="00FA3254"/>
    <w:rsid w:val="00FA3407"/>
    <w:rsid w:val="00FA36B9"/>
    <w:rsid w:val="00FA37B5"/>
    <w:rsid w:val="00FA4173"/>
    <w:rsid w:val="00FA4664"/>
    <w:rsid w:val="00FA5C32"/>
    <w:rsid w:val="00FA5D9A"/>
    <w:rsid w:val="00FA6261"/>
    <w:rsid w:val="00FA652D"/>
    <w:rsid w:val="00FA6855"/>
    <w:rsid w:val="00FA769F"/>
    <w:rsid w:val="00FA7CFD"/>
    <w:rsid w:val="00FA7E74"/>
    <w:rsid w:val="00FB01FD"/>
    <w:rsid w:val="00FB0A4E"/>
    <w:rsid w:val="00FB0CD0"/>
    <w:rsid w:val="00FB0ED1"/>
    <w:rsid w:val="00FB0F97"/>
    <w:rsid w:val="00FB1680"/>
    <w:rsid w:val="00FB240F"/>
    <w:rsid w:val="00FB2E6D"/>
    <w:rsid w:val="00FB3BD2"/>
    <w:rsid w:val="00FB42E6"/>
    <w:rsid w:val="00FB49BD"/>
    <w:rsid w:val="00FB4BA7"/>
    <w:rsid w:val="00FB4FA2"/>
    <w:rsid w:val="00FB53FF"/>
    <w:rsid w:val="00FB5D63"/>
    <w:rsid w:val="00FB6444"/>
    <w:rsid w:val="00FB684F"/>
    <w:rsid w:val="00FB68D1"/>
    <w:rsid w:val="00FB6C9A"/>
    <w:rsid w:val="00FB6D16"/>
    <w:rsid w:val="00FB7075"/>
    <w:rsid w:val="00FB757B"/>
    <w:rsid w:val="00FB7887"/>
    <w:rsid w:val="00FB7939"/>
    <w:rsid w:val="00FC0719"/>
    <w:rsid w:val="00FC1BD8"/>
    <w:rsid w:val="00FC1D5D"/>
    <w:rsid w:val="00FC204D"/>
    <w:rsid w:val="00FC205A"/>
    <w:rsid w:val="00FC2C23"/>
    <w:rsid w:val="00FC3110"/>
    <w:rsid w:val="00FC340D"/>
    <w:rsid w:val="00FC36A6"/>
    <w:rsid w:val="00FC3951"/>
    <w:rsid w:val="00FC3A0A"/>
    <w:rsid w:val="00FC4CD7"/>
    <w:rsid w:val="00FC4D16"/>
    <w:rsid w:val="00FC5E27"/>
    <w:rsid w:val="00FC5E4F"/>
    <w:rsid w:val="00FC5FF9"/>
    <w:rsid w:val="00FC626C"/>
    <w:rsid w:val="00FC6752"/>
    <w:rsid w:val="00FC69D9"/>
    <w:rsid w:val="00FC69F1"/>
    <w:rsid w:val="00FC732B"/>
    <w:rsid w:val="00FC7744"/>
    <w:rsid w:val="00FC7AAA"/>
    <w:rsid w:val="00FC7AAC"/>
    <w:rsid w:val="00FC7C69"/>
    <w:rsid w:val="00FD0F6F"/>
    <w:rsid w:val="00FD18A9"/>
    <w:rsid w:val="00FD1F2C"/>
    <w:rsid w:val="00FD1F49"/>
    <w:rsid w:val="00FD2252"/>
    <w:rsid w:val="00FD2B4E"/>
    <w:rsid w:val="00FD3393"/>
    <w:rsid w:val="00FD4BE7"/>
    <w:rsid w:val="00FD6962"/>
    <w:rsid w:val="00FD6B4F"/>
    <w:rsid w:val="00FE073F"/>
    <w:rsid w:val="00FE0A94"/>
    <w:rsid w:val="00FE0DAB"/>
    <w:rsid w:val="00FE1261"/>
    <w:rsid w:val="00FE161A"/>
    <w:rsid w:val="00FE1AF4"/>
    <w:rsid w:val="00FE239C"/>
    <w:rsid w:val="00FE2825"/>
    <w:rsid w:val="00FE2A13"/>
    <w:rsid w:val="00FE2A57"/>
    <w:rsid w:val="00FE2DD1"/>
    <w:rsid w:val="00FE2ED8"/>
    <w:rsid w:val="00FE367E"/>
    <w:rsid w:val="00FE3BE9"/>
    <w:rsid w:val="00FE45E9"/>
    <w:rsid w:val="00FE4A30"/>
    <w:rsid w:val="00FE538C"/>
    <w:rsid w:val="00FE5512"/>
    <w:rsid w:val="00FE5F18"/>
    <w:rsid w:val="00FE6950"/>
    <w:rsid w:val="00FE6AC9"/>
    <w:rsid w:val="00FE717C"/>
    <w:rsid w:val="00FE754B"/>
    <w:rsid w:val="00FE7898"/>
    <w:rsid w:val="00FE7992"/>
    <w:rsid w:val="00FF01FD"/>
    <w:rsid w:val="00FF02DB"/>
    <w:rsid w:val="00FF05C8"/>
    <w:rsid w:val="00FF0742"/>
    <w:rsid w:val="00FF1FBE"/>
    <w:rsid w:val="00FF21D4"/>
    <w:rsid w:val="00FF2E95"/>
    <w:rsid w:val="00FF2EB2"/>
    <w:rsid w:val="00FF4356"/>
    <w:rsid w:val="00FF4C88"/>
    <w:rsid w:val="00FF4E93"/>
    <w:rsid w:val="00FF502A"/>
    <w:rsid w:val="00FF530C"/>
    <w:rsid w:val="00FF554F"/>
    <w:rsid w:val="00FF6247"/>
    <w:rsid w:val="00FF68A8"/>
    <w:rsid w:val="00FF6C54"/>
    <w:rsid w:val="00FF6C5B"/>
    <w:rsid w:val="00FF733E"/>
    <w:rsid w:val="00FF7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Diplomka"/>
    <w:qFormat/>
    <w:rsid w:val="00FC340D"/>
    <w:pPr>
      <w:spacing w:after="200" w:line="360" w:lineRule="auto"/>
      <w:jc w:val="both"/>
    </w:pPr>
    <w:rPr>
      <w:rFonts w:ascii="Times New Roman" w:hAnsi="Times New Roman"/>
      <w:sz w:val="24"/>
      <w:szCs w:val="22"/>
      <w:lang w:eastAsia="en-US"/>
    </w:rPr>
  </w:style>
  <w:style w:type="paragraph" w:styleId="Nadpis1">
    <w:name w:val="heading 1"/>
    <w:basedOn w:val="Bezmezer"/>
    <w:next w:val="Normln"/>
    <w:link w:val="Nadpis1Char"/>
    <w:uiPriority w:val="9"/>
    <w:qFormat/>
    <w:rsid w:val="00CD0DD7"/>
    <w:pPr>
      <w:outlineLvl w:val="0"/>
    </w:pPr>
  </w:style>
  <w:style w:type="paragraph" w:styleId="Nadpis2">
    <w:name w:val="heading 2"/>
    <w:basedOn w:val="Normln"/>
    <w:next w:val="Normln"/>
    <w:link w:val="Nadpis2Char"/>
    <w:uiPriority w:val="9"/>
    <w:unhideWhenUsed/>
    <w:qFormat/>
    <w:rsid w:val="00CD0DD7"/>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D218AC"/>
    <w:pPr>
      <w:keepNext/>
      <w:spacing w:before="240" w:after="60"/>
      <w:outlineLvl w:val="2"/>
    </w:pPr>
    <w:rPr>
      <w:rFonts w:eastAsia="Times New Roman"/>
      <w:b/>
      <w:bCs/>
      <w:szCs w:val="26"/>
    </w:rPr>
  </w:style>
  <w:style w:type="paragraph" w:styleId="Nadpis4">
    <w:name w:val="heading 4"/>
    <w:basedOn w:val="Normln"/>
    <w:next w:val="Normln"/>
    <w:link w:val="Nadpis4Char"/>
    <w:uiPriority w:val="9"/>
    <w:unhideWhenUsed/>
    <w:qFormat/>
    <w:rsid w:val="008B3D91"/>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C340D"/>
    <w:rPr>
      <w:sz w:val="20"/>
      <w:szCs w:val="20"/>
    </w:rPr>
  </w:style>
  <w:style w:type="character" w:customStyle="1" w:styleId="TextpoznpodarouChar">
    <w:name w:val="Text pozn. pod čarou Char"/>
    <w:link w:val="Textpoznpodarou"/>
    <w:uiPriority w:val="99"/>
    <w:rsid w:val="00FC340D"/>
    <w:rPr>
      <w:rFonts w:ascii="Times New Roman" w:hAnsi="Times New Roman"/>
      <w:lang w:eastAsia="en-US"/>
    </w:rPr>
  </w:style>
  <w:style w:type="character" w:styleId="Znakapoznpodarou">
    <w:name w:val="footnote reference"/>
    <w:uiPriority w:val="99"/>
    <w:unhideWhenUsed/>
    <w:rsid w:val="00FC340D"/>
    <w:rPr>
      <w:vertAlign w:val="superscript"/>
    </w:rPr>
  </w:style>
  <w:style w:type="paragraph" w:customStyle="1" w:styleId="DiplTEXT">
    <w:name w:val="Dipl. TEXT"/>
    <w:basedOn w:val="Normln"/>
    <w:link w:val="DiplTEXTChar"/>
    <w:qFormat/>
    <w:rsid w:val="009E61A7"/>
    <w:rPr>
      <w:szCs w:val="24"/>
    </w:rPr>
  </w:style>
  <w:style w:type="paragraph" w:customStyle="1" w:styleId="Poznamky">
    <w:name w:val="Poznamky"/>
    <w:basedOn w:val="Citt"/>
    <w:next w:val="Normln"/>
    <w:link w:val="PoznamkyChar"/>
    <w:qFormat/>
    <w:rsid w:val="009E61A7"/>
    <w:pPr>
      <w:spacing w:after="0" w:line="240" w:lineRule="auto"/>
      <w:contextualSpacing/>
    </w:pPr>
    <w:rPr>
      <w:sz w:val="20"/>
      <w:szCs w:val="20"/>
    </w:rPr>
  </w:style>
  <w:style w:type="character" w:customStyle="1" w:styleId="DiplTEXTChar">
    <w:name w:val="Dipl. TEXT Char"/>
    <w:link w:val="DiplTEXT"/>
    <w:rsid w:val="009E61A7"/>
    <w:rPr>
      <w:rFonts w:ascii="Times New Roman" w:hAnsi="Times New Roman"/>
      <w:sz w:val="24"/>
      <w:szCs w:val="24"/>
      <w:lang w:eastAsia="en-US"/>
    </w:rPr>
  </w:style>
  <w:style w:type="character" w:customStyle="1" w:styleId="PoznamkyChar">
    <w:name w:val="Poznamky Char"/>
    <w:link w:val="Poznamky"/>
    <w:rsid w:val="009E61A7"/>
    <w:rPr>
      <w:rFonts w:ascii="Times New Roman" w:hAnsi="Times New Roman"/>
      <w:i/>
      <w:iCs/>
      <w:color w:val="000000"/>
      <w:lang w:eastAsia="en-US"/>
    </w:rPr>
  </w:style>
  <w:style w:type="paragraph" w:styleId="Citt">
    <w:name w:val="Quote"/>
    <w:aliases w:val="Citace"/>
    <w:basedOn w:val="Normln"/>
    <w:next w:val="Normln"/>
    <w:link w:val="CittChar"/>
    <w:uiPriority w:val="29"/>
    <w:qFormat/>
    <w:rsid w:val="009E61A7"/>
    <w:rPr>
      <w:i/>
      <w:iCs/>
      <w:color w:val="000000"/>
    </w:rPr>
  </w:style>
  <w:style w:type="character" w:customStyle="1" w:styleId="CittChar">
    <w:name w:val="Citát Char"/>
    <w:aliases w:val="Citace Char"/>
    <w:link w:val="Citt"/>
    <w:uiPriority w:val="29"/>
    <w:rsid w:val="009E61A7"/>
    <w:rPr>
      <w:rFonts w:ascii="Times New Roman" w:hAnsi="Times New Roman"/>
      <w:i/>
      <w:iCs/>
      <w:color w:val="000000"/>
      <w:sz w:val="24"/>
      <w:szCs w:val="22"/>
      <w:lang w:eastAsia="en-US"/>
    </w:rPr>
  </w:style>
  <w:style w:type="character" w:styleId="Odkaznavysvtlivky">
    <w:name w:val="endnote reference"/>
    <w:uiPriority w:val="99"/>
    <w:semiHidden/>
    <w:unhideWhenUsed/>
    <w:rsid w:val="0015793B"/>
    <w:rPr>
      <w:vertAlign w:val="superscript"/>
    </w:rPr>
  </w:style>
  <w:style w:type="character" w:customStyle="1" w:styleId="Nadpis1Char">
    <w:name w:val="Nadpis 1 Char"/>
    <w:link w:val="Nadpis1"/>
    <w:uiPriority w:val="9"/>
    <w:rsid w:val="00CD0DD7"/>
    <w:rPr>
      <w:rFonts w:ascii="Times New Roman" w:hAnsi="Times New Roman"/>
      <w:b/>
      <w:sz w:val="32"/>
      <w:szCs w:val="22"/>
      <w:lang w:eastAsia="en-US"/>
    </w:rPr>
  </w:style>
  <w:style w:type="paragraph" w:styleId="Textvysvtlivek">
    <w:name w:val="endnote text"/>
    <w:basedOn w:val="Normln"/>
    <w:link w:val="TextvysvtlivekChar"/>
    <w:uiPriority w:val="99"/>
    <w:semiHidden/>
    <w:unhideWhenUsed/>
    <w:rsid w:val="005E1F48"/>
    <w:pPr>
      <w:spacing w:line="276" w:lineRule="auto"/>
      <w:jc w:val="left"/>
    </w:pPr>
    <w:rPr>
      <w:rFonts w:ascii="Calibri" w:hAnsi="Calibri"/>
      <w:sz w:val="20"/>
      <w:szCs w:val="20"/>
    </w:rPr>
  </w:style>
  <w:style w:type="character" w:customStyle="1" w:styleId="TextvysvtlivekChar">
    <w:name w:val="Text vysvětlivek Char"/>
    <w:link w:val="Textvysvtlivek"/>
    <w:uiPriority w:val="99"/>
    <w:semiHidden/>
    <w:rsid w:val="005E1F48"/>
    <w:rPr>
      <w:lang w:eastAsia="en-US"/>
    </w:rPr>
  </w:style>
  <w:style w:type="paragraph" w:customStyle="1" w:styleId="normlntext">
    <w:name w:val="normální text"/>
    <w:basedOn w:val="Normln"/>
    <w:link w:val="normlntextChar"/>
    <w:uiPriority w:val="99"/>
    <w:qFormat/>
    <w:rsid w:val="005E1F48"/>
    <w:pPr>
      <w:spacing w:before="120" w:after="0"/>
      <w:ind w:firstLine="709"/>
    </w:pPr>
    <w:rPr>
      <w:rFonts w:eastAsia="SimSun"/>
      <w:szCs w:val="24"/>
      <w:lang w:eastAsia="zh-CN"/>
    </w:rPr>
  </w:style>
  <w:style w:type="character" w:customStyle="1" w:styleId="normlntextChar">
    <w:name w:val="normální text Char"/>
    <w:link w:val="normlntext"/>
    <w:uiPriority w:val="99"/>
    <w:rsid w:val="005E1F48"/>
    <w:rPr>
      <w:rFonts w:ascii="Times New Roman" w:eastAsia="SimSun" w:hAnsi="Times New Roman"/>
      <w:sz w:val="24"/>
      <w:szCs w:val="24"/>
      <w:lang w:eastAsia="zh-CN"/>
    </w:rPr>
  </w:style>
  <w:style w:type="character" w:customStyle="1" w:styleId="apple-converted-space">
    <w:name w:val="apple-converted-space"/>
    <w:basedOn w:val="Standardnpsmoodstavce"/>
    <w:rsid w:val="005E1F48"/>
  </w:style>
  <w:style w:type="paragraph" w:styleId="Normlnweb">
    <w:name w:val="Normal (Web)"/>
    <w:basedOn w:val="Normln"/>
    <w:uiPriority w:val="99"/>
    <w:unhideWhenUsed/>
    <w:rsid w:val="005E1F48"/>
    <w:pPr>
      <w:spacing w:before="100" w:beforeAutospacing="1" w:after="100" w:afterAutospacing="1" w:line="240" w:lineRule="auto"/>
      <w:jc w:val="left"/>
    </w:pPr>
    <w:rPr>
      <w:rFonts w:eastAsia="Times New Roman"/>
      <w:szCs w:val="24"/>
      <w:lang w:eastAsia="cs-CZ"/>
    </w:rPr>
  </w:style>
  <w:style w:type="character" w:styleId="Hypertextovodkaz">
    <w:name w:val="Hyperlink"/>
    <w:uiPriority w:val="99"/>
    <w:unhideWhenUsed/>
    <w:rsid w:val="005E1F48"/>
    <w:rPr>
      <w:color w:val="0000FF"/>
      <w:u w:val="single"/>
    </w:rPr>
  </w:style>
  <w:style w:type="paragraph" w:styleId="Odstavecseseznamem">
    <w:name w:val="List Paragraph"/>
    <w:basedOn w:val="Normln"/>
    <w:uiPriority w:val="34"/>
    <w:qFormat/>
    <w:rsid w:val="005E1F48"/>
    <w:pPr>
      <w:spacing w:line="276" w:lineRule="auto"/>
      <w:ind w:left="720"/>
      <w:contextualSpacing/>
      <w:jc w:val="left"/>
    </w:pPr>
    <w:rPr>
      <w:rFonts w:ascii="Calibri" w:hAnsi="Calibri"/>
      <w:sz w:val="22"/>
    </w:rPr>
  </w:style>
  <w:style w:type="character" w:customStyle="1" w:styleId="Nadpis4Char">
    <w:name w:val="Nadpis 4 Char"/>
    <w:link w:val="Nadpis4"/>
    <w:uiPriority w:val="9"/>
    <w:rsid w:val="008B3D91"/>
    <w:rPr>
      <w:rFonts w:ascii="Calibri" w:eastAsia="Times New Roman" w:hAnsi="Calibri" w:cs="Times New Roman"/>
      <w:b/>
      <w:bCs/>
      <w:sz w:val="28"/>
      <w:szCs w:val="28"/>
      <w:lang w:eastAsia="en-US"/>
    </w:rPr>
  </w:style>
  <w:style w:type="paragraph" w:customStyle="1" w:styleId="Normlntext0">
    <w:name w:val="Normální text"/>
    <w:basedOn w:val="Normln"/>
    <w:rsid w:val="00FD2B4E"/>
    <w:pPr>
      <w:spacing w:after="0"/>
    </w:pPr>
    <w:rPr>
      <w:rFonts w:eastAsia="Times New Roman"/>
      <w:szCs w:val="24"/>
      <w:lang w:eastAsia="cs-CZ"/>
    </w:rPr>
  </w:style>
  <w:style w:type="character" w:customStyle="1" w:styleId="Nadpis3Char">
    <w:name w:val="Nadpis 3 Char"/>
    <w:link w:val="Nadpis3"/>
    <w:uiPriority w:val="9"/>
    <w:rsid w:val="00D218AC"/>
    <w:rPr>
      <w:rFonts w:ascii="Times New Roman" w:eastAsia="Times New Roman" w:hAnsi="Times New Roman"/>
      <w:b/>
      <w:bCs/>
      <w:sz w:val="24"/>
      <w:szCs w:val="26"/>
      <w:lang w:eastAsia="en-US"/>
    </w:rPr>
  </w:style>
  <w:style w:type="paragraph" w:styleId="Bezmezer">
    <w:name w:val="No Spacing"/>
    <w:aliases w:val="hlavní nadpis,1. podnadpis"/>
    <w:uiPriority w:val="1"/>
    <w:qFormat/>
    <w:rsid w:val="002E5D4E"/>
    <w:pPr>
      <w:spacing w:line="360" w:lineRule="auto"/>
      <w:jc w:val="both"/>
    </w:pPr>
    <w:rPr>
      <w:rFonts w:ascii="Times New Roman" w:hAnsi="Times New Roman"/>
      <w:b/>
      <w:sz w:val="32"/>
      <w:szCs w:val="22"/>
      <w:lang w:eastAsia="en-US"/>
    </w:rPr>
  </w:style>
  <w:style w:type="paragraph" w:customStyle="1" w:styleId="bodytext">
    <w:name w:val="bodytext"/>
    <w:basedOn w:val="Normln"/>
    <w:rsid w:val="00424A24"/>
    <w:pPr>
      <w:spacing w:before="100" w:beforeAutospacing="1" w:after="100" w:afterAutospacing="1" w:line="240" w:lineRule="auto"/>
    </w:pPr>
    <w:rPr>
      <w:rFonts w:eastAsia="Times New Roman"/>
      <w:szCs w:val="24"/>
      <w:lang w:eastAsia="cs-CZ"/>
    </w:rPr>
  </w:style>
  <w:style w:type="paragraph" w:customStyle="1" w:styleId="Default">
    <w:name w:val="Default"/>
    <w:rsid w:val="00954F72"/>
    <w:pPr>
      <w:autoSpaceDE w:val="0"/>
      <w:autoSpaceDN w:val="0"/>
      <w:adjustRightInd w:val="0"/>
    </w:pPr>
    <w:rPr>
      <w:rFonts w:ascii="Times New Roman" w:hAnsi="Times New Roman"/>
      <w:color w:val="000000"/>
      <w:sz w:val="24"/>
      <w:szCs w:val="24"/>
      <w:lang w:eastAsia="en-US"/>
    </w:rPr>
  </w:style>
  <w:style w:type="paragraph" w:styleId="Textbubliny">
    <w:name w:val="Balloon Text"/>
    <w:basedOn w:val="Normln"/>
    <w:link w:val="TextbublinyChar"/>
    <w:uiPriority w:val="99"/>
    <w:semiHidden/>
    <w:unhideWhenUsed/>
    <w:rsid w:val="003E5E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EAF"/>
    <w:rPr>
      <w:rFonts w:ascii="Tahoma" w:hAnsi="Tahoma" w:cs="Tahoma"/>
      <w:sz w:val="16"/>
      <w:szCs w:val="16"/>
      <w:lang w:eastAsia="en-US"/>
    </w:rPr>
  </w:style>
  <w:style w:type="paragraph" w:styleId="Zhlav">
    <w:name w:val="header"/>
    <w:basedOn w:val="Normln"/>
    <w:link w:val="ZhlavChar"/>
    <w:uiPriority w:val="99"/>
    <w:unhideWhenUsed/>
    <w:rsid w:val="009B02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286"/>
    <w:rPr>
      <w:rFonts w:ascii="Times New Roman" w:hAnsi="Times New Roman"/>
      <w:sz w:val="24"/>
      <w:szCs w:val="22"/>
      <w:lang w:eastAsia="en-US"/>
    </w:rPr>
  </w:style>
  <w:style w:type="paragraph" w:styleId="Zpat">
    <w:name w:val="footer"/>
    <w:basedOn w:val="Normln"/>
    <w:link w:val="ZpatChar"/>
    <w:uiPriority w:val="99"/>
    <w:unhideWhenUsed/>
    <w:rsid w:val="009B0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286"/>
    <w:rPr>
      <w:rFonts w:ascii="Times New Roman" w:hAnsi="Times New Roman"/>
      <w:sz w:val="24"/>
      <w:szCs w:val="22"/>
      <w:lang w:eastAsia="en-US"/>
    </w:rPr>
  </w:style>
  <w:style w:type="character" w:styleId="Zvraznn">
    <w:name w:val="Emphasis"/>
    <w:basedOn w:val="Standardnpsmoodstavce"/>
    <w:uiPriority w:val="20"/>
    <w:qFormat/>
    <w:rsid w:val="00EC41B0"/>
    <w:rPr>
      <w:i/>
      <w:iCs/>
    </w:rPr>
  </w:style>
  <w:style w:type="character" w:customStyle="1" w:styleId="Nadpis2Char">
    <w:name w:val="Nadpis 2 Char"/>
    <w:basedOn w:val="Standardnpsmoodstavce"/>
    <w:link w:val="Nadpis2"/>
    <w:uiPriority w:val="9"/>
    <w:rsid w:val="00D218AC"/>
    <w:rPr>
      <w:rFonts w:ascii="Times New Roman" w:eastAsiaTheme="majorEastAsia" w:hAnsi="Times New Roman" w:cstheme="majorBidi"/>
      <w:b/>
      <w:bCs/>
      <w:sz w:val="28"/>
      <w:szCs w:val="26"/>
      <w:lang w:eastAsia="en-US"/>
    </w:rPr>
  </w:style>
  <w:style w:type="paragraph" w:styleId="Nadpisobsahu">
    <w:name w:val="TOC Heading"/>
    <w:basedOn w:val="Nadpis1"/>
    <w:next w:val="Normln"/>
    <w:uiPriority w:val="39"/>
    <w:unhideWhenUsed/>
    <w:qFormat/>
    <w:rsid w:val="004B5DED"/>
    <w:pPr>
      <w:keepLines/>
      <w:spacing w:before="480" w:line="276" w:lineRule="auto"/>
      <w:jc w:val="left"/>
      <w:outlineLvl w:val="9"/>
    </w:pPr>
    <w:rPr>
      <w:rFonts w:asciiTheme="majorHAnsi" w:eastAsiaTheme="majorEastAsia" w:hAnsiTheme="majorHAnsi" w:cstheme="majorBidi"/>
      <w:color w:val="365F91" w:themeColor="accent1" w:themeShade="BF"/>
      <w:szCs w:val="28"/>
      <w:lang w:eastAsia="cs-CZ"/>
    </w:rPr>
  </w:style>
  <w:style w:type="paragraph" w:styleId="Obsah1">
    <w:name w:val="toc 1"/>
    <w:basedOn w:val="Normln"/>
    <w:next w:val="Normln"/>
    <w:autoRedefine/>
    <w:uiPriority w:val="39"/>
    <w:unhideWhenUsed/>
    <w:rsid w:val="00A308B8"/>
    <w:pPr>
      <w:tabs>
        <w:tab w:val="left" w:pos="0"/>
        <w:tab w:val="right" w:leader="dot" w:pos="9061"/>
      </w:tabs>
      <w:spacing w:after="100"/>
    </w:pPr>
    <w:rPr>
      <w:b/>
      <w:noProof/>
    </w:rPr>
  </w:style>
  <w:style w:type="paragraph" w:styleId="Obsah2">
    <w:name w:val="toc 2"/>
    <w:basedOn w:val="Normln"/>
    <w:next w:val="Normln"/>
    <w:autoRedefine/>
    <w:uiPriority w:val="39"/>
    <w:unhideWhenUsed/>
    <w:rsid w:val="004B5DED"/>
    <w:pPr>
      <w:spacing w:after="100"/>
      <w:ind w:left="240"/>
    </w:pPr>
  </w:style>
  <w:style w:type="paragraph" w:styleId="Obsah3">
    <w:name w:val="toc 3"/>
    <w:basedOn w:val="Normln"/>
    <w:next w:val="Normln"/>
    <w:autoRedefine/>
    <w:uiPriority w:val="39"/>
    <w:unhideWhenUsed/>
    <w:rsid w:val="004B5DED"/>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Diplomka"/>
    <w:qFormat/>
    <w:rsid w:val="00FC340D"/>
    <w:pPr>
      <w:spacing w:after="200" w:line="360" w:lineRule="auto"/>
      <w:jc w:val="both"/>
    </w:pPr>
    <w:rPr>
      <w:rFonts w:ascii="Times New Roman" w:hAnsi="Times New Roman"/>
      <w:sz w:val="24"/>
      <w:szCs w:val="22"/>
      <w:lang w:eastAsia="en-US"/>
    </w:rPr>
  </w:style>
  <w:style w:type="paragraph" w:styleId="Nadpis1">
    <w:name w:val="heading 1"/>
    <w:basedOn w:val="Bezmezer"/>
    <w:next w:val="Normln"/>
    <w:link w:val="Nadpis1Char"/>
    <w:uiPriority w:val="9"/>
    <w:qFormat/>
    <w:rsid w:val="00CD0DD7"/>
    <w:pPr>
      <w:outlineLvl w:val="0"/>
    </w:pPr>
  </w:style>
  <w:style w:type="paragraph" w:styleId="Nadpis2">
    <w:name w:val="heading 2"/>
    <w:basedOn w:val="Normln"/>
    <w:next w:val="Normln"/>
    <w:link w:val="Nadpis2Char"/>
    <w:uiPriority w:val="9"/>
    <w:unhideWhenUsed/>
    <w:qFormat/>
    <w:rsid w:val="00CD0DD7"/>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D218AC"/>
    <w:pPr>
      <w:keepNext/>
      <w:spacing w:before="240" w:after="60"/>
      <w:outlineLvl w:val="2"/>
    </w:pPr>
    <w:rPr>
      <w:rFonts w:eastAsia="Times New Roman"/>
      <w:b/>
      <w:bCs/>
      <w:szCs w:val="26"/>
    </w:rPr>
  </w:style>
  <w:style w:type="paragraph" w:styleId="Nadpis4">
    <w:name w:val="heading 4"/>
    <w:basedOn w:val="Normln"/>
    <w:next w:val="Normln"/>
    <w:link w:val="Nadpis4Char"/>
    <w:uiPriority w:val="9"/>
    <w:unhideWhenUsed/>
    <w:qFormat/>
    <w:rsid w:val="008B3D91"/>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C340D"/>
    <w:rPr>
      <w:sz w:val="20"/>
      <w:szCs w:val="20"/>
    </w:rPr>
  </w:style>
  <w:style w:type="character" w:customStyle="1" w:styleId="TextpoznpodarouChar">
    <w:name w:val="Text pozn. pod čarou Char"/>
    <w:link w:val="Textpoznpodarou"/>
    <w:uiPriority w:val="99"/>
    <w:rsid w:val="00FC340D"/>
    <w:rPr>
      <w:rFonts w:ascii="Times New Roman" w:hAnsi="Times New Roman"/>
      <w:lang w:eastAsia="en-US"/>
    </w:rPr>
  </w:style>
  <w:style w:type="character" w:styleId="Znakapoznpodarou">
    <w:name w:val="footnote reference"/>
    <w:uiPriority w:val="99"/>
    <w:unhideWhenUsed/>
    <w:rsid w:val="00FC340D"/>
    <w:rPr>
      <w:vertAlign w:val="superscript"/>
    </w:rPr>
  </w:style>
  <w:style w:type="paragraph" w:customStyle="1" w:styleId="DiplTEXT">
    <w:name w:val="Dipl. TEXT"/>
    <w:basedOn w:val="Normln"/>
    <w:link w:val="DiplTEXTChar"/>
    <w:qFormat/>
    <w:rsid w:val="009E61A7"/>
    <w:rPr>
      <w:szCs w:val="24"/>
    </w:rPr>
  </w:style>
  <w:style w:type="paragraph" w:customStyle="1" w:styleId="Poznamky">
    <w:name w:val="Poznamky"/>
    <w:basedOn w:val="Citt"/>
    <w:next w:val="Normln"/>
    <w:link w:val="PoznamkyChar"/>
    <w:qFormat/>
    <w:rsid w:val="009E61A7"/>
    <w:pPr>
      <w:spacing w:after="0" w:line="240" w:lineRule="auto"/>
      <w:contextualSpacing/>
    </w:pPr>
    <w:rPr>
      <w:sz w:val="20"/>
      <w:szCs w:val="20"/>
    </w:rPr>
  </w:style>
  <w:style w:type="character" w:customStyle="1" w:styleId="DiplTEXTChar">
    <w:name w:val="Dipl. TEXT Char"/>
    <w:link w:val="DiplTEXT"/>
    <w:rsid w:val="009E61A7"/>
    <w:rPr>
      <w:rFonts w:ascii="Times New Roman" w:hAnsi="Times New Roman"/>
      <w:sz w:val="24"/>
      <w:szCs w:val="24"/>
      <w:lang w:eastAsia="en-US"/>
    </w:rPr>
  </w:style>
  <w:style w:type="character" w:customStyle="1" w:styleId="PoznamkyChar">
    <w:name w:val="Poznamky Char"/>
    <w:link w:val="Poznamky"/>
    <w:rsid w:val="009E61A7"/>
    <w:rPr>
      <w:rFonts w:ascii="Times New Roman" w:hAnsi="Times New Roman"/>
      <w:i/>
      <w:iCs/>
      <w:color w:val="000000"/>
      <w:lang w:eastAsia="en-US"/>
    </w:rPr>
  </w:style>
  <w:style w:type="paragraph" w:styleId="Citt">
    <w:name w:val="Quote"/>
    <w:aliases w:val="Citace"/>
    <w:basedOn w:val="Normln"/>
    <w:next w:val="Normln"/>
    <w:link w:val="CittChar"/>
    <w:uiPriority w:val="29"/>
    <w:qFormat/>
    <w:rsid w:val="009E61A7"/>
    <w:rPr>
      <w:i/>
      <w:iCs/>
      <w:color w:val="000000"/>
    </w:rPr>
  </w:style>
  <w:style w:type="character" w:customStyle="1" w:styleId="CittChar">
    <w:name w:val="Citát Char"/>
    <w:aliases w:val="Citace Char"/>
    <w:link w:val="Citt"/>
    <w:uiPriority w:val="29"/>
    <w:rsid w:val="009E61A7"/>
    <w:rPr>
      <w:rFonts w:ascii="Times New Roman" w:hAnsi="Times New Roman"/>
      <w:i/>
      <w:iCs/>
      <w:color w:val="000000"/>
      <w:sz w:val="24"/>
      <w:szCs w:val="22"/>
      <w:lang w:eastAsia="en-US"/>
    </w:rPr>
  </w:style>
  <w:style w:type="character" w:styleId="Odkaznavysvtlivky">
    <w:name w:val="endnote reference"/>
    <w:uiPriority w:val="99"/>
    <w:semiHidden/>
    <w:unhideWhenUsed/>
    <w:rsid w:val="0015793B"/>
    <w:rPr>
      <w:vertAlign w:val="superscript"/>
    </w:rPr>
  </w:style>
  <w:style w:type="character" w:customStyle="1" w:styleId="Nadpis1Char">
    <w:name w:val="Nadpis 1 Char"/>
    <w:link w:val="Nadpis1"/>
    <w:uiPriority w:val="9"/>
    <w:rsid w:val="00CD0DD7"/>
    <w:rPr>
      <w:rFonts w:ascii="Times New Roman" w:hAnsi="Times New Roman"/>
      <w:b/>
      <w:sz w:val="32"/>
      <w:szCs w:val="22"/>
      <w:lang w:eastAsia="en-US"/>
    </w:rPr>
  </w:style>
  <w:style w:type="paragraph" w:styleId="Textvysvtlivek">
    <w:name w:val="endnote text"/>
    <w:basedOn w:val="Normln"/>
    <w:link w:val="TextvysvtlivekChar"/>
    <w:uiPriority w:val="99"/>
    <w:semiHidden/>
    <w:unhideWhenUsed/>
    <w:rsid w:val="005E1F48"/>
    <w:pPr>
      <w:spacing w:line="276" w:lineRule="auto"/>
      <w:jc w:val="left"/>
    </w:pPr>
    <w:rPr>
      <w:rFonts w:ascii="Calibri" w:hAnsi="Calibri"/>
      <w:sz w:val="20"/>
      <w:szCs w:val="20"/>
    </w:rPr>
  </w:style>
  <w:style w:type="character" w:customStyle="1" w:styleId="TextvysvtlivekChar">
    <w:name w:val="Text vysvětlivek Char"/>
    <w:link w:val="Textvysvtlivek"/>
    <w:uiPriority w:val="99"/>
    <w:semiHidden/>
    <w:rsid w:val="005E1F48"/>
    <w:rPr>
      <w:lang w:eastAsia="en-US"/>
    </w:rPr>
  </w:style>
  <w:style w:type="paragraph" w:customStyle="1" w:styleId="normlntext">
    <w:name w:val="normální text"/>
    <w:basedOn w:val="Normln"/>
    <w:link w:val="normlntextChar"/>
    <w:uiPriority w:val="99"/>
    <w:qFormat/>
    <w:rsid w:val="005E1F48"/>
    <w:pPr>
      <w:spacing w:before="120" w:after="0"/>
      <w:ind w:firstLine="709"/>
    </w:pPr>
    <w:rPr>
      <w:rFonts w:eastAsia="SimSun"/>
      <w:szCs w:val="24"/>
      <w:lang w:eastAsia="zh-CN"/>
    </w:rPr>
  </w:style>
  <w:style w:type="character" w:customStyle="1" w:styleId="normlntextChar">
    <w:name w:val="normální text Char"/>
    <w:link w:val="normlntext"/>
    <w:uiPriority w:val="99"/>
    <w:rsid w:val="005E1F48"/>
    <w:rPr>
      <w:rFonts w:ascii="Times New Roman" w:eastAsia="SimSun" w:hAnsi="Times New Roman"/>
      <w:sz w:val="24"/>
      <w:szCs w:val="24"/>
      <w:lang w:eastAsia="zh-CN"/>
    </w:rPr>
  </w:style>
  <w:style w:type="character" w:customStyle="1" w:styleId="apple-converted-space">
    <w:name w:val="apple-converted-space"/>
    <w:basedOn w:val="Standardnpsmoodstavce"/>
    <w:rsid w:val="005E1F48"/>
  </w:style>
  <w:style w:type="paragraph" w:styleId="Normlnweb">
    <w:name w:val="Normal (Web)"/>
    <w:basedOn w:val="Normln"/>
    <w:uiPriority w:val="99"/>
    <w:unhideWhenUsed/>
    <w:rsid w:val="005E1F48"/>
    <w:pPr>
      <w:spacing w:before="100" w:beforeAutospacing="1" w:after="100" w:afterAutospacing="1" w:line="240" w:lineRule="auto"/>
      <w:jc w:val="left"/>
    </w:pPr>
    <w:rPr>
      <w:rFonts w:eastAsia="Times New Roman"/>
      <w:szCs w:val="24"/>
      <w:lang w:eastAsia="cs-CZ"/>
    </w:rPr>
  </w:style>
  <w:style w:type="character" w:styleId="Hypertextovodkaz">
    <w:name w:val="Hyperlink"/>
    <w:uiPriority w:val="99"/>
    <w:unhideWhenUsed/>
    <w:rsid w:val="005E1F48"/>
    <w:rPr>
      <w:color w:val="0000FF"/>
      <w:u w:val="single"/>
    </w:rPr>
  </w:style>
  <w:style w:type="paragraph" w:styleId="Odstavecseseznamem">
    <w:name w:val="List Paragraph"/>
    <w:basedOn w:val="Normln"/>
    <w:uiPriority w:val="34"/>
    <w:qFormat/>
    <w:rsid w:val="005E1F48"/>
    <w:pPr>
      <w:spacing w:line="276" w:lineRule="auto"/>
      <w:ind w:left="720"/>
      <w:contextualSpacing/>
      <w:jc w:val="left"/>
    </w:pPr>
    <w:rPr>
      <w:rFonts w:ascii="Calibri" w:hAnsi="Calibri"/>
      <w:sz w:val="22"/>
    </w:rPr>
  </w:style>
  <w:style w:type="character" w:customStyle="1" w:styleId="Nadpis4Char">
    <w:name w:val="Nadpis 4 Char"/>
    <w:link w:val="Nadpis4"/>
    <w:uiPriority w:val="9"/>
    <w:rsid w:val="008B3D91"/>
    <w:rPr>
      <w:rFonts w:ascii="Calibri" w:eastAsia="Times New Roman" w:hAnsi="Calibri" w:cs="Times New Roman"/>
      <w:b/>
      <w:bCs/>
      <w:sz w:val="28"/>
      <w:szCs w:val="28"/>
      <w:lang w:eastAsia="en-US"/>
    </w:rPr>
  </w:style>
  <w:style w:type="paragraph" w:customStyle="1" w:styleId="Normlntext0">
    <w:name w:val="Normální text"/>
    <w:basedOn w:val="Normln"/>
    <w:rsid w:val="00FD2B4E"/>
    <w:pPr>
      <w:spacing w:after="0"/>
    </w:pPr>
    <w:rPr>
      <w:rFonts w:eastAsia="Times New Roman"/>
      <w:szCs w:val="24"/>
      <w:lang w:eastAsia="cs-CZ"/>
    </w:rPr>
  </w:style>
  <w:style w:type="character" w:customStyle="1" w:styleId="Nadpis3Char">
    <w:name w:val="Nadpis 3 Char"/>
    <w:link w:val="Nadpis3"/>
    <w:uiPriority w:val="9"/>
    <w:rsid w:val="00D218AC"/>
    <w:rPr>
      <w:rFonts w:ascii="Times New Roman" w:eastAsia="Times New Roman" w:hAnsi="Times New Roman"/>
      <w:b/>
      <w:bCs/>
      <w:sz w:val="24"/>
      <w:szCs w:val="26"/>
      <w:lang w:eastAsia="en-US"/>
    </w:rPr>
  </w:style>
  <w:style w:type="paragraph" w:styleId="Bezmezer">
    <w:name w:val="No Spacing"/>
    <w:aliases w:val="hlavní nadpis,1. podnadpis"/>
    <w:uiPriority w:val="1"/>
    <w:qFormat/>
    <w:rsid w:val="002E5D4E"/>
    <w:pPr>
      <w:spacing w:line="360" w:lineRule="auto"/>
      <w:jc w:val="both"/>
    </w:pPr>
    <w:rPr>
      <w:rFonts w:ascii="Times New Roman" w:hAnsi="Times New Roman"/>
      <w:b/>
      <w:sz w:val="32"/>
      <w:szCs w:val="22"/>
      <w:lang w:eastAsia="en-US"/>
    </w:rPr>
  </w:style>
  <w:style w:type="paragraph" w:customStyle="1" w:styleId="bodytext">
    <w:name w:val="bodytext"/>
    <w:basedOn w:val="Normln"/>
    <w:rsid w:val="00424A24"/>
    <w:pPr>
      <w:spacing w:before="100" w:beforeAutospacing="1" w:after="100" w:afterAutospacing="1" w:line="240" w:lineRule="auto"/>
    </w:pPr>
    <w:rPr>
      <w:rFonts w:eastAsia="Times New Roman"/>
      <w:szCs w:val="24"/>
      <w:lang w:eastAsia="cs-CZ"/>
    </w:rPr>
  </w:style>
  <w:style w:type="paragraph" w:customStyle="1" w:styleId="Default">
    <w:name w:val="Default"/>
    <w:rsid w:val="00954F72"/>
    <w:pPr>
      <w:autoSpaceDE w:val="0"/>
      <w:autoSpaceDN w:val="0"/>
      <w:adjustRightInd w:val="0"/>
    </w:pPr>
    <w:rPr>
      <w:rFonts w:ascii="Times New Roman" w:hAnsi="Times New Roman"/>
      <w:color w:val="000000"/>
      <w:sz w:val="24"/>
      <w:szCs w:val="24"/>
      <w:lang w:eastAsia="en-US"/>
    </w:rPr>
  </w:style>
  <w:style w:type="paragraph" w:styleId="Textbubliny">
    <w:name w:val="Balloon Text"/>
    <w:basedOn w:val="Normln"/>
    <w:link w:val="TextbublinyChar"/>
    <w:uiPriority w:val="99"/>
    <w:semiHidden/>
    <w:unhideWhenUsed/>
    <w:rsid w:val="003E5EA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5EAF"/>
    <w:rPr>
      <w:rFonts w:ascii="Tahoma" w:hAnsi="Tahoma" w:cs="Tahoma"/>
      <w:sz w:val="16"/>
      <w:szCs w:val="16"/>
      <w:lang w:eastAsia="en-US"/>
    </w:rPr>
  </w:style>
  <w:style w:type="paragraph" w:styleId="Zhlav">
    <w:name w:val="header"/>
    <w:basedOn w:val="Normln"/>
    <w:link w:val="ZhlavChar"/>
    <w:uiPriority w:val="99"/>
    <w:unhideWhenUsed/>
    <w:rsid w:val="009B02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0286"/>
    <w:rPr>
      <w:rFonts w:ascii="Times New Roman" w:hAnsi="Times New Roman"/>
      <w:sz w:val="24"/>
      <w:szCs w:val="22"/>
      <w:lang w:eastAsia="en-US"/>
    </w:rPr>
  </w:style>
  <w:style w:type="paragraph" w:styleId="Zpat">
    <w:name w:val="footer"/>
    <w:basedOn w:val="Normln"/>
    <w:link w:val="ZpatChar"/>
    <w:uiPriority w:val="99"/>
    <w:unhideWhenUsed/>
    <w:rsid w:val="009B0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9B0286"/>
    <w:rPr>
      <w:rFonts w:ascii="Times New Roman" w:hAnsi="Times New Roman"/>
      <w:sz w:val="24"/>
      <w:szCs w:val="22"/>
      <w:lang w:eastAsia="en-US"/>
    </w:rPr>
  </w:style>
  <w:style w:type="character" w:styleId="Zvraznn">
    <w:name w:val="Emphasis"/>
    <w:basedOn w:val="Standardnpsmoodstavce"/>
    <w:uiPriority w:val="20"/>
    <w:qFormat/>
    <w:rsid w:val="00EC41B0"/>
    <w:rPr>
      <w:i/>
      <w:iCs/>
    </w:rPr>
  </w:style>
  <w:style w:type="character" w:customStyle="1" w:styleId="Nadpis2Char">
    <w:name w:val="Nadpis 2 Char"/>
    <w:basedOn w:val="Standardnpsmoodstavce"/>
    <w:link w:val="Nadpis2"/>
    <w:uiPriority w:val="9"/>
    <w:rsid w:val="00D218AC"/>
    <w:rPr>
      <w:rFonts w:ascii="Times New Roman" w:eastAsiaTheme="majorEastAsia" w:hAnsi="Times New Roman" w:cstheme="majorBidi"/>
      <w:b/>
      <w:bCs/>
      <w:sz w:val="28"/>
      <w:szCs w:val="26"/>
      <w:lang w:eastAsia="en-US"/>
    </w:rPr>
  </w:style>
  <w:style w:type="paragraph" w:styleId="Nadpisobsahu">
    <w:name w:val="TOC Heading"/>
    <w:basedOn w:val="Nadpis1"/>
    <w:next w:val="Normln"/>
    <w:uiPriority w:val="39"/>
    <w:unhideWhenUsed/>
    <w:qFormat/>
    <w:rsid w:val="004B5DED"/>
    <w:pPr>
      <w:keepLines/>
      <w:spacing w:before="480" w:line="276" w:lineRule="auto"/>
      <w:jc w:val="left"/>
      <w:outlineLvl w:val="9"/>
    </w:pPr>
    <w:rPr>
      <w:rFonts w:asciiTheme="majorHAnsi" w:eastAsiaTheme="majorEastAsia" w:hAnsiTheme="majorHAnsi" w:cstheme="majorBidi"/>
      <w:color w:val="365F91" w:themeColor="accent1" w:themeShade="BF"/>
      <w:szCs w:val="28"/>
      <w:lang w:eastAsia="cs-CZ"/>
    </w:rPr>
  </w:style>
  <w:style w:type="paragraph" w:styleId="Obsah1">
    <w:name w:val="toc 1"/>
    <w:basedOn w:val="Normln"/>
    <w:next w:val="Normln"/>
    <w:autoRedefine/>
    <w:uiPriority w:val="39"/>
    <w:unhideWhenUsed/>
    <w:rsid w:val="00A308B8"/>
    <w:pPr>
      <w:tabs>
        <w:tab w:val="left" w:pos="0"/>
        <w:tab w:val="right" w:leader="dot" w:pos="9061"/>
      </w:tabs>
      <w:spacing w:after="100"/>
    </w:pPr>
    <w:rPr>
      <w:b/>
      <w:noProof/>
    </w:rPr>
  </w:style>
  <w:style w:type="paragraph" w:styleId="Obsah2">
    <w:name w:val="toc 2"/>
    <w:basedOn w:val="Normln"/>
    <w:next w:val="Normln"/>
    <w:autoRedefine/>
    <w:uiPriority w:val="39"/>
    <w:unhideWhenUsed/>
    <w:rsid w:val="004B5DED"/>
    <w:pPr>
      <w:spacing w:after="100"/>
      <w:ind w:left="240"/>
    </w:pPr>
  </w:style>
  <w:style w:type="paragraph" w:styleId="Obsah3">
    <w:name w:val="toc 3"/>
    <w:basedOn w:val="Normln"/>
    <w:next w:val="Normln"/>
    <w:autoRedefine/>
    <w:uiPriority w:val="39"/>
    <w:unhideWhenUsed/>
    <w:rsid w:val="004B5D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0427">
      <w:bodyDiv w:val="1"/>
      <w:marLeft w:val="0"/>
      <w:marRight w:val="0"/>
      <w:marTop w:val="0"/>
      <w:marBottom w:val="0"/>
      <w:divBdr>
        <w:top w:val="none" w:sz="0" w:space="0" w:color="auto"/>
        <w:left w:val="none" w:sz="0" w:space="0" w:color="auto"/>
        <w:bottom w:val="none" w:sz="0" w:space="0" w:color="auto"/>
        <w:right w:val="none" w:sz="0" w:space="0" w:color="auto"/>
      </w:divBdr>
    </w:div>
    <w:div w:id="355888166">
      <w:bodyDiv w:val="1"/>
      <w:marLeft w:val="0"/>
      <w:marRight w:val="0"/>
      <w:marTop w:val="0"/>
      <w:marBottom w:val="0"/>
      <w:divBdr>
        <w:top w:val="none" w:sz="0" w:space="0" w:color="auto"/>
        <w:left w:val="none" w:sz="0" w:space="0" w:color="auto"/>
        <w:bottom w:val="none" w:sz="0" w:space="0" w:color="auto"/>
        <w:right w:val="none" w:sz="0" w:space="0" w:color="auto"/>
      </w:divBdr>
    </w:div>
    <w:div w:id="970595691">
      <w:bodyDiv w:val="1"/>
      <w:marLeft w:val="0"/>
      <w:marRight w:val="0"/>
      <w:marTop w:val="0"/>
      <w:marBottom w:val="0"/>
      <w:divBdr>
        <w:top w:val="none" w:sz="0" w:space="0" w:color="auto"/>
        <w:left w:val="none" w:sz="0" w:space="0" w:color="auto"/>
        <w:bottom w:val="none" w:sz="0" w:space="0" w:color="auto"/>
        <w:right w:val="none" w:sz="0" w:space="0" w:color="auto"/>
      </w:divBdr>
    </w:div>
    <w:div w:id="1007945489">
      <w:bodyDiv w:val="1"/>
      <w:marLeft w:val="0"/>
      <w:marRight w:val="0"/>
      <w:marTop w:val="0"/>
      <w:marBottom w:val="0"/>
      <w:divBdr>
        <w:top w:val="none" w:sz="0" w:space="0" w:color="auto"/>
        <w:left w:val="none" w:sz="0" w:space="0" w:color="auto"/>
        <w:bottom w:val="none" w:sz="0" w:space="0" w:color="auto"/>
        <w:right w:val="none" w:sz="0" w:space="0" w:color="auto"/>
      </w:divBdr>
    </w:div>
    <w:div w:id="1139957413">
      <w:bodyDiv w:val="1"/>
      <w:marLeft w:val="0"/>
      <w:marRight w:val="0"/>
      <w:marTop w:val="0"/>
      <w:marBottom w:val="0"/>
      <w:divBdr>
        <w:top w:val="none" w:sz="0" w:space="0" w:color="auto"/>
        <w:left w:val="none" w:sz="0" w:space="0" w:color="auto"/>
        <w:bottom w:val="none" w:sz="0" w:space="0" w:color="auto"/>
        <w:right w:val="none" w:sz="0" w:space="0" w:color="auto"/>
      </w:divBdr>
    </w:div>
    <w:div w:id="1255243215">
      <w:bodyDiv w:val="1"/>
      <w:marLeft w:val="0"/>
      <w:marRight w:val="0"/>
      <w:marTop w:val="0"/>
      <w:marBottom w:val="0"/>
      <w:divBdr>
        <w:top w:val="none" w:sz="0" w:space="0" w:color="auto"/>
        <w:left w:val="none" w:sz="0" w:space="0" w:color="auto"/>
        <w:bottom w:val="none" w:sz="0" w:space="0" w:color="auto"/>
        <w:right w:val="none" w:sz="0" w:space="0" w:color="auto"/>
      </w:divBdr>
    </w:div>
    <w:div w:id="1384795019">
      <w:bodyDiv w:val="1"/>
      <w:marLeft w:val="0"/>
      <w:marRight w:val="0"/>
      <w:marTop w:val="0"/>
      <w:marBottom w:val="0"/>
      <w:divBdr>
        <w:top w:val="none" w:sz="0" w:space="0" w:color="auto"/>
        <w:left w:val="none" w:sz="0" w:space="0" w:color="auto"/>
        <w:bottom w:val="none" w:sz="0" w:space="0" w:color="auto"/>
        <w:right w:val="none" w:sz="0" w:space="0" w:color="auto"/>
      </w:divBdr>
    </w:div>
    <w:div w:id="1548490594">
      <w:bodyDiv w:val="1"/>
      <w:marLeft w:val="0"/>
      <w:marRight w:val="0"/>
      <w:marTop w:val="0"/>
      <w:marBottom w:val="0"/>
      <w:divBdr>
        <w:top w:val="none" w:sz="0" w:space="0" w:color="auto"/>
        <w:left w:val="none" w:sz="0" w:space="0" w:color="auto"/>
        <w:bottom w:val="none" w:sz="0" w:space="0" w:color="auto"/>
        <w:right w:val="none" w:sz="0" w:space="0" w:color="auto"/>
      </w:divBdr>
    </w:div>
    <w:div w:id="1751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74DCD79-FE57-4F24-8A87-EBDE875B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66</Pages>
  <Words>17777</Words>
  <Characters>104885</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122418</CharactersWithSpaces>
  <SharedDoc>false</SharedDoc>
  <HLinks>
    <vt:vector size="6" baseType="variant">
      <vt:variant>
        <vt:i4>852079</vt:i4>
      </vt:variant>
      <vt:variant>
        <vt:i4>0</vt:i4>
      </vt:variant>
      <vt:variant>
        <vt:i4>0</vt:i4>
      </vt:variant>
      <vt:variant>
        <vt:i4>5</vt:i4>
      </vt:variant>
      <vt:variant>
        <vt:lpwstr>http://www.vlada.cz/assets/ppov/lrv/dokumenty/Metodicka_pomuckaIII.pdf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Majkl</dc:creator>
  <cp:lastModifiedBy>Majkl</cp:lastModifiedBy>
  <cp:revision>25</cp:revision>
  <cp:lastPrinted>2015-12-06T16:13:00Z</cp:lastPrinted>
  <dcterms:created xsi:type="dcterms:W3CDTF">2015-12-04T00:27:00Z</dcterms:created>
  <dcterms:modified xsi:type="dcterms:W3CDTF">2015-12-07T07:59:00Z</dcterms:modified>
</cp:coreProperties>
</file>