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533C44" w14:textId="77777777" w:rsidR="000F7D09" w:rsidRPr="00C727CA" w:rsidRDefault="000F7D09" w:rsidP="00FA2973">
      <w:pPr>
        <w:ind w:left="-576"/>
        <w:jc w:val="center"/>
        <w:rPr>
          <w:rFonts w:cs="Times New Roman"/>
          <w:b/>
          <w:szCs w:val="24"/>
        </w:rPr>
      </w:pPr>
      <w:r w:rsidRPr="00C727CA">
        <w:rPr>
          <w:rFonts w:cs="Times New Roman"/>
          <w:b/>
          <w:szCs w:val="24"/>
        </w:rPr>
        <w:t>Univerzita Palackého v Olomouci</w:t>
      </w:r>
    </w:p>
    <w:p w14:paraId="0C3BD6EC" w14:textId="77777777" w:rsidR="000F7D09" w:rsidRPr="00C727CA" w:rsidRDefault="000F7D09" w:rsidP="00FA2973">
      <w:pPr>
        <w:ind w:left="-576"/>
        <w:jc w:val="center"/>
        <w:rPr>
          <w:rFonts w:cs="Times New Roman"/>
          <w:b/>
          <w:szCs w:val="24"/>
        </w:rPr>
      </w:pPr>
      <w:r w:rsidRPr="00C727CA">
        <w:rPr>
          <w:rFonts w:cs="Times New Roman"/>
          <w:b/>
          <w:szCs w:val="24"/>
        </w:rPr>
        <w:t>Právnická fakulta</w:t>
      </w:r>
    </w:p>
    <w:p w14:paraId="6EB0C385" w14:textId="77777777" w:rsidR="000F7D09" w:rsidRPr="00C727CA" w:rsidRDefault="000F7D09" w:rsidP="00FA2973">
      <w:pPr>
        <w:ind w:left="-576"/>
        <w:jc w:val="center"/>
        <w:rPr>
          <w:rFonts w:cs="Times New Roman"/>
          <w:szCs w:val="24"/>
        </w:rPr>
      </w:pPr>
    </w:p>
    <w:p w14:paraId="0E49B078" w14:textId="77777777" w:rsidR="000F7D09" w:rsidRPr="00C727CA" w:rsidRDefault="000F7D09" w:rsidP="00FA2973">
      <w:pPr>
        <w:ind w:left="-576"/>
        <w:jc w:val="center"/>
        <w:rPr>
          <w:rFonts w:cs="Times New Roman"/>
          <w:szCs w:val="24"/>
        </w:rPr>
      </w:pPr>
    </w:p>
    <w:p w14:paraId="3C03957B" w14:textId="77777777" w:rsidR="000F7D09" w:rsidRPr="00C727CA" w:rsidRDefault="000F7D09" w:rsidP="00FA2973">
      <w:pPr>
        <w:ind w:left="-576"/>
        <w:jc w:val="center"/>
        <w:rPr>
          <w:rFonts w:cs="Times New Roman"/>
          <w:szCs w:val="24"/>
        </w:rPr>
      </w:pPr>
    </w:p>
    <w:p w14:paraId="708A57C3" w14:textId="77777777" w:rsidR="000F7D09" w:rsidRPr="00C727CA" w:rsidRDefault="000F7D09" w:rsidP="00FA2973">
      <w:pPr>
        <w:ind w:left="-576"/>
        <w:jc w:val="center"/>
        <w:rPr>
          <w:rFonts w:cs="Times New Roman"/>
          <w:szCs w:val="24"/>
        </w:rPr>
      </w:pPr>
    </w:p>
    <w:p w14:paraId="0655CA01" w14:textId="77777777" w:rsidR="000F7D09" w:rsidRPr="00C727CA" w:rsidRDefault="000F7D09" w:rsidP="00FA2973">
      <w:pPr>
        <w:ind w:left="-576"/>
        <w:jc w:val="center"/>
        <w:rPr>
          <w:rFonts w:cs="Times New Roman"/>
          <w:szCs w:val="24"/>
        </w:rPr>
      </w:pPr>
    </w:p>
    <w:p w14:paraId="24334D13" w14:textId="77777777" w:rsidR="000F7D09" w:rsidRPr="00C727CA" w:rsidRDefault="000F7D09" w:rsidP="00FA2973">
      <w:pPr>
        <w:ind w:left="-576"/>
        <w:jc w:val="center"/>
        <w:rPr>
          <w:rFonts w:cs="Times New Roman"/>
          <w:szCs w:val="24"/>
        </w:rPr>
      </w:pPr>
    </w:p>
    <w:p w14:paraId="5F209B08" w14:textId="77777777" w:rsidR="000F7D09" w:rsidRPr="00C727CA" w:rsidRDefault="000F7D09" w:rsidP="00FA2973">
      <w:pPr>
        <w:ind w:left="-576"/>
        <w:jc w:val="center"/>
        <w:rPr>
          <w:rFonts w:cs="Times New Roman"/>
          <w:szCs w:val="24"/>
        </w:rPr>
      </w:pPr>
    </w:p>
    <w:p w14:paraId="00E8668A" w14:textId="77777777" w:rsidR="000F7D09" w:rsidRPr="00C727CA" w:rsidRDefault="000F7D09" w:rsidP="00FA2973">
      <w:pPr>
        <w:ind w:left="-576"/>
        <w:jc w:val="center"/>
        <w:rPr>
          <w:rFonts w:cs="Times New Roman"/>
          <w:szCs w:val="24"/>
        </w:rPr>
      </w:pPr>
    </w:p>
    <w:p w14:paraId="6EB26D6F" w14:textId="77777777" w:rsidR="000F7D09" w:rsidRPr="00C727CA" w:rsidRDefault="000F7D09" w:rsidP="00FA2973">
      <w:pPr>
        <w:ind w:left="-576"/>
        <w:jc w:val="center"/>
        <w:rPr>
          <w:rFonts w:cs="Times New Roman"/>
          <w:szCs w:val="24"/>
        </w:rPr>
      </w:pPr>
    </w:p>
    <w:p w14:paraId="4E1D2918" w14:textId="77777777" w:rsidR="000F7D09" w:rsidRPr="00C727CA" w:rsidRDefault="000F7D09" w:rsidP="00FA2973">
      <w:pPr>
        <w:ind w:left="-576"/>
        <w:jc w:val="center"/>
        <w:rPr>
          <w:rFonts w:cs="Times New Roman"/>
          <w:szCs w:val="24"/>
        </w:rPr>
      </w:pPr>
    </w:p>
    <w:p w14:paraId="4FBE6724" w14:textId="77777777" w:rsidR="000F7D09" w:rsidRPr="00C727CA" w:rsidRDefault="000F7D09" w:rsidP="00FA2973">
      <w:pPr>
        <w:ind w:left="-576"/>
        <w:jc w:val="center"/>
        <w:rPr>
          <w:rFonts w:cs="Times New Roman"/>
          <w:szCs w:val="24"/>
        </w:rPr>
      </w:pPr>
    </w:p>
    <w:p w14:paraId="5687BFB8" w14:textId="77777777" w:rsidR="000F7D09" w:rsidRPr="00C727CA" w:rsidRDefault="000F7D09" w:rsidP="00FA2973">
      <w:pPr>
        <w:ind w:left="-576"/>
        <w:jc w:val="center"/>
        <w:rPr>
          <w:rFonts w:cs="Times New Roman"/>
          <w:b/>
          <w:szCs w:val="24"/>
        </w:rPr>
      </w:pPr>
    </w:p>
    <w:p w14:paraId="30D2E869" w14:textId="77777777" w:rsidR="000F7D09" w:rsidRPr="00C727CA" w:rsidRDefault="000F7D09" w:rsidP="00FA2973">
      <w:pPr>
        <w:ind w:left="-576"/>
        <w:jc w:val="center"/>
        <w:rPr>
          <w:rFonts w:cs="Times New Roman"/>
          <w:b/>
          <w:szCs w:val="24"/>
        </w:rPr>
      </w:pPr>
      <w:r w:rsidRPr="00C727CA">
        <w:rPr>
          <w:rFonts w:cs="Times New Roman"/>
          <w:b/>
          <w:szCs w:val="24"/>
        </w:rPr>
        <w:t>Marek Outulný</w:t>
      </w:r>
    </w:p>
    <w:p w14:paraId="262AD392" w14:textId="77777777" w:rsidR="000F7D09" w:rsidRPr="00C727CA" w:rsidRDefault="000F7D09" w:rsidP="00FA2973">
      <w:pPr>
        <w:ind w:left="-576"/>
        <w:jc w:val="center"/>
        <w:rPr>
          <w:rFonts w:cs="Times New Roman"/>
          <w:b/>
          <w:szCs w:val="24"/>
        </w:rPr>
      </w:pPr>
    </w:p>
    <w:p w14:paraId="54035032" w14:textId="77777777" w:rsidR="000F7D09" w:rsidRPr="00C727CA" w:rsidRDefault="00253809" w:rsidP="00FA2973">
      <w:pPr>
        <w:ind w:left="-576"/>
        <w:jc w:val="center"/>
        <w:rPr>
          <w:rFonts w:cs="Times New Roman"/>
          <w:b/>
          <w:szCs w:val="24"/>
        </w:rPr>
      </w:pPr>
      <w:r>
        <w:rPr>
          <w:rFonts w:cs="Times New Roman"/>
          <w:b/>
          <w:szCs w:val="24"/>
        </w:rPr>
        <w:t xml:space="preserve">Veřejné zakázky </w:t>
      </w:r>
      <w:r w:rsidRPr="00253809">
        <w:rPr>
          <w:rFonts w:cs="Times New Roman"/>
          <w:b/>
          <w:szCs w:val="24"/>
        </w:rPr>
        <w:t>–</w:t>
      </w:r>
      <w:r>
        <w:rPr>
          <w:rFonts w:cs="Times New Roman"/>
          <w:b/>
          <w:szCs w:val="24"/>
        </w:rPr>
        <w:t xml:space="preserve"> </w:t>
      </w:r>
      <w:r w:rsidR="000F7D09" w:rsidRPr="00253809">
        <w:rPr>
          <w:rFonts w:cs="Times New Roman"/>
          <w:b/>
          <w:szCs w:val="24"/>
        </w:rPr>
        <w:t>problematika</w:t>
      </w:r>
      <w:r w:rsidR="000F7D09" w:rsidRPr="00C727CA">
        <w:rPr>
          <w:rFonts w:cs="Times New Roman"/>
          <w:b/>
          <w:szCs w:val="24"/>
        </w:rPr>
        <w:t xml:space="preserve"> zadávacích řízení</w:t>
      </w:r>
    </w:p>
    <w:p w14:paraId="1E2864EF" w14:textId="77777777" w:rsidR="000F7D09" w:rsidRPr="00C727CA" w:rsidRDefault="000F7D09" w:rsidP="00FA2973">
      <w:pPr>
        <w:ind w:left="-576"/>
        <w:jc w:val="center"/>
        <w:rPr>
          <w:rFonts w:cs="Times New Roman"/>
          <w:b/>
          <w:szCs w:val="24"/>
        </w:rPr>
      </w:pPr>
    </w:p>
    <w:p w14:paraId="0EB4E557" w14:textId="77777777" w:rsidR="000F7D09" w:rsidRPr="00C727CA" w:rsidRDefault="000F7D09" w:rsidP="00FA2973">
      <w:pPr>
        <w:ind w:left="-576"/>
        <w:jc w:val="center"/>
        <w:rPr>
          <w:rFonts w:cs="Times New Roman"/>
          <w:b/>
          <w:szCs w:val="24"/>
        </w:rPr>
      </w:pPr>
      <w:r w:rsidRPr="00C727CA">
        <w:rPr>
          <w:rFonts w:cs="Times New Roman"/>
          <w:b/>
          <w:szCs w:val="24"/>
        </w:rPr>
        <w:t>Diplomová práce</w:t>
      </w:r>
    </w:p>
    <w:p w14:paraId="4CCEFD24" w14:textId="77777777" w:rsidR="000F7D09" w:rsidRPr="00C727CA" w:rsidRDefault="000F7D09" w:rsidP="00FA2973">
      <w:pPr>
        <w:ind w:left="-576"/>
        <w:jc w:val="center"/>
        <w:rPr>
          <w:rFonts w:cs="Times New Roman"/>
          <w:szCs w:val="24"/>
        </w:rPr>
      </w:pPr>
    </w:p>
    <w:p w14:paraId="3BD2334F" w14:textId="77777777" w:rsidR="000F7D09" w:rsidRPr="00C727CA" w:rsidRDefault="000F7D09" w:rsidP="00FA2973">
      <w:pPr>
        <w:ind w:left="-576"/>
        <w:jc w:val="center"/>
        <w:rPr>
          <w:rFonts w:cs="Times New Roman"/>
          <w:szCs w:val="24"/>
        </w:rPr>
      </w:pPr>
    </w:p>
    <w:p w14:paraId="0A072064" w14:textId="77777777" w:rsidR="000F7D09" w:rsidRPr="00C727CA" w:rsidRDefault="000F7D09" w:rsidP="00FA2973">
      <w:pPr>
        <w:ind w:left="-576"/>
        <w:jc w:val="center"/>
        <w:rPr>
          <w:rFonts w:cs="Times New Roman"/>
          <w:szCs w:val="24"/>
        </w:rPr>
      </w:pPr>
    </w:p>
    <w:p w14:paraId="4E7242C4" w14:textId="77777777" w:rsidR="000F7D09" w:rsidRPr="00C727CA" w:rsidRDefault="000F7D09" w:rsidP="00FA2973">
      <w:pPr>
        <w:ind w:left="-576"/>
        <w:jc w:val="center"/>
        <w:rPr>
          <w:rFonts w:cs="Times New Roman"/>
          <w:szCs w:val="24"/>
        </w:rPr>
      </w:pPr>
    </w:p>
    <w:p w14:paraId="10783A04" w14:textId="77777777" w:rsidR="000F7D09" w:rsidRPr="00C727CA" w:rsidRDefault="000F7D09" w:rsidP="00FA2973">
      <w:pPr>
        <w:ind w:left="-576"/>
        <w:jc w:val="center"/>
        <w:rPr>
          <w:rFonts w:cs="Times New Roman"/>
          <w:szCs w:val="24"/>
        </w:rPr>
      </w:pPr>
    </w:p>
    <w:p w14:paraId="6F5652A3" w14:textId="77777777" w:rsidR="000F7D09" w:rsidRPr="00C727CA" w:rsidRDefault="000F7D09" w:rsidP="00FA2973">
      <w:pPr>
        <w:ind w:left="-576"/>
        <w:jc w:val="center"/>
        <w:rPr>
          <w:rFonts w:cs="Times New Roman"/>
          <w:szCs w:val="24"/>
        </w:rPr>
      </w:pPr>
    </w:p>
    <w:p w14:paraId="5DAD3757" w14:textId="77777777" w:rsidR="000F7D09" w:rsidRPr="00C727CA" w:rsidRDefault="000F7D09" w:rsidP="00FA2973">
      <w:pPr>
        <w:ind w:left="-576"/>
        <w:jc w:val="center"/>
        <w:rPr>
          <w:rFonts w:cs="Times New Roman"/>
          <w:szCs w:val="24"/>
        </w:rPr>
      </w:pPr>
    </w:p>
    <w:p w14:paraId="5930F5D2" w14:textId="77777777" w:rsidR="000F7D09" w:rsidRPr="00C727CA" w:rsidRDefault="000F7D09" w:rsidP="00FA2973">
      <w:pPr>
        <w:ind w:left="-576"/>
        <w:jc w:val="center"/>
        <w:rPr>
          <w:rFonts w:cs="Times New Roman"/>
          <w:szCs w:val="24"/>
        </w:rPr>
      </w:pPr>
    </w:p>
    <w:p w14:paraId="465364BC" w14:textId="77777777" w:rsidR="000F7D09" w:rsidRPr="00C727CA" w:rsidRDefault="000F7D09" w:rsidP="00FA2973">
      <w:pPr>
        <w:ind w:left="-576"/>
        <w:jc w:val="center"/>
        <w:rPr>
          <w:rFonts w:cs="Times New Roman"/>
          <w:szCs w:val="24"/>
        </w:rPr>
      </w:pPr>
    </w:p>
    <w:p w14:paraId="084C6C46" w14:textId="77777777" w:rsidR="00F41E39" w:rsidRPr="00C727CA" w:rsidRDefault="00F41E39" w:rsidP="00FA2973">
      <w:pPr>
        <w:ind w:left="-576"/>
        <w:jc w:val="center"/>
        <w:rPr>
          <w:rFonts w:cs="Times New Roman"/>
          <w:szCs w:val="24"/>
        </w:rPr>
      </w:pPr>
    </w:p>
    <w:p w14:paraId="76E26316" w14:textId="77777777" w:rsidR="00F41E39" w:rsidRPr="00C727CA" w:rsidRDefault="00F41E39" w:rsidP="00FA2973">
      <w:pPr>
        <w:ind w:left="-576"/>
        <w:jc w:val="center"/>
        <w:rPr>
          <w:rFonts w:cs="Times New Roman"/>
          <w:szCs w:val="24"/>
        </w:rPr>
      </w:pPr>
    </w:p>
    <w:p w14:paraId="660042E5" w14:textId="77777777" w:rsidR="000F7D09" w:rsidRPr="00C727CA" w:rsidRDefault="000F7D09" w:rsidP="00FA2973">
      <w:pPr>
        <w:ind w:left="-576"/>
        <w:jc w:val="center"/>
        <w:rPr>
          <w:rFonts w:cs="Times New Roman"/>
          <w:szCs w:val="24"/>
        </w:rPr>
      </w:pPr>
    </w:p>
    <w:p w14:paraId="3313276E" w14:textId="77777777" w:rsidR="000F7D09" w:rsidRPr="00C727CA" w:rsidRDefault="000F7D09" w:rsidP="00FA2973">
      <w:pPr>
        <w:ind w:left="-576"/>
        <w:jc w:val="center"/>
        <w:rPr>
          <w:rFonts w:cs="Times New Roman"/>
          <w:szCs w:val="24"/>
        </w:rPr>
      </w:pPr>
    </w:p>
    <w:p w14:paraId="00DC7172" w14:textId="77777777" w:rsidR="000F7D09" w:rsidRPr="00C727CA" w:rsidRDefault="000F7D09" w:rsidP="00FA2973">
      <w:pPr>
        <w:ind w:left="-576"/>
        <w:jc w:val="center"/>
        <w:rPr>
          <w:rFonts w:cs="Times New Roman"/>
          <w:szCs w:val="24"/>
        </w:rPr>
      </w:pPr>
    </w:p>
    <w:p w14:paraId="14E806CF" w14:textId="77777777" w:rsidR="00F40592" w:rsidRDefault="008F13CE" w:rsidP="00FA2973">
      <w:pPr>
        <w:ind w:left="-576"/>
        <w:jc w:val="center"/>
        <w:rPr>
          <w:rFonts w:cs="Times New Roman"/>
          <w:b/>
          <w:szCs w:val="24"/>
        </w:rPr>
        <w:sectPr w:rsidR="00F40592" w:rsidSect="00B37DA9">
          <w:footerReference w:type="default" r:id="rId9"/>
          <w:pgSz w:w="11906" w:h="16838" w:code="9"/>
          <w:pgMar w:top="1417" w:right="1417" w:bottom="1417" w:left="1417" w:header="708" w:footer="708" w:gutter="0"/>
          <w:cols w:space="708"/>
          <w:titlePg/>
          <w:docGrid w:linePitch="360"/>
        </w:sectPr>
      </w:pPr>
      <w:r>
        <w:rPr>
          <w:rFonts w:cs="Times New Roman"/>
          <w:b/>
          <w:szCs w:val="24"/>
        </w:rPr>
        <w:t>Olomouc 2017</w:t>
      </w:r>
    </w:p>
    <w:p w14:paraId="23F8C4A9" w14:textId="7B3AAC11" w:rsidR="000F7D09" w:rsidRPr="00C727CA" w:rsidRDefault="000F7D09" w:rsidP="00FA2973">
      <w:pPr>
        <w:ind w:left="-576"/>
        <w:jc w:val="center"/>
        <w:rPr>
          <w:rFonts w:cs="Times New Roman"/>
          <w:b/>
          <w:szCs w:val="24"/>
        </w:rPr>
      </w:pPr>
    </w:p>
    <w:p w14:paraId="199D3B40" w14:textId="77777777" w:rsidR="000F7D09" w:rsidRPr="00C727CA" w:rsidRDefault="000F7D09" w:rsidP="00FA2973">
      <w:pPr>
        <w:rPr>
          <w:rFonts w:cs="Times New Roman"/>
          <w:szCs w:val="24"/>
        </w:rPr>
      </w:pPr>
    </w:p>
    <w:p w14:paraId="3FF6B98A" w14:textId="77777777" w:rsidR="000F7D09" w:rsidRPr="00C727CA" w:rsidRDefault="000F7D09" w:rsidP="00FA2973">
      <w:pPr>
        <w:rPr>
          <w:rFonts w:cs="Times New Roman"/>
          <w:szCs w:val="24"/>
        </w:rPr>
      </w:pPr>
    </w:p>
    <w:p w14:paraId="7738B690" w14:textId="77777777" w:rsidR="000F7D09" w:rsidRPr="00C727CA" w:rsidRDefault="000F7D09" w:rsidP="00FA2973">
      <w:pPr>
        <w:rPr>
          <w:rFonts w:cs="Times New Roman"/>
          <w:szCs w:val="24"/>
        </w:rPr>
      </w:pPr>
    </w:p>
    <w:p w14:paraId="55C0A926" w14:textId="77777777" w:rsidR="000F7D09" w:rsidRPr="00C727CA" w:rsidRDefault="000F7D09" w:rsidP="00FA2973">
      <w:pPr>
        <w:rPr>
          <w:rFonts w:cs="Times New Roman"/>
          <w:szCs w:val="24"/>
        </w:rPr>
      </w:pPr>
    </w:p>
    <w:p w14:paraId="5B25F3F0" w14:textId="77777777" w:rsidR="000F7D09" w:rsidRPr="00C727CA" w:rsidRDefault="000F7D09" w:rsidP="00FA2973">
      <w:pPr>
        <w:rPr>
          <w:rFonts w:cs="Times New Roman"/>
          <w:szCs w:val="24"/>
        </w:rPr>
      </w:pPr>
    </w:p>
    <w:p w14:paraId="5A0C35EC" w14:textId="77777777" w:rsidR="000F7D09" w:rsidRPr="00C727CA" w:rsidRDefault="000F7D09" w:rsidP="00FA2973">
      <w:pPr>
        <w:rPr>
          <w:rFonts w:cs="Times New Roman"/>
          <w:szCs w:val="24"/>
        </w:rPr>
      </w:pPr>
    </w:p>
    <w:p w14:paraId="217D829E" w14:textId="77777777" w:rsidR="000F7D09" w:rsidRPr="00C727CA" w:rsidRDefault="000F7D09" w:rsidP="00FA2973">
      <w:pPr>
        <w:rPr>
          <w:rFonts w:cs="Times New Roman"/>
          <w:szCs w:val="24"/>
        </w:rPr>
      </w:pPr>
    </w:p>
    <w:p w14:paraId="67089FBE" w14:textId="77777777" w:rsidR="000F7D09" w:rsidRPr="00C727CA" w:rsidRDefault="000F7D09" w:rsidP="00FA2973">
      <w:pPr>
        <w:rPr>
          <w:rFonts w:cs="Times New Roman"/>
          <w:szCs w:val="24"/>
        </w:rPr>
      </w:pPr>
    </w:p>
    <w:p w14:paraId="50E52CA4" w14:textId="77777777" w:rsidR="000F7D09" w:rsidRPr="00C727CA" w:rsidRDefault="000F7D09" w:rsidP="00FA2973">
      <w:pPr>
        <w:rPr>
          <w:rFonts w:cs="Times New Roman"/>
          <w:szCs w:val="24"/>
        </w:rPr>
      </w:pPr>
    </w:p>
    <w:p w14:paraId="02EE69A5" w14:textId="77777777" w:rsidR="000F7D09" w:rsidRPr="00C727CA" w:rsidRDefault="000F7D09" w:rsidP="00FA2973">
      <w:pPr>
        <w:rPr>
          <w:rFonts w:cs="Times New Roman"/>
          <w:szCs w:val="24"/>
        </w:rPr>
      </w:pPr>
    </w:p>
    <w:p w14:paraId="0F579F29" w14:textId="77777777" w:rsidR="000F7D09" w:rsidRPr="00C727CA" w:rsidRDefault="000F7D09" w:rsidP="00FA2973">
      <w:pPr>
        <w:rPr>
          <w:rFonts w:cs="Times New Roman"/>
          <w:szCs w:val="24"/>
        </w:rPr>
      </w:pPr>
    </w:p>
    <w:p w14:paraId="2F818E90" w14:textId="77777777" w:rsidR="000F7D09" w:rsidRPr="00C727CA" w:rsidRDefault="000F7D09" w:rsidP="00FA2973">
      <w:pPr>
        <w:rPr>
          <w:rFonts w:cs="Times New Roman"/>
          <w:szCs w:val="24"/>
        </w:rPr>
      </w:pPr>
    </w:p>
    <w:p w14:paraId="1846EA4E" w14:textId="77777777" w:rsidR="000F7D09" w:rsidRPr="00C727CA" w:rsidRDefault="000F7D09" w:rsidP="00FA2973">
      <w:pPr>
        <w:rPr>
          <w:rFonts w:cs="Times New Roman"/>
          <w:szCs w:val="24"/>
        </w:rPr>
      </w:pPr>
    </w:p>
    <w:p w14:paraId="73976A74" w14:textId="77777777" w:rsidR="000F7D09" w:rsidRPr="00C727CA" w:rsidRDefault="000F7D09" w:rsidP="00FA2973">
      <w:pPr>
        <w:rPr>
          <w:rFonts w:cs="Times New Roman"/>
          <w:szCs w:val="24"/>
        </w:rPr>
      </w:pPr>
    </w:p>
    <w:p w14:paraId="12DBE638" w14:textId="77777777" w:rsidR="000F7D09" w:rsidRPr="00C727CA" w:rsidRDefault="000F7D09" w:rsidP="00FA2973">
      <w:pPr>
        <w:rPr>
          <w:rFonts w:cs="Times New Roman"/>
          <w:szCs w:val="24"/>
        </w:rPr>
      </w:pPr>
    </w:p>
    <w:p w14:paraId="191BB269" w14:textId="77777777" w:rsidR="000F7D09" w:rsidRPr="00C727CA" w:rsidRDefault="000F7D09" w:rsidP="00FA2973">
      <w:pPr>
        <w:rPr>
          <w:rFonts w:cs="Times New Roman"/>
          <w:szCs w:val="24"/>
        </w:rPr>
      </w:pPr>
    </w:p>
    <w:p w14:paraId="5698253C" w14:textId="77777777" w:rsidR="000F7D09" w:rsidRPr="00C727CA" w:rsidRDefault="000F7D09" w:rsidP="00FA2973">
      <w:pPr>
        <w:rPr>
          <w:rFonts w:cs="Times New Roman"/>
          <w:szCs w:val="24"/>
        </w:rPr>
      </w:pPr>
    </w:p>
    <w:p w14:paraId="25D94664" w14:textId="77777777" w:rsidR="000F7D09" w:rsidRPr="00C727CA" w:rsidRDefault="000F7D09" w:rsidP="00FA2973">
      <w:pPr>
        <w:rPr>
          <w:rFonts w:cs="Times New Roman"/>
          <w:szCs w:val="24"/>
        </w:rPr>
      </w:pPr>
    </w:p>
    <w:p w14:paraId="1B6E2AC5" w14:textId="77777777" w:rsidR="000F7D09" w:rsidRPr="00C727CA" w:rsidRDefault="000F7D09" w:rsidP="00FA2973">
      <w:pPr>
        <w:rPr>
          <w:rFonts w:cs="Times New Roman"/>
          <w:szCs w:val="24"/>
        </w:rPr>
      </w:pPr>
    </w:p>
    <w:p w14:paraId="6C6B8322" w14:textId="77777777" w:rsidR="000F7D09" w:rsidRPr="00C727CA" w:rsidRDefault="000F7D09" w:rsidP="00FA2973">
      <w:pPr>
        <w:rPr>
          <w:rFonts w:cs="Times New Roman"/>
          <w:szCs w:val="24"/>
        </w:rPr>
      </w:pPr>
    </w:p>
    <w:p w14:paraId="739298B3" w14:textId="77777777" w:rsidR="000F7D09" w:rsidRPr="00C727CA" w:rsidRDefault="000F7D09" w:rsidP="00FA2973">
      <w:pPr>
        <w:rPr>
          <w:rFonts w:cs="Times New Roman"/>
          <w:szCs w:val="24"/>
        </w:rPr>
      </w:pPr>
    </w:p>
    <w:p w14:paraId="59F8F3DA" w14:textId="77777777" w:rsidR="000F7D09" w:rsidRPr="00C727CA" w:rsidRDefault="000F7D09" w:rsidP="00FA2973">
      <w:pPr>
        <w:rPr>
          <w:rFonts w:cs="Times New Roman"/>
          <w:szCs w:val="24"/>
        </w:rPr>
      </w:pPr>
    </w:p>
    <w:p w14:paraId="3EAFD088" w14:textId="77777777" w:rsidR="000F7D09" w:rsidRPr="00C727CA" w:rsidRDefault="000F7D09" w:rsidP="00FA2973">
      <w:pPr>
        <w:rPr>
          <w:rFonts w:cs="Times New Roman"/>
          <w:szCs w:val="24"/>
        </w:rPr>
      </w:pPr>
    </w:p>
    <w:p w14:paraId="17B63662" w14:textId="77777777" w:rsidR="0059245C" w:rsidRPr="00C727CA" w:rsidRDefault="0059245C" w:rsidP="00FA2973">
      <w:pPr>
        <w:rPr>
          <w:rFonts w:cs="Times New Roman"/>
          <w:szCs w:val="24"/>
        </w:rPr>
      </w:pPr>
    </w:p>
    <w:p w14:paraId="44510C04" w14:textId="77777777" w:rsidR="000F7D09" w:rsidRPr="00C727CA" w:rsidRDefault="000F7D09" w:rsidP="00FA2973">
      <w:pPr>
        <w:rPr>
          <w:rFonts w:cs="Times New Roman"/>
          <w:szCs w:val="24"/>
        </w:rPr>
      </w:pPr>
    </w:p>
    <w:p w14:paraId="7446DB0E" w14:textId="77777777" w:rsidR="000F7D09" w:rsidRPr="004E0D23" w:rsidRDefault="000F7D09" w:rsidP="00FA2973">
      <w:pPr>
        <w:ind w:firstLine="0"/>
        <w:rPr>
          <w:rFonts w:cs="Times New Roman"/>
          <w:b/>
          <w:szCs w:val="24"/>
        </w:rPr>
      </w:pPr>
      <w:r w:rsidRPr="004E0D23">
        <w:rPr>
          <w:rFonts w:cs="Times New Roman"/>
          <w:b/>
          <w:szCs w:val="24"/>
        </w:rPr>
        <w:t>Prohlášení:</w:t>
      </w:r>
    </w:p>
    <w:p w14:paraId="5D4E8D9D" w14:textId="77777777" w:rsidR="000F7D09" w:rsidRPr="00C727CA" w:rsidRDefault="000F7D09" w:rsidP="00FA2973">
      <w:pPr>
        <w:ind w:firstLine="0"/>
        <w:rPr>
          <w:rFonts w:cs="Times New Roman"/>
          <w:szCs w:val="24"/>
        </w:rPr>
      </w:pPr>
    </w:p>
    <w:p w14:paraId="299B9EAC" w14:textId="77777777" w:rsidR="000F7D09" w:rsidRPr="00C727CA" w:rsidRDefault="000F7D09" w:rsidP="00FA2973">
      <w:pPr>
        <w:ind w:firstLine="0"/>
        <w:rPr>
          <w:rFonts w:cs="Times New Roman"/>
          <w:szCs w:val="24"/>
        </w:rPr>
      </w:pPr>
      <w:r w:rsidRPr="00C727CA">
        <w:rPr>
          <w:rFonts w:cs="Times New Roman"/>
          <w:szCs w:val="24"/>
        </w:rPr>
        <w:t xml:space="preserve">„Prohlašuji, že jsem diplomovou práci na téma: </w:t>
      </w:r>
      <w:r w:rsidR="00E073CD" w:rsidRPr="00C727CA">
        <w:rPr>
          <w:rFonts w:cs="Times New Roman"/>
          <w:szCs w:val="24"/>
        </w:rPr>
        <w:t>„</w:t>
      </w:r>
      <w:r w:rsidR="00253809">
        <w:rPr>
          <w:rFonts w:cs="Times New Roman"/>
          <w:szCs w:val="24"/>
        </w:rPr>
        <w:t xml:space="preserve">Veřejné zakázky </w:t>
      </w:r>
      <w:r w:rsidR="00253809" w:rsidRPr="00253809">
        <w:rPr>
          <w:rFonts w:cs="Times New Roman"/>
          <w:szCs w:val="24"/>
        </w:rPr>
        <w:t>–</w:t>
      </w:r>
      <w:r w:rsidRPr="00C727CA">
        <w:rPr>
          <w:rFonts w:cs="Times New Roman"/>
          <w:szCs w:val="24"/>
        </w:rPr>
        <w:t xml:space="preserve"> problematika zadávacích řízení</w:t>
      </w:r>
      <w:r w:rsidR="00E073CD" w:rsidRPr="00C727CA">
        <w:rPr>
          <w:rFonts w:cs="Times New Roman"/>
          <w:szCs w:val="24"/>
        </w:rPr>
        <w:t>“</w:t>
      </w:r>
      <w:r w:rsidRPr="00C727CA">
        <w:rPr>
          <w:rFonts w:cs="Times New Roman"/>
          <w:szCs w:val="24"/>
        </w:rPr>
        <w:t xml:space="preserve"> vypracoval samostatně a citoval jsem všechny použité zdroje.</w:t>
      </w:r>
      <w:r w:rsidR="005F04B1" w:rsidRPr="00C727CA">
        <w:rPr>
          <w:rFonts w:cs="Times New Roman"/>
          <w:szCs w:val="24"/>
        </w:rPr>
        <w:t>“</w:t>
      </w:r>
    </w:p>
    <w:p w14:paraId="5222EFC5" w14:textId="77777777" w:rsidR="000F7D09" w:rsidRPr="00C727CA" w:rsidRDefault="000F7D09" w:rsidP="00FA2973">
      <w:pPr>
        <w:rPr>
          <w:rFonts w:cs="Times New Roman"/>
          <w:szCs w:val="24"/>
        </w:rPr>
      </w:pPr>
    </w:p>
    <w:p w14:paraId="215536C1" w14:textId="77777777" w:rsidR="005F04B1" w:rsidRPr="00C727CA" w:rsidRDefault="005F04B1" w:rsidP="00FA2973">
      <w:pPr>
        <w:ind w:firstLine="0"/>
        <w:rPr>
          <w:rFonts w:cs="Times New Roman"/>
          <w:szCs w:val="24"/>
        </w:rPr>
      </w:pPr>
    </w:p>
    <w:p w14:paraId="5D2249F3" w14:textId="421DEF52" w:rsidR="005F04B1" w:rsidRPr="00C727CA" w:rsidRDefault="005F04B1" w:rsidP="00FA2973">
      <w:pPr>
        <w:ind w:firstLine="0"/>
        <w:rPr>
          <w:rFonts w:cs="Times New Roman"/>
          <w:szCs w:val="24"/>
        </w:rPr>
      </w:pPr>
      <w:r w:rsidRPr="00C727CA">
        <w:rPr>
          <w:rFonts w:cs="Times New Roman"/>
          <w:szCs w:val="24"/>
        </w:rPr>
        <w:t xml:space="preserve">V </w:t>
      </w:r>
      <w:r w:rsidR="00AF52CC" w:rsidRPr="00C727CA">
        <w:rPr>
          <w:rFonts w:cs="Times New Roman"/>
          <w:szCs w:val="24"/>
        </w:rPr>
        <w:t>Pardubicích</w:t>
      </w:r>
      <w:r w:rsidR="00F40592">
        <w:rPr>
          <w:rFonts w:cs="Times New Roman"/>
          <w:szCs w:val="24"/>
        </w:rPr>
        <w:t xml:space="preserve"> dne </w:t>
      </w:r>
      <w:r w:rsidR="00F40592" w:rsidRPr="00CB73A8">
        <w:rPr>
          <w:rFonts w:cs="Times New Roman"/>
          <w:szCs w:val="24"/>
        </w:rPr>
        <w:t>22. ledna 2017</w:t>
      </w:r>
      <w:r w:rsidRPr="00C727CA">
        <w:rPr>
          <w:rFonts w:cs="Times New Roman"/>
          <w:szCs w:val="24"/>
        </w:rPr>
        <w:tab/>
      </w:r>
      <w:r w:rsidRPr="00C727CA">
        <w:rPr>
          <w:rFonts w:cs="Times New Roman"/>
          <w:szCs w:val="24"/>
        </w:rPr>
        <w:tab/>
      </w:r>
      <w:r w:rsidRPr="00C727CA">
        <w:rPr>
          <w:rFonts w:cs="Times New Roman"/>
          <w:szCs w:val="24"/>
        </w:rPr>
        <w:tab/>
      </w:r>
      <w:r w:rsidRPr="00C727CA">
        <w:rPr>
          <w:rFonts w:cs="Times New Roman"/>
          <w:szCs w:val="24"/>
        </w:rPr>
        <w:tab/>
      </w:r>
      <w:r w:rsidRPr="00C727CA">
        <w:rPr>
          <w:rFonts w:cs="Times New Roman"/>
          <w:szCs w:val="24"/>
        </w:rPr>
        <w:tab/>
      </w:r>
      <w:r w:rsidR="00F40592">
        <w:rPr>
          <w:rFonts w:cs="Times New Roman"/>
          <w:szCs w:val="24"/>
        </w:rPr>
        <w:t xml:space="preserve"> ________</w:t>
      </w:r>
      <w:r w:rsidRPr="00C727CA">
        <w:rPr>
          <w:rFonts w:cs="Times New Roman"/>
          <w:szCs w:val="24"/>
        </w:rPr>
        <w:t>______________</w:t>
      </w:r>
    </w:p>
    <w:p w14:paraId="409CBBC2" w14:textId="38038DA1" w:rsidR="00F40592" w:rsidRDefault="00F40592" w:rsidP="00F40592">
      <w:pPr>
        <w:ind w:left="6372" w:firstLine="708"/>
        <w:rPr>
          <w:rFonts w:cs="Times New Roman"/>
          <w:szCs w:val="24"/>
        </w:rPr>
        <w:sectPr w:rsidR="00F40592" w:rsidSect="00B37DA9">
          <w:pgSz w:w="11906" w:h="16838" w:code="9"/>
          <w:pgMar w:top="1417" w:right="1417" w:bottom="1417" w:left="1417" w:header="708" w:footer="708" w:gutter="0"/>
          <w:cols w:space="708"/>
          <w:titlePg/>
          <w:docGrid w:linePitch="360"/>
        </w:sectPr>
      </w:pPr>
      <w:r>
        <w:rPr>
          <w:rFonts w:cs="Times New Roman"/>
          <w:szCs w:val="24"/>
        </w:rPr>
        <w:t>Marek</w:t>
      </w:r>
      <w:r>
        <w:rPr>
          <w:rFonts w:cs="Times New Roman"/>
          <w:szCs w:val="24"/>
        </w:rPr>
        <w:tab/>
      </w:r>
      <w:r w:rsidR="005F04B1" w:rsidRPr="00C727CA">
        <w:rPr>
          <w:rFonts w:cs="Times New Roman"/>
          <w:szCs w:val="24"/>
        </w:rPr>
        <w:t>Outulný</w:t>
      </w:r>
    </w:p>
    <w:p w14:paraId="077BE631" w14:textId="788C7CCD" w:rsidR="000F7D09" w:rsidRPr="00C727CA" w:rsidRDefault="000F7D09" w:rsidP="00FA2973">
      <w:pPr>
        <w:ind w:left="6372" w:firstLine="0"/>
        <w:rPr>
          <w:rFonts w:cs="Times New Roman"/>
          <w:szCs w:val="24"/>
        </w:rPr>
      </w:pPr>
    </w:p>
    <w:p w14:paraId="373AA365" w14:textId="77777777" w:rsidR="00A26557" w:rsidRPr="00C727CA" w:rsidRDefault="00A26557" w:rsidP="00FA2973">
      <w:pPr>
        <w:ind w:left="6372" w:firstLine="0"/>
        <w:rPr>
          <w:rFonts w:cs="Times New Roman"/>
          <w:szCs w:val="24"/>
        </w:rPr>
      </w:pPr>
    </w:p>
    <w:p w14:paraId="5F9B1901" w14:textId="77777777" w:rsidR="00A26557" w:rsidRPr="00C727CA" w:rsidRDefault="00A26557" w:rsidP="00A26557">
      <w:pPr>
        <w:ind w:firstLine="0"/>
        <w:rPr>
          <w:rFonts w:cs="Times New Roman"/>
          <w:szCs w:val="24"/>
        </w:rPr>
      </w:pPr>
    </w:p>
    <w:p w14:paraId="5C1B27DC" w14:textId="77777777" w:rsidR="00A26557" w:rsidRPr="00C727CA" w:rsidRDefault="00A26557" w:rsidP="00FA2973">
      <w:pPr>
        <w:ind w:left="6372" w:firstLine="0"/>
        <w:rPr>
          <w:rFonts w:cs="Times New Roman"/>
          <w:szCs w:val="24"/>
        </w:rPr>
      </w:pPr>
    </w:p>
    <w:p w14:paraId="18D4FD5D" w14:textId="77777777" w:rsidR="00A26557" w:rsidRPr="00C727CA" w:rsidRDefault="00A26557" w:rsidP="00FA2973">
      <w:pPr>
        <w:ind w:left="6372" w:firstLine="0"/>
        <w:rPr>
          <w:rFonts w:cs="Times New Roman"/>
          <w:szCs w:val="24"/>
        </w:rPr>
      </w:pPr>
    </w:p>
    <w:p w14:paraId="3E08957A" w14:textId="77777777" w:rsidR="00A26557" w:rsidRPr="00C727CA" w:rsidRDefault="00A26557" w:rsidP="00FA2973">
      <w:pPr>
        <w:ind w:left="6372" w:firstLine="0"/>
        <w:rPr>
          <w:rFonts w:cs="Times New Roman"/>
          <w:szCs w:val="24"/>
        </w:rPr>
      </w:pPr>
    </w:p>
    <w:p w14:paraId="6A5B481A" w14:textId="77777777" w:rsidR="00A26557" w:rsidRPr="00C727CA" w:rsidRDefault="00A26557" w:rsidP="00FA2973">
      <w:pPr>
        <w:ind w:left="6372" w:firstLine="0"/>
        <w:rPr>
          <w:rFonts w:cs="Times New Roman"/>
          <w:szCs w:val="24"/>
        </w:rPr>
      </w:pPr>
    </w:p>
    <w:p w14:paraId="4AEA0508" w14:textId="77777777" w:rsidR="00A26557" w:rsidRPr="00C727CA" w:rsidRDefault="00A26557" w:rsidP="00FA2973">
      <w:pPr>
        <w:ind w:left="6372" w:firstLine="0"/>
        <w:rPr>
          <w:rFonts w:cs="Times New Roman"/>
          <w:szCs w:val="24"/>
        </w:rPr>
      </w:pPr>
    </w:p>
    <w:p w14:paraId="0ECFD9DA" w14:textId="77777777" w:rsidR="00A26557" w:rsidRPr="00C727CA" w:rsidRDefault="00A26557" w:rsidP="00FA2973">
      <w:pPr>
        <w:ind w:left="6372" w:firstLine="0"/>
        <w:rPr>
          <w:rFonts w:cs="Times New Roman"/>
          <w:szCs w:val="24"/>
        </w:rPr>
      </w:pPr>
    </w:p>
    <w:p w14:paraId="56E540C8" w14:textId="77777777" w:rsidR="00A26557" w:rsidRPr="00C727CA" w:rsidRDefault="00A26557" w:rsidP="00FA2973">
      <w:pPr>
        <w:ind w:left="6372" w:firstLine="0"/>
        <w:rPr>
          <w:rFonts w:cs="Times New Roman"/>
          <w:szCs w:val="24"/>
        </w:rPr>
      </w:pPr>
    </w:p>
    <w:p w14:paraId="33F32886" w14:textId="77777777" w:rsidR="00A26557" w:rsidRPr="00C727CA" w:rsidRDefault="00A26557" w:rsidP="00FA2973">
      <w:pPr>
        <w:ind w:left="6372" w:firstLine="0"/>
        <w:rPr>
          <w:rFonts w:cs="Times New Roman"/>
          <w:szCs w:val="24"/>
        </w:rPr>
      </w:pPr>
    </w:p>
    <w:p w14:paraId="12667DCA" w14:textId="77777777" w:rsidR="00A26557" w:rsidRPr="00C727CA" w:rsidRDefault="00A26557" w:rsidP="00FA2973">
      <w:pPr>
        <w:ind w:left="6372" w:firstLine="0"/>
        <w:rPr>
          <w:rFonts w:cs="Times New Roman"/>
          <w:szCs w:val="24"/>
        </w:rPr>
      </w:pPr>
    </w:p>
    <w:p w14:paraId="00F47173" w14:textId="77777777" w:rsidR="00A26557" w:rsidRPr="00C727CA" w:rsidRDefault="00A26557" w:rsidP="00FA2973">
      <w:pPr>
        <w:ind w:left="6372" w:firstLine="0"/>
        <w:rPr>
          <w:rFonts w:cs="Times New Roman"/>
          <w:szCs w:val="24"/>
        </w:rPr>
      </w:pPr>
    </w:p>
    <w:p w14:paraId="3CB0EBB2" w14:textId="77777777" w:rsidR="00A26557" w:rsidRPr="00C727CA" w:rsidRDefault="00A26557" w:rsidP="00AF52CC">
      <w:pPr>
        <w:rPr>
          <w:rFonts w:cs="Times New Roman"/>
          <w:szCs w:val="24"/>
        </w:rPr>
      </w:pPr>
    </w:p>
    <w:p w14:paraId="6A4ED7DD" w14:textId="77777777" w:rsidR="00A26557" w:rsidRPr="00C727CA" w:rsidRDefault="00A26557" w:rsidP="00FA2973">
      <w:pPr>
        <w:ind w:left="6372" w:firstLine="0"/>
        <w:rPr>
          <w:rFonts w:cs="Times New Roman"/>
          <w:szCs w:val="24"/>
        </w:rPr>
      </w:pPr>
    </w:p>
    <w:p w14:paraId="6DBC3A89" w14:textId="77777777" w:rsidR="00A26557" w:rsidRPr="00C727CA" w:rsidRDefault="00A26557" w:rsidP="00FA2973">
      <w:pPr>
        <w:ind w:left="6372" w:firstLine="0"/>
        <w:rPr>
          <w:rFonts w:cs="Times New Roman"/>
          <w:szCs w:val="24"/>
        </w:rPr>
      </w:pPr>
    </w:p>
    <w:p w14:paraId="691E8045" w14:textId="77777777" w:rsidR="00A26557" w:rsidRPr="00C727CA" w:rsidRDefault="00A26557" w:rsidP="00FA2973">
      <w:pPr>
        <w:ind w:left="6372" w:firstLine="0"/>
        <w:rPr>
          <w:rFonts w:cs="Times New Roman"/>
          <w:szCs w:val="24"/>
        </w:rPr>
      </w:pPr>
    </w:p>
    <w:p w14:paraId="522BC37D" w14:textId="77777777" w:rsidR="00A26557" w:rsidRPr="00C727CA" w:rsidRDefault="00A26557" w:rsidP="00FA2973">
      <w:pPr>
        <w:ind w:left="6372" w:firstLine="0"/>
        <w:rPr>
          <w:rFonts w:cs="Times New Roman"/>
          <w:szCs w:val="24"/>
        </w:rPr>
      </w:pPr>
    </w:p>
    <w:p w14:paraId="750C4FE9" w14:textId="77777777" w:rsidR="00A26557" w:rsidRPr="00C727CA" w:rsidRDefault="00A26557" w:rsidP="00FA2973">
      <w:pPr>
        <w:ind w:left="6372" w:firstLine="0"/>
        <w:rPr>
          <w:rFonts w:cs="Times New Roman"/>
          <w:szCs w:val="24"/>
        </w:rPr>
      </w:pPr>
    </w:p>
    <w:p w14:paraId="7462A27D" w14:textId="77777777" w:rsidR="00A26557" w:rsidRPr="00C727CA" w:rsidRDefault="00A26557" w:rsidP="00FA2973">
      <w:pPr>
        <w:ind w:left="6372" w:firstLine="0"/>
        <w:rPr>
          <w:rFonts w:cs="Times New Roman"/>
          <w:szCs w:val="24"/>
        </w:rPr>
      </w:pPr>
    </w:p>
    <w:p w14:paraId="07009790" w14:textId="77777777" w:rsidR="00A26557" w:rsidRPr="00C727CA" w:rsidRDefault="00A26557" w:rsidP="00FA2973">
      <w:pPr>
        <w:ind w:left="6372" w:firstLine="0"/>
        <w:rPr>
          <w:rFonts w:cs="Times New Roman"/>
          <w:szCs w:val="24"/>
        </w:rPr>
      </w:pPr>
    </w:p>
    <w:p w14:paraId="3CC3366C" w14:textId="77777777" w:rsidR="00A26557" w:rsidRPr="00C727CA" w:rsidRDefault="00A26557" w:rsidP="00FA2973">
      <w:pPr>
        <w:ind w:left="6372" w:firstLine="0"/>
        <w:rPr>
          <w:rFonts w:cs="Times New Roman"/>
          <w:szCs w:val="24"/>
        </w:rPr>
      </w:pPr>
    </w:p>
    <w:p w14:paraId="280B8F2C" w14:textId="77777777" w:rsidR="00A26557" w:rsidRPr="00C727CA" w:rsidRDefault="00A26557" w:rsidP="00FA2973">
      <w:pPr>
        <w:ind w:left="6372" w:firstLine="0"/>
        <w:rPr>
          <w:rFonts w:cs="Times New Roman"/>
          <w:szCs w:val="24"/>
        </w:rPr>
      </w:pPr>
    </w:p>
    <w:p w14:paraId="5E805ED4" w14:textId="77777777" w:rsidR="00A26557" w:rsidRPr="00C727CA" w:rsidRDefault="00A26557" w:rsidP="00FA2973">
      <w:pPr>
        <w:ind w:left="6372" w:firstLine="0"/>
        <w:rPr>
          <w:rFonts w:cs="Times New Roman"/>
          <w:szCs w:val="24"/>
        </w:rPr>
      </w:pPr>
    </w:p>
    <w:p w14:paraId="7DC2CEAB" w14:textId="77777777" w:rsidR="00AF52CC" w:rsidRPr="00C727CA" w:rsidRDefault="00AF52CC" w:rsidP="00FA2973">
      <w:pPr>
        <w:ind w:left="6372" w:firstLine="0"/>
        <w:rPr>
          <w:rFonts w:cs="Times New Roman"/>
          <w:szCs w:val="24"/>
        </w:rPr>
      </w:pPr>
    </w:p>
    <w:p w14:paraId="357F664A" w14:textId="77777777" w:rsidR="00AF52CC" w:rsidRPr="00C727CA" w:rsidRDefault="00AF52CC" w:rsidP="00FA2973">
      <w:pPr>
        <w:ind w:left="6372" w:firstLine="0"/>
        <w:rPr>
          <w:rFonts w:cs="Times New Roman"/>
          <w:szCs w:val="24"/>
        </w:rPr>
      </w:pPr>
    </w:p>
    <w:p w14:paraId="7383FB92" w14:textId="77777777" w:rsidR="00AF52CC" w:rsidRPr="00C727CA" w:rsidRDefault="00AF52CC" w:rsidP="00FA2973">
      <w:pPr>
        <w:ind w:left="6372" w:firstLine="0"/>
        <w:rPr>
          <w:rFonts w:cs="Times New Roman"/>
          <w:szCs w:val="24"/>
        </w:rPr>
      </w:pPr>
    </w:p>
    <w:p w14:paraId="29571650" w14:textId="77777777" w:rsidR="00AF52CC" w:rsidRPr="00C727CA" w:rsidRDefault="00AF52CC" w:rsidP="00FA2973">
      <w:pPr>
        <w:ind w:left="6372" w:firstLine="0"/>
        <w:rPr>
          <w:rFonts w:cs="Times New Roman"/>
          <w:szCs w:val="24"/>
        </w:rPr>
      </w:pPr>
    </w:p>
    <w:p w14:paraId="0CFFC1B9" w14:textId="77777777" w:rsidR="00A26557" w:rsidRPr="00C727CA" w:rsidRDefault="00A26557" w:rsidP="00FA2973">
      <w:pPr>
        <w:ind w:left="6372" w:firstLine="0"/>
        <w:rPr>
          <w:rFonts w:cs="Times New Roman"/>
          <w:szCs w:val="24"/>
        </w:rPr>
      </w:pPr>
    </w:p>
    <w:p w14:paraId="4AB794B2" w14:textId="77777777" w:rsidR="00A26557" w:rsidRPr="00C727CA" w:rsidRDefault="00AF52CC" w:rsidP="00AF52CC">
      <w:pPr>
        <w:ind w:firstLine="0"/>
        <w:rPr>
          <w:rFonts w:cs="Times New Roman"/>
          <w:b/>
          <w:szCs w:val="24"/>
        </w:rPr>
      </w:pPr>
      <w:r w:rsidRPr="00C727CA">
        <w:rPr>
          <w:rFonts w:cs="Times New Roman"/>
          <w:b/>
          <w:szCs w:val="24"/>
        </w:rPr>
        <w:t>Poděkování</w:t>
      </w:r>
    </w:p>
    <w:p w14:paraId="7FD05D3B" w14:textId="77777777" w:rsidR="00A26557" w:rsidRPr="00C727CA" w:rsidRDefault="00A26557" w:rsidP="00AF52CC">
      <w:pPr>
        <w:ind w:firstLine="0"/>
        <w:rPr>
          <w:rFonts w:cs="Times New Roman"/>
          <w:szCs w:val="24"/>
        </w:rPr>
      </w:pPr>
    </w:p>
    <w:p w14:paraId="7795A833" w14:textId="77777777" w:rsidR="00A26557" w:rsidRPr="00C727CA" w:rsidRDefault="00AF52CC" w:rsidP="00871508">
      <w:pPr>
        <w:ind w:firstLine="0"/>
        <w:rPr>
          <w:rFonts w:cs="Times New Roman"/>
          <w:szCs w:val="24"/>
        </w:rPr>
      </w:pPr>
      <w:r w:rsidRPr="00C727CA">
        <w:rPr>
          <w:rFonts w:cs="Times New Roman"/>
          <w:szCs w:val="24"/>
        </w:rPr>
        <w:t>Rád bych poděkoval své vedoucí diplomové práce, JUDr. et Mgr. Lence Veselé, Ph.D., za odborné vedení, cenné rady a návrhy při vypracování této práce. V neposlední řadě chci také poděkovat svým rodičům</w:t>
      </w:r>
      <w:r w:rsidR="00474411" w:rsidRPr="00C727CA">
        <w:rPr>
          <w:rFonts w:cs="Times New Roman"/>
          <w:szCs w:val="24"/>
        </w:rPr>
        <w:t xml:space="preserve"> a bratrovi</w:t>
      </w:r>
      <w:r w:rsidRPr="00C727CA">
        <w:rPr>
          <w:rFonts w:cs="Times New Roman"/>
          <w:szCs w:val="24"/>
        </w:rPr>
        <w:t>, kteří mě při vzniku této práce podpořili.</w:t>
      </w:r>
    </w:p>
    <w:sdt>
      <w:sdtPr>
        <w:rPr>
          <w:rFonts w:ascii="Times New Roman" w:eastAsiaTheme="minorHAnsi" w:hAnsi="Times New Roman" w:cs="Times New Roman"/>
          <w:b w:val="0"/>
          <w:bCs w:val="0"/>
          <w:color w:val="auto"/>
          <w:sz w:val="24"/>
          <w:szCs w:val="22"/>
        </w:rPr>
        <w:id w:val="-63488146"/>
        <w:docPartObj>
          <w:docPartGallery w:val="Table of Contents"/>
          <w:docPartUnique/>
        </w:docPartObj>
      </w:sdtPr>
      <w:sdtEndPr/>
      <w:sdtContent>
        <w:p w14:paraId="4362B1D3" w14:textId="77777777" w:rsidR="0030661B" w:rsidRPr="00C727CA" w:rsidRDefault="0030661B" w:rsidP="00FA2973">
          <w:pPr>
            <w:pStyle w:val="TOCHeading"/>
            <w:spacing w:line="360" w:lineRule="auto"/>
            <w:jc w:val="both"/>
            <w:rPr>
              <w:rFonts w:ascii="Times New Roman" w:hAnsi="Times New Roman" w:cs="Times New Roman"/>
              <w:color w:val="auto"/>
            </w:rPr>
          </w:pPr>
          <w:r w:rsidRPr="00C727CA">
            <w:rPr>
              <w:rFonts w:ascii="Times New Roman" w:hAnsi="Times New Roman" w:cs="Times New Roman"/>
              <w:color w:val="auto"/>
            </w:rPr>
            <w:t>Obsah práce:</w:t>
          </w:r>
        </w:p>
        <w:p w14:paraId="7B1FD7AB" w14:textId="77777777" w:rsidR="00F40592" w:rsidRDefault="0064614B">
          <w:pPr>
            <w:pStyle w:val="TOC1"/>
            <w:rPr>
              <w:rFonts w:asciiTheme="minorHAnsi" w:eastAsiaTheme="minorEastAsia" w:hAnsiTheme="minorHAnsi"/>
              <w:b w:val="0"/>
              <w:noProof/>
              <w:sz w:val="22"/>
              <w:lang w:val="en-US"/>
            </w:rPr>
          </w:pPr>
          <w:r w:rsidRPr="00C727CA">
            <w:rPr>
              <w:rFonts w:cs="Times New Roman"/>
            </w:rPr>
            <w:fldChar w:fldCharType="begin"/>
          </w:r>
          <w:r w:rsidR="0030661B" w:rsidRPr="00C727CA">
            <w:rPr>
              <w:rFonts w:cs="Times New Roman"/>
            </w:rPr>
            <w:instrText xml:space="preserve"> TOC \o "1-3" \h \z \u </w:instrText>
          </w:r>
          <w:r w:rsidRPr="00C727CA">
            <w:rPr>
              <w:rFonts w:cs="Times New Roman"/>
            </w:rPr>
            <w:fldChar w:fldCharType="separate"/>
          </w:r>
          <w:hyperlink w:anchor="_Toc472859432" w:history="1">
            <w:r w:rsidR="00F40592" w:rsidRPr="001C4AFF">
              <w:rPr>
                <w:rStyle w:val="Hyperlink"/>
                <w:noProof/>
              </w:rPr>
              <w:t>1</w:t>
            </w:r>
            <w:r w:rsidR="00F40592">
              <w:rPr>
                <w:rFonts w:asciiTheme="minorHAnsi" w:eastAsiaTheme="minorEastAsia" w:hAnsiTheme="minorHAnsi"/>
                <w:b w:val="0"/>
                <w:noProof/>
                <w:sz w:val="22"/>
                <w:lang w:val="en-US"/>
              </w:rPr>
              <w:tab/>
            </w:r>
            <w:r w:rsidR="00F40592" w:rsidRPr="001C4AFF">
              <w:rPr>
                <w:rStyle w:val="Hyperlink"/>
                <w:noProof/>
              </w:rPr>
              <w:t>Úvod</w:t>
            </w:r>
            <w:r w:rsidR="00F40592">
              <w:rPr>
                <w:noProof/>
                <w:webHidden/>
              </w:rPr>
              <w:tab/>
            </w:r>
            <w:r w:rsidR="00F40592">
              <w:rPr>
                <w:noProof/>
                <w:webHidden/>
              </w:rPr>
              <w:fldChar w:fldCharType="begin"/>
            </w:r>
            <w:r w:rsidR="00F40592">
              <w:rPr>
                <w:noProof/>
                <w:webHidden/>
              </w:rPr>
              <w:instrText xml:space="preserve"> PAGEREF _Toc472859432 \h </w:instrText>
            </w:r>
            <w:r w:rsidR="00F40592">
              <w:rPr>
                <w:noProof/>
                <w:webHidden/>
              </w:rPr>
            </w:r>
            <w:r w:rsidR="00F40592">
              <w:rPr>
                <w:noProof/>
                <w:webHidden/>
              </w:rPr>
              <w:fldChar w:fldCharType="separate"/>
            </w:r>
            <w:r w:rsidR="00F40592">
              <w:rPr>
                <w:noProof/>
                <w:webHidden/>
              </w:rPr>
              <w:t>5</w:t>
            </w:r>
            <w:r w:rsidR="00F40592">
              <w:rPr>
                <w:noProof/>
                <w:webHidden/>
              </w:rPr>
              <w:fldChar w:fldCharType="end"/>
            </w:r>
          </w:hyperlink>
        </w:p>
        <w:p w14:paraId="0FA1AEE3" w14:textId="77777777" w:rsidR="00F40592" w:rsidRDefault="001025BB">
          <w:pPr>
            <w:pStyle w:val="TOC1"/>
            <w:rPr>
              <w:rFonts w:asciiTheme="minorHAnsi" w:eastAsiaTheme="minorEastAsia" w:hAnsiTheme="minorHAnsi"/>
              <w:b w:val="0"/>
              <w:noProof/>
              <w:sz w:val="22"/>
              <w:lang w:val="en-US"/>
            </w:rPr>
          </w:pPr>
          <w:hyperlink w:anchor="_Toc472859433" w:history="1">
            <w:r w:rsidR="00F40592" w:rsidRPr="001C4AFF">
              <w:rPr>
                <w:rStyle w:val="Hyperlink"/>
                <w:noProof/>
              </w:rPr>
              <w:t>2</w:t>
            </w:r>
            <w:r w:rsidR="00F40592">
              <w:rPr>
                <w:rFonts w:asciiTheme="minorHAnsi" w:eastAsiaTheme="minorEastAsia" w:hAnsiTheme="minorHAnsi"/>
                <w:b w:val="0"/>
                <w:noProof/>
                <w:sz w:val="22"/>
                <w:lang w:val="en-US"/>
              </w:rPr>
              <w:tab/>
            </w:r>
            <w:r w:rsidR="00F40592" w:rsidRPr="001C4AFF">
              <w:rPr>
                <w:rStyle w:val="Hyperlink"/>
                <w:noProof/>
              </w:rPr>
              <w:t>Prameny práva veřejných zakázek</w:t>
            </w:r>
            <w:r w:rsidR="00F40592">
              <w:rPr>
                <w:noProof/>
                <w:webHidden/>
              </w:rPr>
              <w:tab/>
            </w:r>
            <w:r w:rsidR="00F40592">
              <w:rPr>
                <w:noProof/>
                <w:webHidden/>
              </w:rPr>
              <w:fldChar w:fldCharType="begin"/>
            </w:r>
            <w:r w:rsidR="00F40592">
              <w:rPr>
                <w:noProof/>
                <w:webHidden/>
              </w:rPr>
              <w:instrText xml:space="preserve"> PAGEREF _Toc472859433 \h </w:instrText>
            </w:r>
            <w:r w:rsidR="00F40592">
              <w:rPr>
                <w:noProof/>
                <w:webHidden/>
              </w:rPr>
            </w:r>
            <w:r w:rsidR="00F40592">
              <w:rPr>
                <w:noProof/>
                <w:webHidden/>
              </w:rPr>
              <w:fldChar w:fldCharType="separate"/>
            </w:r>
            <w:r w:rsidR="00F40592">
              <w:rPr>
                <w:noProof/>
                <w:webHidden/>
              </w:rPr>
              <w:t>7</w:t>
            </w:r>
            <w:r w:rsidR="00F40592">
              <w:rPr>
                <w:noProof/>
                <w:webHidden/>
              </w:rPr>
              <w:fldChar w:fldCharType="end"/>
            </w:r>
          </w:hyperlink>
        </w:p>
        <w:p w14:paraId="48BF065E" w14:textId="77777777" w:rsidR="00F40592" w:rsidRDefault="001025BB">
          <w:pPr>
            <w:pStyle w:val="TOC2"/>
            <w:tabs>
              <w:tab w:val="left" w:pos="880"/>
              <w:tab w:val="right" w:leader="dot" w:pos="9062"/>
            </w:tabs>
            <w:rPr>
              <w:rFonts w:asciiTheme="minorHAnsi" w:eastAsiaTheme="minorEastAsia" w:hAnsiTheme="minorHAnsi"/>
              <w:noProof/>
              <w:sz w:val="22"/>
              <w:lang w:val="en-US"/>
            </w:rPr>
          </w:pPr>
          <w:hyperlink w:anchor="_Toc472859434" w:history="1">
            <w:r w:rsidR="00F40592" w:rsidRPr="001C4AFF">
              <w:rPr>
                <w:rStyle w:val="Hyperlink"/>
                <w:noProof/>
              </w:rPr>
              <w:t>2.1</w:t>
            </w:r>
            <w:r w:rsidR="00F40592">
              <w:rPr>
                <w:rFonts w:asciiTheme="minorHAnsi" w:eastAsiaTheme="minorEastAsia" w:hAnsiTheme="minorHAnsi"/>
                <w:noProof/>
                <w:sz w:val="22"/>
                <w:lang w:val="en-US"/>
              </w:rPr>
              <w:tab/>
            </w:r>
            <w:r w:rsidR="00F40592" w:rsidRPr="001C4AFF">
              <w:rPr>
                <w:rStyle w:val="Hyperlink"/>
                <w:noProof/>
              </w:rPr>
              <w:t>Právo Evropské unie jakožto pramen práva veřejných zakázek</w:t>
            </w:r>
            <w:r w:rsidR="00F40592">
              <w:rPr>
                <w:noProof/>
                <w:webHidden/>
              </w:rPr>
              <w:tab/>
            </w:r>
            <w:r w:rsidR="00F40592">
              <w:rPr>
                <w:noProof/>
                <w:webHidden/>
              </w:rPr>
              <w:fldChar w:fldCharType="begin"/>
            </w:r>
            <w:r w:rsidR="00F40592">
              <w:rPr>
                <w:noProof/>
                <w:webHidden/>
              </w:rPr>
              <w:instrText xml:space="preserve"> PAGEREF _Toc472859434 \h </w:instrText>
            </w:r>
            <w:r w:rsidR="00F40592">
              <w:rPr>
                <w:noProof/>
                <w:webHidden/>
              </w:rPr>
            </w:r>
            <w:r w:rsidR="00F40592">
              <w:rPr>
                <w:noProof/>
                <w:webHidden/>
              </w:rPr>
              <w:fldChar w:fldCharType="separate"/>
            </w:r>
            <w:r w:rsidR="00F40592">
              <w:rPr>
                <w:noProof/>
                <w:webHidden/>
              </w:rPr>
              <w:t>7</w:t>
            </w:r>
            <w:r w:rsidR="00F40592">
              <w:rPr>
                <w:noProof/>
                <w:webHidden/>
              </w:rPr>
              <w:fldChar w:fldCharType="end"/>
            </w:r>
          </w:hyperlink>
        </w:p>
        <w:p w14:paraId="63641E10" w14:textId="77777777" w:rsidR="00F40592" w:rsidRDefault="001025BB">
          <w:pPr>
            <w:pStyle w:val="TOC2"/>
            <w:tabs>
              <w:tab w:val="left" w:pos="880"/>
              <w:tab w:val="right" w:leader="dot" w:pos="9062"/>
            </w:tabs>
            <w:rPr>
              <w:rFonts w:asciiTheme="minorHAnsi" w:eastAsiaTheme="minorEastAsia" w:hAnsiTheme="minorHAnsi"/>
              <w:noProof/>
              <w:sz w:val="22"/>
              <w:lang w:val="en-US"/>
            </w:rPr>
          </w:pPr>
          <w:hyperlink w:anchor="_Toc472859435" w:history="1">
            <w:r w:rsidR="00F40592" w:rsidRPr="001C4AFF">
              <w:rPr>
                <w:rStyle w:val="Hyperlink"/>
                <w:noProof/>
              </w:rPr>
              <w:t>2.2</w:t>
            </w:r>
            <w:r w:rsidR="00F40592">
              <w:rPr>
                <w:rFonts w:asciiTheme="minorHAnsi" w:eastAsiaTheme="minorEastAsia" w:hAnsiTheme="minorHAnsi"/>
                <w:noProof/>
                <w:sz w:val="22"/>
                <w:lang w:val="en-US"/>
              </w:rPr>
              <w:tab/>
            </w:r>
            <w:r w:rsidR="00F40592" w:rsidRPr="001C4AFF">
              <w:rPr>
                <w:rStyle w:val="Hyperlink"/>
                <w:noProof/>
              </w:rPr>
              <w:t>Vnitrostátní prameny práva VZ</w:t>
            </w:r>
            <w:r w:rsidR="00F40592">
              <w:rPr>
                <w:noProof/>
                <w:webHidden/>
              </w:rPr>
              <w:tab/>
            </w:r>
            <w:r w:rsidR="00F40592">
              <w:rPr>
                <w:noProof/>
                <w:webHidden/>
              </w:rPr>
              <w:fldChar w:fldCharType="begin"/>
            </w:r>
            <w:r w:rsidR="00F40592">
              <w:rPr>
                <w:noProof/>
                <w:webHidden/>
              </w:rPr>
              <w:instrText xml:space="preserve"> PAGEREF _Toc472859435 \h </w:instrText>
            </w:r>
            <w:r w:rsidR="00F40592">
              <w:rPr>
                <w:noProof/>
                <w:webHidden/>
              </w:rPr>
            </w:r>
            <w:r w:rsidR="00F40592">
              <w:rPr>
                <w:noProof/>
                <w:webHidden/>
              </w:rPr>
              <w:fldChar w:fldCharType="separate"/>
            </w:r>
            <w:r w:rsidR="00F40592">
              <w:rPr>
                <w:noProof/>
                <w:webHidden/>
              </w:rPr>
              <w:t>8</w:t>
            </w:r>
            <w:r w:rsidR="00F40592">
              <w:rPr>
                <w:noProof/>
                <w:webHidden/>
              </w:rPr>
              <w:fldChar w:fldCharType="end"/>
            </w:r>
          </w:hyperlink>
        </w:p>
        <w:p w14:paraId="12E22475" w14:textId="77777777" w:rsidR="00F40592" w:rsidRDefault="001025BB">
          <w:pPr>
            <w:pStyle w:val="TOC1"/>
            <w:rPr>
              <w:rFonts w:asciiTheme="minorHAnsi" w:eastAsiaTheme="minorEastAsia" w:hAnsiTheme="minorHAnsi"/>
              <w:b w:val="0"/>
              <w:noProof/>
              <w:sz w:val="22"/>
              <w:lang w:val="en-US"/>
            </w:rPr>
          </w:pPr>
          <w:hyperlink w:anchor="_Toc472859436" w:history="1">
            <w:r w:rsidR="00F40592" w:rsidRPr="001C4AFF">
              <w:rPr>
                <w:rStyle w:val="Hyperlink"/>
                <w:noProof/>
              </w:rPr>
              <w:t>3</w:t>
            </w:r>
            <w:r w:rsidR="00F40592">
              <w:rPr>
                <w:rFonts w:asciiTheme="minorHAnsi" w:eastAsiaTheme="minorEastAsia" w:hAnsiTheme="minorHAnsi"/>
                <w:b w:val="0"/>
                <w:noProof/>
                <w:sz w:val="22"/>
                <w:lang w:val="en-US"/>
              </w:rPr>
              <w:tab/>
            </w:r>
            <w:r w:rsidR="00F40592" w:rsidRPr="001C4AFF">
              <w:rPr>
                <w:rStyle w:val="Hyperlink"/>
                <w:noProof/>
              </w:rPr>
              <w:t>Pojmové znaky, dělení a zásady při zadávání veřejných zakázek</w:t>
            </w:r>
            <w:r w:rsidR="00F40592">
              <w:rPr>
                <w:noProof/>
                <w:webHidden/>
              </w:rPr>
              <w:tab/>
            </w:r>
            <w:r w:rsidR="00F40592">
              <w:rPr>
                <w:noProof/>
                <w:webHidden/>
              </w:rPr>
              <w:fldChar w:fldCharType="begin"/>
            </w:r>
            <w:r w:rsidR="00F40592">
              <w:rPr>
                <w:noProof/>
                <w:webHidden/>
              </w:rPr>
              <w:instrText xml:space="preserve"> PAGEREF _Toc472859436 \h </w:instrText>
            </w:r>
            <w:r w:rsidR="00F40592">
              <w:rPr>
                <w:noProof/>
                <w:webHidden/>
              </w:rPr>
            </w:r>
            <w:r w:rsidR="00F40592">
              <w:rPr>
                <w:noProof/>
                <w:webHidden/>
              </w:rPr>
              <w:fldChar w:fldCharType="separate"/>
            </w:r>
            <w:r w:rsidR="00F40592">
              <w:rPr>
                <w:noProof/>
                <w:webHidden/>
              </w:rPr>
              <w:t>10</w:t>
            </w:r>
            <w:r w:rsidR="00F40592">
              <w:rPr>
                <w:noProof/>
                <w:webHidden/>
              </w:rPr>
              <w:fldChar w:fldCharType="end"/>
            </w:r>
          </w:hyperlink>
        </w:p>
        <w:p w14:paraId="089D4B6A" w14:textId="77777777" w:rsidR="00F40592" w:rsidRDefault="001025BB">
          <w:pPr>
            <w:pStyle w:val="TOC2"/>
            <w:tabs>
              <w:tab w:val="left" w:pos="880"/>
              <w:tab w:val="right" w:leader="dot" w:pos="9062"/>
            </w:tabs>
            <w:rPr>
              <w:rFonts w:asciiTheme="minorHAnsi" w:eastAsiaTheme="minorEastAsia" w:hAnsiTheme="minorHAnsi"/>
              <w:noProof/>
              <w:sz w:val="22"/>
              <w:lang w:val="en-US"/>
            </w:rPr>
          </w:pPr>
          <w:hyperlink w:anchor="_Toc472859437" w:history="1">
            <w:r w:rsidR="00F40592" w:rsidRPr="001C4AFF">
              <w:rPr>
                <w:rStyle w:val="Hyperlink"/>
                <w:noProof/>
              </w:rPr>
              <w:t>3.1</w:t>
            </w:r>
            <w:r w:rsidR="00F40592">
              <w:rPr>
                <w:rFonts w:asciiTheme="minorHAnsi" w:eastAsiaTheme="minorEastAsia" w:hAnsiTheme="minorHAnsi"/>
                <w:noProof/>
                <w:sz w:val="22"/>
                <w:lang w:val="en-US"/>
              </w:rPr>
              <w:tab/>
            </w:r>
            <w:r w:rsidR="00F40592" w:rsidRPr="001C4AFF">
              <w:rPr>
                <w:rStyle w:val="Hyperlink"/>
                <w:noProof/>
              </w:rPr>
              <w:t>Pojmové znaky VZ</w:t>
            </w:r>
            <w:r w:rsidR="00F40592">
              <w:rPr>
                <w:noProof/>
                <w:webHidden/>
              </w:rPr>
              <w:tab/>
            </w:r>
            <w:r w:rsidR="00F40592">
              <w:rPr>
                <w:noProof/>
                <w:webHidden/>
              </w:rPr>
              <w:fldChar w:fldCharType="begin"/>
            </w:r>
            <w:r w:rsidR="00F40592">
              <w:rPr>
                <w:noProof/>
                <w:webHidden/>
              </w:rPr>
              <w:instrText xml:space="preserve"> PAGEREF _Toc472859437 \h </w:instrText>
            </w:r>
            <w:r w:rsidR="00F40592">
              <w:rPr>
                <w:noProof/>
                <w:webHidden/>
              </w:rPr>
            </w:r>
            <w:r w:rsidR="00F40592">
              <w:rPr>
                <w:noProof/>
                <w:webHidden/>
              </w:rPr>
              <w:fldChar w:fldCharType="separate"/>
            </w:r>
            <w:r w:rsidR="00F40592">
              <w:rPr>
                <w:noProof/>
                <w:webHidden/>
              </w:rPr>
              <w:t>10</w:t>
            </w:r>
            <w:r w:rsidR="00F40592">
              <w:rPr>
                <w:noProof/>
                <w:webHidden/>
              </w:rPr>
              <w:fldChar w:fldCharType="end"/>
            </w:r>
          </w:hyperlink>
        </w:p>
        <w:p w14:paraId="1562C9BF" w14:textId="77777777" w:rsidR="00F40592" w:rsidRDefault="001025BB">
          <w:pPr>
            <w:pStyle w:val="TOC2"/>
            <w:tabs>
              <w:tab w:val="left" w:pos="880"/>
              <w:tab w:val="right" w:leader="dot" w:pos="9062"/>
            </w:tabs>
            <w:rPr>
              <w:rFonts w:asciiTheme="minorHAnsi" w:eastAsiaTheme="minorEastAsia" w:hAnsiTheme="minorHAnsi"/>
              <w:noProof/>
              <w:sz w:val="22"/>
              <w:lang w:val="en-US"/>
            </w:rPr>
          </w:pPr>
          <w:hyperlink w:anchor="_Toc472859438" w:history="1">
            <w:r w:rsidR="00F40592" w:rsidRPr="001C4AFF">
              <w:rPr>
                <w:rStyle w:val="Hyperlink"/>
                <w:noProof/>
              </w:rPr>
              <w:t>3.2</w:t>
            </w:r>
            <w:r w:rsidR="00F40592">
              <w:rPr>
                <w:rFonts w:asciiTheme="minorHAnsi" w:eastAsiaTheme="minorEastAsia" w:hAnsiTheme="minorHAnsi"/>
                <w:noProof/>
                <w:sz w:val="22"/>
                <w:lang w:val="en-US"/>
              </w:rPr>
              <w:tab/>
            </w:r>
            <w:r w:rsidR="00F40592" w:rsidRPr="001C4AFF">
              <w:rPr>
                <w:rStyle w:val="Hyperlink"/>
                <w:noProof/>
              </w:rPr>
              <w:t>Dělení VZ</w:t>
            </w:r>
            <w:r w:rsidR="00F40592">
              <w:rPr>
                <w:noProof/>
                <w:webHidden/>
              </w:rPr>
              <w:tab/>
            </w:r>
            <w:r w:rsidR="00F40592">
              <w:rPr>
                <w:noProof/>
                <w:webHidden/>
              </w:rPr>
              <w:fldChar w:fldCharType="begin"/>
            </w:r>
            <w:r w:rsidR="00F40592">
              <w:rPr>
                <w:noProof/>
                <w:webHidden/>
              </w:rPr>
              <w:instrText xml:space="preserve"> PAGEREF _Toc472859438 \h </w:instrText>
            </w:r>
            <w:r w:rsidR="00F40592">
              <w:rPr>
                <w:noProof/>
                <w:webHidden/>
              </w:rPr>
            </w:r>
            <w:r w:rsidR="00F40592">
              <w:rPr>
                <w:noProof/>
                <w:webHidden/>
              </w:rPr>
              <w:fldChar w:fldCharType="separate"/>
            </w:r>
            <w:r w:rsidR="00F40592">
              <w:rPr>
                <w:noProof/>
                <w:webHidden/>
              </w:rPr>
              <w:t>11</w:t>
            </w:r>
            <w:r w:rsidR="00F40592">
              <w:rPr>
                <w:noProof/>
                <w:webHidden/>
              </w:rPr>
              <w:fldChar w:fldCharType="end"/>
            </w:r>
          </w:hyperlink>
        </w:p>
        <w:p w14:paraId="09E26C9F" w14:textId="77777777" w:rsidR="00F40592" w:rsidRDefault="001025BB">
          <w:pPr>
            <w:pStyle w:val="TOC3"/>
            <w:tabs>
              <w:tab w:val="left" w:pos="1320"/>
              <w:tab w:val="right" w:leader="dot" w:pos="9062"/>
            </w:tabs>
            <w:rPr>
              <w:rFonts w:asciiTheme="minorHAnsi" w:eastAsiaTheme="minorEastAsia" w:hAnsiTheme="minorHAnsi"/>
              <w:noProof/>
              <w:sz w:val="22"/>
              <w:lang w:val="en-US"/>
            </w:rPr>
          </w:pPr>
          <w:hyperlink w:anchor="_Toc472859439" w:history="1">
            <w:r w:rsidR="00F40592" w:rsidRPr="001C4AFF">
              <w:rPr>
                <w:rStyle w:val="Hyperlink"/>
                <w:noProof/>
              </w:rPr>
              <w:t>3.2.1</w:t>
            </w:r>
            <w:r w:rsidR="00F40592">
              <w:rPr>
                <w:rFonts w:asciiTheme="minorHAnsi" w:eastAsiaTheme="minorEastAsia" w:hAnsiTheme="minorHAnsi"/>
                <w:noProof/>
                <w:sz w:val="22"/>
                <w:lang w:val="en-US"/>
              </w:rPr>
              <w:tab/>
            </w:r>
            <w:r w:rsidR="00F40592" w:rsidRPr="001C4AFF">
              <w:rPr>
                <w:rStyle w:val="Hyperlink"/>
                <w:noProof/>
              </w:rPr>
              <w:t>VZ podle předmětu plnění</w:t>
            </w:r>
            <w:r w:rsidR="00F40592">
              <w:rPr>
                <w:noProof/>
                <w:webHidden/>
              </w:rPr>
              <w:tab/>
            </w:r>
            <w:r w:rsidR="00F40592">
              <w:rPr>
                <w:noProof/>
                <w:webHidden/>
              </w:rPr>
              <w:fldChar w:fldCharType="begin"/>
            </w:r>
            <w:r w:rsidR="00F40592">
              <w:rPr>
                <w:noProof/>
                <w:webHidden/>
              </w:rPr>
              <w:instrText xml:space="preserve"> PAGEREF _Toc472859439 \h </w:instrText>
            </w:r>
            <w:r w:rsidR="00F40592">
              <w:rPr>
                <w:noProof/>
                <w:webHidden/>
              </w:rPr>
            </w:r>
            <w:r w:rsidR="00F40592">
              <w:rPr>
                <w:noProof/>
                <w:webHidden/>
              </w:rPr>
              <w:fldChar w:fldCharType="separate"/>
            </w:r>
            <w:r w:rsidR="00F40592">
              <w:rPr>
                <w:noProof/>
                <w:webHidden/>
              </w:rPr>
              <w:t>11</w:t>
            </w:r>
            <w:r w:rsidR="00F40592">
              <w:rPr>
                <w:noProof/>
                <w:webHidden/>
              </w:rPr>
              <w:fldChar w:fldCharType="end"/>
            </w:r>
          </w:hyperlink>
        </w:p>
        <w:p w14:paraId="4E6DC722" w14:textId="77777777" w:rsidR="00F40592" w:rsidRDefault="001025BB">
          <w:pPr>
            <w:pStyle w:val="TOC3"/>
            <w:tabs>
              <w:tab w:val="left" w:pos="1320"/>
              <w:tab w:val="right" w:leader="dot" w:pos="9062"/>
            </w:tabs>
            <w:rPr>
              <w:rFonts w:asciiTheme="minorHAnsi" w:eastAsiaTheme="minorEastAsia" w:hAnsiTheme="minorHAnsi"/>
              <w:noProof/>
              <w:sz w:val="22"/>
              <w:lang w:val="en-US"/>
            </w:rPr>
          </w:pPr>
          <w:hyperlink w:anchor="_Toc472859440" w:history="1">
            <w:r w:rsidR="00F40592" w:rsidRPr="001C4AFF">
              <w:rPr>
                <w:rStyle w:val="Hyperlink"/>
                <w:noProof/>
              </w:rPr>
              <w:t>3.2.2</w:t>
            </w:r>
            <w:r w:rsidR="00F40592">
              <w:rPr>
                <w:rFonts w:asciiTheme="minorHAnsi" w:eastAsiaTheme="minorEastAsia" w:hAnsiTheme="minorHAnsi"/>
                <w:noProof/>
                <w:sz w:val="22"/>
                <w:lang w:val="en-US"/>
              </w:rPr>
              <w:tab/>
            </w:r>
            <w:r w:rsidR="00F40592" w:rsidRPr="001C4AFF">
              <w:rPr>
                <w:rStyle w:val="Hyperlink"/>
                <w:noProof/>
              </w:rPr>
              <w:t>VZ podle výše předpokládané hodnoty</w:t>
            </w:r>
            <w:r w:rsidR="00F40592">
              <w:rPr>
                <w:noProof/>
                <w:webHidden/>
              </w:rPr>
              <w:tab/>
            </w:r>
            <w:r w:rsidR="00F40592">
              <w:rPr>
                <w:noProof/>
                <w:webHidden/>
              </w:rPr>
              <w:fldChar w:fldCharType="begin"/>
            </w:r>
            <w:r w:rsidR="00F40592">
              <w:rPr>
                <w:noProof/>
                <w:webHidden/>
              </w:rPr>
              <w:instrText xml:space="preserve"> PAGEREF _Toc472859440 \h </w:instrText>
            </w:r>
            <w:r w:rsidR="00F40592">
              <w:rPr>
                <w:noProof/>
                <w:webHidden/>
              </w:rPr>
            </w:r>
            <w:r w:rsidR="00F40592">
              <w:rPr>
                <w:noProof/>
                <w:webHidden/>
              </w:rPr>
              <w:fldChar w:fldCharType="separate"/>
            </w:r>
            <w:r w:rsidR="00F40592">
              <w:rPr>
                <w:noProof/>
                <w:webHidden/>
              </w:rPr>
              <w:t>15</w:t>
            </w:r>
            <w:r w:rsidR="00F40592">
              <w:rPr>
                <w:noProof/>
                <w:webHidden/>
              </w:rPr>
              <w:fldChar w:fldCharType="end"/>
            </w:r>
          </w:hyperlink>
        </w:p>
        <w:p w14:paraId="647D461B" w14:textId="77777777" w:rsidR="00F40592" w:rsidRDefault="001025BB">
          <w:pPr>
            <w:pStyle w:val="TOC3"/>
            <w:tabs>
              <w:tab w:val="left" w:pos="1320"/>
              <w:tab w:val="right" w:leader="dot" w:pos="9062"/>
            </w:tabs>
            <w:rPr>
              <w:rFonts w:asciiTheme="minorHAnsi" w:eastAsiaTheme="minorEastAsia" w:hAnsiTheme="minorHAnsi"/>
              <w:noProof/>
              <w:sz w:val="22"/>
              <w:lang w:val="en-US"/>
            </w:rPr>
          </w:pPr>
          <w:hyperlink w:anchor="_Toc472859441" w:history="1">
            <w:r w:rsidR="00F40592" w:rsidRPr="001C4AFF">
              <w:rPr>
                <w:rStyle w:val="Hyperlink"/>
                <w:noProof/>
              </w:rPr>
              <w:t>3.2.3</w:t>
            </w:r>
            <w:r w:rsidR="00F40592">
              <w:rPr>
                <w:rFonts w:asciiTheme="minorHAnsi" w:eastAsiaTheme="minorEastAsia" w:hAnsiTheme="minorHAnsi"/>
                <w:noProof/>
                <w:sz w:val="22"/>
                <w:lang w:val="en-US"/>
              </w:rPr>
              <w:tab/>
            </w:r>
            <w:r w:rsidR="00F40592" w:rsidRPr="001C4AFF">
              <w:rPr>
                <w:rStyle w:val="Hyperlink"/>
                <w:noProof/>
              </w:rPr>
              <w:t>Významné, zelené a VZ v oblasti bezpečnosti a obrany</w:t>
            </w:r>
            <w:r w:rsidR="00F40592">
              <w:rPr>
                <w:noProof/>
                <w:webHidden/>
              </w:rPr>
              <w:tab/>
            </w:r>
            <w:r w:rsidR="00F40592">
              <w:rPr>
                <w:noProof/>
                <w:webHidden/>
              </w:rPr>
              <w:fldChar w:fldCharType="begin"/>
            </w:r>
            <w:r w:rsidR="00F40592">
              <w:rPr>
                <w:noProof/>
                <w:webHidden/>
              </w:rPr>
              <w:instrText xml:space="preserve"> PAGEREF _Toc472859441 \h </w:instrText>
            </w:r>
            <w:r w:rsidR="00F40592">
              <w:rPr>
                <w:noProof/>
                <w:webHidden/>
              </w:rPr>
            </w:r>
            <w:r w:rsidR="00F40592">
              <w:rPr>
                <w:noProof/>
                <w:webHidden/>
              </w:rPr>
              <w:fldChar w:fldCharType="separate"/>
            </w:r>
            <w:r w:rsidR="00F40592">
              <w:rPr>
                <w:noProof/>
                <w:webHidden/>
              </w:rPr>
              <w:t>17</w:t>
            </w:r>
            <w:r w:rsidR="00F40592">
              <w:rPr>
                <w:noProof/>
                <w:webHidden/>
              </w:rPr>
              <w:fldChar w:fldCharType="end"/>
            </w:r>
          </w:hyperlink>
        </w:p>
        <w:p w14:paraId="34F76315" w14:textId="77777777" w:rsidR="00F40592" w:rsidRDefault="001025BB">
          <w:pPr>
            <w:pStyle w:val="TOC2"/>
            <w:tabs>
              <w:tab w:val="left" w:pos="880"/>
              <w:tab w:val="right" w:leader="dot" w:pos="9062"/>
            </w:tabs>
            <w:rPr>
              <w:rFonts w:asciiTheme="minorHAnsi" w:eastAsiaTheme="minorEastAsia" w:hAnsiTheme="minorHAnsi"/>
              <w:noProof/>
              <w:sz w:val="22"/>
              <w:lang w:val="en-US"/>
            </w:rPr>
          </w:pPr>
          <w:hyperlink w:anchor="_Toc472859442" w:history="1">
            <w:r w:rsidR="00F40592" w:rsidRPr="001C4AFF">
              <w:rPr>
                <w:rStyle w:val="Hyperlink"/>
                <w:noProof/>
              </w:rPr>
              <w:t>3.3</w:t>
            </w:r>
            <w:r w:rsidR="00F40592">
              <w:rPr>
                <w:rFonts w:asciiTheme="minorHAnsi" w:eastAsiaTheme="minorEastAsia" w:hAnsiTheme="minorHAnsi"/>
                <w:noProof/>
                <w:sz w:val="22"/>
                <w:lang w:val="en-US"/>
              </w:rPr>
              <w:tab/>
            </w:r>
            <w:r w:rsidR="00F40592" w:rsidRPr="001C4AFF">
              <w:rPr>
                <w:rStyle w:val="Hyperlink"/>
                <w:noProof/>
              </w:rPr>
              <w:t>Zásady postupu zadavatele</w:t>
            </w:r>
            <w:r w:rsidR="00F40592">
              <w:rPr>
                <w:noProof/>
                <w:webHidden/>
              </w:rPr>
              <w:tab/>
            </w:r>
            <w:r w:rsidR="00F40592">
              <w:rPr>
                <w:noProof/>
                <w:webHidden/>
              </w:rPr>
              <w:fldChar w:fldCharType="begin"/>
            </w:r>
            <w:r w:rsidR="00F40592">
              <w:rPr>
                <w:noProof/>
                <w:webHidden/>
              </w:rPr>
              <w:instrText xml:space="preserve"> PAGEREF _Toc472859442 \h </w:instrText>
            </w:r>
            <w:r w:rsidR="00F40592">
              <w:rPr>
                <w:noProof/>
                <w:webHidden/>
              </w:rPr>
            </w:r>
            <w:r w:rsidR="00F40592">
              <w:rPr>
                <w:noProof/>
                <w:webHidden/>
              </w:rPr>
              <w:fldChar w:fldCharType="separate"/>
            </w:r>
            <w:r w:rsidR="00F40592">
              <w:rPr>
                <w:noProof/>
                <w:webHidden/>
              </w:rPr>
              <w:t>18</w:t>
            </w:r>
            <w:r w:rsidR="00F40592">
              <w:rPr>
                <w:noProof/>
                <w:webHidden/>
              </w:rPr>
              <w:fldChar w:fldCharType="end"/>
            </w:r>
          </w:hyperlink>
        </w:p>
        <w:p w14:paraId="11A0FE57" w14:textId="77777777" w:rsidR="00F40592" w:rsidRDefault="001025BB">
          <w:pPr>
            <w:pStyle w:val="TOC1"/>
            <w:rPr>
              <w:rFonts w:asciiTheme="minorHAnsi" w:eastAsiaTheme="minorEastAsia" w:hAnsiTheme="minorHAnsi"/>
              <w:b w:val="0"/>
              <w:noProof/>
              <w:sz w:val="22"/>
              <w:lang w:val="en-US"/>
            </w:rPr>
          </w:pPr>
          <w:hyperlink w:anchor="_Toc472859443" w:history="1">
            <w:r w:rsidR="00F40592" w:rsidRPr="001C4AFF">
              <w:rPr>
                <w:rStyle w:val="Hyperlink"/>
                <w:noProof/>
              </w:rPr>
              <w:t>4</w:t>
            </w:r>
            <w:r w:rsidR="00F40592">
              <w:rPr>
                <w:rFonts w:asciiTheme="minorHAnsi" w:eastAsiaTheme="minorEastAsia" w:hAnsiTheme="minorHAnsi"/>
                <w:b w:val="0"/>
                <w:noProof/>
                <w:sz w:val="22"/>
                <w:lang w:val="en-US"/>
              </w:rPr>
              <w:tab/>
            </w:r>
            <w:r w:rsidR="00F40592" w:rsidRPr="001C4AFF">
              <w:rPr>
                <w:rStyle w:val="Hyperlink"/>
                <w:noProof/>
              </w:rPr>
              <w:t>Analýza problematiky zadávacích řízení</w:t>
            </w:r>
            <w:r w:rsidR="00F40592">
              <w:rPr>
                <w:noProof/>
                <w:webHidden/>
              </w:rPr>
              <w:tab/>
            </w:r>
            <w:r w:rsidR="00F40592">
              <w:rPr>
                <w:noProof/>
                <w:webHidden/>
              </w:rPr>
              <w:fldChar w:fldCharType="begin"/>
            </w:r>
            <w:r w:rsidR="00F40592">
              <w:rPr>
                <w:noProof/>
                <w:webHidden/>
              </w:rPr>
              <w:instrText xml:space="preserve"> PAGEREF _Toc472859443 \h </w:instrText>
            </w:r>
            <w:r w:rsidR="00F40592">
              <w:rPr>
                <w:noProof/>
                <w:webHidden/>
              </w:rPr>
            </w:r>
            <w:r w:rsidR="00F40592">
              <w:rPr>
                <w:noProof/>
                <w:webHidden/>
              </w:rPr>
              <w:fldChar w:fldCharType="separate"/>
            </w:r>
            <w:r w:rsidR="00F40592">
              <w:rPr>
                <w:noProof/>
                <w:webHidden/>
              </w:rPr>
              <w:t>20</w:t>
            </w:r>
            <w:r w:rsidR="00F40592">
              <w:rPr>
                <w:noProof/>
                <w:webHidden/>
              </w:rPr>
              <w:fldChar w:fldCharType="end"/>
            </w:r>
          </w:hyperlink>
        </w:p>
        <w:p w14:paraId="6849FDAF" w14:textId="77777777" w:rsidR="00F40592" w:rsidRDefault="001025BB">
          <w:pPr>
            <w:pStyle w:val="TOC2"/>
            <w:tabs>
              <w:tab w:val="left" w:pos="880"/>
              <w:tab w:val="right" w:leader="dot" w:pos="9062"/>
            </w:tabs>
            <w:rPr>
              <w:rFonts w:asciiTheme="minorHAnsi" w:eastAsiaTheme="minorEastAsia" w:hAnsiTheme="minorHAnsi"/>
              <w:noProof/>
              <w:sz w:val="22"/>
              <w:lang w:val="en-US"/>
            </w:rPr>
          </w:pPr>
          <w:hyperlink w:anchor="_Toc472859444" w:history="1">
            <w:r w:rsidR="00F40592" w:rsidRPr="001C4AFF">
              <w:rPr>
                <w:rStyle w:val="Hyperlink"/>
                <w:noProof/>
              </w:rPr>
              <w:t>4.1</w:t>
            </w:r>
            <w:r w:rsidR="00F40592">
              <w:rPr>
                <w:rFonts w:asciiTheme="minorHAnsi" w:eastAsiaTheme="minorEastAsia" w:hAnsiTheme="minorHAnsi"/>
                <w:noProof/>
                <w:sz w:val="22"/>
                <w:lang w:val="en-US"/>
              </w:rPr>
              <w:tab/>
            </w:r>
            <w:r w:rsidR="00F40592" w:rsidRPr="001C4AFF">
              <w:rPr>
                <w:rStyle w:val="Hyperlink"/>
                <w:noProof/>
              </w:rPr>
              <w:t>Otevřené řízení</w:t>
            </w:r>
            <w:r w:rsidR="00F40592">
              <w:rPr>
                <w:noProof/>
                <w:webHidden/>
              </w:rPr>
              <w:tab/>
            </w:r>
            <w:r w:rsidR="00F40592">
              <w:rPr>
                <w:noProof/>
                <w:webHidden/>
              </w:rPr>
              <w:fldChar w:fldCharType="begin"/>
            </w:r>
            <w:r w:rsidR="00F40592">
              <w:rPr>
                <w:noProof/>
                <w:webHidden/>
              </w:rPr>
              <w:instrText xml:space="preserve"> PAGEREF _Toc472859444 \h </w:instrText>
            </w:r>
            <w:r w:rsidR="00F40592">
              <w:rPr>
                <w:noProof/>
                <w:webHidden/>
              </w:rPr>
            </w:r>
            <w:r w:rsidR="00F40592">
              <w:rPr>
                <w:noProof/>
                <w:webHidden/>
              </w:rPr>
              <w:fldChar w:fldCharType="separate"/>
            </w:r>
            <w:r w:rsidR="00F40592">
              <w:rPr>
                <w:noProof/>
                <w:webHidden/>
              </w:rPr>
              <w:t>21</w:t>
            </w:r>
            <w:r w:rsidR="00F40592">
              <w:rPr>
                <w:noProof/>
                <w:webHidden/>
              </w:rPr>
              <w:fldChar w:fldCharType="end"/>
            </w:r>
          </w:hyperlink>
        </w:p>
        <w:p w14:paraId="7996179C" w14:textId="77777777" w:rsidR="00F40592" w:rsidRDefault="001025BB">
          <w:pPr>
            <w:pStyle w:val="TOC2"/>
            <w:tabs>
              <w:tab w:val="left" w:pos="880"/>
              <w:tab w:val="right" w:leader="dot" w:pos="9062"/>
            </w:tabs>
            <w:rPr>
              <w:rFonts w:asciiTheme="minorHAnsi" w:eastAsiaTheme="minorEastAsia" w:hAnsiTheme="minorHAnsi"/>
              <w:noProof/>
              <w:sz w:val="22"/>
              <w:lang w:val="en-US"/>
            </w:rPr>
          </w:pPr>
          <w:hyperlink w:anchor="_Toc472859445" w:history="1">
            <w:r w:rsidR="00F40592" w:rsidRPr="001C4AFF">
              <w:rPr>
                <w:rStyle w:val="Hyperlink"/>
                <w:noProof/>
              </w:rPr>
              <w:t>4.2</w:t>
            </w:r>
            <w:r w:rsidR="00F40592">
              <w:rPr>
                <w:rFonts w:asciiTheme="minorHAnsi" w:eastAsiaTheme="minorEastAsia" w:hAnsiTheme="minorHAnsi"/>
                <w:noProof/>
                <w:sz w:val="22"/>
                <w:lang w:val="en-US"/>
              </w:rPr>
              <w:tab/>
            </w:r>
            <w:r w:rsidR="00F40592" w:rsidRPr="001C4AFF">
              <w:rPr>
                <w:rStyle w:val="Hyperlink"/>
                <w:noProof/>
              </w:rPr>
              <w:t>Užší řízení</w:t>
            </w:r>
            <w:r w:rsidR="00F40592">
              <w:rPr>
                <w:noProof/>
                <w:webHidden/>
              </w:rPr>
              <w:tab/>
            </w:r>
            <w:r w:rsidR="00F40592">
              <w:rPr>
                <w:noProof/>
                <w:webHidden/>
              </w:rPr>
              <w:fldChar w:fldCharType="begin"/>
            </w:r>
            <w:r w:rsidR="00F40592">
              <w:rPr>
                <w:noProof/>
                <w:webHidden/>
              </w:rPr>
              <w:instrText xml:space="preserve"> PAGEREF _Toc472859445 \h </w:instrText>
            </w:r>
            <w:r w:rsidR="00F40592">
              <w:rPr>
                <w:noProof/>
                <w:webHidden/>
              </w:rPr>
            </w:r>
            <w:r w:rsidR="00F40592">
              <w:rPr>
                <w:noProof/>
                <w:webHidden/>
              </w:rPr>
              <w:fldChar w:fldCharType="separate"/>
            </w:r>
            <w:r w:rsidR="00F40592">
              <w:rPr>
                <w:noProof/>
                <w:webHidden/>
              </w:rPr>
              <w:t>30</w:t>
            </w:r>
            <w:r w:rsidR="00F40592">
              <w:rPr>
                <w:noProof/>
                <w:webHidden/>
              </w:rPr>
              <w:fldChar w:fldCharType="end"/>
            </w:r>
          </w:hyperlink>
        </w:p>
        <w:p w14:paraId="0E14B13D" w14:textId="77777777" w:rsidR="00F40592" w:rsidRDefault="001025BB">
          <w:pPr>
            <w:pStyle w:val="TOC2"/>
            <w:tabs>
              <w:tab w:val="left" w:pos="880"/>
              <w:tab w:val="right" w:leader="dot" w:pos="9062"/>
            </w:tabs>
            <w:rPr>
              <w:rFonts w:asciiTheme="minorHAnsi" w:eastAsiaTheme="minorEastAsia" w:hAnsiTheme="minorHAnsi"/>
              <w:noProof/>
              <w:sz w:val="22"/>
              <w:lang w:val="en-US"/>
            </w:rPr>
          </w:pPr>
          <w:hyperlink w:anchor="_Toc472859446" w:history="1">
            <w:r w:rsidR="00F40592" w:rsidRPr="001C4AFF">
              <w:rPr>
                <w:rStyle w:val="Hyperlink"/>
                <w:noProof/>
              </w:rPr>
              <w:t>4.3</w:t>
            </w:r>
            <w:r w:rsidR="00F40592">
              <w:rPr>
                <w:rFonts w:asciiTheme="minorHAnsi" w:eastAsiaTheme="minorEastAsia" w:hAnsiTheme="minorHAnsi"/>
                <w:noProof/>
                <w:sz w:val="22"/>
                <w:lang w:val="en-US"/>
              </w:rPr>
              <w:tab/>
            </w:r>
            <w:r w:rsidR="00F40592" w:rsidRPr="001C4AFF">
              <w:rPr>
                <w:rStyle w:val="Hyperlink"/>
                <w:noProof/>
              </w:rPr>
              <w:t>Soutěžní dialog</w:t>
            </w:r>
            <w:r w:rsidR="00F40592">
              <w:rPr>
                <w:noProof/>
                <w:webHidden/>
              </w:rPr>
              <w:tab/>
            </w:r>
            <w:r w:rsidR="00F40592">
              <w:rPr>
                <w:noProof/>
                <w:webHidden/>
              </w:rPr>
              <w:fldChar w:fldCharType="begin"/>
            </w:r>
            <w:r w:rsidR="00F40592">
              <w:rPr>
                <w:noProof/>
                <w:webHidden/>
              </w:rPr>
              <w:instrText xml:space="preserve"> PAGEREF _Toc472859446 \h </w:instrText>
            </w:r>
            <w:r w:rsidR="00F40592">
              <w:rPr>
                <w:noProof/>
                <w:webHidden/>
              </w:rPr>
            </w:r>
            <w:r w:rsidR="00F40592">
              <w:rPr>
                <w:noProof/>
                <w:webHidden/>
              </w:rPr>
              <w:fldChar w:fldCharType="separate"/>
            </w:r>
            <w:r w:rsidR="00F40592">
              <w:rPr>
                <w:noProof/>
                <w:webHidden/>
              </w:rPr>
              <w:t>35</w:t>
            </w:r>
            <w:r w:rsidR="00F40592">
              <w:rPr>
                <w:noProof/>
                <w:webHidden/>
              </w:rPr>
              <w:fldChar w:fldCharType="end"/>
            </w:r>
          </w:hyperlink>
        </w:p>
        <w:p w14:paraId="4AE0247C" w14:textId="77777777" w:rsidR="00F40592" w:rsidRDefault="001025BB">
          <w:pPr>
            <w:pStyle w:val="TOC2"/>
            <w:tabs>
              <w:tab w:val="left" w:pos="880"/>
              <w:tab w:val="right" w:leader="dot" w:pos="9062"/>
            </w:tabs>
            <w:rPr>
              <w:rFonts w:asciiTheme="minorHAnsi" w:eastAsiaTheme="minorEastAsia" w:hAnsiTheme="minorHAnsi"/>
              <w:noProof/>
              <w:sz w:val="22"/>
              <w:lang w:val="en-US"/>
            </w:rPr>
          </w:pPr>
          <w:hyperlink w:anchor="_Toc472859447" w:history="1">
            <w:r w:rsidR="00F40592" w:rsidRPr="001C4AFF">
              <w:rPr>
                <w:rStyle w:val="Hyperlink"/>
                <w:noProof/>
              </w:rPr>
              <w:t>4.4</w:t>
            </w:r>
            <w:r w:rsidR="00F40592">
              <w:rPr>
                <w:rFonts w:asciiTheme="minorHAnsi" w:eastAsiaTheme="minorEastAsia" w:hAnsiTheme="minorHAnsi"/>
                <w:noProof/>
                <w:sz w:val="22"/>
                <w:lang w:val="en-US"/>
              </w:rPr>
              <w:tab/>
            </w:r>
            <w:r w:rsidR="00F40592" w:rsidRPr="001C4AFF">
              <w:rPr>
                <w:rStyle w:val="Hyperlink"/>
                <w:noProof/>
              </w:rPr>
              <w:t>Zjednodušené podlimitní řízení</w:t>
            </w:r>
            <w:r w:rsidR="00F40592">
              <w:rPr>
                <w:noProof/>
                <w:webHidden/>
              </w:rPr>
              <w:tab/>
            </w:r>
            <w:r w:rsidR="00F40592">
              <w:rPr>
                <w:noProof/>
                <w:webHidden/>
              </w:rPr>
              <w:fldChar w:fldCharType="begin"/>
            </w:r>
            <w:r w:rsidR="00F40592">
              <w:rPr>
                <w:noProof/>
                <w:webHidden/>
              </w:rPr>
              <w:instrText xml:space="preserve"> PAGEREF _Toc472859447 \h </w:instrText>
            </w:r>
            <w:r w:rsidR="00F40592">
              <w:rPr>
                <w:noProof/>
                <w:webHidden/>
              </w:rPr>
            </w:r>
            <w:r w:rsidR="00F40592">
              <w:rPr>
                <w:noProof/>
                <w:webHidden/>
              </w:rPr>
              <w:fldChar w:fldCharType="separate"/>
            </w:r>
            <w:r w:rsidR="00F40592">
              <w:rPr>
                <w:noProof/>
                <w:webHidden/>
              </w:rPr>
              <w:t>39</w:t>
            </w:r>
            <w:r w:rsidR="00F40592">
              <w:rPr>
                <w:noProof/>
                <w:webHidden/>
              </w:rPr>
              <w:fldChar w:fldCharType="end"/>
            </w:r>
          </w:hyperlink>
        </w:p>
        <w:p w14:paraId="13E49326" w14:textId="77777777" w:rsidR="00F40592" w:rsidRDefault="001025BB">
          <w:pPr>
            <w:pStyle w:val="TOC2"/>
            <w:tabs>
              <w:tab w:val="left" w:pos="880"/>
              <w:tab w:val="right" w:leader="dot" w:pos="9062"/>
            </w:tabs>
            <w:rPr>
              <w:rFonts w:asciiTheme="minorHAnsi" w:eastAsiaTheme="minorEastAsia" w:hAnsiTheme="minorHAnsi"/>
              <w:noProof/>
              <w:sz w:val="22"/>
              <w:lang w:val="en-US"/>
            </w:rPr>
          </w:pPr>
          <w:hyperlink w:anchor="_Toc472859448" w:history="1">
            <w:r w:rsidR="00F40592" w:rsidRPr="001C4AFF">
              <w:rPr>
                <w:rStyle w:val="Hyperlink"/>
                <w:noProof/>
              </w:rPr>
              <w:t>4.5</w:t>
            </w:r>
            <w:r w:rsidR="00F40592">
              <w:rPr>
                <w:rFonts w:asciiTheme="minorHAnsi" w:eastAsiaTheme="minorEastAsia" w:hAnsiTheme="minorHAnsi"/>
                <w:noProof/>
                <w:sz w:val="22"/>
                <w:lang w:val="en-US"/>
              </w:rPr>
              <w:tab/>
            </w:r>
            <w:r w:rsidR="00F40592" w:rsidRPr="001C4AFF">
              <w:rPr>
                <w:rStyle w:val="Hyperlink"/>
                <w:noProof/>
              </w:rPr>
              <w:t>Jednací řízení s uveřejněním</w:t>
            </w:r>
            <w:r w:rsidR="00F40592">
              <w:rPr>
                <w:noProof/>
                <w:webHidden/>
              </w:rPr>
              <w:tab/>
            </w:r>
            <w:r w:rsidR="00F40592">
              <w:rPr>
                <w:noProof/>
                <w:webHidden/>
              </w:rPr>
              <w:fldChar w:fldCharType="begin"/>
            </w:r>
            <w:r w:rsidR="00F40592">
              <w:rPr>
                <w:noProof/>
                <w:webHidden/>
              </w:rPr>
              <w:instrText xml:space="preserve"> PAGEREF _Toc472859448 \h </w:instrText>
            </w:r>
            <w:r w:rsidR="00F40592">
              <w:rPr>
                <w:noProof/>
                <w:webHidden/>
              </w:rPr>
            </w:r>
            <w:r w:rsidR="00F40592">
              <w:rPr>
                <w:noProof/>
                <w:webHidden/>
              </w:rPr>
              <w:fldChar w:fldCharType="separate"/>
            </w:r>
            <w:r w:rsidR="00F40592">
              <w:rPr>
                <w:noProof/>
                <w:webHidden/>
              </w:rPr>
              <w:t>41</w:t>
            </w:r>
            <w:r w:rsidR="00F40592">
              <w:rPr>
                <w:noProof/>
                <w:webHidden/>
              </w:rPr>
              <w:fldChar w:fldCharType="end"/>
            </w:r>
          </w:hyperlink>
        </w:p>
        <w:p w14:paraId="42EDD413" w14:textId="77777777" w:rsidR="00F40592" w:rsidRDefault="001025BB">
          <w:pPr>
            <w:pStyle w:val="TOC2"/>
            <w:tabs>
              <w:tab w:val="left" w:pos="880"/>
              <w:tab w:val="right" w:leader="dot" w:pos="9062"/>
            </w:tabs>
            <w:rPr>
              <w:rFonts w:asciiTheme="minorHAnsi" w:eastAsiaTheme="minorEastAsia" w:hAnsiTheme="minorHAnsi"/>
              <w:noProof/>
              <w:sz w:val="22"/>
              <w:lang w:val="en-US"/>
            </w:rPr>
          </w:pPr>
          <w:hyperlink w:anchor="_Toc472859449" w:history="1">
            <w:r w:rsidR="00F40592" w:rsidRPr="001C4AFF">
              <w:rPr>
                <w:rStyle w:val="Hyperlink"/>
                <w:noProof/>
              </w:rPr>
              <w:t>4.6</w:t>
            </w:r>
            <w:r w:rsidR="00F40592">
              <w:rPr>
                <w:rFonts w:asciiTheme="minorHAnsi" w:eastAsiaTheme="minorEastAsia" w:hAnsiTheme="minorHAnsi"/>
                <w:noProof/>
                <w:sz w:val="22"/>
                <w:lang w:val="en-US"/>
              </w:rPr>
              <w:tab/>
            </w:r>
            <w:r w:rsidR="00F40592" w:rsidRPr="001C4AFF">
              <w:rPr>
                <w:rStyle w:val="Hyperlink"/>
                <w:noProof/>
              </w:rPr>
              <w:t>Jednací řízení bez uveřejnění</w:t>
            </w:r>
            <w:r w:rsidR="00F40592">
              <w:rPr>
                <w:noProof/>
                <w:webHidden/>
              </w:rPr>
              <w:tab/>
            </w:r>
            <w:r w:rsidR="00F40592">
              <w:rPr>
                <w:noProof/>
                <w:webHidden/>
              </w:rPr>
              <w:fldChar w:fldCharType="begin"/>
            </w:r>
            <w:r w:rsidR="00F40592">
              <w:rPr>
                <w:noProof/>
                <w:webHidden/>
              </w:rPr>
              <w:instrText xml:space="preserve"> PAGEREF _Toc472859449 \h </w:instrText>
            </w:r>
            <w:r w:rsidR="00F40592">
              <w:rPr>
                <w:noProof/>
                <w:webHidden/>
              </w:rPr>
            </w:r>
            <w:r w:rsidR="00F40592">
              <w:rPr>
                <w:noProof/>
                <w:webHidden/>
              </w:rPr>
              <w:fldChar w:fldCharType="separate"/>
            </w:r>
            <w:r w:rsidR="00F40592">
              <w:rPr>
                <w:noProof/>
                <w:webHidden/>
              </w:rPr>
              <w:t>46</w:t>
            </w:r>
            <w:r w:rsidR="00F40592">
              <w:rPr>
                <w:noProof/>
                <w:webHidden/>
              </w:rPr>
              <w:fldChar w:fldCharType="end"/>
            </w:r>
          </w:hyperlink>
        </w:p>
        <w:p w14:paraId="38EDAA61" w14:textId="77777777" w:rsidR="00F40592" w:rsidRDefault="001025BB">
          <w:pPr>
            <w:pStyle w:val="TOC1"/>
            <w:rPr>
              <w:rFonts w:asciiTheme="minorHAnsi" w:eastAsiaTheme="minorEastAsia" w:hAnsiTheme="minorHAnsi"/>
              <w:b w:val="0"/>
              <w:noProof/>
              <w:sz w:val="22"/>
              <w:lang w:val="en-US"/>
            </w:rPr>
          </w:pPr>
          <w:hyperlink w:anchor="_Toc472859450" w:history="1">
            <w:r w:rsidR="00F40592" w:rsidRPr="001C4AFF">
              <w:rPr>
                <w:rStyle w:val="Hyperlink"/>
                <w:noProof/>
              </w:rPr>
              <w:t>5</w:t>
            </w:r>
            <w:r w:rsidR="00F40592">
              <w:rPr>
                <w:rFonts w:asciiTheme="minorHAnsi" w:eastAsiaTheme="minorEastAsia" w:hAnsiTheme="minorHAnsi"/>
                <w:b w:val="0"/>
                <w:noProof/>
                <w:sz w:val="22"/>
                <w:lang w:val="en-US"/>
              </w:rPr>
              <w:tab/>
            </w:r>
            <w:r w:rsidR="00F40592" w:rsidRPr="001C4AFF">
              <w:rPr>
                <w:rStyle w:val="Hyperlink"/>
                <w:noProof/>
              </w:rPr>
              <w:t>Rekodifikace práva veřejných zakázek</w:t>
            </w:r>
            <w:r w:rsidR="00F40592">
              <w:rPr>
                <w:noProof/>
                <w:webHidden/>
              </w:rPr>
              <w:tab/>
            </w:r>
            <w:r w:rsidR="00F40592">
              <w:rPr>
                <w:noProof/>
                <w:webHidden/>
              </w:rPr>
              <w:fldChar w:fldCharType="begin"/>
            </w:r>
            <w:r w:rsidR="00F40592">
              <w:rPr>
                <w:noProof/>
                <w:webHidden/>
              </w:rPr>
              <w:instrText xml:space="preserve"> PAGEREF _Toc472859450 \h </w:instrText>
            </w:r>
            <w:r w:rsidR="00F40592">
              <w:rPr>
                <w:noProof/>
                <w:webHidden/>
              </w:rPr>
            </w:r>
            <w:r w:rsidR="00F40592">
              <w:rPr>
                <w:noProof/>
                <w:webHidden/>
              </w:rPr>
              <w:fldChar w:fldCharType="separate"/>
            </w:r>
            <w:r w:rsidR="00F40592">
              <w:rPr>
                <w:noProof/>
                <w:webHidden/>
              </w:rPr>
              <w:t>49</w:t>
            </w:r>
            <w:r w:rsidR="00F40592">
              <w:rPr>
                <w:noProof/>
                <w:webHidden/>
              </w:rPr>
              <w:fldChar w:fldCharType="end"/>
            </w:r>
          </w:hyperlink>
        </w:p>
        <w:p w14:paraId="10AE1E0A" w14:textId="77777777" w:rsidR="00F40592" w:rsidRDefault="001025BB">
          <w:pPr>
            <w:pStyle w:val="TOC1"/>
            <w:rPr>
              <w:rFonts w:asciiTheme="minorHAnsi" w:eastAsiaTheme="minorEastAsia" w:hAnsiTheme="minorHAnsi"/>
              <w:b w:val="0"/>
              <w:noProof/>
              <w:sz w:val="22"/>
              <w:lang w:val="en-US"/>
            </w:rPr>
          </w:pPr>
          <w:hyperlink w:anchor="_Toc472859451" w:history="1">
            <w:r w:rsidR="00F40592" w:rsidRPr="001C4AFF">
              <w:rPr>
                <w:rStyle w:val="Hyperlink"/>
                <w:noProof/>
              </w:rPr>
              <w:t>6</w:t>
            </w:r>
            <w:r w:rsidR="00F40592">
              <w:rPr>
                <w:rFonts w:asciiTheme="minorHAnsi" w:eastAsiaTheme="minorEastAsia" w:hAnsiTheme="minorHAnsi"/>
                <w:b w:val="0"/>
                <w:noProof/>
                <w:sz w:val="22"/>
                <w:lang w:val="en-US"/>
              </w:rPr>
              <w:tab/>
            </w:r>
            <w:r w:rsidR="00F40592" w:rsidRPr="001C4AFF">
              <w:rPr>
                <w:rStyle w:val="Hyperlink"/>
                <w:noProof/>
              </w:rPr>
              <w:t>Závěr</w:t>
            </w:r>
            <w:r w:rsidR="00F40592">
              <w:rPr>
                <w:noProof/>
                <w:webHidden/>
              </w:rPr>
              <w:tab/>
            </w:r>
            <w:r w:rsidR="00F40592">
              <w:rPr>
                <w:noProof/>
                <w:webHidden/>
              </w:rPr>
              <w:fldChar w:fldCharType="begin"/>
            </w:r>
            <w:r w:rsidR="00F40592">
              <w:rPr>
                <w:noProof/>
                <w:webHidden/>
              </w:rPr>
              <w:instrText xml:space="preserve"> PAGEREF _Toc472859451 \h </w:instrText>
            </w:r>
            <w:r w:rsidR="00F40592">
              <w:rPr>
                <w:noProof/>
                <w:webHidden/>
              </w:rPr>
            </w:r>
            <w:r w:rsidR="00F40592">
              <w:rPr>
                <w:noProof/>
                <w:webHidden/>
              </w:rPr>
              <w:fldChar w:fldCharType="separate"/>
            </w:r>
            <w:r w:rsidR="00F40592">
              <w:rPr>
                <w:noProof/>
                <w:webHidden/>
              </w:rPr>
              <w:t>51</w:t>
            </w:r>
            <w:r w:rsidR="00F40592">
              <w:rPr>
                <w:noProof/>
                <w:webHidden/>
              </w:rPr>
              <w:fldChar w:fldCharType="end"/>
            </w:r>
          </w:hyperlink>
        </w:p>
        <w:p w14:paraId="02C30E19" w14:textId="77777777" w:rsidR="00F40592" w:rsidRDefault="001025BB">
          <w:pPr>
            <w:pStyle w:val="TOC1"/>
            <w:rPr>
              <w:rFonts w:asciiTheme="minorHAnsi" w:eastAsiaTheme="minorEastAsia" w:hAnsiTheme="minorHAnsi"/>
              <w:b w:val="0"/>
              <w:noProof/>
              <w:sz w:val="22"/>
              <w:lang w:val="en-US"/>
            </w:rPr>
          </w:pPr>
          <w:hyperlink w:anchor="_Toc472859452" w:history="1">
            <w:r w:rsidR="00F40592" w:rsidRPr="001C4AFF">
              <w:rPr>
                <w:rStyle w:val="Hyperlink"/>
                <w:noProof/>
              </w:rPr>
              <w:t>7</w:t>
            </w:r>
            <w:r w:rsidR="00F40592">
              <w:rPr>
                <w:rFonts w:asciiTheme="minorHAnsi" w:eastAsiaTheme="minorEastAsia" w:hAnsiTheme="minorHAnsi"/>
                <w:b w:val="0"/>
                <w:noProof/>
                <w:sz w:val="22"/>
                <w:lang w:val="en-US"/>
              </w:rPr>
              <w:tab/>
            </w:r>
            <w:r w:rsidR="00F40592" w:rsidRPr="001C4AFF">
              <w:rPr>
                <w:rStyle w:val="Hyperlink"/>
                <w:noProof/>
              </w:rPr>
              <w:t>Seznam použitých zdrojů (Bibliography)</w:t>
            </w:r>
            <w:r w:rsidR="00F40592">
              <w:rPr>
                <w:noProof/>
                <w:webHidden/>
              </w:rPr>
              <w:tab/>
            </w:r>
            <w:r w:rsidR="00F40592">
              <w:rPr>
                <w:noProof/>
                <w:webHidden/>
              </w:rPr>
              <w:fldChar w:fldCharType="begin"/>
            </w:r>
            <w:r w:rsidR="00F40592">
              <w:rPr>
                <w:noProof/>
                <w:webHidden/>
              </w:rPr>
              <w:instrText xml:space="preserve"> PAGEREF _Toc472859452 \h </w:instrText>
            </w:r>
            <w:r w:rsidR="00F40592">
              <w:rPr>
                <w:noProof/>
                <w:webHidden/>
              </w:rPr>
            </w:r>
            <w:r w:rsidR="00F40592">
              <w:rPr>
                <w:noProof/>
                <w:webHidden/>
              </w:rPr>
              <w:fldChar w:fldCharType="separate"/>
            </w:r>
            <w:r w:rsidR="00F40592">
              <w:rPr>
                <w:noProof/>
                <w:webHidden/>
              </w:rPr>
              <w:t>54</w:t>
            </w:r>
            <w:r w:rsidR="00F40592">
              <w:rPr>
                <w:noProof/>
                <w:webHidden/>
              </w:rPr>
              <w:fldChar w:fldCharType="end"/>
            </w:r>
          </w:hyperlink>
        </w:p>
        <w:p w14:paraId="10008BDC" w14:textId="77777777" w:rsidR="00F40592" w:rsidRDefault="001025BB">
          <w:pPr>
            <w:pStyle w:val="TOC1"/>
            <w:rPr>
              <w:rFonts w:asciiTheme="minorHAnsi" w:eastAsiaTheme="minorEastAsia" w:hAnsiTheme="minorHAnsi"/>
              <w:b w:val="0"/>
              <w:noProof/>
              <w:sz w:val="22"/>
              <w:lang w:val="en-US"/>
            </w:rPr>
          </w:pPr>
          <w:hyperlink w:anchor="_Toc472859453" w:history="1">
            <w:r w:rsidR="00F40592" w:rsidRPr="001C4AFF">
              <w:rPr>
                <w:rStyle w:val="Hyperlink"/>
                <w:noProof/>
              </w:rPr>
              <w:t>8</w:t>
            </w:r>
            <w:r w:rsidR="00F40592">
              <w:rPr>
                <w:rFonts w:asciiTheme="minorHAnsi" w:eastAsiaTheme="minorEastAsia" w:hAnsiTheme="minorHAnsi"/>
                <w:b w:val="0"/>
                <w:noProof/>
                <w:sz w:val="22"/>
                <w:lang w:val="en-US"/>
              </w:rPr>
              <w:tab/>
            </w:r>
            <w:r w:rsidR="00F40592" w:rsidRPr="001C4AFF">
              <w:rPr>
                <w:rStyle w:val="Hyperlink"/>
                <w:noProof/>
              </w:rPr>
              <w:t>Shrnutí práce v českém a anglickém jazyce (Abstract)</w:t>
            </w:r>
            <w:r w:rsidR="00F40592">
              <w:rPr>
                <w:noProof/>
                <w:webHidden/>
              </w:rPr>
              <w:tab/>
            </w:r>
            <w:r w:rsidR="00F40592">
              <w:rPr>
                <w:noProof/>
                <w:webHidden/>
              </w:rPr>
              <w:fldChar w:fldCharType="begin"/>
            </w:r>
            <w:r w:rsidR="00F40592">
              <w:rPr>
                <w:noProof/>
                <w:webHidden/>
              </w:rPr>
              <w:instrText xml:space="preserve"> PAGEREF _Toc472859453 \h </w:instrText>
            </w:r>
            <w:r w:rsidR="00F40592">
              <w:rPr>
                <w:noProof/>
                <w:webHidden/>
              </w:rPr>
            </w:r>
            <w:r w:rsidR="00F40592">
              <w:rPr>
                <w:noProof/>
                <w:webHidden/>
              </w:rPr>
              <w:fldChar w:fldCharType="separate"/>
            </w:r>
            <w:r w:rsidR="00F40592">
              <w:rPr>
                <w:noProof/>
                <w:webHidden/>
              </w:rPr>
              <w:t>57</w:t>
            </w:r>
            <w:r w:rsidR="00F40592">
              <w:rPr>
                <w:noProof/>
                <w:webHidden/>
              </w:rPr>
              <w:fldChar w:fldCharType="end"/>
            </w:r>
          </w:hyperlink>
        </w:p>
        <w:p w14:paraId="000221F0" w14:textId="77777777" w:rsidR="00F40592" w:rsidRDefault="001025BB">
          <w:pPr>
            <w:pStyle w:val="TOC1"/>
            <w:rPr>
              <w:rFonts w:asciiTheme="minorHAnsi" w:eastAsiaTheme="minorEastAsia" w:hAnsiTheme="minorHAnsi"/>
              <w:b w:val="0"/>
              <w:noProof/>
              <w:sz w:val="22"/>
              <w:lang w:val="en-US"/>
            </w:rPr>
          </w:pPr>
          <w:hyperlink w:anchor="_Toc472859454" w:history="1">
            <w:r w:rsidR="00F40592" w:rsidRPr="001C4AFF">
              <w:rPr>
                <w:rStyle w:val="Hyperlink"/>
                <w:noProof/>
              </w:rPr>
              <w:t>9</w:t>
            </w:r>
            <w:r w:rsidR="00F40592">
              <w:rPr>
                <w:rFonts w:asciiTheme="minorHAnsi" w:eastAsiaTheme="minorEastAsia" w:hAnsiTheme="minorHAnsi"/>
                <w:b w:val="0"/>
                <w:noProof/>
                <w:sz w:val="22"/>
                <w:lang w:val="en-US"/>
              </w:rPr>
              <w:tab/>
            </w:r>
            <w:r w:rsidR="00F40592" w:rsidRPr="001C4AFF">
              <w:rPr>
                <w:rStyle w:val="Hyperlink"/>
                <w:noProof/>
              </w:rPr>
              <w:t>Seznam klíčových slov v českém a anglickém jazyce (Key words)</w:t>
            </w:r>
            <w:r w:rsidR="00F40592">
              <w:rPr>
                <w:noProof/>
                <w:webHidden/>
              </w:rPr>
              <w:tab/>
            </w:r>
            <w:r w:rsidR="00F40592">
              <w:rPr>
                <w:noProof/>
                <w:webHidden/>
              </w:rPr>
              <w:fldChar w:fldCharType="begin"/>
            </w:r>
            <w:r w:rsidR="00F40592">
              <w:rPr>
                <w:noProof/>
                <w:webHidden/>
              </w:rPr>
              <w:instrText xml:space="preserve"> PAGEREF _Toc472859454 \h </w:instrText>
            </w:r>
            <w:r w:rsidR="00F40592">
              <w:rPr>
                <w:noProof/>
                <w:webHidden/>
              </w:rPr>
            </w:r>
            <w:r w:rsidR="00F40592">
              <w:rPr>
                <w:noProof/>
                <w:webHidden/>
              </w:rPr>
              <w:fldChar w:fldCharType="separate"/>
            </w:r>
            <w:r w:rsidR="00F40592">
              <w:rPr>
                <w:noProof/>
                <w:webHidden/>
              </w:rPr>
              <w:t>58</w:t>
            </w:r>
            <w:r w:rsidR="00F40592">
              <w:rPr>
                <w:noProof/>
                <w:webHidden/>
              </w:rPr>
              <w:fldChar w:fldCharType="end"/>
            </w:r>
          </w:hyperlink>
        </w:p>
        <w:p w14:paraId="72E11FDB" w14:textId="77777777" w:rsidR="0030661B" w:rsidRPr="00C727CA" w:rsidRDefault="0064614B" w:rsidP="00FA2973">
          <w:pPr>
            <w:rPr>
              <w:rFonts w:cs="Times New Roman"/>
            </w:rPr>
          </w:pPr>
          <w:r w:rsidRPr="00C727CA">
            <w:rPr>
              <w:rFonts w:cs="Times New Roman"/>
              <w:b/>
              <w:bCs/>
            </w:rPr>
            <w:fldChar w:fldCharType="end"/>
          </w:r>
        </w:p>
      </w:sdtContent>
    </w:sdt>
    <w:p w14:paraId="418FF7FD" w14:textId="77777777" w:rsidR="000F7D09" w:rsidRPr="00C727CA" w:rsidRDefault="000F7D09" w:rsidP="00FA2973">
      <w:pPr>
        <w:rPr>
          <w:rFonts w:cs="Times New Roman"/>
          <w:szCs w:val="24"/>
        </w:rPr>
      </w:pPr>
    </w:p>
    <w:p w14:paraId="4B29803F" w14:textId="77777777" w:rsidR="00182684" w:rsidRPr="00C727CA" w:rsidRDefault="00182684" w:rsidP="00FA2973">
      <w:pPr>
        <w:rPr>
          <w:rFonts w:cs="Times New Roman"/>
          <w:szCs w:val="24"/>
        </w:rPr>
      </w:pPr>
    </w:p>
    <w:p w14:paraId="1229DAD7" w14:textId="77777777" w:rsidR="0030661B" w:rsidRPr="00C727CA" w:rsidRDefault="0030661B" w:rsidP="00FA2973">
      <w:pPr>
        <w:rPr>
          <w:rFonts w:cs="Times New Roman"/>
          <w:szCs w:val="24"/>
        </w:rPr>
      </w:pPr>
    </w:p>
    <w:p w14:paraId="6ABD176F" w14:textId="77777777" w:rsidR="0030661B" w:rsidRPr="00C727CA" w:rsidRDefault="0030661B" w:rsidP="00FA2973">
      <w:pPr>
        <w:rPr>
          <w:rFonts w:cs="Times New Roman"/>
          <w:szCs w:val="24"/>
        </w:rPr>
      </w:pPr>
    </w:p>
    <w:p w14:paraId="7338F967" w14:textId="77777777" w:rsidR="0030661B" w:rsidRPr="00C727CA" w:rsidRDefault="0030661B" w:rsidP="00FA2973">
      <w:pPr>
        <w:rPr>
          <w:rFonts w:cs="Times New Roman"/>
          <w:szCs w:val="24"/>
        </w:rPr>
      </w:pPr>
    </w:p>
    <w:p w14:paraId="6BC4DCD3" w14:textId="77777777" w:rsidR="0030661B" w:rsidRPr="00C727CA" w:rsidRDefault="0030661B" w:rsidP="00FA2973">
      <w:pPr>
        <w:rPr>
          <w:rFonts w:cs="Times New Roman"/>
          <w:szCs w:val="24"/>
        </w:rPr>
      </w:pPr>
    </w:p>
    <w:p w14:paraId="7A5886F5" w14:textId="77777777" w:rsidR="0030661B" w:rsidRPr="00C727CA" w:rsidRDefault="0030661B" w:rsidP="00FA2973">
      <w:pPr>
        <w:rPr>
          <w:rFonts w:cs="Times New Roman"/>
          <w:szCs w:val="24"/>
        </w:rPr>
      </w:pPr>
    </w:p>
    <w:p w14:paraId="313E4C08" w14:textId="77777777" w:rsidR="0030661B" w:rsidRPr="00C727CA" w:rsidRDefault="0030661B" w:rsidP="00FA2973">
      <w:pPr>
        <w:rPr>
          <w:rFonts w:cs="Times New Roman"/>
          <w:szCs w:val="24"/>
        </w:rPr>
      </w:pPr>
    </w:p>
    <w:p w14:paraId="3DF79F74" w14:textId="77777777" w:rsidR="0030661B" w:rsidRPr="00C727CA" w:rsidRDefault="0030661B" w:rsidP="00FA2973">
      <w:pPr>
        <w:rPr>
          <w:rFonts w:cs="Times New Roman"/>
          <w:szCs w:val="24"/>
        </w:rPr>
      </w:pPr>
    </w:p>
    <w:p w14:paraId="5FAD0918" w14:textId="77777777" w:rsidR="0030661B" w:rsidRPr="00C727CA" w:rsidRDefault="0030661B" w:rsidP="00FA2973">
      <w:pPr>
        <w:rPr>
          <w:rFonts w:cs="Times New Roman"/>
          <w:szCs w:val="24"/>
        </w:rPr>
      </w:pPr>
    </w:p>
    <w:p w14:paraId="0C42C366" w14:textId="77777777" w:rsidR="0030661B" w:rsidRPr="00C727CA" w:rsidRDefault="0030661B" w:rsidP="00FA2973">
      <w:pPr>
        <w:rPr>
          <w:rFonts w:cs="Times New Roman"/>
          <w:szCs w:val="24"/>
        </w:rPr>
      </w:pPr>
    </w:p>
    <w:p w14:paraId="784EE62F" w14:textId="77777777" w:rsidR="00275F2F" w:rsidRPr="00C727CA" w:rsidRDefault="00275F2F" w:rsidP="00FA2973">
      <w:pPr>
        <w:rPr>
          <w:rFonts w:cs="Times New Roman"/>
          <w:szCs w:val="24"/>
        </w:rPr>
      </w:pPr>
    </w:p>
    <w:p w14:paraId="05E199E1" w14:textId="77777777" w:rsidR="00275F2F" w:rsidRPr="00C727CA" w:rsidRDefault="00275F2F" w:rsidP="00FA2973">
      <w:pPr>
        <w:rPr>
          <w:rFonts w:cs="Times New Roman"/>
          <w:szCs w:val="24"/>
        </w:rPr>
      </w:pPr>
    </w:p>
    <w:p w14:paraId="3AD90981" w14:textId="77777777" w:rsidR="00275F2F" w:rsidRPr="00C727CA" w:rsidRDefault="00275F2F" w:rsidP="00FA2973">
      <w:pPr>
        <w:rPr>
          <w:rFonts w:cs="Times New Roman"/>
          <w:szCs w:val="24"/>
        </w:rPr>
      </w:pPr>
    </w:p>
    <w:p w14:paraId="334E7F9E" w14:textId="77777777" w:rsidR="00275F2F" w:rsidRPr="00C727CA" w:rsidRDefault="00275F2F" w:rsidP="00FA2973">
      <w:pPr>
        <w:rPr>
          <w:rFonts w:cs="Times New Roman"/>
          <w:szCs w:val="24"/>
        </w:rPr>
      </w:pPr>
    </w:p>
    <w:p w14:paraId="65829D7F" w14:textId="77777777" w:rsidR="0030661B" w:rsidRPr="00C727CA" w:rsidRDefault="0030661B" w:rsidP="00FA2973">
      <w:pPr>
        <w:rPr>
          <w:rFonts w:cs="Times New Roman"/>
          <w:szCs w:val="24"/>
        </w:rPr>
      </w:pPr>
    </w:p>
    <w:p w14:paraId="5EE10DD1" w14:textId="77777777" w:rsidR="0030661B" w:rsidRPr="00C727CA" w:rsidRDefault="00767E5B" w:rsidP="00FA2973">
      <w:pPr>
        <w:pStyle w:val="Heading1"/>
        <w:spacing w:line="360" w:lineRule="auto"/>
      </w:pPr>
      <w:bookmarkStart w:id="0" w:name="_Toc472859432"/>
      <w:r w:rsidRPr="00C727CA">
        <w:t>Úvod</w:t>
      </w:r>
      <w:bookmarkEnd w:id="0"/>
    </w:p>
    <w:p w14:paraId="7ADBEE5A" w14:textId="4080E825" w:rsidR="00133B9B" w:rsidRPr="00C727CA" w:rsidRDefault="00133B9B" w:rsidP="00A9664F">
      <w:pPr>
        <w:ind w:firstLine="0"/>
      </w:pPr>
      <w:r w:rsidRPr="00C727CA">
        <w:t>„Veřejné zakázky – problematika zadávacích řízení“ je di</w:t>
      </w:r>
      <w:r w:rsidR="00826EF2" w:rsidRPr="00C727CA">
        <w:t xml:space="preserve">plomová práce, která </w:t>
      </w:r>
      <w:r w:rsidRPr="00C727CA">
        <w:t xml:space="preserve">se </w:t>
      </w:r>
      <w:r w:rsidR="00014140" w:rsidRPr="00C727CA">
        <w:t>zaměří</w:t>
      </w:r>
      <w:r w:rsidRPr="00C727CA">
        <w:t xml:space="preserve"> n</w:t>
      </w:r>
      <w:r w:rsidR="00F40592">
        <w:t>a a</w:t>
      </w:r>
      <w:r w:rsidRPr="00C727CA">
        <w:t xml:space="preserve">nalýzu </w:t>
      </w:r>
      <w:r w:rsidR="00B3352E" w:rsidRPr="00C727CA">
        <w:t>adresné</w:t>
      </w:r>
      <w:r w:rsidR="00E92CB3" w:rsidRPr="00C727CA">
        <w:t xml:space="preserve"> problematiky </w:t>
      </w:r>
      <w:r w:rsidRPr="00C727CA">
        <w:t xml:space="preserve">zadávacích řízení a nikoliv na veřejné zakázky v tom nejširším </w:t>
      </w:r>
      <w:r w:rsidR="00B3352E" w:rsidRPr="00C727CA">
        <w:t>významu s</w:t>
      </w:r>
      <w:r w:rsidR="000F085D" w:rsidRPr="00C727CA">
        <w:t xml:space="preserve"> pouhým přesahem do samotných zadávacích řízení</w:t>
      </w:r>
      <w:r w:rsidRPr="00C727CA">
        <w:t>. Prvotní slov</w:t>
      </w:r>
      <w:r w:rsidR="00823AD1" w:rsidRPr="00C727CA">
        <w:t>a</w:t>
      </w:r>
      <w:r w:rsidRPr="00C727CA">
        <w:t xml:space="preserve"> </w:t>
      </w:r>
      <w:r w:rsidR="00823AD1" w:rsidRPr="00C727CA">
        <w:t>„</w:t>
      </w:r>
      <w:r w:rsidRPr="00C727CA">
        <w:t>veřejné zakázky</w:t>
      </w:r>
      <w:r w:rsidR="00823AD1" w:rsidRPr="00C727CA">
        <w:t>“</w:t>
      </w:r>
      <w:r w:rsidR="00C727CA">
        <w:t xml:space="preserve"> </w:t>
      </w:r>
      <w:r w:rsidRPr="00C727CA">
        <w:t>v názvu této práce</w:t>
      </w:r>
      <w:r w:rsidR="00C727CA">
        <w:t xml:space="preserve"> </w:t>
      </w:r>
      <w:r w:rsidR="009B29AB">
        <w:t xml:space="preserve">pak </w:t>
      </w:r>
      <w:bookmarkStart w:id="1" w:name="_GoBack"/>
      <w:bookmarkEnd w:id="1"/>
      <w:r w:rsidR="00823AD1" w:rsidRPr="00C727CA">
        <w:t>slouží k </w:t>
      </w:r>
      <w:r w:rsidR="000F085D" w:rsidRPr="00C727CA">
        <w:t>určitému</w:t>
      </w:r>
      <w:r w:rsidR="00A128A7" w:rsidRPr="00C727CA">
        <w:t xml:space="preserve"> te</w:t>
      </w:r>
      <w:r w:rsidR="00B3352E" w:rsidRPr="00C727CA">
        <w:t>ma</w:t>
      </w:r>
      <w:r w:rsidR="00823AD1" w:rsidRPr="00C727CA">
        <w:t xml:space="preserve">tickému vymezení v tom smyslu, </w:t>
      </w:r>
      <w:r w:rsidR="000F085D" w:rsidRPr="00C727CA">
        <w:t>a</w:t>
      </w:r>
      <w:r w:rsidR="00253809">
        <w:t>by bylo pro čtenáře přímo jasné</w:t>
      </w:r>
      <w:r w:rsidR="000F085D" w:rsidRPr="00C727CA">
        <w:t xml:space="preserve"> </w:t>
      </w:r>
      <w:r w:rsidR="00823AD1" w:rsidRPr="00C727CA">
        <w:t>jakými „zadávacími řízeními“ v systému českého práva se budeme zabývat.</w:t>
      </w:r>
    </w:p>
    <w:p w14:paraId="6253F452" w14:textId="73D9A9CE" w:rsidR="00826EF2" w:rsidRPr="00C727CA" w:rsidRDefault="007153F0" w:rsidP="00E92CB3">
      <w:r w:rsidRPr="00C727CA">
        <w:t>Cílem této práce je zodpovědět dip</w:t>
      </w:r>
      <w:r w:rsidR="001214F7">
        <w:t xml:space="preserve">lomantem stanovené otázky, </w:t>
      </w:r>
      <w:r w:rsidRPr="00C727CA">
        <w:t xml:space="preserve">konkrétně </w:t>
      </w:r>
      <w:r w:rsidR="00E92CB3" w:rsidRPr="00C727CA">
        <w:t>otázky</w:t>
      </w:r>
      <w:r w:rsidRPr="00C727CA">
        <w:t xml:space="preserve"> použití jednotlivých druhů zadávacích </w:t>
      </w:r>
      <w:r w:rsidR="00C727CA" w:rsidRPr="00C727CA">
        <w:t>řízení</w:t>
      </w:r>
      <w:r w:rsidRPr="00C727CA">
        <w:t xml:space="preserve"> vzhledem k předmětu </w:t>
      </w:r>
      <w:r w:rsidR="00C901D5">
        <w:t>veřejné zakázky (</w:t>
      </w:r>
      <w:r w:rsidR="00C901D5" w:rsidRPr="00C727CA">
        <w:t xml:space="preserve">dále </w:t>
      </w:r>
      <w:r w:rsidR="00C901D5">
        <w:t>též</w:t>
      </w:r>
      <w:r w:rsidR="00C901D5" w:rsidRPr="00C727CA">
        <w:t xml:space="preserve"> „VZ“ nebo také „zakázka“</w:t>
      </w:r>
      <w:r w:rsidR="00C901D5">
        <w:t>)</w:t>
      </w:r>
      <w:r w:rsidRPr="00C727CA">
        <w:t xml:space="preserve">, </w:t>
      </w:r>
      <w:r w:rsidR="001214F7">
        <w:t>s ohledem</w:t>
      </w:r>
      <w:r w:rsidR="00E92CB3" w:rsidRPr="00C727CA">
        <w:t xml:space="preserve"> k výši</w:t>
      </w:r>
      <w:r w:rsidRPr="00C727CA">
        <w:t xml:space="preserve"> předpokládané hodnoty VZ či vzhledem k</w:t>
      </w:r>
      <w:r w:rsidR="00724C90">
        <w:t> </w:t>
      </w:r>
      <w:r w:rsidRPr="00C727CA">
        <w:t>samotnému zadavateli, který zakáz</w:t>
      </w:r>
      <w:r w:rsidR="00E92CB3" w:rsidRPr="00C727CA">
        <w:t>ku zadává. Dále především otázky</w:t>
      </w:r>
      <w:r w:rsidRPr="00C727CA">
        <w:t xml:space="preserve"> samotného postupu zadavatele v konkr</w:t>
      </w:r>
      <w:r w:rsidR="00E92CB3" w:rsidRPr="00C727CA">
        <w:t>étním zadávacím řízení či otázky</w:t>
      </w:r>
      <w:r w:rsidRPr="00C727CA">
        <w:t xml:space="preserve"> podmínek použití konkrétních zadávacích řízení</w:t>
      </w:r>
      <w:r w:rsidR="00E92CB3" w:rsidRPr="00C727CA">
        <w:t xml:space="preserve">. </w:t>
      </w:r>
      <w:r w:rsidR="00746248" w:rsidRPr="00C727CA">
        <w:t xml:space="preserve">K zodpovězení těchto otázek </w:t>
      </w:r>
      <w:r w:rsidR="005F07A9">
        <w:t>budou použity metody</w:t>
      </w:r>
      <w:r w:rsidR="00746248" w:rsidRPr="00C727CA">
        <w:t xml:space="preserve"> analýzy a popisu s tím, že </w:t>
      </w:r>
      <w:r w:rsidR="00E92CB3" w:rsidRPr="00C727CA">
        <w:t xml:space="preserve">se </w:t>
      </w:r>
      <w:r w:rsidR="005F07A9">
        <w:t xml:space="preserve">diplomant </w:t>
      </w:r>
      <w:r w:rsidR="00E92CB3" w:rsidRPr="00C727CA">
        <w:t>b</w:t>
      </w:r>
      <w:r w:rsidR="005F07A9">
        <w:t>ude</w:t>
      </w:r>
      <w:r w:rsidR="00CE505A" w:rsidRPr="00C727CA">
        <w:t xml:space="preserve"> snažit jednotlivé druhy zadávacích řízení </w:t>
      </w:r>
      <w:r w:rsidR="000D672B" w:rsidRPr="00C727CA">
        <w:t xml:space="preserve">důkladně </w:t>
      </w:r>
      <w:r w:rsidR="00746248" w:rsidRPr="00C727CA">
        <w:t xml:space="preserve">zanalyzovat </w:t>
      </w:r>
      <w:r w:rsidR="00354E03" w:rsidRPr="00C727CA">
        <w:t xml:space="preserve">prostřednictvím </w:t>
      </w:r>
      <w:r w:rsidR="005F07A9">
        <w:t>jím</w:t>
      </w:r>
      <w:r w:rsidR="00354E03" w:rsidRPr="00C727CA">
        <w:t xml:space="preserve"> vytvořeného schématu či</w:t>
      </w:r>
      <w:r w:rsidR="00E92CB3" w:rsidRPr="00C727CA">
        <w:t xml:space="preserve"> určitého strukturovaného</w:t>
      </w:r>
      <w:r w:rsidR="00CE505A" w:rsidRPr="00C727CA">
        <w:t xml:space="preserve"> postup</w:t>
      </w:r>
      <w:r w:rsidR="00E92CB3" w:rsidRPr="00C727CA">
        <w:t>u</w:t>
      </w:r>
      <w:r w:rsidR="00CC5456" w:rsidRPr="00C727CA">
        <w:t xml:space="preserve"> </w:t>
      </w:r>
      <w:r w:rsidR="000D672B" w:rsidRPr="00C727CA">
        <w:t xml:space="preserve">pro </w:t>
      </w:r>
      <w:r w:rsidR="00354E03" w:rsidRPr="00C727CA">
        <w:t>jednotlivá</w:t>
      </w:r>
      <w:r w:rsidR="000D672B" w:rsidRPr="00C727CA">
        <w:t xml:space="preserve"> řízení</w:t>
      </w:r>
      <w:r w:rsidR="006A570A" w:rsidRPr="00C727CA">
        <w:t>,</w:t>
      </w:r>
      <w:r w:rsidR="000D672B" w:rsidRPr="00C727CA">
        <w:t xml:space="preserve"> </w:t>
      </w:r>
      <w:r w:rsidR="006A570A" w:rsidRPr="00C727CA">
        <w:t xml:space="preserve">a to i </w:t>
      </w:r>
      <w:r w:rsidR="000264F6" w:rsidRPr="00C727CA">
        <w:t xml:space="preserve">s cílem, aby se </w:t>
      </w:r>
      <w:r w:rsidR="00CE505A" w:rsidRPr="00C727CA">
        <w:t xml:space="preserve">čtenář, nacházející se </w:t>
      </w:r>
      <w:r w:rsidR="00826EF2" w:rsidRPr="00C727CA">
        <w:t xml:space="preserve">případně </w:t>
      </w:r>
      <w:r w:rsidR="00CE505A" w:rsidRPr="00C727CA">
        <w:t xml:space="preserve">v pozici zadavatele, mohl </w:t>
      </w:r>
      <w:r w:rsidR="00CC5456" w:rsidRPr="00C727CA">
        <w:t>podle takového</w:t>
      </w:r>
      <w:r w:rsidR="00E92CB3" w:rsidRPr="00C727CA">
        <w:t>to</w:t>
      </w:r>
      <w:r w:rsidR="00B3352E" w:rsidRPr="00C727CA">
        <w:t xml:space="preserve"> schématu </w:t>
      </w:r>
      <w:r w:rsidR="000264F6" w:rsidRPr="00C727CA">
        <w:t xml:space="preserve">řídit a </w:t>
      </w:r>
      <w:r w:rsidR="00CE505A" w:rsidRPr="00C727CA">
        <w:t>postupovat</w:t>
      </w:r>
      <w:r w:rsidR="000264F6" w:rsidRPr="00C727CA">
        <w:t xml:space="preserve">. Daná schémata budou </w:t>
      </w:r>
      <w:r w:rsidR="00E92CB3" w:rsidRPr="00C727CA">
        <w:t xml:space="preserve">obsahovat i </w:t>
      </w:r>
      <w:r w:rsidR="001214F7">
        <w:t>některé</w:t>
      </w:r>
      <w:r w:rsidR="00E92CB3" w:rsidRPr="00C727CA">
        <w:t xml:space="preserve"> kroky dodavatelů</w:t>
      </w:r>
      <w:r w:rsidR="001A5FF6">
        <w:t>.</w:t>
      </w:r>
      <w:r w:rsidR="00C727CA">
        <w:t xml:space="preserve"> </w:t>
      </w:r>
      <w:r w:rsidR="001A5FF6">
        <w:t>V</w:t>
      </w:r>
      <w:r w:rsidR="00CE2A54">
        <w:t> </w:t>
      </w:r>
      <w:r w:rsidR="00CE2A54" w:rsidRPr="00C727CA">
        <w:t>závěru</w:t>
      </w:r>
      <w:r w:rsidR="00CE2A54">
        <w:t xml:space="preserve"> </w:t>
      </w:r>
      <w:r w:rsidR="00290B36">
        <w:t>také</w:t>
      </w:r>
      <w:r w:rsidR="00A342F0" w:rsidRPr="00C727CA">
        <w:t xml:space="preserve"> </w:t>
      </w:r>
      <w:r w:rsidR="00CE2A54">
        <w:t xml:space="preserve">poslouží </w:t>
      </w:r>
      <w:r w:rsidR="00A342F0" w:rsidRPr="00C727CA">
        <w:t>k zodpovězení v celku obecné</w:t>
      </w:r>
      <w:r w:rsidR="001A5FF6">
        <w:t xml:space="preserve"> </w:t>
      </w:r>
      <w:r w:rsidR="00A342F0" w:rsidRPr="00C727CA">
        <w:t>otázky</w:t>
      </w:r>
      <w:r w:rsidR="007144D8" w:rsidRPr="00C727CA">
        <w:t xml:space="preserve">, a to je </w:t>
      </w:r>
      <w:r w:rsidR="002457E6" w:rsidRPr="00C727CA">
        <w:t>složitos</w:t>
      </w:r>
      <w:r w:rsidR="001A5FF6">
        <w:t>t a</w:t>
      </w:r>
      <w:r w:rsidR="002457E6" w:rsidRPr="00C727CA">
        <w:t xml:space="preserve"> problematičnost aplikace zákona o veřejných zakázkách </w:t>
      </w:r>
      <w:r w:rsidR="007144D8" w:rsidRPr="00C727CA">
        <w:t xml:space="preserve">v tom smyslu, zdali osoby, které jsou povinny postupovat podle </w:t>
      </w:r>
      <w:r w:rsidR="002457E6" w:rsidRPr="00C727CA">
        <w:t xml:space="preserve">tohoto </w:t>
      </w:r>
      <w:r w:rsidR="007144D8" w:rsidRPr="00C727CA">
        <w:t>zákona</w:t>
      </w:r>
      <w:r w:rsidR="002457E6" w:rsidRPr="00C727CA">
        <w:t xml:space="preserve">, </w:t>
      </w:r>
      <w:r w:rsidR="007144D8" w:rsidRPr="00C727CA">
        <w:t xml:space="preserve">se při jeho </w:t>
      </w:r>
      <w:r w:rsidR="002457E6" w:rsidRPr="00C727CA">
        <w:t>použití</w:t>
      </w:r>
      <w:r w:rsidR="001214F7">
        <w:t xml:space="preserve"> neztratí</w:t>
      </w:r>
      <w:r w:rsidR="007144D8" w:rsidRPr="00C727CA">
        <w:t>.</w:t>
      </w:r>
    </w:p>
    <w:p w14:paraId="49D0D0EB" w14:textId="00542E03" w:rsidR="00CE505A" w:rsidRPr="00C727CA" w:rsidRDefault="00826EF2" w:rsidP="00FA2973">
      <w:r w:rsidRPr="00C727CA">
        <w:t>K dané</w:t>
      </w:r>
      <w:r w:rsidR="000053C2" w:rsidRPr="00C727CA">
        <w:t xml:space="preserve"> </w:t>
      </w:r>
      <w:r w:rsidRPr="00C727CA">
        <w:t>analýze</w:t>
      </w:r>
      <w:r w:rsidR="00CE505A" w:rsidRPr="00C727CA">
        <w:t xml:space="preserve"> </w:t>
      </w:r>
      <w:r w:rsidRPr="00C727CA">
        <w:t>napomůže</w:t>
      </w:r>
      <w:r w:rsidR="00CE505A" w:rsidRPr="00C727CA">
        <w:t xml:space="preserve"> několik </w:t>
      </w:r>
      <w:r w:rsidR="00014140" w:rsidRPr="00C727CA">
        <w:t>prvních</w:t>
      </w:r>
      <w:r w:rsidR="00CE505A" w:rsidRPr="00C727CA">
        <w:t xml:space="preserve"> kapitol, které budou spíše popisného charakteru a </w:t>
      </w:r>
      <w:r w:rsidR="00B44B74" w:rsidRPr="00C727CA">
        <w:t xml:space="preserve">které </w:t>
      </w:r>
      <w:r w:rsidR="00CE505A" w:rsidRPr="00C727CA">
        <w:t xml:space="preserve">poslouží jako určitá vstupní brána či prostor pro vymezení </w:t>
      </w:r>
      <w:r w:rsidR="000F085D" w:rsidRPr="00C727CA">
        <w:t>základních</w:t>
      </w:r>
      <w:r w:rsidR="00CE505A" w:rsidRPr="00C727CA">
        <w:t xml:space="preserve"> pojmů a institutů, o kterých </w:t>
      </w:r>
      <w:r w:rsidR="005F07A9">
        <w:t>je</w:t>
      </w:r>
      <w:r w:rsidR="00CE505A" w:rsidRPr="00C727CA">
        <w:t xml:space="preserve"> </w:t>
      </w:r>
      <w:r w:rsidR="005F07A9">
        <w:t xml:space="preserve">diplomant </w:t>
      </w:r>
      <w:r w:rsidR="00CE505A" w:rsidRPr="00C727CA">
        <w:t>př</w:t>
      </w:r>
      <w:r w:rsidRPr="00C727CA">
        <w:t>esvědčen, že je nutné čtenáři</w:t>
      </w:r>
      <w:r w:rsidR="00CE505A" w:rsidRPr="00C727CA">
        <w:t xml:space="preserve"> </w:t>
      </w:r>
      <w:r w:rsidR="000F085D" w:rsidRPr="00C727CA">
        <w:t>připomenout či osvětlit</w:t>
      </w:r>
      <w:r w:rsidR="00CE505A" w:rsidRPr="00C727CA">
        <w:t xml:space="preserve"> tak, aby byl schopen </w:t>
      </w:r>
      <w:r w:rsidR="000F085D" w:rsidRPr="00C727CA">
        <w:t>s</w:t>
      </w:r>
      <w:r w:rsidR="00CE505A" w:rsidRPr="00C727CA">
        <w:t xml:space="preserve"> </w:t>
      </w:r>
      <w:r w:rsidR="000F085D" w:rsidRPr="00C727CA">
        <w:t>takovými</w:t>
      </w:r>
      <w:r w:rsidR="00CE505A" w:rsidRPr="00C727CA">
        <w:t xml:space="preserve"> pojmy </w:t>
      </w:r>
      <w:r w:rsidR="000F085D" w:rsidRPr="00C727CA">
        <w:t>dále pracovat</w:t>
      </w:r>
      <w:r w:rsidR="00CE505A" w:rsidRPr="00C727CA">
        <w:t xml:space="preserve"> především proto, aby </w:t>
      </w:r>
      <w:r w:rsidR="000F085D" w:rsidRPr="00C727CA">
        <w:t xml:space="preserve">se </w:t>
      </w:r>
      <w:r w:rsidR="00CE505A" w:rsidRPr="00C727CA">
        <w:t xml:space="preserve">lépe v dalších částech </w:t>
      </w:r>
      <w:r w:rsidR="000F085D" w:rsidRPr="00C727CA">
        <w:t xml:space="preserve">této </w:t>
      </w:r>
      <w:r w:rsidR="00CE505A" w:rsidRPr="00C727CA">
        <w:t>práce orientovat</w:t>
      </w:r>
      <w:r w:rsidR="00014140" w:rsidRPr="00C727CA">
        <w:t>,</w:t>
      </w:r>
      <w:r w:rsidR="00CE505A" w:rsidRPr="00C727CA">
        <w:t xml:space="preserve"> </w:t>
      </w:r>
      <w:r w:rsidR="000F085D" w:rsidRPr="00C727CA">
        <w:t xml:space="preserve">potažmo </w:t>
      </w:r>
      <w:r w:rsidR="00CE505A" w:rsidRPr="00C727CA">
        <w:t xml:space="preserve">aby získal určitý prvotní </w:t>
      </w:r>
      <w:r w:rsidR="00290B36">
        <w:t>obraz</w:t>
      </w:r>
      <w:r w:rsidR="00CE505A" w:rsidRPr="00C727CA">
        <w:t xml:space="preserve"> o tom, co </w:t>
      </w:r>
      <w:r w:rsidR="009B5FBA" w:rsidRPr="00C727CA">
        <w:t xml:space="preserve">to </w:t>
      </w:r>
      <w:r w:rsidR="00CE505A" w:rsidRPr="00C727CA">
        <w:t>veřejná zakázka je.</w:t>
      </w:r>
    </w:p>
    <w:p w14:paraId="6AEBAD1F" w14:textId="35DD5575" w:rsidR="000053C2" w:rsidRPr="00C727CA" w:rsidRDefault="000053C2" w:rsidP="00FA2973">
      <w:r w:rsidRPr="00C727CA">
        <w:t xml:space="preserve">Časově je tato práce zasazena do období </w:t>
      </w:r>
      <w:r w:rsidR="00BE3289" w:rsidRPr="00C727CA">
        <w:t xml:space="preserve">účinnosti zákona č. 137/2006 Sb., o veřejných zakázkách, ve znění pozdějších předpisů s tím, že </w:t>
      </w:r>
      <w:r w:rsidR="00CF1774" w:rsidRPr="00C727CA">
        <w:t xml:space="preserve">práce koresponduje </w:t>
      </w:r>
      <w:r w:rsidR="005D3B13" w:rsidRPr="00C727CA">
        <w:t xml:space="preserve">se stavem právní úpravy ke dni </w:t>
      </w:r>
      <w:r w:rsidR="00C719FA" w:rsidRPr="001A5FF6">
        <w:t>1.</w:t>
      </w:r>
      <w:r w:rsidR="00CE2A54" w:rsidRPr="001A5FF6">
        <w:t xml:space="preserve"> </w:t>
      </w:r>
      <w:r w:rsidR="001A5FF6" w:rsidRPr="001A5FF6">
        <w:t xml:space="preserve">září </w:t>
      </w:r>
      <w:r w:rsidR="00C719FA" w:rsidRPr="001A5FF6">
        <w:t>2016</w:t>
      </w:r>
      <w:r w:rsidR="00CF1774" w:rsidRPr="001A5FF6">
        <w:t>.</w:t>
      </w:r>
      <w:r w:rsidR="00CF1774" w:rsidRPr="00C727CA">
        <w:t xml:space="preserve"> P</w:t>
      </w:r>
      <w:r w:rsidR="00BE3289" w:rsidRPr="00C727CA">
        <w:t xml:space="preserve">o </w:t>
      </w:r>
      <w:r w:rsidR="00E65B19">
        <w:t>určité</w:t>
      </w:r>
      <w:r w:rsidR="00CF1774" w:rsidRPr="00C727CA">
        <w:t xml:space="preserve"> </w:t>
      </w:r>
      <w:r w:rsidR="00BE3289" w:rsidRPr="00C727CA">
        <w:t xml:space="preserve">úvaze </w:t>
      </w:r>
      <w:r w:rsidR="00E65B19">
        <w:t xml:space="preserve">bylo </w:t>
      </w:r>
      <w:r w:rsidR="00304729" w:rsidRPr="00C727CA">
        <w:t xml:space="preserve">také </w:t>
      </w:r>
      <w:r w:rsidR="00E65B19">
        <w:t>rozhodnuto</w:t>
      </w:r>
      <w:r w:rsidR="00CF1774" w:rsidRPr="00C727CA">
        <w:t>,</w:t>
      </w:r>
      <w:r w:rsidR="00BE3289" w:rsidRPr="00C727CA">
        <w:t xml:space="preserve"> </w:t>
      </w:r>
      <w:r w:rsidR="00304729" w:rsidRPr="00C727CA">
        <w:t xml:space="preserve">že se </w:t>
      </w:r>
      <w:r w:rsidR="00E65B19">
        <w:t xml:space="preserve">diplomant </w:t>
      </w:r>
      <w:r w:rsidR="00304729" w:rsidRPr="00C727CA">
        <w:t>plně vyhn</w:t>
      </w:r>
      <w:r w:rsidR="00E65B19">
        <w:t>e</w:t>
      </w:r>
      <w:r w:rsidR="005F07A9">
        <w:t xml:space="preserve"> </w:t>
      </w:r>
      <w:r w:rsidR="00BE3289" w:rsidRPr="00C727CA">
        <w:t xml:space="preserve">určitému historickému exkurzu. </w:t>
      </w:r>
      <w:r w:rsidR="001B06AE" w:rsidRPr="00C727CA">
        <w:t>V</w:t>
      </w:r>
      <w:r w:rsidR="009E703E" w:rsidRPr="00C727CA">
        <w:t xml:space="preserve">zhledem k tomu, že </w:t>
      </w:r>
      <w:r w:rsidR="00304729" w:rsidRPr="00C727CA">
        <w:t>cílem</w:t>
      </w:r>
      <w:r w:rsidR="00CF1774" w:rsidRPr="00C727CA">
        <w:t xml:space="preserve"> diplomanta </w:t>
      </w:r>
      <w:r w:rsidR="009E703E" w:rsidRPr="00C727CA">
        <w:t>je</w:t>
      </w:r>
      <w:r w:rsidR="00CF1774" w:rsidRPr="00C727CA">
        <w:t xml:space="preserve"> snaha</w:t>
      </w:r>
      <w:r w:rsidR="009E703E" w:rsidRPr="00C727CA">
        <w:t xml:space="preserve"> </w:t>
      </w:r>
      <w:r w:rsidR="00B44B74" w:rsidRPr="00C727CA">
        <w:t xml:space="preserve">držet </w:t>
      </w:r>
      <w:r w:rsidR="00304729" w:rsidRPr="00C727CA">
        <w:t xml:space="preserve">se </w:t>
      </w:r>
      <w:r w:rsidR="00B44B74" w:rsidRPr="00C727CA">
        <w:t>aktuálnost</w:t>
      </w:r>
      <w:r w:rsidR="009B5FBA" w:rsidRPr="00C727CA">
        <w:t>i</w:t>
      </w:r>
      <w:r w:rsidR="00B44B74" w:rsidRPr="00C727CA">
        <w:t xml:space="preserve"> tématu </w:t>
      </w:r>
      <w:r w:rsidR="001B06AE" w:rsidRPr="00C727CA">
        <w:t>a také proto, že ve zmiňované historické etapě</w:t>
      </w:r>
      <w:r w:rsidR="009E703E" w:rsidRPr="00C727CA">
        <w:t xml:space="preserve"> docházelo k takovým právním změnám, které se často </w:t>
      </w:r>
      <w:r w:rsidR="008513D0" w:rsidRPr="00C727CA">
        <w:t>velmi</w:t>
      </w:r>
      <w:r w:rsidR="009E703E" w:rsidRPr="00C727CA">
        <w:t xml:space="preserve"> lišily od </w:t>
      </w:r>
      <w:r w:rsidR="008513D0" w:rsidRPr="00C727CA">
        <w:t>svých</w:t>
      </w:r>
      <w:r w:rsidR="001B06AE" w:rsidRPr="00C727CA">
        <w:t xml:space="preserve"> </w:t>
      </w:r>
      <w:r w:rsidR="009E703E" w:rsidRPr="00C727CA">
        <w:t>předcházejících úp</w:t>
      </w:r>
      <w:r w:rsidR="008513D0" w:rsidRPr="00C727CA">
        <w:t xml:space="preserve">rav, </w:t>
      </w:r>
      <w:r w:rsidR="001B06AE" w:rsidRPr="00C727CA">
        <w:t xml:space="preserve">což </w:t>
      </w:r>
      <w:r w:rsidR="008513D0" w:rsidRPr="00C727CA">
        <w:t>souviselo</w:t>
      </w:r>
      <w:r w:rsidR="001B06AE" w:rsidRPr="00C727CA">
        <w:t xml:space="preserve"> </w:t>
      </w:r>
      <w:r w:rsidR="009E703E" w:rsidRPr="00C727CA">
        <w:t xml:space="preserve">i </w:t>
      </w:r>
      <w:r w:rsidR="001B06AE" w:rsidRPr="00C727CA">
        <w:t>s</w:t>
      </w:r>
      <w:r w:rsidR="00724C90">
        <w:t> </w:t>
      </w:r>
      <w:r w:rsidR="001B06AE" w:rsidRPr="00C727CA">
        <w:t>velmi rychlým vývojem</w:t>
      </w:r>
      <w:r w:rsidR="009E703E" w:rsidRPr="00C727CA">
        <w:t xml:space="preserve"> veřejných zakázek (příkladem může být např. elektronizace veřejných zakázek, která fakticky nastala až s účinností zákona 137/2006), došel </w:t>
      </w:r>
      <w:r w:rsidR="00E65B19">
        <w:t>diplomant</w:t>
      </w:r>
      <w:r w:rsidR="009E703E" w:rsidRPr="00C727CA">
        <w:t xml:space="preserve"> k závěru, že </w:t>
      </w:r>
      <w:r w:rsidR="00B44B74" w:rsidRPr="00C727CA">
        <w:t xml:space="preserve">by </w:t>
      </w:r>
      <w:r w:rsidR="009E703E" w:rsidRPr="00C727CA">
        <w:t>šlo</w:t>
      </w:r>
      <w:r w:rsidR="00D541F3" w:rsidRPr="00C727CA">
        <w:t xml:space="preserve"> o čá</w:t>
      </w:r>
      <w:r w:rsidR="00B44B74" w:rsidRPr="00C727CA">
        <w:t xml:space="preserve">st, která by byla </w:t>
      </w:r>
      <w:r w:rsidR="008513D0" w:rsidRPr="00C727CA">
        <w:t>spíše</w:t>
      </w:r>
      <w:r w:rsidR="00B44B74" w:rsidRPr="00C727CA">
        <w:t xml:space="preserve"> nadby</w:t>
      </w:r>
      <w:r w:rsidR="00D541F3" w:rsidRPr="00C727CA">
        <w:t>tečná a nezapadala by do celkového kontextu práce.</w:t>
      </w:r>
    </w:p>
    <w:p w14:paraId="6E5D71B9" w14:textId="513F7BF2" w:rsidR="00304729" w:rsidRPr="00C727CA" w:rsidRDefault="00D541F3" w:rsidP="00FA2973">
      <w:r w:rsidRPr="00C727CA">
        <w:t xml:space="preserve">Na základě </w:t>
      </w:r>
      <w:r w:rsidR="00C60A69" w:rsidRPr="00C727CA">
        <w:t>předběžného</w:t>
      </w:r>
      <w:r w:rsidRPr="00C727CA">
        <w:t xml:space="preserve"> </w:t>
      </w:r>
      <w:r w:rsidR="00C60A69" w:rsidRPr="00C727CA">
        <w:t>hodnocení</w:t>
      </w:r>
      <w:r w:rsidR="00B57F1F" w:rsidRPr="00C727CA">
        <w:t xml:space="preserve"> </w:t>
      </w:r>
      <w:r w:rsidR="00C60A69" w:rsidRPr="00C727CA">
        <w:t xml:space="preserve">dohledaných zdrojů pro tuto práci si také </w:t>
      </w:r>
      <w:r w:rsidR="00E65B19">
        <w:t>diplomant myslí</w:t>
      </w:r>
      <w:r w:rsidR="00B57F1F" w:rsidRPr="00C727CA">
        <w:t xml:space="preserve">, že jde o </w:t>
      </w:r>
      <w:r w:rsidR="00C60A69" w:rsidRPr="00C727CA">
        <w:t xml:space="preserve">téma, které </w:t>
      </w:r>
      <w:r w:rsidR="00B57F1F" w:rsidRPr="00C727CA">
        <w:t>není doposud zanalyzováno do dostatečné hloubky. Zdroje a materiály</w:t>
      </w:r>
      <w:r w:rsidR="00B44B74" w:rsidRPr="00C727CA">
        <w:t>,</w:t>
      </w:r>
      <w:r w:rsidR="00B57F1F" w:rsidRPr="00C727CA">
        <w:t xml:space="preserve"> se kterými </w:t>
      </w:r>
      <w:r w:rsidR="00E65B19">
        <w:t>bude</w:t>
      </w:r>
      <w:r w:rsidR="00C60A69" w:rsidRPr="00C727CA">
        <w:t xml:space="preserve"> pracovat</w:t>
      </w:r>
      <w:r w:rsidR="00B44B74" w:rsidRPr="00C727CA">
        <w:t>,</w:t>
      </w:r>
      <w:r w:rsidR="00B57F1F" w:rsidRPr="00C727CA">
        <w:t xml:space="preserve"> jsou bezesporu velmi kvalitní a přínosné, psané odborníky na </w:t>
      </w:r>
      <w:r w:rsidR="00B44B74" w:rsidRPr="00C727CA">
        <w:t xml:space="preserve">dané </w:t>
      </w:r>
      <w:r w:rsidR="00B57F1F" w:rsidRPr="00C727CA">
        <w:t>téma</w:t>
      </w:r>
      <w:r w:rsidR="00B44B74" w:rsidRPr="00C727CA">
        <w:t xml:space="preserve"> </w:t>
      </w:r>
      <w:r w:rsidR="00B57F1F" w:rsidRPr="00C727CA">
        <w:t>(za všechny snad mohu uvést doc. JUDr. Ing. RADEK JURČÍK, Ph.D.)</w:t>
      </w:r>
      <w:r w:rsidR="001A5FF6">
        <w:t>.</w:t>
      </w:r>
      <w:r w:rsidR="00DD5477" w:rsidRPr="00C727CA">
        <w:t xml:space="preserve"> </w:t>
      </w:r>
      <w:r w:rsidR="001A5FF6">
        <w:t>N</w:t>
      </w:r>
      <w:r w:rsidR="00DD5477" w:rsidRPr="00C727CA">
        <w:t xml:space="preserve">icméně </w:t>
      </w:r>
      <w:r w:rsidR="00E65B19">
        <w:t xml:space="preserve">diplomant nenarazil </w:t>
      </w:r>
      <w:r w:rsidR="00DD5477" w:rsidRPr="00C727CA">
        <w:t xml:space="preserve">na monografie či jiné odborné texty, které by se zabývaly pouze </w:t>
      </w:r>
      <w:r w:rsidR="006A570A" w:rsidRPr="00C727CA">
        <w:t>problematikou</w:t>
      </w:r>
      <w:r w:rsidR="00DD5477" w:rsidRPr="00C727CA">
        <w:t xml:space="preserve"> zadávacích řízení do takové hloubky či rozsahu, jak se o to </w:t>
      </w:r>
      <w:r w:rsidR="00E65B19">
        <w:t>pokusí</w:t>
      </w:r>
      <w:r w:rsidR="00DD5477" w:rsidRPr="00C727CA">
        <w:t xml:space="preserve"> v této práci.</w:t>
      </w:r>
      <w:r w:rsidR="00746248" w:rsidRPr="00C727CA">
        <w:t xml:space="preserve"> </w:t>
      </w:r>
      <w:r w:rsidR="001214F7">
        <w:t>T</w:t>
      </w:r>
      <w:r w:rsidR="006A570A" w:rsidRPr="00C727CA">
        <w:t>ento stav</w:t>
      </w:r>
      <w:r w:rsidR="00304729" w:rsidRPr="00C727CA">
        <w:t xml:space="preserve"> je</w:t>
      </w:r>
      <w:r w:rsidR="008513D0" w:rsidRPr="00C727CA">
        <w:t xml:space="preserve"> možná</w:t>
      </w:r>
      <w:r w:rsidR="00304729" w:rsidRPr="00C727CA">
        <w:t xml:space="preserve"> zapříčině</w:t>
      </w:r>
      <w:r w:rsidR="006A570A" w:rsidRPr="00C727CA">
        <w:t>n</w:t>
      </w:r>
      <w:r w:rsidR="00304729" w:rsidRPr="00C727CA">
        <w:t xml:space="preserve"> i složitostí a komplikovaností právní úpravy veřejných zakázek, která může být</w:t>
      </w:r>
      <w:r w:rsidR="00720C96" w:rsidRPr="00C727CA">
        <w:t xml:space="preserve"> v celku těžce uchopitelná i pro osobu</w:t>
      </w:r>
      <w:r w:rsidR="00CE2A54">
        <w:t xml:space="preserve"> </w:t>
      </w:r>
      <w:r w:rsidR="00A342F0" w:rsidRPr="00C727CA">
        <w:t>práva znalou, na což se v závěru této prác</w:t>
      </w:r>
      <w:r w:rsidR="00CE2A54">
        <w:t xml:space="preserve">e </w:t>
      </w:r>
      <w:r w:rsidR="00E65B19">
        <w:t>pokusí</w:t>
      </w:r>
      <w:r w:rsidR="00CE2A54">
        <w:t xml:space="preserve"> </w:t>
      </w:r>
      <w:r w:rsidR="006A570A" w:rsidRPr="00C727CA">
        <w:t xml:space="preserve">finálně </w:t>
      </w:r>
      <w:r w:rsidR="00A342F0" w:rsidRPr="00C727CA">
        <w:t>odpovědět.</w:t>
      </w:r>
    </w:p>
    <w:p w14:paraId="11E0C2F7" w14:textId="5C450621" w:rsidR="00DD5477" w:rsidRPr="00C727CA" w:rsidRDefault="00E413D7" w:rsidP="00FA2973">
      <w:r w:rsidRPr="00C727CA">
        <w:t xml:space="preserve">Současně </w:t>
      </w:r>
      <w:r w:rsidR="00E65B19">
        <w:t>by</w:t>
      </w:r>
      <w:r w:rsidR="006A570A" w:rsidRPr="00C727CA">
        <w:t xml:space="preserve"> </w:t>
      </w:r>
      <w:r w:rsidRPr="00C727CA">
        <w:t xml:space="preserve">rád </w:t>
      </w:r>
      <w:r w:rsidR="00746248" w:rsidRPr="00C727CA">
        <w:t xml:space="preserve">uvedl, že dané téma si vybral především proto, že je velmi zajímavé a </w:t>
      </w:r>
      <w:r w:rsidR="00E65B19">
        <w:t>chtěl by</w:t>
      </w:r>
      <w:r w:rsidRPr="00C727CA">
        <w:t xml:space="preserve"> prostřednictvím</w:t>
      </w:r>
      <w:r w:rsidR="00746248" w:rsidRPr="00C727CA">
        <w:t xml:space="preserve"> </w:t>
      </w:r>
      <w:r w:rsidR="001D1253">
        <w:t>této práce</w:t>
      </w:r>
      <w:r w:rsidRPr="00C727CA">
        <w:t xml:space="preserve"> </w:t>
      </w:r>
      <w:r w:rsidR="00CE2A54">
        <w:t>prohloubit</w:t>
      </w:r>
      <w:r w:rsidR="00746248" w:rsidRPr="00C727CA">
        <w:t xml:space="preserve"> své praktické zkušenosti a dozvědět se o daném tématu něco nového.</w:t>
      </w:r>
    </w:p>
    <w:p w14:paraId="76A441D6" w14:textId="77777777" w:rsidR="00D541F3" w:rsidRPr="00C727CA" w:rsidRDefault="00E413D7" w:rsidP="00FA2973">
      <w:r w:rsidRPr="00C727CA">
        <w:t>Samotné t</w:t>
      </w:r>
      <w:r w:rsidR="00FE72E6" w:rsidRPr="00C727CA">
        <w:t xml:space="preserve">ěžiště </w:t>
      </w:r>
      <w:r w:rsidRPr="00C727CA">
        <w:t xml:space="preserve">práce </w:t>
      </w:r>
      <w:r w:rsidR="004F52E1" w:rsidRPr="00C727CA">
        <w:t xml:space="preserve">bude </w:t>
      </w:r>
      <w:r w:rsidRPr="00C727CA">
        <w:t>směřováno do tří</w:t>
      </w:r>
      <w:r w:rsidR="00FE72E6" w:rsidRPr="00C727CA">
        <w:t xml:space="preserve"> hlavní</w:t>
      </w:r>
      <w:r w:rsidRPr="00C727CA">
        <w:t>ch</w:t>
      </w:r>
      <w:r w:rsidR="004F52E1" w:rsidRPr="00C727CA">
        <w:t xml:space="preserve"> kapitol („Prameny práva veřejných zakázek“, „Pojmové znaky, dělení a zásady při zadávání veřejných zakázek“ a „Analýza problematiky zadávacích řízení“), které budou dále děleny v logickém uspořádání do dalších podkapitol.</w:t>
      </w:r>
    </w:p>
    <w:p w14:paraId="167EB338" w14:textId="77777777" w:rsidR="00354E03" w:rsidRPr="00C727CA" w:rsidRDefault="00354E03" w:rsidP="00FA2973"/>
    <w:p w14:paraId="15AE2438" w14:textId="77777777" w:rsidR="00767E5B" w:rsidRPr="00C727CA" w:rsidRDefault="00767E5B" w:rsidP="00FA2973">
      <w:pPr>
        <w:rPr>
          <w:rFonts w:cs="Times New Roman"/>
          <w:szCs w:val="24"/>
        </w:rPr>
      </w:pPr>
    </w:p>
    <w:p w14:paraId="54B026A6" w14:textId="77777777" w:rsidR="00767E5B" w:rsidRPr="00C727CA" w:rsidRDefault="00767E5B" w:rsidP="00FA2973">
      <w:pPr>
        <w:rPr>
          <w:rFonts w:cs="Times New Roman"/>
          <w:szCs w:val="24"/>
        </w:rPr>
      </w:pPr>
    </w:p>
    <w:p w14:paraId="04C791E3" w14:textId="77777777" w:rsidR="00767E5B" w:rsidRPr="00C727CA" w:rsidRDefault="00767E5B" w:rsidP="00FA2973">
      <w:pPr>
        <w:rPr>
          <w:rFonts w:cs="Times New Roman"/>
          <w:szCs w:val="24"/>
        </w:rPr>
      </w:pPr>
    </w:p>
    <w:p w14:paraId="7734744C" w14:textId="77777777" w:rsidR="00767E5B" w:rsidRPr="00C727CA" w:rsidRDefault="00767E5B" w:rsidP="00FA2973">
      <w:pPr>
        <w:rPr>
          <w:rFonts w:cs="Times New Roman"/>
          <w:szCs w:val="24"/>
        </w:rPr>
      </w:pPr>
    </w:p>
    <w:p w14:paraId="325E88B6" w14:textId="77777777" w:rsidR="001B06AE" w:rsidRPr="00C727CA" w:rsidRDefault="001B06AE" w:rsidP="00FA2973">
      <w:pPr>
        <w:rPr>
          <w:rFonts w:cs="Times New Roman"/>
          <w:szCs w:val="24"/>
        </w:rPr>
      </w:pPr>
    </w:p>
    <w:p w14:paraId="6FAF86C1" w14:textId="77777777" w:rsidR="001B06AE" w:rsidRPr="00C727CA" w:rsidRDefault="001B06AE" w:rsidP="00FA2973">
      <w:pPr>
        <w:rPr>
          <w:rFonts w:cs="Times New Roman"/>
          <w:szCs w:val="24"/>
        </w:rPr>
      </w:pPr>
    </w:p>
    <w:p w14:paraId="3BD195BF" w14:textId="77777777" w:rsidR="00767E5B" w:rsidRPr="00C727CA" w:rsidRDefault="00767E5B" w:rsidP="00FA2973">
      <w:pPr>
        <w:rPr>
          <w:rFonts w:cs="Times New Roman"/>
          <w:szCs w:val="24"/>
        </w:rPr>
      </w:pPr>
    </w:p>
    <w:p w14:paraId="726A8F22" w14:textId="77777777" w:rsidR="001B06AE" w:rsidRDefault="001B06AE" w:rsidP="00FA2973">
      <w:pPr>
        <w:rPr>
          <w:rFonts w:cs="Times New Roman"/>
          <w:szCs w:val="24"/>
        </w:rPr>
      </w:pPr>
    </w:p>
    <w:p w14:paraId="7D0207E1" w14:textId="77777777" w:rsidR="00A9664F" w:rsidRDefault="00A9664F" w:rsidP="00FA2973">
      <w:pPr>
        <w:rPr>
          <w:rFonts w:cs="Times New Roman"/>
          <w:szCs w:val="24"/>
        </w:rPr>
      </w:pPr>
    </w:p>
    <w:p w14:paraId="51F53EBE" w14:textId="77777777" w:rsidR="00290B36" w:rsidRPr="00C727CA" w:rsidRDefault="00290B36" w:rsidP="00FA2973">
      <w:pPr>
        <w:rPr>
          <w:rFonts w:cs="Times New Roman"/>
          <w:szCs w:val="24"/>
        </w:rPr>
      </w:pPr>
    </w:p>
    <w:p w14:paraId="4874F08A" w14:textId="77777777" w:rsidR="009B3D7E" w:rsidRPr="00C727CA" w:rsidRDefault="00275F2F" w:rsidP="00FA2973">
      <w:pPr>
        <w:pStyle w:val="Heading1"/>
        <w:spacing w:line="360" w:lineRule="auto"/>
        <w:rPr>
          <w:color w:val="auto"/>
        </w:rPr>
      </w:pPr>
      <w:bookmarkStart w:id="2" w:name="_Toc472859433"/>
      <w:r w:rsidRPr="00C727CA">
        <w:rPr>
          <w:color w:val="auto"/>
        </w:rPr>
        <w:t>P</w:t>
      </w:r>
      <w:r w:rsidR="008009C1" w:rsidRPr="00C727CA">
        <w:rPr>
          <w:color w:val="auto"/>
        </w:rPr>
        <w:t>rameny práva veřejných zakázek</w:t>
      </w:r>
      <w:bookmarkEnd w:id="2"/>
    </w:p>
    <w:p w14:paraId="493CBF17" w14:textId="77777777" w:rsidR="002E1DF3" w:rsidRPr="00C727CA" w:rsidRDefault="00832C1F" w:rsidP="00FA2973">
      <w:pPr>
        <w:pStyle w:val="Heading2"/>
        <w:spacing w:line="360" w:lineRule="auto"/>
        <w:rPr>
          <w:color w:val="auto"/>
        </w:rPr>
      </w:pPr>
      <w:bookmarkStart w:id="3" w:name="_Toc472859434"/>
      <w:r w:rsidRPr="00C727CA">
        <w:rPr>
          <w:color w:val="auto"/>
        </w:rPr>
        <w:t>Právo Evropské unie</w:t>
      </w:r>
      <w:r w:rsidR="008009C1" w:rsidRPr="00C727CA">
        <w:rPr>
          <w:color w:val="auto"/>
        </w:rPr>
        <w:t xml:space="preserve"> jakožto pramen práva</w:t>
      </w:r>
      <w:r w:rsidR="00E413D7" w:rsidRPr="00C727CA">
        <w:rPr>
          <w:color w:val="auto"/>
        </w:rPr>
        <w:t xml:space="preserve"> veřejných zakázek</w:t>
      </w:r>
      <w:bookmarkEnd w:id="3"/>
    </w:p>
    <w:p w14:paraId="3A7BB0D8" w14:textId="77777777" w:rsidR="002E1DF3" w:rsidRPr="00C727CA" w:rsidRDefault="008009C1" w:rsidP="00A9664F">
      <w:pPr>
        <w:ind w:firstLine="0"/>
      </w:pPr>
      <w:r w:rsidRPr="00C727CA">
        <w:t>Pokud jde o pra</w:t>
      </w:r>
      <w:r w:rsidR="00832C1F" w:rsidRPr="00C727CA">
        <w:t>meny práva veřejných zakázek (dále jen „právo VZ“)</w:t>
      </w:r>
      <w:r w:rsidR="00EC7B6C" w:rsidRPr="00C727CA">
        <w:t>, je vhodné začít</w:t>
      </w:r>
      <w:r w:rsidR="00832C1F" w:rsidRPr="00C727CA">
        <w:t xml:space="preserve"> právem Evropské unie (dále jen „právo EU“)</w:t>
      </w:r>
      <w:r w:rsidRPr="00C727CA">
        <w:t xml:space="preserve">, a to především kvůli jeho </w:t>
      </w:r>
      <w:r w:rsidR="00DD247D" w:rsidRPr="00C727CA">
        <w:t xml:space="preserve">všeobecně známému </w:t>
      </w:r>
      <w:r w:rsidRPr="00C727CA">
        <w:t>dopadu na národní právo</w:t>
      </w:r>
      <w:r w:rsidR="00832C1F" w:rsidRPr="00C727CA">
        <w:t xml:space="preserve"> v podobě aplika</w:t>
      </w:r>
      <w:r w:rsidR="00CE2A54">
        <w:t>č</w:t>
      </w:r>
      <w:r w:rsidR="00832C1F" w:rsidRPr="00C727CA">
        <w:t>ní přednosti</w:t>
      </w:r>
      <w:r w:rsidRPr="00C727CA">
        <w:t xml:space="preserve">. Takových pramenů práva </w:t>
      </w:r>
      <w:r w:rsidR="00EC7B6C" w:rsidRPr="00C727CA">
        <w:t xml:space="preserve">VZ </w:t>
      </w:r>
      <w:r w:rsidR="00832C1F" w:rsidRPr="00C727CA">
        <w:t>na</w:t>
      </w:r>
      <w:r w:rsidR="00724C90">
        <w:t> </w:t>
      </w:r>
      <w:r w:rsidR="00832C1F" w:rsidRPr="00C727CA">
        <w:t>úrovni Evrop</w:t>
      </w:r>
      <w:r w:rsidR="00275F2F" w:rsidRPr="00C727CA">
        <w:t>s</w:t>
      </w:r>
      <w:r w:rsidR="00832C1F" w:rsidRPr="00C727CA">
        <w:t>ké unie (dále jen „EU“)</w:t>
      </w:r>
      <w:r w:rsidRPr="00C727CA">
        <w:t xml:space="preserve"> </w:t>
      </w:r>
      <w:r w:rsidR="00D533D4" w:rsidRPr="00C727CA">
        <w:t>je několik. V prvé řadě to je Smlouva o fungování Evropské unie</w:t>
      </w:r>
      <w:r w:rsidR="00D127BE" w:rsidRPr="00C727CA">
        <w:t xml:space="preserve"> </w:t>
      </w:r>
      <w:r w:rsidR="00D533D4" w:rsidRPr="00C727CA">
        <w:t xml:space="preserve">(dále jen „SFEU“), která </w:t>
      </w:r>
      <w:r w:rsidR="00EC7B6C" w:rsidRPr="00C727CA">
        <w:t>přináší základní</w:t>
      </w:r>
      <w:r w:rsidR="00D533D4" w:rsidRPr="00C727CA">
        <w:t xml:space="preserve"> principy</w:t>
      </w:r>
      <w:r w:rsidR="00C329B5" w:rsidRPr="00C727CA">
        <w:t xml:space="preserve">, </w:t>
      </w:r>
      <w:r w:rsidR="00EC7B6C" w:rsidRPr="00C727CA">
        <w:t>které jsou fakticky základem pro právo VZ</w:t>
      </w:r>
      <w:r w:rsidR="00FD7B1B" w:rsidRPr="00C727CA">
        <w:t xml:space="preserve"> s tím, že </w:t>
      </w:r>
      <w:r w:rsidR="00DD247D" w:rsidRPr="00C727CA">
        <w:t>u práva VZ se uplatní především v rámci</w:t>
      </w:r>
      <w:r w:rsidR="00FD7B1B" w:rsidRPr="00C727CA">
        <w:t xml:space="preserve"> zásad postupu zadavatele dle § 6 zákona</w:t>
      </w:r>
      <w:r w:rsidR="00832C1F" w:rsidRPr="00C727CA">
        <w:t xml:space="preserve"> č. 137/2006 Sb., o veřejných zakázkách, ve znění pozdějších předpisů (dále je</w:t>
      </w:r>
      <w:r w:rsidR="00C901D5">
        <w:t>n</w:t>
      </w:r>
      <w:r w:rsidR="00832C1F" w:rsidRPr="00C727CA">
        <w:t xml:space="preserve"> „zákon“ nebo také „zákon</w:t>
      </w:r>
      <w:r w:rsidR="00D545E2">
        <w:t xml:space="preserve"> o VZ</w:t>
      </w:r>
      <w:r w:rsidR="00832C1F" w:rsidRPr="00C727CA">
        <w:t>“)</w:t>
      </w:r>
      <w:r w:rsidR="00FD7B1B" w:rsidRPr="00C727CA">
        <w:t>.</w:t>
      </w:r>
      <w:r w:rsidR="00EC7B6C" w:rsidRPr="00C727CA">
        <w:t xml:space="preserve"> </w:t>
      </w:r>
      <w:r w:rsidR="00FD7B1B" w:rsidRPr="00C727CA">
        <w:t>Dané</w:t>
      </w:r>
      <w:r w:rsidR="00EC7B6C" w:rsidRPr="00C727CA">
        <w:t xml:space="preserve"> principy </w:t>
      </w:r>
      <w:r w:rsidR="00FD7B1B" w:rsidRPr="00C727CA">
        <w:t xml:space="preserve">SFEU </w:t>
      </w:r>
      <w:r w:rsidR="00EC7B6C" w:rsidRPr="00C727CA">
        <w:t>jsou</w:t>
      </w:r>
      <w:r w:rsidR="00C329B5" w:rsidRPr="00C727CA">
        <w:t>:</w:t>
      </w:r>
    </w:p>
    <w:p w14:paraId="363C1FFE" w14:textId="77777777" w:rsidR="00C329B5" w:rsidRPr="00C727CA" w:rsidRDefault="00C329B5" w:rsidP="00FA2973">
      <w:pPr>
        <w:pStyle w:val="ListParagraph"/>
        <w:numPr>
          <w:ilvl w:val="0"/>
          <w:numId w:val="21"/>
        </w:numPr>
        <w:spacing w:line="360" w:lineRule="auto"/>
        <w:jc w:val="both"/>
      </w:pPr>
      <w:r w:rsidRPr="00C727CA">
        <w:t>princip nediskriminace na národnostním základě (čl. 18 SFEU),</w:t>
      </w:r>
      <w:r w:rsidRPr="00C727CA">
        <w:rPr>
          <w:rStyle w:val="FootnoteReference"/>
        </w:rPr>
        <w:footnoteReference w:id="1"/>
      </w:r>
    </w:p>
    <w:p w14:paraId="3BA41EBA" w14:textId="77777777" w:rsidR="00C329B5" w:rsidRPr="00C727CA" w:rsidRDefault="00C329B5" w:rsidP="00FA2973">
      <w:pPr>
        <w:pStyle w:val="ListParagraph"/>
        <w:numPr>
          <w:ilvl w:val="0"/>
          <w:numId w:val="21"/>
        </w:numPr>
        <w:spacing w:line="360" w:lineRule="auto"/>
        <w:jc w:val="both"/>
      </w:pPr>
      <w:r w:rsidRPr="00C727CA">
        <w:t>volný pohyb zboží</w:t>
      </w:r>
      <w:r w:rsidR="00227CA1" w:rsidRPr="00C727CA">
        <w:t xml:space="preserve"> (čl. 28 SFEU)</w:t>
      </w:r>
      <w:r w:rsidRPr="00C727CA">
        <w:t>,</w:t>
      </w:r>
      <w:r w:rsidRPr="00C727CA">
        <w:rPr>
          <w:rStyle w:val="FootnoteReference"/>
        </w:rPr>
        <w:footnoteReference w:id="2"/>
      </w:r>
    </w:p>
    <w:p w14:paraId="223B9C0A" w14:textId="77777777" w:rsidR="00C329B5" w:rsidRPr="00C727CA" w:rsidRDefault="00C329B5" w:rsidP="00FA2973">
      <w:pPr>
        <w:pStyle w:val="ListParagraph"/>
        <w:numPr>
          <w:ilvl w:val="0"/>
          <w:numId w:val="21"/>
        </w:numPr>
        <w:spacing w:line="360" w:lineRule="auto"/>
        <w:jc w:val="both"/>
      </w:pPr>
      <w:r w:rsidRPr="00C727CA">
        <w:t>právo občana jedné členské země podnikat a žít v jiné zemi Evropské unie (dále jen „EU“</w:t>
      </w:r>
      <w:r w:rsidR="00227CA1" w:rsidRPr="00C727CA">
        <w:t>, čl. 45 a 49 SFEU</w:t>
      </w:r>
      <w:r w:rsidRPr="00C727CA">
        <w:t>)</w:t>
      </w:r>
      <w:r w:rsidR="00227CA1" w:rsidRPr="00C727CA">
        <w:rPr>
          <w:rStyle w:val="FootnoteReference"/>
        </w:rPr>
        <w:footnoteReference w:id="3"/>
      </w:r>
      <w:r w:rsidR="0062559C">
        <w:t xml:space="preserve"> ,</w:t>
      </w:r>
    </w:p>
    <w:p w14:paraId="63DDF6A2" w14:textId="77777777" w:rsidR="00C329B5" w:rsidRPr="00C727CA" w:rsidRDefault="00C329B5" w:rsidP="00FA2973">
      <w:pPr>
        <w:pStyle w:val="ListParagraph"/>
        <w:numPr>
          <w:ilvl w:val="0"/>
          <w:numId w:val="21"/>
        </w:numPr>
        <w:spacing w:line="360" w:lineRule="auto"/>
        <w:jc w:val="both"/>
      </w:pPr>
      <w:r w:rsidRPr="00C727CA">
        <w:t>svoboda poskytování služeb</w:t>
      </w:r>
      <w:r w:rsidR="00227CA1" w:rsidRPr="00C727CA">
        <w:t xml:space="preserve"> (čl</w:t>
      </w:r>
      <w:r w:rsidR="00CE2A54">
        <w:t>.</w:t>
      </w:r>
      <w:r w:rsidR="00227CA1" w:rsidRPr="00C727CA">
        <w:t xml:space="preserve"> 56 SFEU)</w:t>
      </w:r>
      <w:r w:rsidRPr="00C727CA">
        <w:t>.</w:t>
      </w:r>
      <w:r w:rsidR="00227CA1" w:rsidRPr="00C727CA">
        <w:rPr>
          <w:rStyle w:val="FootnoteReference"/>
        </w:rPr>
        <w:footnoteReference w:id="4"/>
      </w:r>
      <w:r w:rsidR="00FA7A35" w:rsidRPr="00C727CA">
        <w:rPr>
          <w:vertAlign w:val="superscript"/>
        </w:rPr>
        <w:t>,</w:t>
      </w:r>
      <w:r w:rsidR="00FA7A35" w:rsidRPr="00C727CA">
        <w:rPr>
          <w:rStyle w:val="FootnoteReference"/>
        </w:rPr>
        <w:footnoteReference w:id="5"/>
      </w:r>
    </w:p>
    <w:p w14:paraId="554B9E3C" w14:textId="77777777" w:rsidR="002E1DF3" w:rsidRPr="00C727CA" w:rsidRDefault="008009C1" w:rsidP="00FA2973">
      <w:pPr>
        <w:ind w:firstLine="360"/>
      </w:pPr>
      <w:r w:rsidRPr="00C727CA">
        <w:t>Další právo EU jakožto pramen</w:t>
      </w:r>
      <w:r w:rsidR="00FA7A35" w:rsidRPr="00C727CA">
        <w:t xml:space="preserve"> práva </w:t>
      </w:r>
      <w:r w:rsidRPr="00C727CA">
        <w:t xml:space="preserve">VZ </w:t>
      </w:r>
      <w:r w:rsidR="00EC7B6C" w:rsidRPr="00C727CA">
        <w:t>je, potažmo jsou,</w:t>
      </w:r>
      <w:r w:rsidR="00FA7A35" w:rsidRPr="00C727CA">
        <w:t xml:space="preserve"> zadávací a přezkumné směrnice.</w:t>
      </w:r>
      <w:r w:rsidR="00BF530A" w:rsidRPr="00C727CA">
        <w:t xml:space="preserve"> Zadávací směrnice upravují samotné zadává</w:t>
      </w:r>
      <w:r w:rsidR="00832C1F" w:rsidRPr="00C727CA">
        <w:t xml:space="preserve">ní veřejných </w:t>
      </w:r>
      <w:r w:rsidR="00B265A1" w:rsidRPr="00C727CA">
        <w:t>zakázek, zatímco</w:t>
      </w:r>
      <w:r w:rsidR="00BF530A" w:rsidRPr="00C727CA">
        <w:t xml:space="preserve"> přezkumné směrnice stanovují postupy směřující k přezkumu úkonů zadavatele, které byly stanoveny právě zadávací směrni</w:t>
      </w:r>
      <w:r w:rsidR="00FD7B1B" w:rsidRPr="00C727CA">
        <w:t xml:space="preserve">cí. Vzhledem k tématu této práce jsou důležitější </w:t>
      </w:r>
      <w:r w:rsidR="007B2339" w:rsidRPr="00C727CA">
        <w:t xml:space="preserve">právě </w:t>
      </w:r>
      <w:r w:rsidR="00FD7B1B" w:rsidRPr="00C727CA">
        <w:t>zadávací směrnice</w:t>
      </w:r>
      <w:r w:rsidR="00953F03" w:rsidRPr="00C727CA">
        <w:t xml:space="preserve">, kterými </w:t>
      </w:r>
      <w:r w:rsidR="00252903" w:rsidRPr="00C727CA">
        <w:t>primárně</w:t>
      </w:r>
      <w:r w:rsidR="00BF530A" w:rsidRPr="00C727CA">
        <w:t xml:space="preserve"> jsou:</w:t>
      </w:r>
    </w:p>
    <w:p w14:paraId="51024787" w14:textId="77777777" w:rsidR="00BF530A" w:rsidRPr="00C727CA" w:rsidRDefault="00BF530A" w:rsidP="00FA2973">
      <w:pPr>
        <w:pStyle w:val="ListParagraph"/>
        <w:numPr>
          <w:ilvl w:val="0"/>
          <w:numId w:val="22"/>
        </w:numPr>
        <w:spacing w:line="360" w:lineRule="auto"/>
        <w:jc w:val="both"/>
      </w:pPr>
      <w:r w:rsidRPr="00C727CA">
        <w:t>Směrnic</w:t>
      </w:r>
      <w:r w:rsidR="00CE2A54">
        <w:t xml:space="preserve">e </w:t>
      </w:r>
      <w:r w:rsidRPr="00C727CA">
        <w:t>Evropského parlamentu a Rady o koordinaci postupů zadávání veřejných zakázek na dodávky, služby a stavební práce, ze dne 10. května 2000, Br</w:t>
      </w:r>
      <w:r w:rsidR="0062559C">
        <w:t>usel COM (2000) 275-2004/18/EC ,</w:t>
      </w:r>
    </w:p>
    <w:p w14:paraId="5F7ED6D0" w14:textId="77777777" w:rsidR="00BF530A" w:rsidRPr="00C727CA" w:rsidRDefault="00BF530A" w:rsidP="00FA2973">
      <w:pPr>
        <w:pStyle w:val="ListParagraph"/>
        <w:numPr>
          <w:ilvl w:val="0"/>
          <w:numId w:val="22"/>
        </w:numPr>
        <w:spacing w:line="360" w:lineRule="auto"/>
        <w:jc w:val="both"/>
      </w:pPr>
      <w:r w:rsidRPr="00C727CA">
        <w:t>Směrnic</w:t>
      </w:r>
      <w:r w:rsidR="00CE2A54">
        <w:t xml:space="preserve">e </w:t>
      </w:r>
      <w:r w:rsidRPr="00C727CA">
        <w:t>Evropského parlamentu a Rady o koordinaci postupů při zadávání veřejných zakázek v oblasti vodního hospodářství, energetiky a dopravy, ze dne 10. května 2000, Brusel COM (2000) 276-2004/17/EC.</w:t>
      </w:r>
    </w:p>
    <w:p w14:paraId="2003E26D" w14:textId="77777777" w:rsidR="00312D04" w:rsidRPr="00C727CA" w:rsidRDefault="00FD7B1B" w:rsidP="00FA2973">
      <w:pPr>
        <w:ind w:firstLine="0"/>
      </w:pPr>
      <w:r w:rsidRPr="00C727CA">
        <w:t>Zde j</w:t>
      </w:r>
      <w:r w:rsidR="007A7C04" w:rsidRPr="00C727CA">
        <w:t xml:space="preserve">e </w:t>
      </w:r>
      <w:r w:rsidR="00D373B8" w:rsidRPr="00C727CA">
        <w:t xml:space="preserve">taktéž </w:t>
      </w:r>
      <w:r w:rsidR="007A7C04" w:rsidRPr="00C727CA">
        <w:t>nutné</w:t>
      </w:r>
      <w:r w:rsidR="00D373B8" w:rsidRPr="00C727CA">
        <w:t xml:space="preserve"> </w:t>
      </w:r>
      <w:r w:rsidR="007A7C04" w:rsidRPr="00C727CA">
        <w:t>dodat, že zadávací směrnice jako takové neobsahují konkrétní úpravu zadávacího řízení</w:t>
      </w:r>
      <w:r w:rsidR="00962630" w:rsidRPr="00C727CA">
        <w:t xml:space="preserve"> VZ</w:t>
      </w:r>
      <w:r w:rsidR="007A7C04" w:rsidRPr="00C727CA">
        <w:t>, nýbrž určitou strukturu a rámec, který je nutné dodržovat</w:t>
      </w:r>
      <w:r w:rsidR="00D373B8" w:rsidRPr="00C727CA">
        <w:t xml:space="preserve"> </w:t>
      </w:r>
      <w:r w:rsidR="00962630" w:rsidRPr="00C727CA">
        <w:t>a</w:t>
      </w:r>
      <w:r w:rsidR="00D373B8" w:rsidRPr="00C727CA">
        <w:t xml:space="preserve"> </w:t>
      </w:r>
      <w:r w:rsidR="00962630" w:rsidRPr="00C727CA">
        <w:t>recipovat</w:t>
      </w:r>
      <w:r w:rsidR="00D373B8" w:rsidRPr="00C727CA">
        <w:t xml:space="preserve"> do národního práva</w:t>
      </w:r>
      <w:r w:rsidR="007A7C04" w:rsidRPr="00C727CA">
        <w:t>.</w:t>
      </w:r>
      <w:r w:rsidR="00A9086A" w:rsidRPr="00C727CA">
        <w:t xml:space="preserve"> Navíc se tyto směrnice zaměřují</w:t>
      </w:r>
      <w:r w:rsidR="00871F79" w:rsidRPr="00C727CA">
        <w:t xml:space="preserve"> pouze na tzv. nadlimitní </w:t>
      </w:r>
      <w:r w:rsidR="00014140" w:rsidRPr="00C727CA">
        <w:t>VZ</w:t>
      </w:r>
      <w:r w:rsidR="00962630" w:rsidRPr="00C727CA">
        <w:t xml:space="preserve"> a nikoliv na</w:t>
      </w:r>
      <w:r w:rsidR="00724C90">
        <w:t> </w:t>
      </w:r>
      <w:r w:rsidR="00871F79" w:rsidRPr="00C727CA">
        <w:t>podlimitní VZ a VZ malého rozsahu</w:t>
      </w:r>
      <w:r w:rsidR="00D373B8" w:rsidRPr="00C727CA">
        <w:t>, u kterých je ponecháno na vůli</w:t>
      </w:r>
      <w:r w:rsidR="00962630" w:rsidRPr="00C727CA">
        <w:t xml:space="preserve"> jednotlivých člensk</w:t>
      </w:r>
      <w:r w:rsidR="00871F79" w:rsidRPr="00C727CA">
        <w:t>ých stá</w:t>
      </w:r>
      <w:r w:rsidR="00953F03" w:rsidRPr="00C727CA">
        <w:t>tů E</w:t>
      </w:r>
      <w:r w:rsidR="00962630" w:rsidRPr="00C727CA">
        <w:t>U</w:t>
      </w:r>
      <w:r w:rsidR="00871F79" w:rsidRPr="00C727CA">
        <w:t xml:space="preserve">, jak </w:t>
      </w:r>
      <w:r w:rsidR="00953F03" w:rsidRPr="00C727CA">
        <w:t xml:space="preserve">takové </w:t>
      </w:r>
      <w:r w:rsidR="00871F79" w:rsidRPr="00C727CA">
        <w:t>postupy při jejich zadávání</w:t>
      </w:r>
      <w:r w:rsidR="00953F03" w:rsidRPr="00C727CA">
        <w:t xml:space="preserve"> upraví</w:t>
      </w:r>
      <w:r w:rsidR="00871F79" w:rsidRPr="00C727CA">
        <w:t>.</w:t>
      </w:r>
      <w:r w:rsidR="007B2339" w:rsidRPr="00C727CA">
        <w:t xml:space="preserve"> </w:t>
      </w:r>
      <w:r w:rsidR="00962630" w:rsidRPr="00C727CA">
        <w:t>Závěrem této podkapitol</w:t>
      </w:r>
      <w:r w:rsidR="00A128A7" w:rsidRPr="00C727CA">
        <w:t xml:space="preserve">y </w:t>
      </w:r>
      <w:r w:rsidR="00962630" w:rsidRPr="00C727CA">
        <w:t>pouze tolik</w:t>
      </w:r>
      <w:r w:rsidR="0072452D" w:rsidRPr="00C727CA">
        <w:t xml:space="preserve">, </w:t>
      </w:r>
      <w:r w:rsidR="007B2339" w:rsidRPr="00C727CA">
        <w:t xml:space="preserve">že výše uvedené směrnice byly </w:t>
      </w:r>
      <w:r w:rsidR="00962630" w:rsidRPr="00C727CA">
        <w:t>samozřejmě recipovány</w:t>
      </w:r>
      <w:r w:rsidR="00A26557" w:rsidRPr="00C727CA">
        <w:t xml:space="preserve"> do českého právního řádu právě </w:t>
      </w:r>
      <w:r w:rsidR="007B2339" w:rsidRPr="00C727CA">
        <w:t>zákonem o VZ.</w:t>
      </w:r>
      <w:r w:rsidR="00871F79" w:rsidRPr="00C727CA">
        <w:rPr>
          <w:rStyle w:val="FootnoteReference"/>
        </w:rPr>
        <w:footnoteReference w:id="6"/>
      </w:r>
    </w:p>
    <w:p w14:paraId="5012228C" w14:textId="77777777" w:rsidR="00871F79" w:rsidRPr="00C727CA" w:rsidRDefault="00871F79" w:rsidP="00FA2973">
      <w:pPr>
        <w:pStyle w:val="Heading2"/>
        <w:spacing w:line="360" w:lineRule="auto"/>
      </w:pPr>
      <w:bookmarkStart w:id="4" w:name="_Toc472859435"/>
      <w:r w:rsidRPr="00C727CA">
        <w:t>Vnitrostátní prameny práva</w:t>
      </w:r>
      <w:r w:rsidR="00342499" w:rsidRPr="00C727CA">
        <w:t xml:space="preserve"> VZ</w:t>
      </w:r>
      <w:bookmarkEnd w:id="4"/>
    </w:p>
    <w:p w14:paraId="62C4427A" w14:textId="77777777" w:rsidR="002E1DF3" w:rsidRPr="00C727CA" w:rsidRDefault="00D373B8" w:rsidP="00A9664F">
      <w:pPr>
        <w:ind w:firstLine="0"/>
      </w:pPr>
      <w:r w:rsidRPr="00C727CA">
        <w:t>Nyní se podívejme na vnitrostátní úroveň. Jak již bylo výše naznačeno, p</w:t>
      </w:r>
      <w:r w:rsidR="00342499" w:rsidRPr="00C727CA">
        <w:t xml:space="preserve">rimárním zdrojem vnitrostátního práva VZ </w:t>
      </w:r>
      <w:r w:rsidR="002A2A93" w:rsidRPr="00C727CA">
        <w:t>je</w:t>
      </w:r>
      <w:r w:rsidR="00342499" w:rsidRPr="00C727CA">
        <w:t>:</w:t>
      </w:r>
    </w:p>
    <w:p w14:paraId="1E37388F" w14:textId="77777777" w:rsidR="00342499" w:rsidRPr="00C727CA" w:rsidRDefault="00342499" w:rsidP="00FA2973">
      <w:pPr>
        <w:pStyle w:val="ListParagraph"/>
        <w:numPr>
          <w:ilvl w:val="0"/>
          <w:numId w:val="23"/>
        </w:numPr>
        <w:spacing w:line="360" w:lineRule="auto"/>
        <w:jc w:val="both"/>
      </w:pPr>
      <w:r w:rsidRPr="00C727CA">
        <w:t>zákon č. 137/2006 Sb., o veřejných zakázkách</w:t>
      </w:r>
      <w:r w:rsidR="001437D9" w:rsidRPr="00C727CA">
        <w:t>, ve znění pozdějších předpisů</w:t>
      </w:r>
      <w:r w:rsidR="002A2A93" w:rsidRPr="00C727CA">
        <w:t>, jakožto základní zdroj</w:t>
      </w:r>
      <w:r w:rsidR="00A26557" w:rsidRPr="00C727CA">
        <w:t>.</w:t>
      </w:r>
      <w:r w:rsidRPr="00C727CA">
        <w:t xml:space="preserve"> </w:t>
      </w:r>
    </w:p>
    <w:p w14:paraId="4781918D" w14:textId="77777777" w:rsidR="00342499" w:rsidRPr="00C727CA" w:rsidRDefault="0062559C" w:rsidP="00FA2973">
      <w:pPr>
        <w:pStyle w:val="ListParagraph"/>
        <w:numPr>
          <w:ilvl w:val="0"/>
          <w:numId w:val="23"/>
        </w:numPr>
        <w:spacing w:line="360" w:lineRule="auto"/>
        <w:jc w:val="both"/>
      </w:pPr>
      <w:r w:rsidRPr="00C727CA">
        <w:t xml:space="preserve">Vedle něj dále stojí především </w:t>
      </w:r>
      <w:r w:rsidR="00A26557" w:rsidRPr="00C727CA">
        <w:t>zákon</w:t>
      </w:r>
      <w:r w:rsidR="00342499" w:rsidRPr="00C727CA">
        <w:t xml:space="preserve"> č. 139/2006 Sb., o koncesních smlouvách a koncesním řízení</w:t>
      </w:r>
      <w:r w:rsidR="001437D9" w:rsidRPr="00C727CA">
        <w:t>, ve znění pozdějších předpisů</w:t>
      </w:r>
      <w:r w:rsidR="00342499" w:rsidRPr="00C727CA">
        <w:t>.</w:t>
      </w:r>
    </w:p>
    <w:p w14:paraId="50B9B2A0" w14:textId="77777777" w:rsidR="002E1DF3" w:rsidRPr="00C727CA" w:rsidRDefault="00342499" w:rsidP="00FA2973">
      <w:pPr>
        <w:ind w:firstLine="0"/>
      </w:pPr>
      <w:r w:rsidRPr="00C727CA">
        <w:t xml:space="preserve">Na tyto </w:t>
      </w:r>
      <w:r w:rsidR="00D373B8" w:rsidRPr="00C727CA">
        <w:t>zákony</w:t>
      </w:r>
      <w:r w:rsidRPr="00C727CA">
        <w:t xml:space="preserve"> samozřejmě navazují další podzákonné prová</w:t>
      </w:r>
      <w:r w:rsidR="00D373B8" w:rsidRPr="00C727CA">
        <w:t>děcí právní předpisy s tím, že v</w:t>
      </w:r>
      <w:r w:rsidRPr="00C727CA">
        <w:t xml:space="preserve"> souvislosti se současným </w:t>
      </w:r>
      <w:r w:rsidR="001437D9" w:rsidRPr="00C727CA">
        <w:t xml:space="preserve">trendem </w:t>
      </w:r>
      <w:r w:rsidRPr="00C727CA">
        <w:t>kladení důrazu na elektronické zadávání VZ</w:t>
      </w:r>
      <w:r w:rsidR="001437D9" w:rsidRPr="00C727CA">
        <w:t xml:space="preserve"> se </w:t>
      </w:r>
      <w:r w:rsidR="00B47650">
        <w:t>se</w:t>
      </w:r>
      <w:r w:rsidR="00724C90">
        <w:t> </w:t>
      </w:r>
      <w:r w:rsidR="001437D9" w:rsidRPr="00C727CA">
        <w:t xml:space="preserve">zákonem o VZ pojí </w:t>
      </w:r>
      <w:r w:rsidR="001A6CCC" w:rsidRPr="00C727CA">
        <w:t>především</w:t>
      </w:r>
      <w:r w:rsidR="001437D9" w:rsidRPr="00C727CA">
        <w:t xml:space="preserve"> </w:t>
      </w:r>
      <w:r w:rsidR="00F41E39" w:rsidRPr="00C727CA">
        <w:t>tyto</w:t>
      </w:r>
      <w:r w:rsidR="001437D9" w:rsidRPr="00C727CA">
        <w:t xml:space="preserve"> zákony:</w:t>
      </w:r>
    </w:p>
    <w:p w14:paraId="7F068D3F" w14:textId="77777777" w:rsidR="001437D9" w:rsidRPr="00C727CA" w:rsidRDefault="001437D9" w:rsidP="00FA2973">
      <w:pPr>
        <w:pStyle w:val="ListParagraph"/>
        <w:numPr>
          <w:ilvl w:val="0"/>
          <w:numId w:val="24"/>
        </w:numPr>
        <w:spacing w:line="360" w:lineRule="auto"/>
        <w:jc w:val="both"/>
      </w:pPr>
      <w:r w:rsidRPr="00C727CA">
        <w:t>zákon č. 227/2000 Sb., o elektronickém podpisu</w:t>
      </w:r>
      <w:r w:rsidR="0062559C">
        <w:t>, ve znění pozdějších předpisů,</w:t>
      </w:r>
    </w:p>
    <w:p w14:paraId="3965A405" w14:textId="77777777" w:rsidR="001437D9" w:rsidRPr="00C727CA" w:rsidRDefault="001437D9" w:rsidP="00FA2973">
      <w:pPr>
        <w:pStyle w:val="ListParagraph"/>
        <w:numPr>
          <w:ilvl w:val="0"/>
          <w:numId w:val="24"/>
        </w:numPr>
        <w:spacing w:line="360" w:lineRule="auto"/>
        <w:jc w:val="both"/>
      </w:pPr>
      <w:r w:rsidRPr="00C727CA">
        <w:t>zákon č. 365/2000 Sb., o informačních systémech veřejné správy, ve znění pozdějších předpisů.</w:t>
      </w:r>
      <w:r w:rsidR="001E7BD9" w:rsidRPr="00C727CA">
        <w:rPr>
          <w:rStyle w:val="FootnoteReference"/>
        </w:rPr>
        <w:footnoteReference w:id="7"/>
      </w:r>
    </w:p>
    <w:p w14:paraId="0B5230A8" w14:textId="77777777" w:rsidR="003B6DED" w:rsidRPr="00C727CA" w:rsidRDefault="00AD109C" w:rsidP="00FA2973">
      <w:pPr>
        <w:ind w:firstLine="708"/>
      </w:pPr>
      <w:r w:rsidRPr="00C727CA">
        <w:t xml:space="preserve">Zákon o VZ </w:t>
      </w:r>
      <w:r w:rsidR="001A6CCC" w:rsidRPr="00C727CA">
        <w:t>samozřejmě</w:t>
      </w:r>
      <w:r w:rsidR="00D01991" w:rsidRPr="00C727CA">
        <w:t xml:space="preserve"> stanovuje práva a povinnosti jak zadavatele, tak </w:t>
      </w:r>
      <w:r w:rsidR="00397393" w:rsidRPr="00C727CA">
        <w:t>dodavatele</w:t>
      </w:r>
      <w:r w:rsidR="00D01991" w:rsidRPr="00C727CA">
        <w:t xml:space="preserve"> v průběhu </w:t>
      </w:r>
      <w:r w:rsidR="00C0449F" w:rsidRPr="00C727CA">
        <w:t xml:space="preserve">zadávání </w:t>
      </w:r>
      <w:r w:rsidR="00D01991" w:rsidRPr="00C727CA">
        <w:t xml:space="preserve">VZ. </w:t>
      </w:r>
      <w:r w:rsidR="00C0449F" w:rsidRPr="00C727CA">
        <w:t>Na druhou stranu,</w:t>
      </w:r>
      <w:r w:rsidR="00D01991" w:rsidRPr="00C727CA">
        <w:t xml:space="preserve"> zákon jako takový není </w:t>
      </w:r>
      <w:r w:rsidR="00C0449F" w:rsidRPr="00C727CA">
        <w:t>taxativní</w:t>
      </w:r>
      <w:r w:rsidR="0097321B" w:rsidRPr="00C727CA">
        <w:t>,</w:t>
      </w:r>
      <w:r w:rsidR="00C0449F" w:rsidRPr="00C727CA">
        <w:t xml:space="preserve"> protože začíná </w:t>
      </w:r>
      <w:r w:rsidR="005610D7" w:rsidRPr="00C727CA">
        <w:t xml:space="preserve">upravovat </w:t>
      </w:r>
      <w:r w:rsidR="00C0449F" w:rsidRPr="00C727CA">
        <w:t>postup zadavatele až od momentu zadávání zakázky</w:t>
      </w:r>
      <w:r w:rsidR="003B6DED" w:rsidRPr="00C727CA">
        <w:t xml:space="preserve"> s tím, že režim</w:t>
      </w:r>
      <w:r w:rsidR="001D0892" w:rsidRPr="00C727CA">
        <w:t xml:space="preserve"> </w:t>
      </w:r>
      <w:r w:rsidR="0077037D" w:rsidRPr="00C727CA">
        <w:t xml:space="preserve">zákona </w:t>
      </w:r>
      <w:r w:rsidR="00290B36">
        <w:t>končí</w:t>
      </w:r>
      <w:r w:rsidR="0097321B" w:rsidRPr="00C727CA">
        <w:t xml:space="preserve"> </w:t>
      </w:r>
      <w:r w:rsidR="001D0892" w:rsidRPr="00C727CA">
        <w:t xml:space="preserve">dnem uzavření smlouvy o VZ mezi zadavatelem a uchazečem a od </w:t>
      </w:r>
      <w:r w:rsidR="0077037D" w:rsidRPr="00C727CA">
        <w:t>daného</w:t>
      </w:r>
      <w:r w:rsidR="001D0892" w:rsidRPr="00C727CA">
        <w:t xml:space="preserve"> okamžiku se na vztahy mezi nimi vztahuje pouze smlouva s jejím soukromoprávním potažmo občanskoprávním charakterem</w:t>
      </w:r>
      <w:r w:rsidR="00C0449F" w:rsidRPr="00C727CA">
        <w:t>.</w:t>
      </w:r>
      <w:r w:rsidR="00D4332F" w:rsidRPr="00C727CA">
        <w:rPr>
          <w:rStyle w:val="FootnoteReference"/>
        </w:rPr>
        <w:footnoteReference w:id="8"/>
      </w:r>
      <w:r w:rsidR="00C0449F" w:rsidRPr="00C727CA">
        <w:t xml:space="preserve"> </w:t>
      </w:r>
    </w:p>
    <w:p w14:paraId="6B215287" w14:textId="77777777" w:rsidR="00D16975" w:rsidRPr="00C727CA" w:rsidRDefault="00D16975" w:rsidP="00FA2973">
      <w:pPr>
        <w:ind w:firstLine="0"/>
        <w:rPr>
          <w:color w:val="FF0000"/>
        </w:rPr>
      </w:pPr>
    </w:p>
    <w:p w14:paraId="7867F967" w14:textId="77777777" w:rsidR="00D16975" w:rsidRPr="00C727CA" w:rsidRDefault="00D16975" w:rsidP="00FA2973">
      <w:pPr>
        <w:ind w:firstLine="0"/>
        <w:rPr>
          <w:color w:val="FF0000"/>
        </w:rPr>
      </w:pPr>
    </w:p>
    <w:p w14:paraId="47D7E811" w14:textId="77777777" w:rsidR="00D16975" w:rsidRPr="00C727CA" w:rsidRDefault="00D16975" w:rsidP="00FA2973">
      <w:pPr>
        <w:ind w:firstLine="0"/>
        <w:rPr>
          <w:color w:val="FF0000"/>
        </w:rPr>
      </w:pPr>
    </w:p>
    <w:p w14:paraId="40EEB38F" w14:textId="77777777" w:rsidR="00D16975" w:rsidRPr="00C727CA" w:rsidRDefault="00D16975" w:rsidP="00FA2973">
      <w:pPr>
        <w:ind w:firstLine="0"/>
        <w:rPr>
          <w:color w:val="FF0000"/>
        </w:rPr>
      </w:pPr>
    </w:p>
    <w:p w14:paraId="206B578F" w14:textId="77777777" w:rsidR="00D16975" w:rsidRPr="00C727CA" w:rsidRDefault="00D16975" w:rsidP="00FA2973">
      <w:pPr>
        <w:ind w:firstLine="0"/>
        <w:rPr>
          <w:color w:val="FF0000"/>
        </w:rPr>
      </w:pPr>
    </w:p>
    <w:p w14:paraId="510ABDEC" w14:textId="77777777" w:rsidR="00D16975" w:rsidRPr="00C727CA" w:rsidRDefault="00D16975" w:rsidP="00FA2973">
      <w:pPr>
        <w:ind w:firstLine="0"/>
        <w:rPr>
          <w:color w:val="FF0000"/>
        </w:rPr>
      </w:pPr>
    </w:p>
    <w:p w14:paraId="2424F0AF" w14:textId="77777777" w:rsidR="00D16975" w:rsidRPr="00C727CA" w:rsidRDefault="00D16975" w:rsidP="00FA2973">
      <w:pPr>
        <w:ind w:firstLine="0"/>
        <w:rPr>
          <w:color w:val="FF0000"/>
        </w:rPr>
      </w:pPr>
    </w:p>
    <w:p w14:paraId="38323D45" w14:textId="77777777" w:rsidR="00D16975" w:rsidRPr="00C727CA" w:rsidRDefault="00D16975" w:rsidP="00FA2973">
      <w:pPr>
        <w:ind w:firstLine="0"/>
        <w:rPr>
          <w:color w:val="FF0000"/>
        </w:rPr>
      </w:pPr>
    </w:p>
    <w:p w14:paraId="7A6555C8" w14:textId="77777777" w:rsidR="00D16975" w:rsidRPr="00C727CA" w:rsidRDefault="00D16975" w:rsidP="00FA2973">
      <w:pPr>
        <w:ind w:firstLine="0"/>
        <w:rPr>
          <w:color w:val="FF0000"/>
        </w:rPr>
      </w:pPr>
    </w:p>
    <w:p w14:paraId="1C98D212" w14:textId="77777777" w:rsidR="00D16975" w:rsidRPr="00C727CA" w:rsidRDefault="00D16975" w:rsidP="00FA2973">
      <w:pPr>
        <w:ind w:firstLine="0"/>
        <w:rPr>
          <w:color w:val="FF0000"/>
        </w:rPr>
      </w:pPr>
    </w:p>
    <w:p w14:paraId="2DBFAC1F" w14:textId="77777777" w:rsidR="00D16975" w:rsidRPr="00C727CA" w:rsidRDefault="00D16975" w:rsidP="00FA2973">
      <w:pPr>
        <w:ind w:firstLine="0"/>
        <w:rPr>
          <w:color w:val="FF0000"/>
        </w:rPr>
      </w:pPr>
    </w:p>
    <w:p w14:paraId="2D3AE1DA" w14:textId="77777777" w:rsidR="00D16975" w:rsidRPr="00C727CA" w:rsidRDefault="00D16975" w:rsidP="00FA2973">
      <w:pPr>
        <w:ind w:firstLine="0"/>
        <w:rPr>
          <w:color w:val="FF0000"/>
        </w:rPr>
      </w:pPr>
    </w:p>
    <w:p w14:paraId="46F731B3" w14:textId="77777777" w:rsidR="00397393" w:rsidRPr="00C727CA" w:rsidRDefault="00397393" w:rsidP="00FA2973">
      <w:pPr>
        <w:ind w:firstLine="0"/>
        <w:rPr>
          <w:color w:val="FF0000"/>
        </w:rPr>
      </w:pPr>
    </w:p>
    <w:p w14:paraId="143A8123" w14:textId="77777777" w:rsidR="00397393" w:rsidRPr="00C727CA" w:rsidRDefault="00397393" w:rsidP="00FA2973">
      <w:pPr>
        <w:ind w:firstLine="0"/>
        <w:rPr>
          <w:color w:val="FF0000"/>
        </w:rPr>
      </w:pPr>
    </w:p>
    <w:p w14:paraId="2378DEC7" w14:textId="77777777" w:rsidR="00397393" w:rsidRPr="00C727CA" w:rsidRDefault="00397393" w:rsidP="00FA2973">
      <w:pPr>
        <w:ind w:firstLine="0"/>
        <w:rPr>
          <w:color w:val="FF0000"/>
        </w:rPr>
      </w:pPr>
    </w:p>
    <w:p w14:paraId="6F074192" w14:textId="77777777" w:rsidR="00D16975" w:rsidRPr="00C727CA" w:rsidRDefault="00D16975" w:rsidP="00FA2973">
      <w:pPr>
        <w:ind w:firstLine="0"/>
        <w:rPr>
          <w:color w:val="FF0000"/>
        </w:rPr>
      </w:pPr>
    </w:p>
    <w:p w14:paraId="046B709C" w14:textId="77777777" w:rsidR="005C2194" w:rsidRPr="00C727CA" w:rsidRDefault="005C2194" w:rsidP="00FA2973">
      <w:pPr>
        <w:ind w:firstLine="0"/>
        <w:rPr>
          <w:color w:val="FF0000"/>
        </w:rPr>
      </w:pPr>
    </w:p>
    <w:p w14:paraId="28CBB9CF" w14:textId="77777777" w:rsidR="005C2194" w:rsidRPr="00C727CA" w:rsidRDefault="005C2194" w:rsidP="00FA2973">
      <w:pPr>
        <w:ind w:firstLine="0"/>
        <w:rPr>
          <w:color w:val="FF0000"/>
        </w:rPr>
      </w:pPr>
    </w:p>
    <w:p w14:paraId="2AA40953" w14:textId="77777777" w:rsidR="005C2194" w:rsidRPr="00C727CA" w:rsidRDefault="005C2194" w:rsidP="00FA2973">
      <w:pPr>
        <w:ind w:firstLine="0"/>
        <w:rPr>
          <w:color w:val="FF0000"/>
        </w:rPr>
      </w:pPr>
    </w:p>
    <w:p w14:paraId="720687CC" w14:textId="77777777" w:rsidR="005C2194" w:rsidRPr="00C727CA" w:rsidRDefault="005C2194" w:rsidP="00FA2973">
      <w:pPr>
        <w:ind w:firstLine="0"/>
        <w:rPr>
          <w:color w:val="FF0000"/>
        </w:rPr>
      </w:pPr>
    </w:p>
    <w:p w14:paraId="7F94845B" w14:textId="77777777" w:rsidR="00962630" w:rsidRPr="00C727CA" w:rsidRDefault="00962630" w:rsidP="00FA2973">
      <w:pPr>
        <w:ind w:firstLine="0"/>
        <w:rPr>
          <w:color w:val="FF0000"/>
        </w:rPr>
      </w:pPr>
    </w:p>
    <w:p w14:paraId="7FA6A2F2" w14:textId="77777777" w:rsidR="00962630" w:rsidRPr="00C727CA" w:rsidRDefault="00962630" w:rsidP="00FA2973">
      <w:pPr>
        <w:ind w:firstLine="0"/>
        <w:rPr>
          <w:color w:val="FF0000"/>
        </w:rPr>
      </w:pPr>
    </w:p>
    <w:p w14:paraId="36C622EA" w14:textId="77777777" w:rsidR="00962630" w:rsidRPr="00C727CA" w:rsidRDefault="00962630" w:rsidP="00FA2973">
      <w:pPr>
        <w:ind w:firstLine="0"/>
        <w:rPr>
          <w:color w:val="FF0000"/>
        </w:rPr>
      </w:pPr>
    </w:p>
    <w:p w14:paraId="6A362E5E" w14:textId="77777777" w:rsidR="00D16975" w:rsidRPr="00C727CA" w:rsidRDefault="00D16975" w:rsidP="00FA2973">
      <w:pPr>
        <w:ind w:firstLine="0"/>
      </w:pPr>
    </w:p>
    <w:p w14:paraId="3B9DB14D" w14:textId="77777777" w:rsidR="002E1DF3" w:rsidRPr="00C727CA" w:rsidRDefault="00F04385" w:rsidP="00FA2973">
      <w:pPr>
        <w:pStyle w:val="Heading1"/>
        <w:spacing w:line="360" w:lineRule="auto"/>
        <w:rPr>
          <w:color w:val="auto"/>
        </w:rPr>
      </w:pPr>
      <w:bookmarkStart w:id="5" w:name="_Toc472859436"/>
      <w:r w:rsidRPr="00C727CA">
        <w:rPr>
          <w:color w:val="auto"/>
        </w:rPr>
        <w:t>Pojmové</w:t>
      </w:r>
      <w:r w:rsidR="00D127BE" w:rsidRPr="00C727CA">
        <w:rPr>
          <w:color w:val="auto"/>
        </w:rPr>
        <w:t xml:space="preserve"> znaky</w:t>
      </w:r>
      <w:r w:rsidRPr="00C727CA">
        <w:rPr>
          <w:color w:val="auto"/>
        </w:rPr>
        <w:t>, dělení</w:t>
      </w:r>
      <w:r w:rsidR="009B5AF4" w:rsidRPr="00C727CA">
        <w:rPr>
          <w:color w:val="auto"/>
        </w:rPr>
        <w:t xml:space="preserve"> </w:t>
      </w:r>
      <w:r w:rsidR="00D127BE" w:rsidRPr="00C727CA">
        <w:rPr>
          <w:color w:val="auto"/>
        </w:rPr>
        <w:t>a zásady</w:t>
      </w:r>
      <w:r w:rsidR="003155FB" w:rsidRPr="00C727CA">
        <w:rPr>
          <w:color w:val="auto"/>
        </w:rPr>
        <w:t xml:space="preserve"> při zadávání </w:t>
      </w:r>
      <w:r w:rsidR="00132B25" w:rsidRPr="00C727CA">
        <w:rPr>
          <w:color w:val="auto"/>
        </w:rPr>
        <w:t>veřejných zakázek</w:t>
      </w:r>
      <w:bookmarkEnd w:id="5"/>
    </w:p>
    <w:p w14:paraId="2BA7B90E" w14:textId="77777777" w:rsidR="009B5AF4" w:rsidRPr="00C727CA" w:rsidRDefault="00F04385" w:rsidP="00FA2973">
      <w:pPr>
        <w:pStyle w:val="Heading2"/>
        <w:spacing w:line="360" w:lineRule="auto"/>
        <w:rPr>
          <w:color w:val="auto"/>
        </w:rPr>
      </w:pPr>
      <w:bookmarkStart w:id="6" w:name="_Toc472859437"/>
      <w:r w:rsidRPr="00C727CA">
        <w:rPr>
          <w:color w:val="auto"/>
        </w:rPr>
        <w:t>Pojmové z</w:t>
      </w:r>
      <w:r w:rsidR="009B5AF4" w:rsidRPr="00C727CA">
        <w:rPr>
          <w:color w:val="auto"/>
        </w:rPr>
        <w:t>naky VZ</w:t>
      </w:r>
      <w:bookmarkEnd w:id="6"/>
    </w:p>
    <w:p w14:paraId="5C731F02" w14:textId="77777777" w:rsidR="001F17B8" w:rsidRPr="00C727CA" w:rsidRDefault="00F04385" w:rsidP="00A9664F">
      <w:pPr>
        <w:ind w:firstLine="0"/>
      </w:pPr>
      <w:r w:rsidRPr="00C727CA">
        <w:t xml:space="preserve">Jak již nadpis podkapitoly napovídá, </w:t>
      </w:r>
      <w:r w:rsidR="00962630" w:rsidRPr="00C727CA">
        <w:t>nyní rozebereme</w:t>
      </w:r>
      <w:r w:rsidRPr="00C727CA">
        <w:t xml:space="preserve"> určité znaky VZ. </w:t>
      </w:r>
      <w:r w:rsidR="00257265" w:rsidRPr="00C727CA">
        <w:rPr>
          <w:i/>
        </w:rPr>
        <w:t>De lege lata</w:t>
      </w:r>
      <w:r w:rsidR="00257265" w:rsidRPr="00C727CA">
        <w:t xml:space="preserve"> d</w:t>
      </w:r>
      <w:r w:rsidR="006F4BE9" w:rsidRPr="00C727CA">
        <w:t xml:space="preserve">le </w:t>
      </w:r>
      <w:r w:rsidR="002C4D3C" w:rsidRPr="00C727CA">
        <w:t>§ 7 odst. 1 zákona</w:t>
      </w:r>
      <w:r w:rsidR="00E15857" w:rsidRPr="00C727CA">
        <w:t xml:space="preserve"> </w:t>
      </w:r>
      <w:r w:rsidR="00962630" w:rsidRPr="00C727CA">
        <w:t>je VZ definována</w:t>
      </w:r>
      <w:r w:rsidR="00E15857" w:rsidRPr="00C727CA">
        <w:t xml:space="preserve"> </w:t>
      </w:r>
      <w:r w:rsidR="008529E2" w:rsidRPr="00C727CA">
        <w:t>jako</w:t>
      </w:r>
      <w:r w:rsidR="002A0C4A">
        <w:t xml:space="preserve"> </w:t>
      </w:r>
      <w:r w:rsidR="00E15857" w:rsidRPr="00C727CA">
        <w:t>„zakázka realizovaná na základě smlouvy mezi zadavatelem a jedním či více dodavateli, jejímž předmětem je úplatné poskytnutí dodávek či služeb nebo úplatné provedení stavebních prací. Veřejná zakázka, kterou je zadavatel povinen zadat podle tohoto zákona, musí být realizována na základě písemné smlouvy.“</w:t>
      </w:r>
      <w:r w:rsidR="002C4D3C" w:rsidRPr="00C727CA">
        <w:t xml:space="preserve"> </w:t>
      </w:r>
      <w:r w:rsidR="001F17B8" w:rsidRPr="00C727CA">
        <w:t>Z takto uvedené def</w:t>
      </w:r>
      <w:r w:rsidR="00592CD0" w:rsidRPr="00C727CA">
        <w:t>i</w:t>
      </w:r>
      <w:r w:rsidR="001F17B8" w:rsidRPr="00C727CA">
        <w:t>nice si můžeme vyextrahovat určité pojmové znaky VZ:</w:t>
      </w:r>
    </w:p>
    <w:p w14:paraId="47797029" w14:textId="77777777" w:rsidR="00592CD0" w:rsidRPr="00C727CA" w:rsidRDefault="005610D7" w:rsidP="00FA2973">
      <w:pPr>
        <w:pStyle w:val="ListParagraph"/>
        <w:numPr>
          <w:ilvl w:val="0"/>
          <w:numId w:val="28"/>
        </w:numPr>
        <w:spacing w:line="360" w:lineRule="auto"/>
        <w:jc w:val="both"/>
      </w:pPr>
      <w:r w:rsidRPr="00C727CA">
        <w:t xml:space="preserve">existence </w:t>
      </w:r>
      <w:r w:rsidR="00592CD0" w:rsidRPr="00C727CA">
        <w:t>smluvní</w:t>
      </w:r>
      <w:r w:rsidRPr="00C727CA">
        <w:t>ho</w:t>
      </w:r>
      <w:r w:rsidR="00592CD0" w:rsidRPr="00C727CA">
        <w:t xml:space="preserve"> vztah</w:t>
      </w:r>
      <w:r w:rsidRPr="00C727CA">
        <w:t>u</w:t>
      </w:r>
      <w:r w:rsidR="00592CD0" w:rsidRPr="00C727CA">
        <w:t xml:space="preserve"> </w:t>
      </w:r>
      <w:r w:rsidR="00F54F8F" w:rsidRPr="00C727CA">
        <w:t xml:space="preserve">mezi zadavatelem a jedním či více </w:t>
      </w:r>
      <w:r w:rsidRPr="00C727CA">
        <w:t>uchazeči</w:t>
      </w:r>
      <w:r w:rsidR="00402A91" w:rsidRPr="00C727CA">
        <w:t xml:space="preserve"> </w:t>
      </w:r>
      <w:r w:rsidR="00592CD0" w:rsidRPr="00C727CA">
        <w:t xml:space="preserve">– </w:t>
      </w:r>
      <w:r w:rsidRPr="00C727CA">
        <w:t xml:space="preserve">tímto se snažíme říci, že </w:t>
      </w:r>
      <w:r w:rsidR="00F54F8F" w:rsidRPr="00C727CA">
        <w:t>zákon upravuje závazný postup zadavatele směřující k uzavření smlouvy s </w:t>
      </w:r>
      <w:r w:rsidR="002A0C4A">
        <w:t>vybraným uchazečem</w:t>
      </w:r>
      <w:r w:rsidRPr="00C727CA">
        <w:t xml:space="preserve"> neboli vzniku smluvního vztahu</w:t>
      </w:r>
      <w:r w:rsidR="00473554" w:rsidRPr="00C727CA">
        <w:t>,</w:t>
      </w:r>
    </w:p>
    <w:p w14:paraId="18D0A5F8" w14:textId="77777777" w:rsidR="00592CD0" w:rsidRPr="00C727CA" w:rsidRDefault="00592CD0" w:rsidP="00FA2973">
      <w:pPr>
        <w:pStyle w:val="ListParagraph"/>
        <w:numPr>
          <w:ilvl w:val="0"/>
          <w:numId w:val="28"/>
        </w:numPr>
        <w:spacing w:line="360" w:lineRule="auto"/>
        <w:jc w:val="both"/>
      </w:pPr>
      <w:r w:rsidRPr="00C727CA">
        <w:t>úplatnost –</w:t>
      </w:r>
      <w:r w:rsidR="0048465B" w:rsidRPr="00C727CA">
        <w:t xml:space="preserve"> zakázka, která splňuje všechny ostatní znaky VZ</w:t>
      </w:r>
      <w:r w:rsidR="005610D7" w:rsidRPr="00C727CA">
        <w:t>,</w:t>
      </w:r>
      <w:r w:rsidR="0048465B" w:rsidRPr="00C727CA">
        <w:t xml:space="preserve"> avšak </w:t>
      </w:r>
      <w:r w:rsidR="00962630" w:rsidRPr="00C727CA">
        <w:t xml:space="preserve">by </w:t>
      </w:r>
      <w:r w:rsidR="0048465B" w:rsidRPr="00C727CA">
        <w:t xml:space="preserve">byla poskytnuta či provedena </w:t>
      </w:r>
      <w:r w:rsidR="00B265A1">
        <w:t>bezúplatně</w:t>
      </w:r>
      <w:r w:rsidR="0048465B" w:rsidRPr="00C727CA">
        <w:t>, není VZ</w:t>
      </w:r>
      <w:r w:rsidR="00473554" w:rsidRPr="00C727CA">
        <w:t>.</w:t>
      </w:r>
      <w:r w:rsidR="00473554" w:rsidRPr="00C727CA">
        <w:rPr>
          <w:rStyle w:val="FootnoteReference"/>
        </w:rPr>
        <w:footnoteReference w:id="9"/>
      </w:r>
      <w:r w:rsidR="00473554" w:rsidRPr="00C727CA">
        <w:t xml:space="preserve"> Pokud by navíc některý z uchazečů již od počátku přišel s nabídkou, která by obsahovala nulovou nabídkovou cenu, zadavatel by mohl takové zadávací </w:t>
      </w:r>
      <w:r w:rsidR="00962630" w:rsidRPr="00C727CA">
        <w:t>řízení zrušit a požádat takový</w:t>
      </w:r>
      <w:r w:rsidR="00473554" w:rsidRPr="00C727CA">
        <w:t xml:space="preserve"> subjekt o realizaci </w:t>
      </w:r>
      <w:r w:rsidR="00962630" w:rsidRPr="00C727CA">
        <w:t>daného</w:t>
      </w:r>
      <w:r w:rsidR="00473554" w:rsidRPr="00C727CA">
        <w:t xml:space="preserve"> plnění zdarma</w:t>
      </w:r>
      <w:r w:rsidR="00962630" w:rsidRPr="00C727CA">
        <w:t>,</w:t>
      </w:r>
      <w:r w:rsidR="00473554" w:rsidRPr="00C727CA">
        <w:t xml:space="preserve"> mimo regulaci zákona o VZ. Dále je nutné dodat, že úplatnost může být </w:t>
      </w:r>
      <w:r w:rsidR="00F53955" w:rsidRPr="00C727CA">
        <w:t>zajištěna</w:t>
      </w:r>
      <w:r w:rsidR="00472849" w:rsidRPr="00C727CA">
        <w:t xml:space="preserve"> jak ve formě peněžního, tak </w:t>
      </w:r>
      <w:r w:rsidR="008C79C9" w:rsidRPr="00C727CA">
        <w:t xml:space="preserve">i </w:t>
      </w:r>
      <w:r w:rsidR="00472849" w:rsidRPr="00C727CA">
        <w:t>naturálního</w:t>
      </w:r>
      <w:r w:rsidR="003E7856" w:rsidRPr="00C727CA">
        <w:t xml:space="preserve"> plnění</w:t>
      </w:r>
      <w:r w:rsidR="00F6764F">
        <w:rPr>
          <w:lang w:val="en-US"/>
        </w:rPr>
        <w:t>;</w:t>
      </w:r>
      <w:r w:rsidR="00C46D85" w:rsidRPr="00C727CA">
        <w:rPr>
          <w:rStyle w:val="FootnoteReference"/>
        </w:rPr>
        <w:footnoteReference w:id="10"/>
      </w:r>
      <w:r w:rsidR="00F6764F">
        <w:rPr>
          <w:vertAlign w:val="superscript"/>
        </w:rPr>
        <w:t xml:space="preserve">, </w:t>
      </w:r>
      <w:r w:rsidR="00F6764F">
        <w:rPr>
          <w:rStyle w:val="FootnoteReference"/>
        </w:rPr>
        <w:footnoteReference w:id="11"/>
      </w:r>
    </w:p>
    <w:p w14:paraId="177BE31A" w14:textId="77777777" w:rsidR="00592CD0" w:rsidRPr="00C727CA" w:rsidRDefault="00592CD0" w:rsidP="00FA2973">
      <w:pPr>
        <w:pStyle w:val="ListParagraph"/>
        <w:numPr>
          <w:ilvl w:val="0"/>
          <w:numId w:val="28"/>
        </w:numPr>
        <w:spacing w:line="360" w:lineRule="auto"/>
        <w:jc w:val="both"/>
      </w:pPr>
      <w:r w:rsidRPr="00C727CA">
        <w:t>písemná forma smlouvy –</w:t>
      </w:r>
      <w:r w:rsidR="003E7856" w:rsidRPr="00C727CA">
        <w:t xml:space="preserve"> toto ovšem neplatí u těch VZ, které zadavatel není povinen zadávat podle zákona o VZ,</w:t>
      </w:r>
      <w:r w:rsidR="003E7856" w:rsidRPr="00C727CA">
        <w:rPr>
          <w:rStyle w:val="FootnoteReference"/>
        </w:rPr>
        <w:footnoteReference w:id="12"/>
      </w:r>
    </w:p>
    <w:p w14:paraId="06C42548" w14:textId="77777777" w:rsidR="00E35B2C" w:rsidRPr="00C727CA" w:rsidRDefault="00E35B2C" w:rsidP="00FA2973">
      <w:pPr>
        <w:pStyle w:val="ListParagraph"/>
        <w:numPr>
          <w:ilvl w:val="0"/>
          <w:numId w:val="28"/>
        </w:numPr>
        <w:spacing w:line="360" w:lineRule="auto"/>
        <w:jc w:val="both"/>
      </w:pPr>
      <w:r w:rsidRPr="00C727CA">
        <w:t xml:space="preserve">předmětem plnění je poskytnutí dodávek, služeb nebo provedení stavebních prací – </w:t>
      </w:r>
      <w:r w:rsidR="00092C4C" w:rsidRPr="00C727CA">
        <w:t>o</w:t>
      </w:r>
      <w:r w:rsidR="00AD0307">
        <w:t> </w:t>
      </w:r>
      <w:r w:rsidR="00092C4C" w:rsidRPr="00C727CA">
        <w:t>dělení VZ podle p</w:t>
      </w:r>
      <w:r w:rsidR="002A0C4A">
        <w:t>ředmětu plnění budeme psát níže.</w:t>
      </w:r>
      <w:r w:rsidR="00092C4C" w:rsidRPr="00C727CA">
        <w:t xml:space="preserve"> </w:t>
      </w:r>
      <w:r w:rsidR="002A0C4A">
        <w:t>V</w:t>
      </w:r>
      <w:r w:rsidR="00092C4C" w:rsidRPr="00C727CA">
        <w:t> tomto okamžiku se ovšem</w:t>
      </w:r>
      <w:r w:rsidR="00DB06CD">
        <w:t xml:space="preserve"> hodí u</w:t>
      </w:r>
      <w:r w:rsidR="008C79C9" w:rsidRPr="00C727CA">
        <w:t>vést</w:t>
      </w:r>
      <w:r w:rsidR="00092C4C" w:rsidRPr="00C727CA">
        <w:t xml:space="preserve">, že </w:t>
      </w:r>
      <w:r w:rsidRPr="00C727CA">
        <w:t>tento znak</w:t>
      </w:r>
      <w:r w:rsidR="00092C4C" w:rsidRPr="00C727CA">
        <w:t xml:space="preserve"> či definice je natolik obecná</w:t>
      </w:r>
      <w:r w:rsidRPr="00C727CA">
        <w:t xml:space="preserve"> a všezahrnující,</w:t>
      </w:r>
      <w:r w:rsidR="00092C4C" w:rsidRPr="00C727CA">
        <w:t xml:space="preserve"> </w:t>
      </w:r>
      <w:r w:rsidRPr="00C727CA">
        <w:t>že reálně pokrývá veškerá možná plnění,</w:t>
      </w:r>
    </w:p>
    <w:p w14:paraId="2DD6DD8D" w14:textId="77777777" w:rsidR="00592CD0" w:rsidRPr="00C727CA" w:rsidRDefault="00592CD0" w:rsidP="00FA2973">
      <w:pPr>
        <w:pStyle w:val="ListParagraph"/>
        <w:numPr>
          <w:ilvl w:val="0"/>
          <w:numId w:val="28"/>
        </w:numPr>
        <w:spacing w:line="360" w:lineRule="auto"/>
        <w:jc w:val="both"/>
      </w:pPr>
      <w:r w:rsidRPr="00C727CA">
        <w:t xml:space="preserve">výdej </w:t>
      </w:r>
      <w:r w:rsidR="00BE0928" w:rsidRPr="00C727CA">
        <w:t>(</w:t>
      </w:r>
      <w:r w:rsidR="00545424" w:rsidRPr="00C727CA">
        <w:t>peněžních</w:t>
      </w:r>
      <w:r w:rsidR="00BE0928" w:rsidRPr="00C727CA">
        <w:t>)</w:t>
      </w:r>
      <w:r w:rsidR="00545424" w:rsidRPr="00C727CA">
        <w:t xml:space="preserve"> </w:t>
      </w:r>
      <w:r w:rsidR="005021DA" w:rsidRPr="00C727CA">
        <w:t xml:space="preserve">veřejných </w:t>
      </w:r>
      <w:r w:rsidRPr="00C727CA">
        <w:t xml:space="preserve">prostředků </w:t>
      </w:r>
      <w:r w:rsidR="00545424" w:rsidRPr="00C727CA">
        <w:t>na straně zadavatele</w:t>
      </w:r>
      <w:r w:rsidR="00092C4C" w:rsidRPr="00C727CA">
        <w:t xml:space="preserve"> – tento </w:t>
      </w:r>
      <w:r w:rsidR="008C79C9" w:rsidRPr="00C727CA">
        <w:t>znak</w:t>
      </w:r>
      <w:r w:rsidR="00092C4C" w:rsidRPr="00C727CA">
        <w:t xml:space="preserve"> taktéž úzce souvisí s výše uved</w:t>
      </w:r>
      <w:r w:rsidR="008C79C9" w:rsidRPr="00C727CA">
        <w:t>e</w:t>
      </w:r>
      <w:r w:rsidR="00092C4C" w:rsidRPr="00C727CA">
        <w:t>nou úplatností</w:t>
      </w:r>
      <w:r w:rsidR="00A923F6" w:rsidRPr="00C727CA">
        <w:t>.</w:t>
      </w:r>
      <w:r w:rsidR="00A923F6" w:rsidRPr="00C727CA">
        <w:rPr>
          <w:rStyle w:val="FootnoteReference"/>
        </w:rPr>
        <w:footnoteReference w:id="13"/>
      </w:r>
    </w:p>
    <w:p w14:paraId="26FE2C03" w14:textId="77777777" w:rsidR="002E1DF3" w:rsidRPr="00C727CA" w:rsidRDefault="008C79C9" w:rsidP="00FA2973">
      <w:pPr>
        <w:ind w:firstLine="0"/>
      </w:pPr>
      <w:r w:rsidRPr="00C727CA">
        <w:t>Po hlubším zamyšlení</w:t>
      </w:r>
      <w:r w:rsidR="007A5B54" w:rsidRPr="00C727CA">
        <w:t xml:space="preserve"> se nad </w:t>
      </w:r>
      <w:r w:rsidRPr="00C727CA">
        <w:t>významem</w:t>
      </w:r>
      <w:r w:rsidR="007A5B54" w:rsidRPr="00C727CA">
        <w:t xml:space="preserve"> těchto znaků je nutné uvést, že fakticky vylučují </w:t>
      </w:r>
      <w:r w:rsidR="00810B25" w:rsidRPr="00C727CA">
        <w:t>uzavření smlouvy o smlouvě budoucí.</w:t>
      </w:r>
      <w:r w:rsidR="00257265" w:rsidRPr="00C727CA">
        <w:t xml:space="preserve"> </w:t>
      </w:r>
      <w:r w:rsidR="007A5B54" w:rsidRPr="00C727CA">
        <w:t>Pokud se totiž podíváme na definici právě smlouvy o</w:t>
      </w:r>
      <w:r w:rsidR="00AD0307">
        <w:t> </w:t>
      </w:r>
      <w:r w:rsidR="007A5B54" w:rsidRPr="00C727CA">
        <w:t>smlouvě budoucí uvedenou v § 1785 zákona č. 89/2012 Sb., občanský zákoník</w:t>
      </w:r>
      <w:r w:rsidR="00257265" w:rsidRPr="00C727CA">
        <w:t xml:space="preserve"> (dál</w:t>
      </w:r>
      <w:r w:rsidRPr="00C727CA">
        <w:t>e</w:t>
      </w:r>
      <w:r w:rsidR="00257265" w:rsidRPr="00C727CA">
        <w:t xml:space="preserve"> jen „NOZ“), tedy že v</w:t>
      </w:r>
      <w:r w:rsidRPr="00C727CA">
        <w:t> </w:t>
      </w:r>
      <w:r w:rsidR="00257265" w:rsidRPr="00C727CA">
        <w:t>budoucnu</w:t>
      </w:r>
      <w:r w:rsidRPr="00C727CA">
        <w:t>,</w:t>
      </w:r>
      <w:r w:rsidR="00257265" w:rsidRPr="00C727CA">
        <w:t xml:space="preserve"> po vyzvání</w:t>
      </w:r>
      <w:r w:rsidRPr="00C727CA">
        <w:t>,</w:t>
      </w:r>
      <w:r w:rsidR="00257265" w:rsidRPr="00C727CA">
        <w:t xml:space="preserve"> má být uzavřena určitá další smlouva, </w:t>
      </w:r>
      <w:r w:rsidR="004B6972" w:rsidRPr="00C727CA">
        <w:t>neboli že</w:t>
      </w:r>
      <w:r w:rsidRPr="00C727CA">
        <w:t xml:space="preserve"> předmětem smlouvy má být</w:t>
      </w:r>
      <w:r w:rsidR="00257265" w:rsidRPr="00C727CA">
        <w:t xml:space="preserve"> uzavření </w:t>
      </w:r>
      <w:r w:rsidRPr="00C727CA">
        <w:t xml:space="preserve">jiné budoucí </w:t>
      </w:r>
      <w:r w:rsidR="00257265" w:rsidRPr="00C727CA">
        <w:t xml:space="preserve">smlouvy, </w:t>
      </w:r>
      <w:r w:rsidRPr="00C727CA">
        <w:t>dojdeme</w:t>
      </w:r>
      <w:r w:rsidR="00257265" w:rsidRPr="00C727CA">
        <w:t xml:space="preserve"> k závěru, že </w:t>
      </w:r>
      <w:r w:rsidRPr="00C727CA">
        <w:t xml:space="preserve">dané odporuje výše uvedenému </w:t>
      </w:r>
      <w:r w:rsidR="00257265" w:rsidRPr="00C727CA">
        <w:t>požadavku na předmět VZ.</w:t>
      </w:r>
      <w:r w:rsidR="007A5B54" w:rsidRPr="00C727CA">
        <w:rPr>
          <w:rStyle w:val="FootnoteReference"/>
        </w:rPr>
        <w:t xml:space="preserve"> </w:t>
      </w:r>
      <w:r w:rsidR="00810B25" w:rsidRPr="00C727CA">
        <w:rPr>
          <w:rStyle w:val="FootnoteReference"/>
        </w:rPr>
        <w:footnoteReference w:id="14"/>
      </w:r>
    </w:p>
    <w:p w14:paraId="7FEB34FF" w14:textId="77777777" w:rsidR="002E1DF3" w:rsidRPr="00C727CA" w:rsidRDefault="009B5AF4" w:rsidP="00FA2973">
      <w:pPr>
        <w:pStyle w:val="Heading2"/>
        <w:spacing w:line="360" w:lineRule="auto"/>
      </w:pPr>
      <w:bookmarkStart w:id="7" w:name="_Toc472859438"/>
      <w:r w:rsidRPr="00C727CA">
        <w:t>Dělení VZ</w:t>
      </w:r>
      <w:bookmarkEnd w:id="7"/>
      <w:r w:rsidR="00257265" w:rsidRPr="00C727CA">
        <w:t xml:space="preserve"> </w:t>
      </w:r>
    </w:p>
    <w:p w14:paraId="7D5D0688" w14:textId="77777777" w:rsidR="009B5AF4" w:rsidRPr="00C727CA" w:rsidRDefault="00C623BB" w:rsidP="00A9664F">
      <w:pPr>
        <w:ind w:firstLine="0"/>
      </w:pPr>
      <w:r w:rsidRPr="00C727CA">
        <w:t xml:space="preserve">VZ se primárně dělí </w:t>
      </w:r>
      <w:r w:rsidR="00493D8C" w:rsidRPr="00C727CA">
        <w:t>dle</w:t>
      </w:r>
      <w:r w:rsidRPr="00C727CA">
        <w:t xml:space="preserve"> dvou </w:t>
      </w:r>
      <w:r w:rsidR="00493D8C" w:rsidRPr="00C727CA">
        <w:t xml:space="preserve">hlavních </w:t>
      </w:r>
      <w:r w:rsidR="002A0C4A">
        <w:t xml:space="preserve">kritérií, </w:t>
      </w:r>
      <w:r w:rsidRPr="00C727CA">
        <w:t xml:space="preserve">podle předmětu </w:t>
      </w:r>
      <w:r w:rsidR="005F02BD" w:rsidRPr="00C727CA">
        <w:t>plnění</w:t>
      </w:r>
      <w:r w:rsidRPr="00C727CA">
        <w:rPr>
          <w:rStyle w:val="FootnoteReference"/>
        </w:rPr>
        <w:footnoteReference w:id="15"/>
      </w:r>
      <w:r w:rsidRPr="00C727CA">
        <w:t xml:space="preserve"> a podle výše předpokládané hodnoty.</w:t>
      </w:r>
      <w:r w:rsidRPr="00C727CA">
        <w:rPr>
          <w:rStyle w:val="FootnoteReference"/>
        </w:rPr>
        <w:footnoteReference w:id="16"/>
      </w:r>
      <w:r w:rsidRPr="00C727CA">
        <w:t xml:space="preserve"> Takováto dělení VZ mají následně vliv na použití více či méně formálních</w:t>
      </w:r>
      <w:r w:rsidR="00493D8C" w:rsidRPr="00C727CA">
        <w:t xml:space="preserve"> postupů dle zákona o VZ, </w:t>
      </w:r>
      <w:r w:rsidR="002F3603" w:rsidRPr="00C727CA">
        <w:t>na samotné použi</w:t>
      </w:r>
      <w:r w:rsidR="00493D8C" w:rsidRPr="00C727CA">
        <w:t xml:space="preserve">tí zákona, </w:t>
      </w:r>
      <w:r w:rsidRPr="00C727CA">
        <w:t xml:space="preserve">na </w:t>
      </w:r>
      <w:r w:rsidR="00493D8C" w:rsidRPr="00C727CA">
        <w:t xml:space="preserve">případné </w:t>
      </w:r>
      <w:r w:rsidRPr="00C727CA">
        <w:t xml:space="preserve">uveřejňování </w:t>
      </w:r>
      <w:r w:rsidR="00493D8C" w:rsidRPr="00C727CA">
        <w:t>zadávacích řízení</w:t>
      </w:r>
      <w:r w:rsidR="005F02BD" w:rsidRPr="00C727CA">
        <w:t xml:space="preserve"> v Úředním věstníku EU</w:t>
      </w:r>
      <w:r w:rsidR="00493D8C" w:rsidRPr="00C727CA">
        <w:t xml:space="preserve"> </w:t>
      </w:r>
      <w:r w:rsidR="005F02BD" w:rsidRPr="00C727CA">
        <w:t xml:space="preserve">či na </w:t>
      </w:r>
      <w:r w:rsidR="00493D8C" w:rsidRPr="00C727CA">
        <w:t xml:space="preserve">samotné </w:t>
      </w:r>
      <w:r w:rsidR="005F02BD" w:rsidRPr="00C727CA">
        <w:t>p</w:t>
      </w:r>
      <w:r w:rsidR="002F3603" w:rsidRPr="00C727CA">
        <w:t>oužití určitého druhu zadávacích</w:t>
      </w:r>
      <w:r w:rsidR="005F02BD" w:rsidRPr="00C727CA">
        <w:t xml:space="preserve"> řízení.</w:t>
      </w:r>
      <w:r w:rsidR="005F02BD" w:rsidRPr="00C727CA">
        <w:rPr>
          <w:rStyle w:val="FootnoteReference"/>
        </w:rPr>
        <w:footnoteReference w:id="17"/>
      </w:r>
    </w:p>
    <w:p w14:paraId="74D07ED2" w14:textId="77777777" w:rsidR="005F02BD" w:rsidRPr="00C727CA" w:rsidRDefault="005F02BD" w:rsidP="00FA2973">
      <w:pPr>
        <w:pStyle w:val="Heading3"/>
        <w:spacing w:line="360" w:lineRule="auto"/>
        <w:jc w:val="both"/>
      </w:pPr>
      <w:bookmarkStart w:id="8" w:name="_Toc472859439"/>
      <w:r w:rsidRPr="00C727CA">
        <w:t>VZ podle předmětu plnění</w:t>
      </w:r>
      <w:bookmarkEnd w:id="8"/>
    </w:p>
    <w:p w14:paraId="7D9E4262" w14:textId="77777777" w:rsidR="005F02BD" w:rsidRPr="00C727CA" w:rsidRDefault="005F02BD" w:rsidP="00A9664F">
      <w:pPr>
        <w:ind w:firstLine="0"/>
      </w:pPr>
      <w:r w:rsidRPr="00C727CA">
        <w:t xml:space="preserve">Zákonná definice </w:t>
      </w:r>
      <w:r w:rsidRPr="00C727CA">
        <w:rPr>
          <w:i/>
        </w:rPr>
        <w:t>de lege lata</w:t>
      </w:r>
      <w:r w:rsidR="007A2D45" w:rsidRPr="00C727CA">
        <w:t xml:space="preserve"> v § 7 odst. 2 uvádí: </w:t>
      </w:r>
      <w:r w:rsidR="00937754" w:rsidRPr="00C727CA">
        <w:t>„</w:t>
      </w:r>
      <w:r w:rsidR="007A2D45" w:rsidRPr="00C727CA">
        <w:t>Veřejné zakázky se podle předmětu dělí na veřejné zakázky na dodávky, veřejné zakázky na služby a veřejné zakázky na stavební práce.</w:t>
      </w:r>
      <w:r w:rsidR="00937754" w:rsidRPr="00C727CA">
        <w:t>“</w:t>
      </w:r>
      <w:r w:rsidR="002F3603" w:rsidRPr="00C727CA">
        <w:t xml:space="preserve"> </w:t>
      </w:r>
      <w:r w:rsidR="007A2D45" w:rsidRPr="00C727CA">
        <w:t>Takovéto dělení VZ není samoúčelné, protože samotný zákon v dalších ustanoveních stanovuje pro jednotlivé druhy</w:t>
      </w:r>
      <w:r w:rsidR="000909E2" w:rsidRPr="00C727CA">
        <w:t xml:space="preserve"> takov</w:t>
      </w:r>
      <w:r w:rsidR="002A0C4A">
        <w:t xml:space="preserve">ýchto VZ určitá specifika, </w:t>
      </w:r>
      <w:r w:rsidR="000909E2" w:rsidRPr="00C727CA">
        <w:t xml:space="preserve">především </w:t>
      </w:r>
      <w:r w:rsidR="002A0C4A">
        <w:t xml:space="preserve">pak </w:t>
      </w:r>
      <w:r w:rsidR="000909E2" w:rsidRPr="00C727CA">
        <w:t xml:space="preserve">ve spojitosti s VZ na stavební práce, kde jsou např. stanoveny vyšší </w:t>
      </w:r>
      <w:r w:rsidR="00DC0371" w:rsidRPr="00C727CA">
        <w:t>finanční</w:t>
      </w:r>
      <w:r w:rsidR="000909E2" w:rsidRPr="00C727CA">
        <w:t xml:space="preserve"> </w:t>
      </w:r>
      <w:r w:rsidR="00493D8C" w:rsidRPr="00C727CA">
        <w:t>limity</w:t>
      </w:r>
      <w:r w:rsidR="002713E7" w:rsidRPr="00C727CA">
        <w:t xml:space="preserve">. Současně ovšem existují i takové VZ, u kterých je předmětem </w:t>
      </w:r>
      <w:r w:rsidR="00B47650" w:rsidRPr="00C727CA">
        <w:t>plněním</w:t>
      </w:r>
      <w:r w:rsidR="002713E7" w:rsidRPr="00C727CA">
        <w:t xml:space="preserve"> jak stavební práce</w:t>
      </w:r>
      <w:r w:rsidR="00147118" w:rsidRPr="00C727CA">
        <w:t xml:space="preserve"> či dodávka</w:t>
      </w:r>
      <w:r w:rsidR="002713E7" w:rsidRPr="00C727CA">
        <w:t xml:space="preserve">, tak </w:t>
      </w:r>
      <w:r w:rsidR="00493D8C" w:rsidRPr="00C727CA">
        <w:t xml:space="preserve">i </w:t>
      </w:r>
      <w:r w:rsidR="002713E7" w:rsidRPr="00C727CA">
        <w:t>nějaká služba</w:t>
      </w:r>
      <w:r w:rsidR="002F3603" w:rsidRPr="00C727CA">
        <w:t xml:space="preserve">, </w:t>
      </w:r>
      <w:r w:rsidR="00904530">
        <w:t>tedy</w:t>
      </w:r>
      <w:r w:rsidR="002F3603" w:rsidRPr="00C727CA">
        <w:t xml:space="preserve"> </w:t>
      </w:r>
      <w:r w:rsidR="00493D8C" w:rsidRPr="00C727CA">
        <w:t xml:space="preserve">jde o </w:t>
      </w:r>
      <w:r w:rsidR="002F3603" w:rsidRPr="00C727CA">
        <w:t>tzv. smíšené</w:t>
      </w:r>
      <w:r w:rsidR="004F4580" w:rsidRPr="00C727CA">
        <w:t xml:space="preserve"> VZ</w:t>
      </w:r>
      <w:r w:rsidR="002713E7" w:rsidRPr="00C727CA">
        <w:t xml:space="preserve">. V takovém případě se </w:t>
      </w:r>
      <w:r w:rsidR="00CF3C66" w:rsidRPr="00C727CA">
        <w:t>přihlédne nejen k základnímu účelu VZ</w:t>
      </w:r>
      <w:r w:rsidR="00147118" w:rsidRPr="00C727CA">
        <w:t xml:space="preserve"> (</w:t>
      </w:r>
      <w:r w:rsidR="002C5831" w:rsidRPr="00C727CA">
        <w:t>platí pro smíšené</w:t>
      </w:r>
      <w:r w:rsidR="00147118" w:rsidRPr="00C727CA">
        <w:t xml:space="preserve"> VZ na stavební práce a služby</w:t>
      </w:r>
      <w:r w:rsidR="00904530">
        <w:t xml:space="preserve"> či dodávky</w:t>
      </w:r>
      <w:r w:rsidR="00147118" w:rsidRPr="00C727CA">
        <w:t>)</w:t>
      </w:r>
      <w:r w:rsidR="00CF3C66" w:rsidRPr="00C727CA">
        <w:t xml:space="preserve">, ale </w:t>
      </w:r>
      <w:r w:rsidR="002C5831" w:rsidRPr="00C727CA">
        <w:t xml:space="preserve">i k </w:t>
      </w:r>
      <w:r w:rsidR="002713E7" w:rsidRPr="00C727CA">
        <w:t>princip</w:t>
      </w:r>
      <w:r w:rsidR="002C5831" w:rsidRPr="00C727CA">
        <w:t>u</w:t>
      </w:r>
      <w:r w:rsidR="002713E7" w:rsidRPr="00C727CA">
        <w:t xml:space="preserve"> těžiště</w:t>
      </w:r>
      <w:r w:rsidR="00147118" w:rsidRPr="00C727CA">
        <w:t xml:space="preserve"> (</w:t>
      </w:r>
      <w:r w:rsidR="002C5831" w:rsidRPr="00C727CA">
        <w:t>platí pro smíšené</w:t>
      </w:r>
      <w:r w:rsidR="00147118" w:rsidRPr="00C727CA">
        <w:t xml:space="preserve"> VZ na dodávky a služby)</w:t>
      </w:r>
      <w:r w:rsidR="002C5831" w:rsidRPr="00C727CA">
        <w:t>.</w:t>
      </w:r>
      <w:r w:rsidR="002713E7" w:rsidRPr="00C727CA">
        <w:t xml:space="preserve"> </w:t>
      </w:r>
      <w:r w:rsidR="002C5831" w:rsidRPr="00C727CA">
        <w:t>Ten</w:t>
      </w:r>
      <w:r w:rsidR="00AD0307">
        <w:t> </w:t>
      </w:r>
      <w:r w:rsidR="00904530">
        <w:t xml:space="preserve">princip </w:t>
      </w:r>
      <w:r w:rsidR="002713E7" w:rsidRPr="00C727CA">
        <w:t xml:space="preserve">spočívá v tom, že VZ bude posuzována podle takového druhu předmětu plnění, který </w:t>
      </w:r>
      <w:r w:rsidR="0072452D" w:rsidRPr="00C727CA">
        <w:t>převažuje</w:t>
      </w:r>
      <w:r w:rsidR="002F3603" w:rsidRPr="00C727CA">
        <w:t>,</w:t>
      </w:r>
      <w:r w:rsidR="00F204AA" w:rsidRPr="00C727CA">
        <w:t xml:space="preserve"> co se týče předpokládané hodnoty.</w:t>
      </w:r>
      <w:r w:rsidR="00F204AA" w:rsidRPr="00C727CA">
        <w:rPr>
          <w:rStyle w:val="FootnoteReference"/>
        </w:rPr>
        <w:footnoteReference w:id="18"/>
      </w:r>
      <w:r w:rsidR="00CF3C66" w:rsidRPr="00C727CA">
        <w:rPr>
          <w:vertAlign w:val="superscript"/>
        </w:rPr>
        <w:t>,</w:t>
      </w:r>
      <w:r w:rsidR="001935FE">
        <w:rPr>
          <w:vertAlign w:val="superscript"/>
        </w:rPr>
        <w:t xml:space="preserve"> </w:t>
      </w:r>
      <w:r w:rsidR="00CF3C66" w:rsidRPr="00C727CA">
        <w:rPr>
          <w:rStyle w:val="FootnoteReference"/>
        </w:rPr>
        <w:footnoteReference w:id="19"/>
      </w:r>
      <w:r w:rsidR="00515193" w:rsidRPr="00C727CA">
        <w:t xml:space="preserve"> </w:t>
      </w:r>
    </w:p>
    <w:p w14:paraId="3B65B2CC" w14:textId="77777777" w:rsidR="002C5831" w:rsidRPr="00C727CA" w:rsidRDefault="002C5831" w:rsidP="008471B0">
      <w:pPr>
        <w:rPr>
          <w:color w:val="FF0000"/>
        </w:rPr>
      </w:pPr>
    </w:p>
    <w:p w14:paraId="47890610" w14:textId="77777777" w:rsidR="002F3603" w:rsidRPr="00C727CA" w:rsidRDefault="002C5831" w:rsidP="008471B0">
      <w:r w:rsidRPr="00C727CA">
        <w:t>Nyní již přistupme</w:t>
      </w:r>
      <w:r w:rsidR="002F3603" w:rsidRPr="00C727CA">
        <w:t xml:space="preserve"> k bližšímu rozboru jednotlivých druhů VZ dle předmětu plnění:</w:t>
      </w:r>
    </w:p>
    <w:p w14:paraId="6EBA785D" w14:textId="77777777" w:rsidR="008471B0" w:rsidRPr="00C727CA" w:rsidRDefault="008471B0" w:rsidP="008471B0"/>
    <w:p w14:paraId="02A87EDA" w14:textId="77777777" w:rsidR="00F1657B" w:rsidRPr="00C727CA" w:rsidRDefault="002F3603" w:rsidP="008471B0">
      <w:pPr>
        <w:pStyle w:val="ListParagraph"/>
        <w:numPr>
          <w:ilvl w:val="0"/>
          <w:numId w:val="37"/>
        </w:numPr>
        <w:spacing w:after="0" w:line="360" w:lineRule="auto"/>
      </w:pPr>
      <w:r w:rsidRPr="00C727CA">
        <w:t xml:space="preserve">Veřejné zakázky </w:t>
      </w:r>
      <w:r w:rsidR="00F1657B" w:rsidRPr="00C727CA">
        <w:t>na dodávky</w:t>
      </w:r>
    </w:p>
    <w:p w14:paraId="15171670" w14:textId="77777777" w:rsidR="00642258" w:rsidRPr="00C727CA" w:rsidRDefault="005B574B" w:rsidP="008471B0">
      <w:pPr>
        <w:ind w:firstLine="0"/>
      </w:pPr>
      <w:r w:rsidRPr="00C727CA">
        <w:tab/>
        <w:t xml:space="preserve">Aby šlo o VZ na dodávky, musí být předmětem </w:t>
      </w:r>
      <w:r w:rsidR="006246A3" w:rsidRPr="00C727CA">
        <w:t xml:space="preserve">plnění </w:t>
      </w:r>
      <w:r w:rsidRPr="00C727CA">
        <w:t>pořízení věci v právním slova smyslu</w:t>
      </w:r>
      <w:r w:rsidR="00D81BA0" w:rsidRPr="00C727CA">
        <w:rPr>
          <w:rStyle w:val="FootnoteReference"/>
        </w:rPr>
        <w:footnoteReference w:id="20"/>
      </w:r>
      <w:r w:rsidR="002A0C4A">
        <w:t xml:space="preserve">, </w:t>
      </w:r>
      <w:r w:rsidRPr="00C727CA">
        <w:t xml:space="preserve">buď ve formě koupě, ať už na splátky, </w:t>
      </w:r>
      <w:r w:rsidR="00020F71" w:rsidRPr="00C727CA">
        <w:t xml:space="preserve">či </w:t>
      </w:r>
      <w:r w:rsidRPr="00C727CA">
        <w:t xml:space="preserve">ve formě nájmu, pachtu nebo </w:t>
      </w:r>
      <w:r w:rsidR="0062417A" w:rsidRPr="00C727CA">
        <w:t>na</w:t>
      </w:r>
      <w:r w:rsidR="00AD0307">
        <w:t> </w:t>
      </w:r>
      <w:r w:rsidRPr="00C727CA">
        <w:t>leasing. Takovéto VZ jsou v celku snadné na zadávání</w:t>
      </w:r>
      <w:r w:rsidR="00D81BA0" w:rsidRPr="00C727CA">
        <w:t>,</w:t>
      </w:r>
      <w:r w:rsidRPr="00C727CA">
        <w:t xml:space="preserve"> </w:t>
      </w:r>
      <w:r w:rsidR="006246A3" w:rsidRPr="00C727CA">
        <w:t>poku</w:t>
      </w:r>
      <w:r w:rsidR="00B47650">
        <w:t xml:space="preserve">d </w:t>
      </w:r>
      <w:r w:rsidR="006246A3" w:rsidRPr="00C727CA">
        <w:t>jde o jejich technickou specifikaci</w:t>
      </w:r>
      <w:r w:rsidR="00D81BA0" w:rsidRPr="00267DE2">
        <w:t>,</w:t>
      </w:r>
      <w:r w:rsidR="00267DE2" w:rsidRPr="00267DE2">
        <w:t xml:space="preserve"> </w:t>
      </w:r>
      <w:r w:rsidR="00904530" w:rsidRPr="00267DE2">
        <w:t>i</w:t>
      </w:r>
      <w:r w:rsidR="00267DE2" w:rsidRPr="00267DE2">
        <w:t xml:space="preserve"> </w:t>
      </w:r>
      <w:r w:rsidRPr="00267DE2">
        <w:t>vzhledem k</w:t>
      </w:r>
      <w:r w:rsidRPr="00C727CA">
        <w:t> faktu, že se často opakují</w:t>
      </w:r>
      <w:r w:rsidR="0062417A" w:rsidRPr="00C727CA">
        <w:t xml:space="preserve">. </w:t>
      </w:r>
      <w:r w:rsidR="006246A3" w:rsidRPr="00C727CA">
        <w:t>Současně, j</w:t>
      </w:r>
      <w:r w:rsidR="0062417A" w:rsidRPr="00C727CA">
        <w:t xml:space="preserve">ak již </w:t>
      </w:r>
      <w:r w:rsidR="006246A3" w:rsidRPr="00C727CA">
        <w:t xml:space="preserve">bylo </w:t>
      </w:r>
      <w:r w:rsidR="00D81BA0" w:rsidRPr="00C727CA">
        <w:t xml:space="preserve">obecně </w:t>
      </w:r>
      <w:r w:rsidR="0062417A" w:rsidRPr="00C727CA">
        <w:t>nastíněno výše, za VZ na dodávky je vzhledem k § 8 odst. 2 zákona nutné považovat i takovou VZ, kd</w:t>
      </w:r>
      <w:r w:rsidR="006246A3" w:rsidRPr="00C727CA">
        <w:t xml:space="preserve">e je vedle pořízení určité věci poskytnuta </w:t>
      </w:r>
      <w:r w:rsidR="0062417A" w:rsidRPr="00C727CA">
        <w:t>taktéž nějaká služba či stavební práce</w:t>
      </w:r>
      <w:r w:rsidR="006246A3" w:rsidRPr="00C727CA">
        <w:t>, pokud spočívá</w:t>
      </w:r>
      <w:r w:rsidR="0062417A" w:rsidRPr="00C727CA">
        <w:t xml:space="preserve"> v umístění, montáži či </w:t>
      </w:r>
      <w:r w:rsidR="006246A3" w:rsidRPr="00C727CA">
        <w:t>uvedení daného zboží do provozu a</w:t>
      </w:r>
      <w:r w:rsidR="0062417A" w:rsidRPr="00C727CA">
        <w:t xml:space="preserve"> pokud takové činnosti nejsou základním účelem VZ, ale pouze nezbytností ke splnění VZ na dodávky.</w:t>
      </w:r>
      <w:r w:rsidR="00642258" w:rsidRPr="00C727CA">
        <w:rPr>
          <w:rStyle w:val="FootnoteReference"/>
        </w:rPr>
        <w:footnoteReference w:id="21"/>
      </w:r>
    </w:p>
    <w:p w14:paraId="31C484BB" w14:textId="77777777" w:rsidR="008471B0" w:rsidRPr="00C727CA" w:rsidRDefault="008471B0" w:rsidP="008471B0">
      <w:pPr>
        <w:ind w:firstLine="0"/>
      </w:pPr>
    </w:p>
    <w:p w14:paraId="5B24D3B2" w14:textId="77777777" w:rsidR="00642258" w:rsidRPr="00C727CA" w:rsidRDefault="002F3603" w:rsidP="008471B0">
      <w:pPr>
        <w:pStyle w:val="ListParagraph"/>
        <w:numPr>
          <w:ilvl w:val="0"/>
          <w:numId w:val="37"/>
        </w:numPr>
        <w:spacing w:after="0" w:line="360" w:lineRule="auto"/>
      </w:pPr>
      <w:r w:rsidRPr="00C727CA">
        <w:t xml:space="preserve"> Veřejné zakázky</w:t>
      </w:r>
      <w:r w:rsidR="00642258" w:rsidRPr="00C727CA">
        <w:t xml:space="preserve"> na stavební práce</w:t>
      </w:r>
    </w:p>
    <w:p w14:paraId="2EDA44BB" w14:textId="77777777" w:rsidR="007B7405" w:rsidRPr="00C727CA" w:rsidRDefault="00F43B02" w:rsidP="008471B0">
      <w:pPr>
        <w:ind w:firstLine="708"/>
        <w:rPr>
          <w:vertAlign w:val="superscript"/>
        </w:rPr>
      </w:pPr>
      <w:r w:rsidRPr="00C727CA">
        <w:t xml:space="preserve">I zde </w:t>
      </w:r>
      <w:r w:rsidR="001F26D7" w:rsidRPr="00C727CA">
        <w:t xml:space="preserve">musí být </w:t>
      </w:r>
      <w:r w:rsidRPr="00C727CA">
        <w:t>napl</w:t>
      </w:r>
      <w:r w:rsidR="00A128A7" w:rsidRPr="00C727CA">
        <w:t>n</w:t>
      </w:r>
      <w:r w:rsidRPr="00C727CA">
        <w:t>ěna</w:t>
      </w:r>
      <w:r w:rsidR="007F16FE" w:rsidRPr="00C727CA">
        <w:t xml:space="preserve"> určitá kritéria</w:t>
      </w:r>
      <w:r w:rsidRPr="00C727CA">
        <w:t>,</w:t>
      </w:r>
      <w:r w:rsidR="007F16FE" w:rsidRPr="00C727CA">
        <w:t xml:space="preserve"> </w:t>
      </w:r>
      <w:r w:rsidRPr="00C727CA">
        <w:t>v souvislosti s předmětem VZ, tentokrát stanovená</w:t>
      </w:r>
      <w:r w:rsidR="007B7405" w:rsidRPr="00C727CA">
        <w:t xml:space="preserve"> § 9 zákona</w:t>
      </w:r>
      <w:r w:rsidR="001F26D7" w:rsidRPr="00C727CA">
        <w:t xml:space="preserve">. Předmětem </w:t>
      </w:r>
      <w:r w:rsidRPr="00C727CA">
        <w:t>dané</w:t>
      </w:r>
      <w:r w:rsidR="001F26D7" w:rsidRPr="00C727CA">
        <w:t xml:space="preserve"> </w:t>
      </w:r>
      <w:r w:rsidRPr="00C727CA">
        <w:t>VZ musí být buď</w:t>
      </w:r>
      <w:r w:rsidR="001F26D7" w:rsidRPr="00C727CA">
        <w:t xml:space="preserve"> provedení stavebních prací týkajících se </w:t>
      </w:r>
      <w:r w:rsidR="00B47650">
        <w:t xml:space="preserve">některé činnosti dle přílohy č. </w:t>
      </w:r>
      <w:r w:rsidR="001F26D7" w:rsidRPr="00C727CA">
        <w:t>3</w:t>
      </w:r>
      <w:r w:rsidR="00B47650">
        <w:t xml:space="preserve"> </w:t>
      </w:r>
      <w:r w:rsidR="006406B4" w:rsidRPr="00C727CA">
        <w:t>zákona</w:t>
      </w:r>
      <w:r w:rsidR="001F26D7" w:rsidRPr="00C727CA">
        <w:t>, jako je např. provedení nové stavby, udržovací práce na stavbě, odstranění stávající stavby, výstavba dálnic, sportovních zařízení</w:t>
      </w:r>
      <w:r w:rsidRPr="00C727CA">
        <w:t xml:space="preserve">, ale </w:t>
      </w:r>
      <w:r w:rsidR="00754434" w:rsidRPr="00C727CA">
        <w:t xml:space="preserve">třeba </w:t>
      </w:r>
      <w:r w:rsidRPr="00C727CA">
        <w:t xml:space="preserve">i </w:t>
      </w:r>
      <w:r w:rsidR="00E76962" w:rsidRPr="00C727CA">
        <w:t>výměna oken</w:t>
      </w:r>
      <w:r w:rsidR="00E76962" w:rsidRPr="00C727CA">
        <w:rPr>
          <w:rStyle w:val="FootnoteReference"/>
        </w:rPr>
        <w:footnoteReference w:id="22"/>
      </w:r>
      <w:r w:rsidR="001F26D7" w:rsidRPr="00C727CA">
        <w:t>, nebo provedení takových stavebních prací a s nimi související</w:t>
      </w:r>
      <w:r w:rsidRPr="00C727CA">
        <w:t>ch projektových nebo inženýrských</w:t>
      </w:r>
      <w:r w:rsidR="001F26D7" w:rsidRPr="00C727CA">
        <w:t xml:space="preserve"> činnost</w:t>
      </w:r>
      <w:r w:rsidRPr="00C727CA">
        <w:t>í</w:t>
      </w:r>
      <w:r w:rsidR="001F26D7" w:rsidRPr="00C727CA">
        <w:t>,</w:t>
      </w:r>
      <w:r w:rsidR="00BA3EFD" w:rsidRPr="00C727CA">
        <w:rPr>
          <w:rStyle w:val="FootnoteReference"/>
        </w:rPr>
        <w:footnoteReference w:id="23"/>
      </w:r>
      <w:r w:rsidR="001F26D7" w:rsidRPr="00C727CA">
        <w:t xml:space="preserve"> či </w:t>
      </w:r>
      <w:r w:rsidR="007B7405" w:rsidRPr="00C727CA">
        <w:t xml:space="preserve">(za třetí) </w:t>
      </w:r>
      <w:r w:rsidR="001F26D7" w:rsidRPr="00C727CA">
        <w:t xml:space="preserve">zhotovení stavby </w:t>
      </w:r>
      <w:r w:rsidR="00FE7409" w:rsidRPr="00C727CA">
        <w:t xml:space="preserve">tak, aby </w:t>
      </w:r>
      <w:r w:rsidRPr="00C727CA">
        <w:t>tato</w:t>
      </w:r>
      <w:r w:rsidR="00FE7409" w:rsidRPr="00C727CA">
        <w:t xml:space="preserve"> stavba byla schopna jako celek plnit samostatnou ekonomickou nebo technickou funkci.</w:t>
      </w:r>
      <w:r w:rsidR="00E632EA" w:rsidRPr="00C727CA">
        <w:t xml:space="preserve"> Veškeré stavební práce či stavby musí být samozřejmě chápány a následně prováděny v souladu se </w:t>
      </w:r>
      <w:r w:rsidR="00267DE2">
        <w:t>zákonem</w:t>
      </w:r>
      <w:r w:rsidR="00E632EA" w:rsidRPr="00C727CA">
        <w:t xml:space="preserve"> č. 183/2006 Sb., o územním plánování a stavebním řádu, ve znění pozdějších předpisů (dále jen „stavební zákon“).</w:t>
      </w:r>
      <w:r w:rsidR="007B7405" w:rsidRPr="00C727CA">
        <w:rPr>
          <w:rStyle w:val="FootnoteReference"/>
        </w:rPr>
        <w:footnoteReference w:id="24"/>
      </w:r>
      <w:r w:rsidR="00E632EA" w:rsidRPr="00C727CA">
        <w:rPr>
          <w:vertAlign w:val="superscript"/>
        </w:rPr>
        <w:t>,</w:t>
      </w:r>
      <w:r w:rsidR="00E632EA" w:rsidRPr="00C727CA">
        <w:rPr>
          <w:rStyle w:val="FootnoteReference"/>
        </w:rPr>
        <w:footnoteReference w:id="25"/>
      </w:r>
    </w:p>
    <w:p w14:paraId="068B9773" w14:textId="77777777" w:rsidR="00642258" w:rsidRPr="00C727CA" w:rsidRDefault="00FE7409" w:rsidP="00FA2973">
      <w:pPr>
        <w:ind w:firstLine="708"/>
      </w:pPr>
      <w:r w:rsidRPr="00C727CA">
        <w:t xml:space="preserve">Za VZ na stavební práce je taktéž považována </w:t>
      </w:r>
      <w:r w:rsidR="007B7405" w:rsidRPr="00C727CA">
        <w:t>dle § 9</w:t>
      </w:r>
      <w:r w:rsidR="00D548D5" w:rsidRPr="00C727CA">
        <w:t xml:space="preserve"> odst. 2 </w:t>
      </w:r>
      <w:r w:rsidR="007B7405" w:rsidRPr="00C727CA">
        <w:t xml:space="preserve">zákona </w:t>
      </w:r>
      <w:r w:rsidRPr="00C727CA">
        <w:t xml:space="preserve">taková zakázka, kde vedle </w:t>
      </w:r>
      <w:r w:rsidR="006406B4" w:rsidRPr="00C727CA">
        <w:t>stavebních pr</w:t>
      </w:r>
      <w:r w:rsidR="00267DE2">
        <w:t>ací,</w:t>
      </w:r>
      <w:r w:rsidRPr="00C727CA">
        <w:t xml:space="preserve"> stojí</w:t>
      </w:r>
      <w:r w:rsidR="007B7405" w:rsidRPr="00C727CA">
        <w:t xml:space="preserve"> sou</w:t>
      </w:r>
      <w:r w:rsidR="00A128A7" w:rsidRPr="00C727CA">
        <w:t>č</w:t>
      </w:r>
      <w:r w:rsidR="007B7405" w:rsidRPr="00C727CA">
        <w:t xml:space="preserve">asně </w:t>
      </w:r>
      <w:r w:rsidR="006406B4" w:rsidRPr="00C727CA">
        <w:t xml:space="preserve">i </w:t>
      </w:r>
      <w:r w:rsidR="007B7405" w:rsidRPr="00C727CA">
        <w:t xml:space="preserve">poskytnutí </w:t>
      </w:r>
      <w:r w:rsidR="006406B4" w:rsidRPr="00C727CA">
        <w:t xml:space="preserve">určitých </w:t>
      </w:r>
      <w:r w:rsidR="007B7405" w:rsidRPr="00C727CA">
        <w:t>dodávek či služeb nezbytných k provedení takového</w:t>
      </w:r>
      <w:r w:rsidR="00F43B02" w:rsidRPr="00C727CA">
        <w:t>to</w:t>
      </w:r>
      <w:r w:rsidR="007B7405" w:rsidRPr="00C727CA">
        <w:t xml:space="preserve"> předmětu </w:t>
      </w:r>
      <w:r w:rsidR="006406B4" w:rsidRPr="00C727CA">
        <w:t>plnění</w:t>
      </w:r>
      <w:r w:rsidR="007B7405" w:rsidRPr="00C727CA">
        <w:t xml:space="preserve"> v tom smyslu, že na</w:t>
      </w:r>
      <w:r w:rsidR="00AD0307">
        <w:t> </w:t>
      </w:r>
      <w:r w:rsidR="007B7405" w:rsidRPr="00C727CA">
        <w:t xml:space="preserve">tento druh VZ musíme pohlížet </w:t>
      </w:r>
      <w:r w:rsidR="00D548D5" w:rsidRPr="00C727CA">
        <w:t>souhrn</w:t>
      </w:r>
      <w:r w:rsidR="00A128A7" w:rsidRPr="00C727CA">
        <w:t>n</w:t>
      </w:r>
      <w:r w:rsidR="00D548D5" w:rsidRPr="00C727CA">
        <w:t>ě</w:t>
      </w:r>
      <w:r w:rsidR="00793BCC" w:rsidRPr="00C727CA">
        <w:t>. Pokud by tedy nastala situace, v rámci které by u</w:t>
      </w:r>
      <w:r w:rsidR="00AD0307">
        <w:t> </w:t>
      </w:r>
      <w:r w:rsidR="00793BCC" w:rsidRPr="00C727CA">
        <w:t xml:space="preserve">VZ na stavební práce byla hodnota </w:t>
      </w:r>
      <w:r w:rsidR="00F43B02" w:rsidRPr="00C727CA">
        <w:t>poskytovaných</w:t>
      </w:r>
      <w:r w:rsidR="00793BCC" w:rsidRPr="00C727CA">
        <w:t xml:space="preserve"> dodávek či služeb dokonce vyšší než samotná stavební činnost, stále by se jednalo o VZ na stavební práce.</w:t>
      </w:r>
      <w:r w:rsidR="00BA3EFD" w:rsidRPr="00C727CA">
        <w:rPr>
          <w:rStyle w:val="FootnoteReference"/>
        </w:rPr>
        <w:footnoteReference w:id="26"/>
      </w:r>
    </w:p>
    <w:p w14:paraId="343DBE44" w14:textId="77777777" w:rsidR="006D13A2" w:rsidRPr="00C727CA" w:rsidRDefault="00BA3EFD" w:rsidP="00FA2973">
      <w:pPr>
        <w:ind w:firstLine="0"/>
      </w:pPr>
      <w:r w:rsidRPr="00C727CA">
        <w:rPr>
          <w:color w:val="FF0000"/>
        </w:rPr>
        <w:tab/>
      </w:r>
      <w:r w:rsidR="006406B4" w:rsidRPr="00C727CA">
        <w:t>Nutné je také dodat, že o</w:t>
      </w:r>
      <w:r w:rsidR="00E632EA" w:rsidRPr="00C727CA">
        <w:t xml:space="preserve"> VZ na stavební práce se jedná dle § 9 </w:t>
      </w:r>
      <w:r w:rsidR="00D548D5" w:rsidRPr="00C727CA">
        <w:t xml:space="preserve">odst. 3 </w:t>
      </w:r>
      <w:r w:rsidR="00E632EA" w:rsidRPr="00C727CA">
        <w:t xml:space="preserve">zákona také tehdy, kdy zadavatel fakticky pověří třetí osobu realizací určité stavby s tím, že takováto třetí osoba stavbu postaví </w:t>
      </w:r>
      <w:r w:rsidR="006D13A2" w:rsidRPr="00C727CA">
        <w:t xml:space="preserve">dle pokynů zadavatele, který </w:t>
      </w:r>
      <w:r w:rsidR="00E632EA" w:rsidRPr="00C727CA">
        <w:t xml:space="preserve">následně stavbu odkoupí. </w:t>
      </w:r>
      <w:r w:rsidR="006D13A2" w:rsidRPr="00C727CA">
        <w:t xml:space="preserve">V takovém případě se neuplatní výjimka </w:t>
      </w:r>
      <w:r w:rsidR="00515343" w:rsidRPr="00C727CA">
        <w:t xml:space="preserve">z působnosti </w:t>
      </w:r>
      <w:r w:rsidR="006D13A2" w:rsidRPr="00C727CA">
        <w:t xml:space="preserve">stanovená v § 18 odst. 1 písm. d) zákona, protože </w:t>
      </w:r>
      <w:r w:rsidR="00E632EA" w:rsidRPr="00C727CA">
        <w:t>třetí osoba post</w:t>
      </w:r>
      <w:r w:rsidR="006D13A2" w:rsidRPr="00C727CA">
        <w:t>upovala podle pokynů zadavatele</w:t>
      </w:r>
      <w:r w:rsidR="00E76962" w:rsidRPr="00C727CA">
        <w:t xml:space="preserve">, </w:t>
      </w:r>
      <w:r w:rsidR="00515343" w:rsidRPr="00C727CA">
        <w:t>tedy</w:t>
      </w:r>
      <w:r w:rsidR="00E76962" w:rsidRPr="00C727CA">
        <w:t xml:space="preserve"> stavební práce byly </w:t>
      </w:r>
      <w:r w:rsidR="006406B4" w:rsidRPr="00C727CA">
        <w:t xml:space="preserve">fakticky </w:t>
      </w:r>
      <w:r w:rsidR="00E76962" w:rsidRPr="00C727CA">
        <w:t>realizovány zadavatelem.</w:t>
      </w:r>
      <w:r w:rsidR="00E76962" w:rsidRPr="00C727CA">
        <w:rPr>
          <w:rStyle w:val="FootnoteReference"/>
        </w:rPr>
        <w:footnoteReference w:id="27"/>
      </w:r>
    </w:p>
    <w:p w14:paraId="3FB905FA" w14:textId="77777777" w:rsidR="00BA3EFD" w:rsidRPr="00C727CA" w:rsidRDefault="00515343" w:rsidP="00FA2973">
      <w:pPr>
        <w:ind w:firstLine="708"/>
      </w:pPr>
      <w:r w:rsidRPr="00C727CA">
        <w:t>Z hlediska praktického pohledu</w:t>
      </w:r>
      <w:r w:rsidR="00BA3EFD" w:rsidRPr="00C727CA">
        <w:t xml:space="preserve"> je </w:t>
      </w:r>
      <w:r w:rsidRPr="00C727CA">
        <w:t xml:space="preserve">dále </w:t>
      </w:r>
      <w:r w:rsidR="00BA3EFD" w:rsidRPr="00C727CA">
        <w:t xml:space="preserve">vhodné podotknout, že </w:t>
      </w:r>
      <w:r w:rsidRPr="00C727CA">
        <w:t xml:space="preserve">VZ na stavební práce </w:t>
      </w:r>
      <w:r w:rsidR="00BA3EFD" w:rsidRPr="00C727CA">
        <w:t>mohou být zadávány dvojím způsobem. Buď vícekrokovým</w:t>
      </w:r>
      <w:r w:rsidR="00D548D5" w:rsidRPr="00C727CA">
        <w:t>, co</w:t>
      </w:r>
      <w:r w:rsidR="00A128A7" w:rsidRPr="00C727CA">
        <w:t>ž</w:t>
      </w:r>
      <w:r w:rsidR="00D548D5" w:rsidRPr="00C727CA">
        <w:t xml:space="preserve"> znamená v</w:t>
      </w:r>
      <w:r w:rsidR="002A0C4A">
        <w:t> </w:t>
      </w:r>
      <w:r w:rsidR="00B35C95" w:rsidRPr="00C727CA">
        <w:t>samostatných</w:t>
      </w:r>
      <w:r w:rsidR="002A0C4A">
        <w:t xml:space="preserve"> </w:t>
      </w:r>
      <w:r w:rsidR="00A128A7" w:rsidRPr="00C727CA">
        <w:t>na</w:t>
      </w:r>
      <w:r w:rsidR="00AD0307">
        <w:t> </w:t>
      </w:r>
      <w:r w:rsidR="00A128A7" w:rsidRPr="00C727CA">
        <w:t>sebe navazu</w:t>
      </w:r>
      <w:r w:rsidR="002A0C4A">
        <w:t>jících</w:t>
      </w:r>
      <w:r w:rsidR="00B35C95" w:rsidRPr="00C727CA">
        <w:t xml:space="preserve"> krocích a tím pádem taktéž v rámci několika na sebe navazují</w:t>
      </w:r>
      <w:r w:rsidR="00A128A7" w:rsidRPr="00C727CA">
        <w:t>cí</w:t>
      </w:r>
      <w:r w:rsidR="00B35C95" w:rsidRPr="00C727CA">
        <w:t>ch VZ s různými předměty plnění.</w:t>
      </w:r>
      <w:r w:rsidR="00B35C95" w:rsidRPr="00C727CA">
        <w:rPr>
          <w:rStyle w:val="FootnoteReference"/>
        </w:rPr>
        <w:footnoteReference w:id="28"/>
      </w:r>
      <w:r w:rsidR="00B35C95" w:rsidRPr="00C727CA">
        <w:t xml:space="preserve"> </w:t>
      </w:r>
      <w:r w:rsidR="001771E2" w:rsidRPr="00C727CA">
        <w:t>Nebo d</w:t>
      </w:r>
      <w:r w:rsidR="00B35C95" w:rsidRPr="00C727CA">
        <w:t>ruhý</w:t>
      </w:r>
      <w:r w:rsidRPr="00C727CA">
        <w:t>m způsob</w:t>
      </w:r>
      <w:r w:rsidR="002A0C4A">
        <w:t>em</w:t>
      </w:r>
      <w:r w:rsidRPr="00C727CA">
        <w:t xml:space="preserve"> </w:t>
      </w:r>
      <w:r w:rsidR="00B35C95" w:rsidRPr="00C727CA">
        <w:t>tzv. komplexní</w:t>
      </w:r>
      <w:r w:rsidRPr="00C727CA">
        <w:t>m</w:t>
      </w:r>
      <w:r w:rsidR="00400F1E" w:rsidRPr="00C727CA">
        <w:t xml:space="preserve">, kdy </w:t>
      </w:r>
      <w:r w:rsidRPr="00C727CA">
        <w:t xml:space="preserve">je </w:t>
      </w:r>
      <w:r w:rsidR="00400F1E" w:rsidRPr="00C727CA">
        <w:t xml:space="preserve">výše </w:t>
      </w:r>
      <w:r w:rsidRPr="00C727CA">
        <w:t xml:space="preserve">uvedený „vícekrokový postup“ </w:t>
      </w:r>
      <w:r w:rsidR="00400F1E" w:rsidRPr="00C727CA">
        <w:t>realizován v rámci jedné velké VZ na stavební práce.</w:t>
      </w:r>
      <w:r w:rsidR="00E76962" w:rsidRPr="00C727CA">
        <w:rPr>
          <w:rStyle w:val="FootnoteReference"/>
        </w:rPr>
        <w:footnoteReference w:id="29"/>
      </w:r>
    </w:p>
    <w:p w14:paraId="38272867" w14:textId="77777777" w:rsidR="008471B0" w:rsidRPr="00C727CA" w:rsidRDefault="008471B0" w:rsidP="00FA2973">
      <w:pPr>
        <w:ind w:firstLine="708"/>
      </w:pPr>
    </w:p>
    <w:p w14:paraId="5145D66D" w14:textId="77777777" w:rsidR="0067706D" w:rsidRPr="00C727CA" w:rsidRDefault="00A133E2" w:rsidP="008471B0">
      <w:pPr>
        <w:pStyle w:val="ListParagraph"/>
        <w:numPr>
          <w:ilvl w:val="0"/>
          <w:numId w:val="37"/>
        </w:numPr>
        <w:spacing w:after="0" w:line="360" w:lineRule="auto"/>
      </w:pPr>
      <w:r w:rsidRPr="00C727CA">
        <w:t xml:space="preserve"> Veřejné zakázky</w:t>
      </w:r>
      <w:r w:rsidR="0067706D" w:rsidRPr="00C727CA">
        <w:t xml:space="preserve"> na služby</w:t>
      </w:r>
    </w:p>
    <w:p w14:paraId="7F3FF9B9" w14:textId="77777777" w:rsidR="00D548D5" w:rsidRPr="00C727CA" w:rsidRDefault="00D548D5" w:rsidP="008471B0">
      <w:pPr>
        <w:ind w:firstLine="0"/>
      </w:pPr>
      <w:r w:rsidRPr="00C727CA">
        <w:tab/>
      </w:r>
      <w:r w:rsidR="006A778C" w:rsidRPr="00C727CA">
        <w:t>Zákon o VZ neobsahuje pozitiv</w:t>
      </w:r>
      <w:r w:rsidR="00A128A7" w:rsidRPr="00C727CA">
        <w:t>n</w:t>
      </w:r>
      <w:r w:rsidR="006A778C" w:rsidRPr="00C727CA">
        <w:t xml:space="preserve">í definici toho, co to </w:t>
      </w:r>
      <w:r w:rsidR="00515343" w:rsidRPr="00C727CA">
        <w:t>služba</w:t>
      </w:r>
      <w:r w:rsidR="006A778C" w:rsidRPr="00C727CA">
        <w:t xml:space="preserve"> je. Namísto toho použil zákonodárce v § 10 zákona negativní definici</w:t>
      </w:r>
      <w:r w:rsidR="002A0C4A">
        <w:t xml:space="preserve">, </w:t>
      </w:r>
      <w:r w:rsidR="006A778C" w:rsidRPr="00C727CA">
        <w:t>„</w:t>
      </w:r>
      <w:r w:rsidR="000F5D5E" w:rsidRPr="00C727CA">
        <w:t>v</w:t>
      </w:r>
      <w:r w:rsidR="006A778C" w:rsidRPr="00C727CA">
        <w:t>eřejnou zakázkou na služby je veřejná zakázka, která není veřejnou zakázkou na dodávky nebo veře</w:t>
      </w:r>
      <w:r w:rsidR="00644FA7">
        <w:t>jnou zakázkou na stavební práce</w:t>
      </w:r>
      <w:r w:rsidR="000F5D5E" w:rsidRPr="00C727CA">
        <w:t>“</w:t>
      </w:r>
      <w:r w:rsidR="00644FA7">
        <w:t>.</w:t>
      </w:r>
      <w:r w:rsidR="000F5D5E" w:rsidRPr="00C727CA">
        <w:t xml:space="preserve"> Z této definice tedy vyplývá, že pokud VZ nenaplní definici VZ na dodávky či stave</w:t>
      </w:r>
      <w:r w:rsidR="00515343" w:rsidRPr="00C727CA">
        <w:t xml:space="preserve">bní práce, považuje se </w:t>
      </w:r>
      <w:r w:rsidR="000F5D5E" w:rsidRPr="00C727CA">
        <w:t>za VZ na služby</w:t>
      </w:r>
      <w:r w:rsidR="001771E2" w:rsidRPr="00C727CA">
        <w:t>, tedy nějaké nehmotné plnění.</w:t>
      </w:r>
      <w:r w:rsidR="000F5D5E" w:rsidRPr="00C727CA">
        <w:rPr>
          <w:color w:val="FF0000"/>
        </w:rPr>
        <w:t xml:space="preserve"> </w:t>
      </w:r>
      <w:r w:rsidR="001771E2" w:rsidRPr="00C727CA">
        <w:t>Prakticky můžeme říci, že</w:t>
      </w:r>
      <w:r w:rsidR="000F5D5E" w:rsidRPr="00C727CA">
        <w:t xml:space="preserve"> jde o určitou zbytkovou kategorii, díky čemuž záko</w:t>
      </w:r>
      <w:r w:rsidR="00906FEA" w:rsidRPr="00C727CA">
        <w:t xml:space="preserve">n </w:t>
      </w:r>
      <w:r w:rsidR="00515343" w:rsidRPr="00C727CA">
        <w:t>pokrývá</w:t>
      </w:r>
      <w:r w:rsidR="00906FEA" w:rsidRPr="00C727CA">
        <w:t xml:space="preserve"> veškerá možná plnění. </w:t>
      </w:r>
      <w:r w:rsidR="00043CA4" w:rsidRPr="00C727CA">
        <w:t xml:space="preserve">Pokud se na </w:t>
      </w:r>
      <w:r w:rsidR="00402A91" w:rsidRPr="00C727CA">
        <w:t xml:space="preserve">§ 10 </w:t>
      </w:r>
      <w:r w:rsidR="00043CA4" w:rsidRPr="00C727CA">
        <w:t xml:space="preserve">zákona podíváme podrobněji, </w:t>
      </w:r>
      <w:r w:rsidR="00515343" w:rsidRPr="00C727CA">
        <w:t xml:space="preserve">dále </w:t>
      </w:r>
      <w:r w:rsidR="00447263" w:rsidRPr="00C727CA">
        <w:t xml:space="preserve">zjistíme, že </w:t>
      </w:r>
      <w:r w:rsidR="00043CA4" w:rsidRPr="00C727CA">
        <w:t xml:space="preserve">v odst. 3 dochází k určitému </w:t>
      </w:r>
      <w:r w:rsidR="00402A91" w:rsidRPr="00C727CA">
        <w:t>rozdě</w:t>
      </w:r>
      <w:r w:rsidR="00043CA4" w:rsidRPr="00C727CA">
        <w:t>lení služeb</w:t>
      </w:r>
      <w:r w:rsidR="00402A91" w:rsidRPr="00C727CA">
        <w:t xml:space="preserve"> do dvou kategorií dle příloh č. 1 a č. 2 zákona</w:t>
      </w:r>
      <w:r w:rsidR="00043CA4" w:rsidRPr="00C727CA">
        <w:t>, a to</w:t>
      </w:r>
      <w:r w:rsidR="00402A91" w:rsidRPr="00C727CA">
        <w:t>:</w:t>
      </w:r>
    </w:p>
    <w:p w14:paraId="545C1E26" w14:textId="77777777" w:rsidR="00402A91" w:rsidRPr="00C727CA" w:rsidRDefault="00FA0AFC" w:rsidP="00FA2973">
      <w:pPr>
        <w:pStyle w:val="ListParagraph"/>
        <w:numPr>
          <w:ilvl w:val="0"/>
          <w:numId w:val="31"/>
        </w:numPr>
        <w:spacing w:line="360" w:lineRule="auto"/>
        <w:jc w:val="both"/>
      </w:pPr>
      <w:r w:rsidRPr="00C727CA">
        <w:t>p</w:t>
      </w:r>
      <w:r w:rsidR="00402A91" w:rsidRPr="00C727CA">
        <w:t>rioritní služby – jsou uvedeny v příloze č. 1 zákona</w:t>
      </w:r>
      <w:r w:rsidR="00043CA4" w:rsidRPr="00C727CA">
        <w:t>.</w:t>
      </w:r>
      <w:r w:rsidR="008D5BA6" w:rsidRPr="00C727CA">
        <w:rPr>
          <w:rStyle w:val="FootnoteReference"/>
        </w:rPr>
        <w:footnoteReference w:id="30"/>
      </w:r>
      <w:r w:rsidR="00043CA4" w:rsidRPr="00C727CA">
        <w:t xml:space="preserve"> V</w:t>
      </w:r>
      <w:r w:rsidR="00402A91" w:rsidRPr="00C727CA">
        <w:t xml:space="preserve">ýčet </w:t>
      </w:r>
      <w:r w:rsidR="00043CA4" w:rsidRPr="00C727CA">
        <w:t xml:space="preserve">daných služeb </w:t>
      </w:r>
      <w:r w:rsidR="00402A91" w:rsidRPr="00C727CA">
        <w:t>je taxativní</w:t>
      </w:r>
      <w:r w:rsidR="00043CA4" w:rsidRPr="00C727CA">
        <w:t xml:space="preserve"> s</w:t>
      </w:r>
      <w:r w:rsidR="00AD0307">
        <w:t> </w:t>
      </w:r>
      <w:r w:rsidR="00043CA4" w:rsidRPr="00C727CA">
        <w:t>tím</w:t>
      </w:r>
      <w:r w:rsidR="00402A91" w:rsidRPr="00C727CA">
        <w:t>,</w:t>
      </w:r>
      <w:r w:rsidR="00043CA4" w:rsidRPr="00C727CA">
        <w:t xml:space="preserve"> že</w:t>
      </w:r>
      <w:r w:rsidR="00402A91" w:rsidRPr="00C727CA">
        <w:t xml:space="preserve"> služby, které zde nejsou uvedeny</w:t>
      </w:r>
      <w:r w:rsidR="00043CA4" w:rsidRPr="00C727CA">
        <w:t>,</w:t>
      </w:r>
      <w:r w:rsidR="00402A91" w:rsidRPr="00C727CA">
        <w:t xml:space="preserve"> automaticky </w:t>
      </w:r>
      <w:r w:rsidR="00043CA4" w:rsidRPr="00C727CA">
        <w:t>spadají pod přílohu č. 2.</w:t>
      </w:r>
      <w:r w:rsidR="00402A91" w:rsidRPr="00C727CA">
        <w:t xml:space="preserve"> </w:t>
      </w:r>
      <w:r w:rsidR="00043CA4" w:rsidRPr="00C727CA">
        <w:t>D</w:t>
      </w:r>
      <w:r w:rsidRPr="00C727CA">
        <w:t>ůležité pro prioritní služby je to, že pokud přesáhnou prahovou hodnotu pro nadlimitní VZ, pak podléhají uveřejnění v </w:t>
      </w:r>
      <w:r w:rsidR="00786A51" w:rsidRPr="00C727CA">
        <w:t>Ú</w:t>
      </w:r>
      <w:r w:rsidRPr="00C727CA">
        <w:t>ředním věstníku EU</w:t>
      </w:r>
      <w:r w:rsidR="00EB74D6" w:rsidRPr="00C727CA">
        <w:t>. Současně „při jejich zadávání nemůže veřejný zadavatel použít bez splnění dalších podmínek jednací řízení s</w:t>
      </w:r>
      <w:r w:rsidR="008471B0" w:rsidRPr="00C727CA">
        <w:t> </w:t>
      </w:r>
      <w:r w:rsidR="00EB74D6" w:rsidRPr="00C727CA">
        <w:t>uveřejněním</w:t>
      </w:r>
      <w:r w:rsidR="008471B0" w:rsidRPr="00C727CA">
        <w:t>“</w:t>
      </w:r>
      <w:r w:rsidR="00EB74D6" w:rsidRPr="00C727CA">
        <w:rPr>
          <w:rStyle w:val="FootnoteReference"/>
        </w:rPr>
        <w:footnoteReference w:id="31"/>
      </w:r>
      <w:r w:rsidR="008471B0" w:rsidRPr="00C727CA">
        <w:t>;</w:t>
      </w:r>
    </w:p>
    <w:p w14:paraId="6CFD8007" w14:textId="77777777" w:rsidR="00402A91" w:rsidRPr="00C727CA" w:rsidRDefault="00FA0AFC" w:rsidP="00BC6C98">
      <w:pPr>
        <w:pStyle w:val="ListParagraph"/>
        <w:numPr>
          <w:ilvl w:val="0"/>
          <w:numId w:val="31"/>
        </w:numPr>
        <w:spacing w:after="0" w:line="360" w:lineRule="auto"/>
        <w:jc w:val="both"/>
      </w:pPr>
      <w:r w:rsidRPr="00C727CA">
        <w:t>n</w:t>
      </w:r>
      <w:r w:rsidR="00402A91" w:rsidRPr="00C727CA">
        <w:t>eprioritní služby</w:t>
      </w:r>
      <w:r w:rsidR="003C1491">
        <w:t xml:space="preserve"> - jsou uvedeny v příloze č. 2 </w:t>
      </w:r>
      <w:r w:rsidRPr="00C727CA">
        <w:t>zákona</w:t>
      </w:r>
      <w:r w:rsidR="00043CA4" w:rsidRPr="00C727CA">
        <w:t>.</w:t>
      </w:r>
      <w:r w:rsidR="00110251" w:rsidRPr="00C727CA">
        <w:rPr>
          <w:rStyle w:val="FootnoteReference"/>
        </w:rPr>
        <w:footnoteReference w:id="32"/>
      </w:r>
      <w:r w:rsidR="00043CA4" w:rsidRPr="00C727CA">
        <w:t xml:space="preserve"> T</w:t>
      </w:r>
      <w:r w:rsidR="00261B0F" w:rsidRPr="00C727CA">
        <w:t>ento výčet je demonst</w:t>
      </w:r>
      <w:r w:rsidR="00A128A7" w:rsidRPr="00C727CA">
        <w:t>ra</w:t>
      </w:r>
      <w:r w:rsidR="00261B0F" w:rsidRPr="00C727CA">
        <w:t>tivní</w:t>
      </w:r>
      <w:r w:rsidR="003B53DB" w:rsidRPr="00C727CA">
        <w:t xml:space="preserve">, kdy díky </w:t>
      </w:r>
      <w:r w:rsidR="00644FA7">
        <w:t>k</w:t>
      </w:r>
      <w:r w:rsidR="003B53DB" w:rsidRPr="00C727CA">
        <w:t xml:space="preserve">ategorii 27 Seznamu služeb a </w:t>
      </w:r>
      <w:r w:rsidR="00644FA7">
        <w:t>k</w:t>
      </w:r>
      <w:r w:rsidR="003B53DB" w:rsidRPr="00C727CA">
        <w:t>ategorii 26 Seznamu služeb v oblasti obrany</w:t>
      </w:r>
      <w:r w:rsidR="001814B5" w:rsidRPr="00C727CA">
        <w:t xml:space="preserve"> </w:t>
      </w:r>
      <w:r w:rsidR="003B53DB" w:rsidRPr="00C727CA">
        <w:t xml:space="preserve">zahrnuje veškeré služby </w:t>
      </w:r>
      <w:r w:rsidR="00043CA4" w:rsidRPr="00C727CA">
        <w:t xml:space="preserve">výslovně </w:t>
      </w:r>
      <w:r w:rsidR="00644FA7">
        <w:t>neuvedené v příloze č. 1 a č. 2.</w:t>
      </w:r>
      <w:r w:rsidR="003B53DB" w:rsidRPr="00C727CA">
        <w:t xml:space="preserve"> </w:t>
      </w:r>
      <w:r w:rsidR="00786A51" w:rsidRPr="00C727CA">
        <w:t>„Bez ohledu na</w:t>
      </w:r>
      <w:r w:rsidR="00AD0307">
        <w:t> </w:t>
      </w:r>
      <w:r w:rsidR="00786A51" w:rsidRPr="00C727CA">
        <w:t>jejich předpokládanou hodnotu nepodléhají uveřejnění v Úředním věstníku E</w:t>
      </w:r>
      <w:r w:rsidR="00BB5520" w:rsidRPr="00C727CA">
        <w:t>U a oznamují se pouze v rámci České republiky (dále jen „ČR“)</w:t>
      </w:r>
      <w:r w:rsidR="00786A51" w:rsidRPr="00C727CA">
        <w:t>.“</w:t>
      </w:r>
      <w:r w:rsidR="00786A51" w:rsidRPr="00C727CA">
        <w:rPr>
          <w:rStyle w:val="FootnoteReference"/>
        </w:rPr>
        <w:footnoteReference w:id="33"/>
      </w:r>
      <w:r w:rsidR="00786A51" w:rsidRPr="00C727CA">
        <w:t xml:space="preserve"> </w:t>
      </w:r>
      <w:r w:rsidR="000651D4" w:rsidRPr="00C727CA">
        <w:t>To souvisí s tím, že</w:t>
      </w:r>
      <w:r w:rsidR="00786A51" w:rsidRPr="00C727CA">
        <w:t xml:space="preserve"> jde velmi často o VZ, které mají určitý národní charakter</w:t>
      </w:r>
      <w:r w:rsidR="000651D4" w:rsidRPr="00C727CA">
        <w:t xml:space="preserve">, k jejichž splnění je často potřeba znalost českého jazyka či prostředí a lze tedy předpokládat, že by zahraniční </w:t>
      </w:r>
      <w:r w:rsidR="00C01687" w:rsidRPr="00C727CA">
        <w:t>dodavatelé</w:t>
      </w:r>
      <w:r w:rsidR="000651D4" w:rsidRPr="00C727CA">
        <w:t xml:space="preserve"> neměli zájem se účastnit takovýchto VZ. Dle § 146 odst. 1b) se ovšem u těchto služeb v Úředním věstníku EU uveřejňuje oznámení o výsledku zadávacího řízení</w:t>
      </w:r>
      <w:r w:rsidR="001814B5" w:rsidRPr="00C727CA">
        <w:t>,</w:t>
      </w:r>
      <w:r w:rsidR="000651D4" w:rsidRPr="00C727CA">
        <w:t xml:space="preserve"> či oznámení </w:t>
      </w:r>
      <w:r w:rsidR="00A128A7" w:rsidRPr="00C727CA">
        <w:t>v souvislosti se soutěží o návr</w:t>
      </w:r>
      <w:r w:rsidR="000651D4" w:rsidRPr="00C727CA">
        <w:t>h.</w:t>
      </w:r>
    </w:p>
    <w:p w14:paraId="54257FC8" w14:textId="77777777" w:rsidR="00147118" w:rsidRPr="00C727CA" w:rsidRDefault="008D5BA6" w:rsidP="00BC6C98">
      <w:pPr>
        <w:ind w:firstLine="0"/>
        <w:rPr>
          <w:color w:val="FF0000"/>
        </w:rPr>
      </w:pPr>
      <w:r w:rsidRPr="00C727CA">
        <w:t>Pokud jde o smíšenou VZ</w:t>
      </w:r>
      <w:r w:rsidR="001814B5" w:rsidRPr="00C727CA">
        <w:t xml:space="preserve"> a její kategorizaci</w:t>
      </w:r>
      <w:r w:rsidR="001E1C85" w:rsidRPr="00C727CA">
        <w:t xml:space="preserve">, </w:t>
      </w:r>
      <w:r w:rsidR="001814B5" w:rsidRPr="00C727CA">
        <w:t xml:space="preserve">pak by se v takovém případě uplatnil buď </w:t>
      </w:r>
      <w:r w:rsidR="001E1C85" w:rsidRPr="00C727CA">
        <w:t>zmiňovaný</w:t>
      </w:r>
      <w:r w:rsidRPr="00C727CA">
        <w:t xml:space="preserve"> princip </w:t>
      </w:r>
      <w:r w:rsidR="003C1491" w:rsidRPr="00C727CA">
        <w:t>těžiště, nebo</w:t>
      </w:r>
      <w:r w:rsidR="001814B5" w:rsidRPr="00C727CA">
        <w:t xml:space="preserve"> by </w:t>
      </w:r>
      <w:r w:rsidR="001E1C85" w:rsidRPr="00C727CA">
        <w:t>v so</w:t>
      </w:r>
      <w:r w:rsidR="001814B5" w:rsidRPr="00C727CA">
        <w:t xml:space="preserve">uvislosti se stavebními pracemi </w:t>
      </w:r>
      <w:r w:rsidR="001E1C85" w:rsidRPr="00C727CA">
        <w:t xml:space="preserve">záleželo na tom, zdali </w:t>
      </w:r>
      <w:r w:rsidR="001814B5" w:rsidRPr="00C727CA">
        <w:t xml:space="preserve">by </w:t>
      </w:r>
      <w:r w:rsidR="001E1C85" w:rsidRPr="00C727CA">
        <w:t>takové</w:t>
      </w:r>
      <w:r w:rsidRPr="00C727CA">
        <w:t xml:space="preserve"> stavební práce </w:t>
      </w:r>
      <w:r w:rsidR="001E1C85" w:rsidRPr="00C727CA">
        <w:t>nebyly</w:t>
      </w:r>
      <w:r w:rsidRPr="00C727CA">
        <w:t xml:space="preserve"> základním účelem VZ. Princip těžiště se ovšem uplatní </w:t>
      </w:r>
      <w:r w:rsidR="001E1C85" w:rsidRPr="00C727CA">
        <w:t xml:space="preserve">i </w:t>
      </w:r>
      <w:r w:rsidRPr="00C727CA">
        <w:t>v případech, kdy VZ na služby zahrnuje služby obsažené současně v příloze č. 1 a č. 2 zákona,</w:t>
      </w:r>
      <w:r w:rsidR="00644FA7">
        <w:t xml:space="preserve"> </w:t>
      </w:r>
      <w:r w:rsidRPr="00C727CA">
        <w:t>abychom věděli, jak v daném řízení postupovat</w:t>
      </w:r>
      <w:r w:rsidR="001E1C85" w:rsidRPr="00C727CA">
        <w:t xml:space="preserve"> a jaká pravidla se v takovém řízení dle zákona uplatní</w:t>
      </w:r>
      <w:r w:rsidRPr="00C727CA">
        <w:t>.</w:t>
      </w:r>
      <w:r w:rsidR="00110251" w:rsidRPr="00C727CA">
        <w:rPr>
          <w:rStyle w:val="FootnoteReference"/>
        </w:rPr>
        <w:footnoteReference w:id="34"/>
      </w:r>
      <w:r w:rsidR="00110251" w:rsidRPr="00C727CA">
        <w:rPr>
          <w:vertAlign w:val="superscript"/>
        </w:rPr>
        <w:t xml:space="preserve">, </w:t>
      </w:r>
      <w:r w:rsidR="00110251" w:rsidRPr="00C727CA">
        <w:rPr>
          <w:rStyle w:val="FootnoteReference"/>
        </w:rPr>
        <w:footnoteReference w:id="35"/>
      </w:r>
      <w:r w:rsidR="004A291A" w:rsidRPr="00C727CA">
        <w:t xml:space="preserve"> </w:t>
      </w:r>
    </w:p>
    <w:p w14:paraId="3DA40395" w14:textId="77777777" w:rsidR="001B03DB" w:rsidRPr="00C727CA" w:rsidRDefault="001B03DB" w:rsidP="00BC6C98">
      <w:pPr>
        <w:ind w:firstLine="0"/>
      </w:pPr>
    </w:p>
    <w:p w14:paraId="582A427F" w14:textId="77777777" w:rsidR="002F722F" w:rsidRPr="00C727CA" w:rsidRDefault="002F722F" w:rsidP="00BC6C98">
      <w:pPr>
        <w:ind w:firstLine="0"/>
      </w:pPr>
    </w:p>
    <w:p w14:paraId="6845D408" w14:textId="77777777" w:rsidR="00096B39" w:rsidRPr="00C727CA" w:rsidRDefault="00096B39" w:rsidP="00BC6C98">
      <w:pPr>
        <w:ind w:firstLine="0"/>
      </w:pPr>
    </w:p>
    <w:p w14:paraId="59E42533" w14:textId="77777777" w:rsidR="001814B5" w:rsidRPr="00C727CA" w:rsidRDefault="001814B5" w:rsidP="00BC6C98">
      <w:pPr>
        <w:ind w:firstLine="0"/>
      </w:pPr>
    </w:p>
    <w:p w14:paraId="2073FDC1" w14:textId="77777777" w:rsidR="00963B69" w:rsidRPr="00C727CA" w:rsidRDefault="00963B69" w:rsidP="00BC6C98">
      <w:pPr>
        <w:ind w:firstLine="0"/>
      </w:pPr>
    </w:p>
    <w:p w14:paraId="1CDAA1FE" w14:textId="77777777" w:rsidR="005F02BD" w:rsidRPr="00C727CA" w:rsidRDefault="005F02BD" w:rsidP="00FA2973">
      <w:pPr>
        <w:pStyle w:val="Heading3"/>
        <w:spacing w:line="360" w:lineRule="auto"/>
        <w:jc w:val="both"/>
      </w:pPr>
      <w:bookmarkStart w:id="11" w:name="_Toc472859440"/>
      <w:r w:rsidRPr="00C727CA">
        <w:t>VZ podle výše předpokládané hodnoty</w:t>
      </w:r>
      <w:bookmarkEnd w:id="11"/>
    </w:p>
    <w:p w14:paraId="0A854EB0" w14:textId="77777777" w:rsidR="00363222" w:rsidRPr="00C727CA" w:rsidRDefault="007A2D45" w:rsidP="00A9664F">
      <w:pPr>
        <w:ind w:firstLine="0"/>
      </w:pPr>
      <w:r w:rsidRPr="00C727CA">
        <w:t>Toto dělení VZ není nikterak v rozporu s výše uvedený</w:t>
      </w:r>
      <w:r w:rsidR="00F2565C" w:rsidRPr="00C727CA">
        <w:t>m dělením VZ podle předmětu plnění</w:t>
      </w:r>
      <w:r w:rsidR="00CB1A09" w:rsidRPr="00C727CA">
        <w:t xml:space="preserve">, </w:t>
      </w:r>
      <w:r w:rsidR="00F2565C" w:rsidRPr="00C727CA">
        <w:t xml:space="preserve">naopak </w:t>
      </w:r>
      <w:r w:rsidR="00CB1A09" w:rsidRPr="00C727CA">
        <w:t>ho logicky</w:t>
      </w:r>
      <w:r w:rsidR="003B00B7" w:rsidRPr="00C727CA">
        <w:t xml:space="preserve"> doplňuje</w:t>
      </w:r>
      <w:r w:rsidR="00654CBD" w:rsidRPr="00C727CA">
        <w:t>.</w:t>
      </w:r>
      <w:r w:rsidR="00C1659C" w:rsidRPr="00C727CA">
        <w:t xml:space="preserve"> Dle § 7 odst. 3 zákona se „veřejné zakázky podle výše jejich p</w:t>
      </w:r>
      <w:r w:rsidR="00C1659C" w:rsidRPr="00C727CA">
        <w:rPr>
          <w:rFonts w:cs="Times New Roman"/>
        </w:rPr>
        <w:t>ř</w:t>
      </w:r>
      <w:r w:rsidR="00C1659C" w:rsidRPr="00C727CA">
        <w:t>edpokl</w:t>
      </w:r>
      <w:r w:rsidR="00C1659C" w:rsidRPr="00C727CA">
        <w:rPr>
          <w:rFonts w:cs="Times New Roman"/>
        </w:rPr>
        <w:t>á</w:t>
      </w:r>
      <w:r w:rsidR="00C1659C" w:rsidRPr="00C727CA">
        <w:t>dan</w:t>
      </w:r>
      <w:r w:rsidR="00C1659C" w:rsidRPr="00C727CA">
        <w:rPr>
          <w:rFonts w:cs="Times New Roman"/>
        </w:rPr>
        <w:t>é</w:t>
      </w:r>
      <w:r w:rsidR="00C1659C" w:rsidRPr="00C727CA">
        <w:t xml:space="preserve"> hodnoty d</w:t>
      </w:r>
      <w:r w:rsidR="00C1659C" w:rsidRPr="00C727CA">
        <w:rPr>
          <w:rFonts w:cs="Times New Roman"/>
        </w:rPr>
        <w:t>ě</w:t>
      </w:r>
      <w:r w:rsidR="00C1659C" w:rsidRPr="00C727CA">
        <w:t>l</w:t>
      </w:r>
      <w:r w:rsidR="00C1659C" w:rsidRPr="00C727CA">
        <w:rPr>
          <w:rFonts w:cs="Times New Roman"/>
        </w:rPr>
        <w:t>í</w:t>
      </w:r>
      <w:r w:rsidR="00C1659C" w:rsidRPr="00C727CA">
        <w:t xml:space="preserve"> na nadlimitní veřejné zakázky, podlimitní veřejné zakázky a</w:t>
      </w:r>
      <w:r w:rsidR="00644FA7">
        <w:t xml:space="preserve"> veřejné zakázky malého rozsahu</w:t>
      </w:r>
      <w:r w:rsidR="00C1659C" w:rsidRPr="00C727CA">
        <w:t>“</w:t>
      </w:r>
      <w:r w:rsidR="00644FA7">
        <w:t>.</w:t>
      </w:r>
      <w:r w:rsidR="007B405F" w:rsidRPr="00C727CA">
        <w:t xml:space="preserve"> </w:t>
      </w:r>
      <w:r w:rsidR="00DC0371" w:rsidRPr="00C727CA">
        <w:t>Finanční limity</w:t>
      </w:r>
      <w:r w:rsidR="003B00B7" w:rsidRPr="00C727CA">
        <w:t xml:space="preserve"> určující bod zlomu mezi </w:t>
      </w:r>
      <w:r w:rsidR="00494010">
        <w:t>jednotlivými VZ jsou stanoveny v</w:t>
      </w:r>
      <w:r w:rsidR="003B00B7" w:rsidRPr="00C727CA">
        <w:t xml:space="preserve"> § 12 zákona a taktéž v</w:t>
      </w:r>
      <w:r w:rsidR="007D7243" w:rsidRPr="00C727CA">
        <w:t> nařízení vlády č. 77/2008 Sb., o stanovení finančních limitů pro účely zákona o veřejných zakázkách</w:t>
      </w:r>
      <w:r w:rsidR="006210F2" w:rsidRPr="00C727CA">
        <w:t xml:space="preserve">. </w:t>
      </w:r>
      <w:r w:rsidR="007D7243" w:rsidRPr="00C727CA">
        <w:t>Vzhledem k tomu, že se jedná o technický popis, který je snadno dohledatelný, pro naše účely si vystačíme s </w:t>
      </w:r>
      <w:r w:rsidR="00DC0371" w:rsidRPr="00C727CA">
        <w:t>následným</w:t>
      </w:r>
      <w:r w:rsidR="007D7243" w:rsidRPr="00C727CA">
        <w:t xml:space="preserve"> výčtem prahových limitů</w:t>
      </w:r>
      <w:r w:rsidR="006210F2" w:rsidRPr="00C727CA">
        <w:t xml:space="preserve"> </w:t>
      </w:r>
      <w:r w:rsidR="00DC0371" w:rsidRPr="00C727CA">
        <w:t xml:space="preserve">v uvedené tabulce </w:t>
      </w:r>
      <w:r w:rsidR="006210F2" w:rsidRPr="00C727CA">
        <w:t xml:space="preserve">s tím, že </w:t>
      </w:r>
      <w:r w:rsidR="00DC0371" w:rsidRPr="00C727CA">
        <w:t xml:space="preserve">se </w:t>
      </w:r>
      <w:r w:rsidR="006210F2" w:rsidRPr="00C727CA">
        <w:t>následně budeme jednotlivým druhům VZ tohoto typu věnovat</w:t>
      </w:r>
      <w:r w:rsidR="007D7243" w:rsidRPr="00C727CA">
        <w:t xml:space="preserve">: </w:t>
      </w:r>
    </w:p>
    <w:tbl>
      <w:tblPr>
        <w:tblStyle w:val="TableGrid"/>
        <w:tblpPr w:leftFromText="180" w:rightFromText="180" w:vertAnchor="page" w:horzAnchor="margin" w:tblpXSpec="center" w:tblpY="6011"/>
        <w:tblW w:w="9828" w:type="dxa"/>
        <w:tblLook w:val="04A0" w:firstRow="1" w:lastRow="0" w:firstColumn="1" w:lastColumn="0" w:noHBand="0" w:noVBand="1"/>
      </w:tblPr>
      <w:tblGrid>
        <w:gridCol w:w="3472"/>
        <w:gridCol w:w="2349"/>
        <w:gridCol w:w="2350"/>
        <w:gridCol w:w="1657"/>
      </w:tblGrid>
      <w:tr w:rsidR="00DC0371" w:rsidRPr="00C727CA" w14:paraId="5312835A" w14:textId="77777777" w:rsidTr="00DC0371">
        <w:trPr>
          <w:trHeight w:val="878"/>
        </w:trPr>
        <w:tc>
          <w:tcPr>
            <w:tcW w:w="3472" w:type="dxa"/>
            <w:vAlign w:val="center"/>
          </w:tcPr>
          <w:p w14:paraId="37287F5E" w14:textId="77777777" w:rsidR="00DC0371" w:rsidRPr="00C727CA" w:rsidRDefault="00DC0371" w:rsidP="00DC0371">
            <w:pPr>
              <w:jc w:val="center"/>
              <w:rPr>
                <w:lang w:val="cs-CZ"/>
              </w:rPr>
            </w:pPr>
          </w:p>
        </w:tc>
        <w:tc>
          <w:tcPr>
            <w:tcW w:w="2349" w:type="dxa"/>
            <w:vAlign w:val="center"/>
          </w:tcPr>
          <w:p w14:paraId="27AB134A" w14:textId="77777777" w:rsidR="00DC0371" w:rsidRPr="00C727CA" w:rsidRDefault="00DC0371" w:rsidP="00DC0371">
            <w:pPr>
              <w:ind w:firstLine="0"/>
              <w:rPr>
                <w:b/>
                <w:lang w:val="cs-CZ"/>
              </w:rPr>
            </w:pPr>
            <w:r w:rsidRPr="00C727CA">
              <w:rPr>
                <w:b/>
                <w:lang w:val="cs-CZ"/>
              </w:rPr>
              <w:t>VZ malého rozsahu</w:t>
            </w:r>
          </w:p>
        </w:tc>
        <w:tc>
          <w:tcPr>
            <w:tcW w:w="2350" w:type="dxa"/>
            <w:vAlign w:val="center"/>
          </w:tcPr>
          <w:p w14:paraId="690FC510" w14:textId="77777777" w:rsidR="00DC0371" w:rsidRPr="00C727CA" w:rsidRDefault="00DC0371" w:rsidP="00DC0371">
            <w:pPr>
              <w:ind w:firstLine="0"/>
              <w:jc w:val="center"/>
              <w:rPr>
                <w:b/>
                <w:lang w:val="cs-CZ"/>
              </w:rPr>
            </w:pPr>
            <w:r w:rsidRPr="00C727CA">
              <w:rPr>
                <w:b/>
                <w:lang w:val="cs-CZ"/>
              </w:rPr>
              <w:t>Podlimitní VZ</w:t>
            </w:r>
          </w:p>
        </w:tc>
        <w:tc>
          <w:tcPr>
            <w:tcW w:w="1657" w:type="dxa"/>
            <w:vAlign w:val="center"/>
          </w:tcPr>
          <w:p w14:paraId="1D07E615" w14:textId="77777777" w:rsidR="00DC0371" w:rsidRPr="00C727CA" w:rsidRDefault="00DC0371" w:rsidP="00DC0371">
            <w:pPr>
              <w:ind w:firstLine="0"/>
              <w:jc w:val="center"/>
              <w:rPr>
                <w:b/>
                <w:lang w:val="cs-CZ"/>
              </w:rPr>
            </w:pPr>
            <w:r w:rsidRPr="00C727CA">
              <w:rPr>
                <w:b/>
                <w:lang w:val="cs-CZ"/>
              </w:rPr>
              <w:t>Nadlimitní VZ</w:t>
            </w:r>
          </w:p>
        </w:tc>
      </w:tr>
      <w:tr w:rsidR="00DC0371" w:rsidRPr="00C727CA" w14:paraId="5712A4AC" w14:textId="77777777" w:rsidTr="00DC0371">
        <w:trPr>
          <w:trHeight w:val="878"/>
        </w:trPr>
        <w:tc>
          <w:tcPr>
            <w:tcW w:w="3472" w:type="dxa"/>
            <w:vAlign w:val="center"/>
          </w:tcPr>
          <w:p w14:paraId="0845F7BA" w14:textId="77777777" w:rsidR="00DC0371" w:rsidRPr="00C727CA" w:rsidRDefault="00DC0371" w:rsidP="00DC0371">
            <w:pPr>
              <w:ind w:firstLine="0"/>
              <w:jc w:val="center"/>
              <w:rPr>
                <w:lang w:val="cs-CZ"/>
              </w:rPr>
            </w:pPr>
            <w:r w:rsidRPr="00C727CA">
              <w:rPr>
                <w:b/>
                <w:lang w:val="cs-CZ"/>
              </w:rPr>
              <w:t>VZ na dodávky a služby</w:t>
            </w:r>
            <w:r w:rsidRPr="00C727CA">
              <w:rPr>
                <w:lang w:val="cs-CZ"/>
              </w:rPr>
              <w:t xml:space="preserve"> zadávané Českou republikou a státními příspěvkovými organizacemi</w:t>
            </w:r>
          </w:p>
        </w:tc>
        <w:tc>
          <w:tcPr>
            <w:tcW w:w="2349" w:type="dxa"/>
            <w:vMerge w:val="restart"/>
            <w:vAlign w:val="center"/>
          </w:tcPr>
          <w:p w14:paraId="7F3D60D9" w14:textId="77777777" w:rsidR="00DC0371" w:rsidRPr="00C727CA" w:rsidRDefault="00DC0371" w:rsidP="00DC0371">
            <w:pPr>
              <w:ind w:firstLine="0"/>
              <w:jc w:val="center"/>
              <w:rPr>
                <w:lang w:val="cs-CZ"/>
              </w:rPr>
            </w:pPr>
            <w:r w:rsidRPr="00C727CA">
              <w:rPr>
                <w:lang w:val="cs-CZ"/>
              </w:rPr>
              <w:t>nedosáhne 2.000.000,- Kč bez DPH</w:t>
            </w:r>
          </w:p>
        </w:tc>
        <w:tc>
          <w:tcPr>
            <w:tcW w:w="2350" w:type="dxa"/>
            <w:vMerge w:val="restart"/>
            <w:vAlign w:val="center"/>
          </w:tcPr>
          <w:p w14:paraId="70B97391" w14:textId="77777777" w:rsidR="00DC0371" w:rsidRPr="00C727CA" w:rsidRDefault="00DC0371" w:rsidP="00DC0371">
            <w:pPr>
              <w:ind w:firstLine="0"/>
              <w:jc w:val="center"/>
              <w:rPr>
                <w:lang w:val="cs-CZ"/>
              </w:rPr>
            </w:pPr>
            <w:r w:rsidRPr="00C727CA">
              <w:rPr>
                <w:lang w:val="cs-CZ"/>
              </w:rPr>
              <w:t>min. 2.000.000,- Kč bez DPH a současně nedosáhne na některý z limitů pro nadlimitní VZ</w:t>
            </w:r>
          </w:p>
        </w:tc>
        <w:tc>
          <w:tcPr>
            <w:tcW w:w="1657" w:type="dxa"/>
            <w:vAlign w:val="center"/>
          </w:tcPr>
          <w:p w14:paraId="159382EE" w14:textId="77777777" w:rsidR="00DC0371" w:rsidRPr="00C727CA" w:rsidRDefault="00DC0371" w:rsidP="00DC0371">
            <w:pPr>
              <w:ind w:firstLine="0"/>
              <w:jc w:val="center"/>
              <w:rPr>
                <w:lang w:val="cs-CZ"/>
              </w:rPr>
            </w:pPr>
            <w:r w:rsidRPr="00C727CA">
              <w:rPr>
                <w:lang w:val="cs-CZ"/>
              </w:rPr>
              <w:t>min. 3.686.000,- Kč bez DPH</w:t>
            </w:r>
          </w:p>
        </w:tc>
      </w:tr>
      <w:tr w:rsidR="00DC0371" w:rsidRPr="00C727CA" w14:paraId="6BE88878" w14:textId="77777777" w:rsidTr="00DC0371">
        <w:trPr>
          <w:trHeight w:val="878"/>
        </w:trPr>
        <w:tc>
          <w:tcPr>
            <w:tcW w:w="3472" w:type="dxa"/>
            <w:vAlign w:val="center"/>
          </w:tcPr>
          <w:p w14:paraId="01444DE1" w14:textId="77777777" w:rsidR="00DC0371" w:rsidRPr="00C727CA" w:rsidRDefault="00DC0371" w:rsidP="00DC0371">
            <w:pPr>
              <w:ind w:firstLine="0"/>
              <w:jc w:val="center"/>
              <w:rPr>
                <w:lang w:val="cs-CZ"/>
              </w:rPr>
            </w:pPr>
            <w:r w:rsidRPr="00C727CA">
              <w:rPr>
                <w:b/>
                <w:lang w:val="cs-CZ"/>
              </w:rPr>
              <w:t>VZ na dodávky a služby</w:t>
            </w:r>
            <w:r w:rsidRPr="00C727CA">
              <w:rPr>
                <w:lang w:val="cs-CZ"/>
              </w:rPr>
              <w:t xml:space="preserve"> zadávané územně samosprávnými celky, jejich příspěvkovými organizacemi, jinými právnickými osobami dle § 2 odst. 2</w:t>
            </w:r>
            <w:r w:rsidR="00644FA7">
              <w:rPr>
                <w:lang w:val="cs-CZ"/>
              </w:rPr>
              <w:t xml:space="preserve"> písm. d) zákona</w:t>
            </w:r>
            <w:r w:rsidRPr="00C727CA">
              <w:rPr>
                <w:lang w:val="cs-CZ"/>
              </w:rPr>
              <w:t xml:space="preserve"> a dotovanými zadavateli</w:t>
            </w:r>
          </w:p>
        </w:tc>
        <w:tc>
          <w:tcPr>
            <w:tcW w:w="2349" w:type="dxa"/>
            <w:vMerge/>
            <w:vAlign w:val="center"/>
          </w:tcPr>
          <w:p w14:paraId="346C59BA" w14:textId="77777777" w:rsidR="00DC0371" w:rsidRPr="00C727CA" w:rsidRDefault="00DC0371" w:rsidP="00DC0371">
            <w:pPr>
              <w:jc w:val="center"/>
              <w:rPr>
                <w:lang w:val="cs-CZ"/>
              </w:rPr>
            </w:pPr>
          </w:p>
        </w:tc>
        <w:tc>
          <w:tcPr>
            <w:tcW w:w="2350" w:type="dxa"/>
            <w:vMerge/>
            <w:vAlign w:val="center"/>
          </w:tcPr>
          <w:p w14:paraId="3BBAF5C2" w14:textId="77777777" w:rsidR="00DC0371" w:rsidRPr="00C727CA" w:rsidRDefault="00DC0371" w:rsidP="00DC0371">
            <w:pPr>
              <w:jc w:val="center"/>
              <w:rPr>
                <w:lang w:val="cs-CZ"/>
              </w:rPr>
            </w:pPr>
          </w:p>
        </w:tc>
        <w:tc>
          <w:tcPr>
            <w:tcW w:w="1657" w:type="dxa"/>
            <w:vAlign w:val="center"/>
          </w:tcPr>
          <w:p w14:paraId="0E72F9DF" w14:textId="77777777" w:rsidR="00DC0371" w:rsidRPr="00C727CA" w:rsidRDefault="00DC0371" w:rsidP="00DC0371">
            <w:pPr>
              <w:ind w:firstLine="0"/>
              <w:jc w:val="center"/>
              <w:rPr>
                <w:lang w:val="cs-CZ"/>
              </w:rPr>
            </w:pPr>
            <w:r w:rsidRPr="00C727CA">
              <w:rPr>
                <w:lang w:val="cs-CZ"/>
              </w:rPr>
              <w:t>min. 5.706.000,- Kč bez DPH</w:t>
            </w:r>
          </w:p>
        </w:tc>
      </w:tr>
      <w:tr w:rsidR="00DC0371" w:rsidRPr="00C727CA" w14:paraId="7C8BF06C" w14:textId="77777777" w:rsidTr="00DC0371">
        <w:trPr>
          <w:trHeight w:val="878"/>
        </w:trPr>
        <w:tc>
          <w:tcPr>
            <w:tcW w:w="3472" w:type="dxa"/>
            <w:vAlign w:val="center"/>
          </w:tcPr>
          <w:p w14:paraId="52C86718" w14:textId="77777777" w:rsidR="00DC0371" w:rsidRPr="00C727CA" w:rsidRDefault="00DC0371" w:rsidP="00DC0371">
            <w:pPr>
              <w:ind w:firstLine="0"/>
              <w:jc w:val="center"/>
              <w:rPr>
                <w:lang w:val="cs-CZ"/>
              </w:rPr>
            </w:pPr>
            <w:r w:rsidRPr="00C727CA">
              <w:rPr>
                <w:b/>
                <w:lang w:val="cs-CZ"/>
              </w:rPr>
              <w:t>VZ na dodávky a služby</w:t>
            </w:r>
            <w:r w:rsidRPr="00C727CA">
              <w:rPr>
                <w:lang w:val="cs-CZ"/>
              </w:rPr>
              <w:t xml:space="preserve"> zadávané sektorovými zadavateli</w:t>
            </w:r>
          </w:p>
        </w:tc>
        <w:tc>
          <w:tcPr>
            <w:tcW w:w="2349" w:type="dxa"/>
            <w:vMerge/>
            <w:vAlign w:val="center"/>
          </w:tcPr>
          <w:p w14:paraId="6D27D52A" w14:textId="77777777" w:rsidR="00DC0371" w:rsidRPr="00C727CA" w:rsidRDefault="00DC0371" w:rsidP="00DC0371">
            <w:pPr>
              <w:jc w:val="center"/>
              <w:rPr>
                <w:lang w:val="cs-CZ"/>
              </w:rPr>
            </w:pPr>
          </w:p>
        </w:tc>
        <w:tc>
          <w:tcPr>
            <w:tcW w:w="2350" w:type="dxa"/>
            <w:vMerge/>
            <w:vAlign w:val="center"/>
          </w:tcPr>
          <w:p w14:paraId="2C29971B" w14:textId="77777777" w:rsidR="00DC0371" w:rsidRPr="00C727CA" w:rsidRDefault="00DC0371" w:rsidP="00DC0371">
            <w:pPr>
              <w:jc w:val="center"/>
              <w:rPr>
                <w:lang w:val="cs-CZ"/>
              </w:rPr>
            </w:pPr>
          </w:p>
        </w:tc>
        <w:tc>
          <w:tcPr>
            <w:tcW w:w="1657" w:type="dxa"/>
            <w:vAlign w:val="center"/>
          </w:tcPr>
          <w:p w14:paraId="5296C18C" w14:textId="77777777" w:rsidR="00DC0371" w:rsidRPr="00C727CA" w:rsidRDefault="00DC0371" w:rsidP="00DC0371">
            <w:pPr>
              <w:ind w:firstLine="0"/>
              <w:jc w:val="center"/>
              <w:rPr>
                <w:lang w:val="cs-CZ"/>
              </w:rPr>
            </w:pPr>
            <w:r w:rsidRPr="00C727CA">
              <w:rPr>
                <w:lang w:val="cs-CZ"/>
              </w:rPr>
              <w:t>min. 11.413.000,- Kč bez DPH</w:t>
            </w:r>
          </w:p>
        </w:tc>
      </w:tr>
      <w:tr w:rsidR="00DC0371" w:rsidRPr="00C727CA" w14:paraId="5F960A96" w14:textId="77777777" w:rsidTr="00DC0371">
        <w:trPr>
          <w:trHeight w:val="936"/>
        </w:trPr>
        <w:tc>
          <w:tcPr>
            <w:tcW w:w="3472" w:type="dxa"/>
            <w:vAlign w:val="center"/>
          </w:tcPr>
          <w:p w14:paraId="1F9353E6" w14:textId="77777777" w:rsidR="00DC0371" w:rsidRPr="00C727CA" w:rsidRDefault="00DC0371" w:rsidP="00DC0371">
            <w:pPr>
              <w:ind w:firstLine="0"/>
              <w:jc w:val="center"/>
              <w:rPr>
                <w:b/>
                <w:lang w:val="cs-CZ"/>
              </w:rPr>
            </w:pPr>
            <w:r w:rsidRPr="00C727CA">
              <w:rPr>
                <w:b/>
                <w:lang w:val="cs-CZ"/>
              </w:rPr>
              <w:t>VZ na stavební práce</w:t>
            </w:r>
          </w:p>
        </w:tc>
        <w:tc>
          <w:tcPr>
            <w:tcW w:w="2349" w:type="dxa"/>
            <w:vAlign w:val="center"/>
          </w:tcPr>
          <w:p w14:paraId="72067159" w14:textId="77777777" w:rsidR="00DC0371" w:rsidRPr="00C727CA" w:rsidRDefault="00DC0371" w:rsidP="00DC0371">
            <w:pPr>
              <w:ind w:firstLine="0"/>
              <w:jc w:val="center"/>
              <w:rPr>
                <w:lang w:val="cs-CZ"/>
              </w:rPr>
            </w:pPr>
            <w:r w:rsidRPr="00C727CA">
              <w:rPr>
                <w:lang w:val="cs-CZ"/>
              </w:rPr>
              <w:t>nedosáhne 6.000.000,- Kč bez DPH</w:t>
            </w:r>
          </w:p>
        </w:tc>
        <w:tc>
          <w:tcPr>
            <w:tcW w:w="2350" w:type="dxa"/>
            <w:vAlign w:val="center"/>
          </w:tcPr>
          <w:p w14:paraId="7C375884" w14:textId="77777777" w:rsidR="00DC0371" w:rsidRPr="00C727CA" w:rsidRDefault="00DC0371" w:rsidP="00DC0371">
            <w:pPr>
              <w:ind w:firstLine="0"/>
              <w:jc w:val="center"/>
              <w:rPr>
                <w:lang w:val="cs-CZ"/>
              </w:rPr>
            </w:pPr>
            <w:r w:rsidRPr="00C727CA">
              <w:rPr>
                <w:lang w:val="cs-CZ"/>
              </w:rPr>
              <w:t>min. 6.000.000,- Kč bez DPH a současně nedosáhne na limit pro nadlimitní VZ</w:t>
            </w:r>
          </w:p>
        </w:tc>
        <w:tc>
          <w:tcPr>
            <w:tcW w:w="1657" w:type="dxa"/>
            <w:vAlign w:val="center"/>
          </w:tcPr>
          <w:p w14:paraId="724BC373" w14:textId="77777777" w:rsidR="00DC0371" w:rsidRPr="00C727CA" w:rsidRDefault="00DC0371" w:rsidP="00DC0371">
            <w:pPr>
              <w:ind w:firstLine="0"/>
              <w:jc w:val="center"/>
              <w:rPr>
                <w:lang w:val="cs-CZ"/>
              </w:rPr>
            </w:pPr>
            <w:r w:rsidRPr="00C727CA">
              <w:rPr>
                <w:lang w:val="cs-CZ"/>
              </w:rPr>
              <w:t>min. 142.668.000,- Kč bez DPH</w:t>
            </w:r>
          </w:p>
        </w:tc>
      </w:tr>
    </w:tbl>
    <w:p w14:paraId="1A21076B" w14:textId="77777777" w:rsidR="00654CBD" w:rsidRPr="00C727CA" w:rsidRDefault="00654CBD" w:rsidP="00FA2973">
      <w:pPr>
        <w:ind w:firstLine="0"/>
        <w:jc w:val="center"/>
        <w:rPr>
          <w:color w:val="FF0000"/>
        </w:rPr>
      </w:pPr>
    </w:p>
    <w:p w14:paraId="00264F12" w14:textId="77777777" w:rsidR="00DC0371" w:rsidRPr="00C727CA" w:rsidRDefault="00DC0371" w:rsidP="00FA2973">
      <w:pPr>
        <w:ind w:firstLine="0"/>
        <w:jc w:val="center"/>
        <w:rPr>
          <w:color w:val="FF0000"/>
        </w:rPr>
      </w:pPr>
    </w:p>
    <w:p w14:paraId="58B405AF" w14:textId="77777777" w:rsidR="00654CBD" w:rsidRPr="00C727CA" w:rsidRDefault="00A133E2" w:rsidP="00BC6C98">
      <w:pPr>
        <w:pStyle w:val="ListParagraph"/>
        <w:numPr>
          <w:ilvl w:val="0"/>
          <w:numId w:val="38"/>
        </w:numPr>
        <w:spacing w:after="0" w:line="360" w:lineRule="auto"/>
      </w:pPr>
      <w:r w:rsidRPr="00C727CA">
        <w:t xml:space="preserve"> Veřejné zakázky</w:t>
      </w:r>
      <w:r w:rsidR="00C1659C" w:rsidRPr="00C727CA">
        <w:t xml:space="preserve"> malého rozsahu</w:t>
      </w:r>
    </w:p>
    <w:p w14:paraId="0D4AE17F" w14:textId="77777777" w:rsidR="0053498B" w:rsidRPr="00C727CA" w:rsidRDefault="00C1659C" w:rsidP="00BC6C98">
      <w:pPr>
        <w:ind w:firstLine="0"/>
        <w:rPr>
          <w:color w:val="FF0000"/>
        </w:rPr>
      </w:pPr>
      <w:r w:rsidRPr="00C727CA">
        <w:rPr>
          <w:color w:val="FF0000"/>
        </w:rPr>
        <w:tab/>
      </w:r>
      <w:r w:rsidRPr="00C727CA">
        <w:t xml:space="preserve">Začněme </w:t>
      </w:r>
      <w:r w:rsidR="00363222" w:rsidRPr="00C727CA">
        <w:t xml:space="preserve">nejdříve </w:t>
      </w:r>
      <w:r w:rsidRPr="00C727CA">
        <w:t>VZ malého rozsahu</w:t>
      </w:r>
      <w:r w:rsidR="00363222" w:rsidRPr="00C727CA">
        <w:t xml:space="preserve">, </w:t>
      </w:r>
      <w:r w:rsidR="00C80D5F" w:rsidRPr="00C727CA">
        <w:t>tentokrát</w:t>
      </w:r>
      <w:r w:rsidR="00363222" w:rsidRPr="00C727CA">
        <w:t xml:space="preserve"> </w:t>
      </w:r>
      <w:r w:rsidR="00FA58C7" w:rsidRPr="00C727CA">
        <w:t xml:space="preserve">ale </w:t>
      </w:r>
      <w:r w:rsidR="00363222" w:rsidRPr="00C727CA">
        <w:t>z jiného úhlu pohledu</w:t>
      </w:r>
      <w:r w:rsidR="005963B1" w:rsidRPr="00C727CA">
        <w:t xml:space="preserve">. Dle § 18 odst. 5 zákona není </w:t>
      </w:r>
      <w:r w:rsidR="00363222" w:rsidRPr="00C727CA">
        <w:t>jakýkoliv zadavatel povi</w:t>
      </w:r>
      <w:r w:rsidR="00333962" w:rsidRPr="00C727CA">
        <w:t>ne</w:t>
      </w:r>
      <w:r w:rsidR="00363222" w:rsidRPr="00C727CA">
        <w:t>n</w:t>
      </w:r>
      <w:r w:rsidR="00333962" w:rsidRPr="00C727CA">
        <w:t xml:space="preserve"> zadávat VZ malého rozsahu podle </w:t>
      </w:r>
      <w:r w:rsidR="003F0BEF" w:rsidRPr="00C727CA">
        <w:t xml:space="preserve">tohoto </w:t>
      </w:r>
      <w:r w:rsidR="00462916" w:rsidRPr="00C727CA">
        <w:t>zákona. S</w:t>
      </w:r>
      <w:r w:rsidR="00333962" w:rsidRPr="00C727CA">
        <w:t>oučasně</w:t>
      </w:r>
      <w:r w:rsidR="00672E1F" w:rsidRPr="00C727CA">
        <w:t xml:space="preserve"> je ale veřejný zadavatel </w:t>
      </w:r>
      <w:r w:rsidR="00333962" w:rsidRPr="00C727CA">
        <w:t xml:space="preserve">při zadávání takové VZ </w:t>
      </w:r>
      <w:r w:rsidR="003F0BEF" w:rsidRPr="00C727CA">
        <w:t xml:space="preserve">povinen </w:t>
      </w:r>
      <w:r w:rsidR="00333962" w:rsidRPr="00C727CA">
        <w:t>dodržovat zásady uvedené v § 6 zákona.</w:t>
      </w:r>
      <w:r w:rsidR="009749D8" w:rsidRPr="00C727CA">
        <w:rPr>
          <w:rStyle w:val="FootnoteReference"/>
        </w:rPr>
        <w:footnoteReference w:id="36"/>
      </w:r>
      <w:r w:rsidR="00333962" w:rsidRPr="00C727CA">
        <w:t xml:space="preserve"> </w:t>
      </w:r>
      <w:r w:rsidR="003F0BEF" w:rsidRPr="00C727CA">
        <w:t>V</w:t>
      </w:r>
      <w:r w:rsidR="00462916" w:rsidRPr="00C727CA">
        <w:t> </w:t>
      </w:r>
      <w:r w:rsidR="003F0BEF" w:rsidRPr="00C727CA">
        <w:t>případě</w:t>
      </w:r>
      <w:r w:rsidR="00462916" w:rsidRPr="00C727CA">
        <w:t>,</w:t>
      </w:r>
      <w:r w:rsidR="003F0BEF" w:rsidRPr="00C727CA">
        <w:t xml:space="preserve"> že</w:t>
      </w:r>
      <w:r w:rsidR="00333962" w:rsidRPr="00C727CA">
        <w:t xml:space="preserve"> by ale zadavatel začal zadávat VZ malého rozsahu </w:t>
      </w:r>
      <w:r w:rsidR="00783CB0" w:rsidRPr="00C727CA">
        <w:t>podle postupu pro</w:t>
      </w:r>
      <w:r w:rsidR="00333962" w:rsidRPr="00C727CA">
        <w:t xml:space="preserve"> podlimitní VZ, musí v takovém zadávání </w:t>
      </w:r>
      <w:r w:rsidR="00783CB0" w:rsidRPr="00C727CA">
        <w:t>platném pro podlimitní VZ pokračovat</w:t>
      </w:r>
      <w:r w:rsidR="00B214F3" w:rsidRPr="00C727CA">
        <w:t xml:space="preserve">, jak </w:t>
      </w:r>
      <w:r w:rsidR="003F0BEF" w:rsidRPr="00C727CA">
        <w:t>stanovuje</w:t>
      </w:r>
      <w:r w:rsidR="00B214F3" w:rsidRPr="00C727CA">
        <w:t xml:space="preserve"> §</w:t>
      </w:r>
      <w:r w:rsidR="00874015" w:rsidRPr="00C727CA">
        <w:t xml:space="preserve"> 26 odst. 5 zákona</w:t>
      </w:r>
      <w:r w:rsidR="00333962" w:rsidRPr="00C727CA">
        <w:t xml:space="preserve">. </w:t>
      </w:r>
      <w:r w:rsidR="003F0BEF" w:rsidRPr="00C727CA">
        <w:t>Pokud jde tedy o dopad</w:t>
      </w:r>
      <w:r w:rsidR="00C80D5F" w:rsidRPr="00C727CA">
        <w:t xml:space="preserve"> ustanovení § 18 odst. 5 </w:t>
      </w:r>
      <w:r w:rsidR="003C1491" w:rsidRPr="00C727CA">
        <w:t>zákona v praxi</w:t>
      </w:r>
      <w:r w:rsidR="00C80D5F" w:rsidRPr="00C727CA">
        <w:t>,</w:t>
      </w:r>
      <w:r w:rsidR="00333962" w:rsidRPr="00C727CA">
        <w:t xml:space="preserve"> je </w:t>
      </w:r>
      <w:r w:rsidR="00AB36FE" w:rsidRPr="00C727CA">
        <w:t>možné, aby</w:t>
      </w:r>
      <w:r w:rsidR="00333962" w:rsidRPr="00C727CA">
        <w:t xml:space="preserve"> zadavatel na tuto </w:t>
      </w:r>
      <w:r w:rsidR="00462916" w:rsidRPr="00C727CA">
        <w:t>právní úpravu</w:t>
      </w:r>
      <w:r w:rsidR="00333962" w:rsidRPr="00C727CA">
        <w:t xml:space="preserve"> zareagoval </w:t>
      </w:r>
      <w:r w:rsidR="00AB36FE" w:rsidRPr="00C727CA">
        <w:t xml:space="preserve">např. </w:t>
      </w:r>
      <w:r w:rsidR="00333962" w:rsidRPr="00C727CA">
        <w:t>vydáním vlastní interní směrnice, kterou si stanový určitá pravidla postup</w:t>
      </w:r>
      <w:r w:rsidR="00DC0371" w:rsidRPr="00C727CA">
        <w:t>u</w:t>
      </w:r>
      <w:r w:rsidR="00333962" w:rsidRPr="00C727CA">
        <w:t xml:space="preserve"> při zadávání VZ malého rozsahu</w:t>
      </w:r>
      <w:r w:rsidR="007B405F" w:rsidRPr="00C727CA">
        <w:t>.</w:t>
      </w:r>
      <w:r w:rsidR="007B405F" w:rsidRPr="00C727CA">
        <w:rPr>
          <w:rStyle w:val="FootnoteReference"/>
        </w:rPr>
        <w:footnoteReference w:id="37"/>
      </w:r>
      <w:r w:rsidR="007B405F" w:rsidRPr="00C727CA">
        <w:t xml:space="preserve"> </w:t>
      </w:r>
      <w:r w:rsidR="00DC0371" w:rsidRPr="00C727CA">
        <w:t>Dále</w:t>
      </w:r>
      <w:r w:rsidR="003F0BEF" w:rsidRPr="00C727CA">
        <w:t xml:space="preserve"> u</w:t>
      </w:r>
      <w:r w:rsidR="009427E0" w:rsidRPr="00C727CA">
        <w:t xml:space="preserve"> těchto VZ </w:t>
      </w:r>
      <w:r w:rsidR="003F0BEF" w:rsidRPr="00C727CA">
        <w:t xml:space="preserve">platí, že </w:t>
      </w:r>
      <w:r w:rsidR="00AD109C" w:rsidRPr="00C727CA">
        <w:t xml:space="preserve">u nich </w:t>
      </w:r>
      <w:r w:rsidR="009427E0" w:rsidRPr="00C727CA">
        <w:t>není možné podávat námitky ani návrhy k</w:t>
      </w:r>
      <w:r w:rsidR="00AB36FE" w:rsidRPr="00C727CA">
        <w:t> </w:t>
      </w:r>
      <w:r w:rsidR="00FA5257" w:rsidRPr="00C727CA">
        <w:t>Úřadu pro ochranu hospodářské soutěže (dále jen „ÚOHS“)</w:t>
      </w:r>
      <w:r w:rsidR="00AD109C" w:rsidRPr="00C727CA">
        <w:rPr>
          <w:rStyle w:val="FootnoteReference"/>
        </w:rPr>
        <w:footnoteReference w:id="38"/>
      </w:r>
      <w:r w:rsidR="00AB36FE" w:rsidRPr="00C727CA">
        <w:t>.</w:t>
      </w:r>
      <w:r w:rsidR="00906FEA" w:rsidRPr="00C727CA">
        <w:t xml:space="preserve"> </w:t>
      </w:r>
      <w:r w:rsidR="00AB36FE" w:rsidRPr="00C727CA">
        <w:t>Pokud by</w:t>
      </w:r>
      <w:r w:rsidR="009427E0" w:rsidRPr="00C727CA">
        <w:t xml:space="preserve"> </w:t>
      </w:r>
      <w:r w:rsidR="00AB36FE" w:rsidRPr="00C727CA">
        <w:t xml:space="preserve">se ale o takové podání námitek či jiných návrhů </w:t>
      </w:r>
      <w:r w:rsidR="00DC0371" w:rsidRPr="00C727CA">
        <w:t xml:space="preserve">určitý </w:t>
      </w:r>
      <w:r w:rsidR="00AB36FE" w:rsidRPr="00C727CA">
        <w:t>uchazeč pokusil, mohl by být t</w:t>
      </w:r>
      <w:r w:rsidR="003F0BEF" w:rsidRPr="00C727CA">
        <w:t xml:space="preserve">ento </w:t>
      </w:r>
      <w:r w:rsidR="00DC0371" w:rsidRPr="00C727CA">
        <w:t>jeho</w:t>
      </w:r>
      <w:r w:rsidR="003F0BEF" w:rsidRPr="00C727CA">
        <w:t xml:space="preserve"> postup</w:t>
      </w:r>
      <w:r w:rsidR="00AB36FE" w:rsidRPr="00C727CA">
        <w:t xml:space="preserve"> </w:t>
      </w:r>
      <w:r w:rsidR="009427E0" w:rsidRPr="00C727CA">
        <w:t xml:space="preserve">chápán jako podnět podle </w:t>
      </w:r>
      <w:r w:rsidR="00DF6AD2" w:rsidRPr="00C727CA">
        <w:t xml:space="preserve">§ 42 zákona č. 500/2004 Sb., správní řád, ve </w:t>
      </w:r>
      <w:r w:rsidR="003C1491" w:rsidRPr="00C727CA">
        <w:t>znění</w:t>
      </w:r>
      <w:r w:rsidR="00DF6AD2" w:rsidRPr="00C727CA">
        <w:t xml:space="preserve"> pozdějších předpisů (dále jen „správní řád“)</w:t>
      </w:r>
      <w:r w:rsidR="00FA58B8" w:rsidRPr="00C727CA">
        <w:t>,</w:t>
      </w:r>
      <w:r w:rsidR="00DF6AD2" w:rsidRPr="00C727CA">
        <w:t xml:space="preserve"> na který může ÚOHS zareagovat zahájením řízení </w:t>
      </w:r>
      <w:r w:rsidR="00C80D5F" w:rsidRPr="00C727CA">
        <w:rPr>
          <w:i/>
        </w:rPr>
        <w:t>ex offo</w:t>
      </w:r>
      <w:r w:rsidR="00C80D5F" w:rsidRPr="00C727CA">
        <w:t>,</w:t>
      </w:r>
      <w:r w:rsidR="00FA58B8" w:rsidRPr="00C727CA">
        <w:t xml:space="preserve"> </w:t>
      </w:r>
      <w:r w:rsidR="00462916" w:rsidRPr="00C727CA">
        <w:t xml:space="preserve">jak také ÚOHS učinil ve </w:t>
      </w:r>
      <w:r w:rsidR="00560B02" w:rsidRPr="00C727CA">
        <w:t xml:space="preserve">svém </w:t>
      </w:r>
      <w:r w:rsidR="00462916" w:rsidRPr="00C727CA">
        <w:t>starším rozhodnutí</w:t>
      </w:r>
      <w:r w:rsidR="00560B02" w:rsidRPr="00C727CA">
        <w:rPr>
          <w:rStyle w:val="FootnoteReference"/>
        </w:rPr>
        <w:footnoteReference w:id="39"/>
      </w:r>
      <w:r w:rsidR="00462916" w:rsidRPr="00C727CA">
        <w:t xml:space="preserve"> a </w:t>
      </w:r>
      <w:r w:rsidR="00FA58B8" w:rsidRPr="00C727CA">
        <w:t xml:space="preserve">jak si </w:t>
      </w:r>
      <w:r w:rsidR="00560B02" w:rsidRPr="00C727CA">
        <w:t xml:space="preserve">také </w:t>
      </w:r>
      <w:r w:rsidR="00FA58B8" w:rsidRPr="00C727CA">
        <w:t>myslí docent Jurčík s</w:t>
      </w:r>
      <w:r w:rsidR="00C80D5F" w:rsidRPr="00C727CA">
        <w:t> </w:t>
      </w:r>
      <w:r w:rsidR="00FA58B8" w:rsidRPr="00C727CA">
        <w:t>tím</w:t>
      </w:r>
      <w:r w:rsidR="00C80D5F" w:rsidRPr="00C727CA">
        <w:t>,</w:t>
      </w:r>
      <w:r w:rsidR="00FA58B8" w:rsidRPr="00C727CA">
        <w:t xml:space="preserve"> že dodává, </w:t>
      </w:r>
      <w:r w:rsidR="00DF6AD2" w:rsidRPr="00C727CA">
        <w:t>že by ÚOHS měl takto postupovat v </w:t>
      </w:r>
      <w:r w:rsidR="00AB36FE" w:rsidRPr="00C727CA">
        <w:t>daných</w:t>
      </w:r>
      <w:r w:rsidR="00DF6AD2" w:rsidRPr="00C727CA">
        <w:t xml:space="preserve"> případech jen </w:t>
      </w:r>
      <w:r w:rsidR="003C1491" w:rsidRPr="00C727CA">
        <w:t>zřídka</w:t>
      </w:r>
      <w:r w:rsidR="00DF6AD2" w:rsidRPr="00C727CA">
        <w:t xml:space="preserve"> např. z důvodu porušení </w:t>
      </w:r>
      <w:r w:rsidR="003C1491" w:rsidRPr="00C727CA">
        <w:t>zásad</w:t>
      </w:r>
      <w:r w:rsidR="00DF6AD2" w:rsidRPr="00C727CA">
        <w:t xml:space="preserve"> </w:t>
      </w:r>
      <w:r w:rsidR="00C80D5F" w:rsidRPr="00C727CA">
        <w:t xml:space="preserve">právě </w:t>
      </w:r>
      <w:r w:rsidR="00AB36FE" w:rsidRPr="00C727CA">
        <w:t>vzhledem k</w:t>
      </w:r>
      <w:r w:rsidR="0072452D" w:rsidRPr="00C727CA">
        <w:t xml:space="preserve"> § 18 odst. </w:t>
      </w:r>
      <w:r w:rsidR="00DF6AD2" w:rsidRPr="00C727CA">
        <w:t xml:space="preserve">5 zákona. </w:t>
      </w:r>
      <w:r w:rsidR="007B405F" w:rsidRPr="00C727CA">
        <w:t>To</w:t>
      </w:r>
      <w:r w:rsidR="00DC0371" w:rsidRPr="00C727CA">
        <w:t>to</w:t>
      </w:r>
      <w:r w:rsidR="007B405F" w:rsidRPr="00C727CA">
        <w:t xml:space="preserve"> ovšem nic ne</w:t>
      </w:r>
      <w:r w:rsidR="00FB5E75" w:rsidRPr="00C727CA">
        <w:t>mě</w:t>
      </w:r>
      <w:r w:rsidR="007B405F" w:rsidRPr="00C727CA">
        <w:t>ní na faktu, že jde o VZ definovanou zákonem o VZ</w:t>
      </w:r>
      <w:r w:rsidR="002A5D99" w:rsidRPr="00C727CA">
        <w:t xml:space="preserve"> s tím, že přezkumnou činnost </w:t>
      </w:r>
      <w:r w:rsidR="00C80D5F" w:rsidRPr="00C727CA">
        <w:t xml:space="preserve">u </w:t>
      </w:r>
      <w:r w:rsidR="002A5D99" w:rsidRPr="00C727CA">
        <w:t xml:space="preserve">těchto </w:t>
      </w:r>
      <w:r w:rsidR="00DC0371" w:rsidRPr="00C727CA">
        <w:t>zakázek</w:t>
      </w:r>
      <w:r w:rsidR="002A5D99" w:rsidRPr="00C727CA">
        <w:t xml:space="preserve"> provádí soud v řízení dle zákona č. 99/1963 Sb., občanský soudní řád, ve znění pozdějších předpisů (dále jen „OSŘ“)</w:t>
      </w:r>
      <w:r w:rsidR="005C2B81" w:rsidRPr="00C727CA">
        <w:t>.</w:t>
      </w:r>
      <w:r w:rsidR="00B214F3" w:rsidRPr="00C727CA">
        <w:t xml:space="preserve"> </w:t>
      </w:r>
      <w:r w:rsidR="005B7268" w:rsidRPr="00C727CA">
        <w:t xml:space="preserve">V daném řízení by zadavatel musel především prokázat, že na </w:t>
      </w:r>
      <w:r w:rsidR="00B214F3" w:rsidRPr="00C727CA">
        <w:t xml:space="preserve">takovou VZ </w:t>
      </w:r>
      <w:r w:rsidR="005B7268" w:rsidRPr="00C727CA">
        <w:t>vynaložil</w:t>
      </w:r>
      <w:r w:rsidR="00B214F3" w:rsidRPr="00C727CA">
        <w:t xml:space="preserve"> pouze tolik</w:t>
      </w:r>
      <w:r w:rsidR="005B7268" w:rsidRPr="00C727CA">
        <w:t xml:space="preserve"> finančních prostředků</w:t>
      </w:r>
      <w:r w:rsidR="00B214F3" w:rsidRPr="00C727CA">
        <w:t xml:space="preserve">, </w:t>
      </w:r>
      <w:r w:rsidR="00C80D5F" w:rsidRPr="00C727CA">
        <w:t xml:space="preserve">kolik stanovují limity </w:t>
      </w:r>
      <w:r w:rsidR="00BC6C98" w:rsidRPr="00C727CA">
        <w:t>v §</w:t>
      </w:r>
      <w:r w:rsidR="00B214F3" w:rsidRPr="00C727CA">
        <w:t xml:space="preserve">12 odst. 3 zákona. V opačném případě se </w:t>
      </w:r>
      <w:r w:rsidR="00BC6C98" w:rsidRPr="00C727CA">
        <w:t>stále ještě</w:t>
      </w:r>
      <w:r w:rsidR="00FA58B8" w:rsidRPr="00C727CA">
        <w:t xml:space="preserve"> </w:t>
      </w:r>
      <w:r w:rsidR="00B214F3" w:rsidRPr="00C727CA">
        <w:t>nemusí jednat o porušení zákona</w:t>
      </w:r>
      <w:r w:rsidR="00FA58B8" w:rsidRPr="00C727CA">
        <w:t>, nicméně</w:t>
      </w:r>
      <w:r w:rsidR="00B214F3" w:rsidRPr="00C727CA">
        <w:t xml:space="preserve"> pouze za</w:t>
      </w:r>
      <w:r w:rsidR="00AD0307">
        <w:t> </w:t>
      </w:r>
      <w:r w:rsidR="002A10E2" w:rsidRPr="00C727CA">
        <w:t>podmínky</w:t>
      </w:r>
      <w:r w:rsidR="00B214F3" w:rsidRPr="00C727CA">
        <w:t>, že zadavatel řádně stanovil předpokládanou hodnotu VZ</w:t>
      </w:r>
      <w:r w:rsidR="00C17B15" w:rsidRPr="00C727CA">
        <w:rPr>
          <w:rStyle w:val="FootnoteReference"/>
        </w:rPr>
        <w:footnoteReference w:id="40"/>
      </w:r>
      <w:r w:rsidR="00B214F3" w:rsidRPr="00C727CA">
        <w:t xml:space="preserve"> dle § 13 a násl.</w:t>
      </w:r>
      <w:r w:rsidR="00874015" w:rsidRPr="00C727CA">
        <w:t xml:space="preserve"> </w:t>
      </w:r>
      <w:r w:rsidR="00B214F3" w:rsidRPr="00C727CA">
        <w:t>zákona.</w:t>
      </w:r>
      <w:r w:rsidR="00874015" w:rsidRPr="00C727CA">
        <w:rPr>
          <w:rStyle w:val="FootnoteReference"/>
        </w:rPr>
        <w:footnoteReference w:id="41"/>
      </w:r>
    </w:p>
    <w:p w14:paraId="0CB97B9D" w14:textId="77777777" w:rsidR="005B7268" w:rsidRDefault="005B7268" w:rsidP="00FA2973">
      <w:pPr>
        <w:ind w:firstLine="0"/>
        <w:rPr>
          <w:color w:val="FF0000"/>
        </w:rPr>
      </w:pPr>
    </w:p>
    <w:p w14:paraId="45978BFB" w14:textId="77777777" w:rsidR="00562223" w:rsidRPr="00C727CA" w:rsidRDefault="00562223" w:rsidP="00FA2973">
      <w:pPr>
        <w:ind w:firstLine="0"/>
        <w:rPr>
          <w:color w:val="FF0000"/>
        </w:rPr>
      </w:pPr>
    </w:p>
    <w:p w14:paraId="42C7EB89" w14:textId="77777777" w:rsidR="00333962" w:rsidRPr="00C727CA" w:rsidRDefault="00A133E2" w:rsidP="00BC6C98">
      <w:pPr>
        <w:pStyle w:val="ListParagraph"/>
        <w:numPr>
          <w:ilvl w:val="0"/>
          <w:numId w:val="38"/>
        </w:numPr>
        <w:spacing w:after="0" w:line="360" w:lineRule="auto"/>
      </w:pPr>
      <w:r w:rsidRPr="00C727CA">
        <w:t xml:space="preserve"> Podlimitní veřejné zakázky</w:t>
      </w:r>
    </w:p>
    <w:p w14:paraId="0AA3B4C6" w14:textId="77777777" w:rsidR="003A1891" w:rsidRPr="00C727CA" w:rsidRDefault="003A1891" w:rsidP="00BC6C98">
      <w:pPr>
        <w:ind w:firstLine="0"/>
      </w:pPr>
      <w:r w:rsidRPr="00C727CA">
        <w:tab/>
        <w:t>Zadávání podlimitních VZ je</w:t>
      </w:r>
      <w:r w:rsidR="005B7268" w:rsidRPr="00C727CA">
        <w:t>,</w:t>
      </w:r>
      <w:r w:rsidRPr="00C727CA">
        <w:t xml:space="preserve"> na rozdíl od těch malého rozsahu</w:t>
      </w:r>
      <w:r w:rsidR="005B7268" w:rsidRPr="00C727CA">
        <w:t>,</w:t>
      </w:r>
      <w:r w:rsidRPr="00C727CA">
        <w:t xml:space="preserve"> již plně v dikci zákona o VZ. Představují v podstatě určitý most mezi formálně a administrativně méně náročným zadáváním VZ malého rozsahu</w:t>
      </w:r>
      <w:r w:rsidR="005B7268" w:rsidRPr="00C727CA">
        <w:t>,</w:t>
      </w:r>
      <w:r w:rsidRPr="00C727CA">
        <w:t xml:space="preserve"> </w:t>
      </w:r>
      <w:r w:rsidR="00FA58B8" w:rsidRPr="00C727CA">
        <w:t>vzhledem k</w:t>
      </w:r>
      <w:r w:rsidRPr="00C727CA">
        <w:t xml:space="preserve"> výjimce </w:t>
      </w:r>
      <w:r w:rsidR="00FA58B8" w:rsidRPr="00C727CA">
        <w:t>v</w:t>
      </w:r>
      <w:r w:rsidRPr="00C727CA">
        <w:t xml:space="preserve"> § 18 odst. 5 zákona</w:t>
      </w:r>
      <w:r w:rsidR="005B7268" w:rsidRPr="00C727CA">
        <w:t>,</w:t>
      </w:r>
      <w:r w:rsidR="00BC1535" w:rsidRPr="00C727CA">
        <w:t xml:space="preserve"> s tím, že </w:t>
      </w:r>
      <w:r w:rsidRPr="00C727CA">
        <w:t xml:space="preserve">jsou </w:t>
      </w:r>
      <w:r w:rsidR="00BC1535" w:rsidRPr="00C727CA">
        <w:t xml:space="preserve">v podstatě </w:t>
      </w:r>
      <w:r w:rsidRPr="00C727CA">
        <w:t>plněny výhradně tuzemskými dodavateli</w:t>
      </w:r>
      <w:r w:rsidR="002E2E3D" w:rsidRPr="00C727CA">
        <w:t>,</w:t>
      </w:r>
      <w:r w:rsidRPr="00C727CA">
        <w:t xml:space="preserve"> a mezi nadlimitními VZ, které jsou </w:t>
      </w:r>
      <w:r w:rsidR="00BC6C98" w:rsidRPr="00C727CA">
        <w:t xml:space="preserve">naopak </w:t>
      </w:r>
      <w:r w:rsidRPr="00C727CA">
        <w:t xml:space="preserve">velmi náročné na zadávání </w:t>
      </w:r>
      <w:r w:rsidR="00BC1535" w:rsidRPr="00C727CA">
        <w:t xml:space="preserve">a </w:t>
      </w:r>
      <w:r w:rsidR="005B7268" w:rsidRPr="00C727CA">
        <w:t xml:space="preserve">častokrát </w:t>
      </w:r>
      <w:r w:rsidR="00BC6C98" w:rsidRPr="00C727CA">
        <w:t xml:space="preserve">mají </w:t>
      </w:r>
      <w:r w:rsidR="00DB06CD">
        <w:t>i přes</w:t>
      </w:r>
      <w:r w:rsidRPr="00C727CA">
        <w:t xml:space="preserve">hraniční </w:t>
      </w:r>
      <w:r w:rsidR="00BC1535" w:rsidRPr="00C727CA">
        <w:t>dosah</w:t>
      </w:r>
      <w:r w:rsidRPr="00C727CA">
        <w:t>.</w:t>
      </w:r>
      <w:r w:rsidR="001C0298" w:rsidRPr="00C727CA">
        <w:t xml:space="preserve"> Podlimitní VZ jsou také</w:t>
      </w:r>
      <w:r w:rsidR="002E2E3D" w:rsidRPr="00C727CA">
        <w:t xml:space="preserve"> jednodu</w:t>
      </w:r>
      <w:r w:rsidR="00644FA7">
        <w:t>š</w:t>
      </w:r>
      <w:r w:rsidR="002E2E3D" w:rsidRPr="00C727CA">
        <w:t xml:space="preserve">ší na </w:t>
      </w:r>
      <w:r w:rsidR="001C0298" w:rsidRPr="00C727CA">
        <w:t>prokázání</w:t>
      </w:r>
      <w:r w:rsidR="002E2E3D" w:rsidRPr="00C727CA">
        <w:t xml:space="preserve"> kvalifikace na rozdíl od nadlimitních VZ. Platí zde totiž princip, že dodavatel může nahradit prok</w:t>
      </w:r>
      <w:r w:rsidR="00BC6C98" w:rsidRPr="00C727CA">
        <w:t xml:space="preserve">ázání </w:t>
      </w:r>
      <w:r w:rsidR="001C0298" w:rsidRPr="00C727CA">
        <w:t xml:space="preserve">splnění </w:t>
      </w:r>
      <w:r w:rsidR="00BC6C98" w:rsidRPr="00C727CA">
        <w:t>kvalifikace pouhým čestný</w:t>
      </w:r>
      <w:r w:rsidR="002E2E3D" w:rsidRPr="00C727CA">
        <w:t>m prohlášením, pokud zadavatel výslovně nestanov</w:t>
      </w:r>
      <w:r w:rsidR="002A10E2">
        <w:t xml:space="preserve">í </w:t>
      </w:r>
      <w:r w:rsidR="002E2E3D" w:rsidRPr="00C727CA">
        <w:t xml:space="preserve">opak. </w:t>
      </w:r>
      <w:r w:rsidR="001C0298" w:rsidRPr="00C727CA">
        <w:t>Dále</w:t>
      </w:r>
      <w:r w:rsidR="002E2E3D" w:rsidRPr="00C727CA">
        <w:t xml:space="preserve"> zde </w:t>
      </w:r>
      <w:r w:rsidR="001C0298" w:rsidRPr="00C727CA">
        <w:t xml:space="preserve">také </w:t>
      </w:r>
      <w:r w:rsidR="002E2E3D" w:rsidRPr="00C727CA">
        <w:t>platí, že</w:t>
      </w:r>
      <w:r w:rsidR="00BC1535" w:rsidRPr="00C727CA">
        <w:t xml:space="preserve"> </w:t>
      </w:r>
      <w:r w:rsidR="002E2E3D" w:rsidRPr="00C727CA">
        <w:t>„zadavatel není povinen stanovit požadavky na finanční, ekonomickou a techn</w:t>
      </w:r>
      <w:r w:rsidR="004C485D">
        <w:t>ickou způsobilost</w:t>
      </w:r>
      <w:r w:rsidR="002E2E3D" w:rsidRPr="00C727CA">
        <w:t>“</w:t>
      </w:r>
      <w:r w:rsidR="004C485D">
        <w:t>.</w:t>
      </w:r>
      <w:r w:rsidR="002E2E3D" w:rsidRPr="00C727CA">
        <w:rPr>
          <w:rStyle w:val="FootnoteReference"/>
        </w:rPr>
        <w:footnoteReference w:id="42"/>
      </w:r>
      <w:r w:rsidR="001C0298" w:rsidRPr="00C727CA">
        <w:t xml:space="preserve"> S</w:t>
      </w:r>
      <w:r w:rsidR="002E2E3D" w:rsidRPr="00C727CA">
        <w:t xml:space="preserve"> těmito VZ </w:t>
      </w:r>
      <w:r w:rsidR="001C0298" w:rsidRPr="00C727CA">
        <w:t xml:space="preserve">jsou současně </w:t>
      </w:r>
      <w:r w:rsidR="002E2E3D" w:rsidRPr="00C727CA">
        <w:t>spojeny</w:t>
      </w:r>
      <w:r w:rsidR="001C0298" w:rsidRPr="00C727CA">
        <w:t xml:space="preserve"> kratší lhůty pro podání žádosti</w:t>
      </w:r>
      <w:r w:rsidR="002E2E3D" w:rsidRPr="00C727CA">
        <w:t xml:space="preserve"> o účast či </w:t>
      </w:r>
      <w:r w:rsidR="001C0298" w:rsidRPr="00C727CA">
        <w:t xml:space="preserve">podání </w:t>
      </w:r>
      <w:r w:rsidR="002E2E3D" w:rsidRPr="00C727CA">
        <w:t xml:space="preserve">nabídek v jednotlivých </w:t>
      </w:r>
      <w:r w:rsidR="00783CB0" w:rsidRPr="00C727CA">
        <w:t xml:space="preserve">zadávacích řízeních a </w:t>
      </w:r>
      <w:r w:rsidR="001C0298" w:rsidRPr="00C727CA">
        <w:t>i</w:t>
      </w:r>
      <w:r w:rsidR="00783CB0" w:rsidRPr="00C727CA">
        <w:t xml:space="preserve"> zde platí pravidlo </w:t>
      </w:r>
      <w:r w:rsidR="00BC1535" w:rsidRPr="00C727CA">
        <w:t>uvedené v</w:t>
      </w:r>
      <w:r w:rsidR="00783CB0" w:rsidRPr="00C727CA">
        <w:t xml:space="preserve"> § 26 odst. 5 zákona, </w:t>
      </w:r>
      <w:r w:rsidR="00BC1535" w:rsidRPr="00C727CA">
        <w:t xml:space="preserve">tedy </w:t>
      </w:r>
      <w:r w:rsidR="00783CB0" w:rsidRPr="00C727CA">
        <w:t>pokud zadavatel zahájil zadávání podlimitní VZ postupem pro zadávání nadlimitní VZ, musí v tomto postupu pokračovat a zadávat podle ustanovení pro nadlimitní VZ.</w:t>
      </w:r>
      <w:r w:rsidR="0053498B" w:rsidRPr="00C727CA">
        <w:rPr>
          <w:rStyle w:val="FootnoteReference"/>
        </w:rPr>
        <w:footnoteReference w:id="43"/>
      </w:r>
    </w:p>
    <w:p w14:paraId="455AC6C7" w14:textId="77777777" w:rsidR="00BC6C98" w:rsidRPr="00C727CA" w:rsidRDefault="00BC6C98" w:rsidP="00BC6C98">
      <w:pPr>
        <w:ind w:firstLine="0"/>
      </w:pPr>
    </w:p>
    <w:p w14:paraId="468898A2" w14:textId="77777777" w:rsidR="00333962" w:rsidRPr="00C727CA" w:rsidRDefault="00A133E2" w:rsidP="00BC6C98">
      <w:pPr>
        <w:pStyle w:val="ListParagraph"/>
        <w:numPr>
          <w:ilvl w:val="0"/>
          <w:numId w:val="38"/>
        </w:numPr>
        <w:spacing w:after="0" w:line="360" w:lineRule="auto"/>
      </w:pPr>
      <w:r w:rsidRPr="00C727CA">
        <w:t xml:space="preserve"> Nadlimitní veřejné zakázky</w:t>
      </w:r>
      <w:r w:rsidR="00333962" w:rsidRPr="00C727CA">
        <w:t xml:space="preserve"> </w:t>
      </w:r>
    </w:p>
    <w:p w14:paraId="01545E9D" w14:textId="77777777" w:rsidR="00333962" w:rsidRPr="00C727CA" w:rsidRDefault="00ED3556" w:rsidP="00BC6C98">
      <w:pPr>
        <w:rPr>
          <w:color w:val="FF0000"/>
        </w:rPr>
      </w:pPr>
      <w:r w:rsidRPr="00C727CA">
        <w:t xml:space="preserve">Pokud se na tyto VZ nejdříve podíváme z pohledu </w:t>
      </w:r>
      <w:r w:rsidR="001C0298" w:rsidRPr="00C727CA">
        <w:t>konkurence na poli dodavatelů</w:t>
      </w:r>
      <w:r w:rsidRPr="00C727CA">
        <w:t xml:space="preserve">, </w:t>
      </w:r>
      <w:r w:rsidR="001C0298" w:rsidRPr="00C727CA">
        <w:t xml:space="preserve">pak </w:t>
      </w:r>
      <w:r w:rsidRPr="00C727CA">
        <w:t>j</w:t>
      </w:r>
      <w:r w:rsidR="003E74E2" w:rsidRPr="00C727CA">
        <w:t>de o takové VZ</w:t>
      </w:r>
      <w:r w:rsidR="001C0298" w:rsidRPr="00C727CA">
        <w:t>,</w:t>
      </w:r>
      <w:r w:rsidR="003E74E2" w:rsidRPr="00C727CA">
        <w:t xml:space="preserve"> </w:t>
      </w:r>
      <w:r w:rsidR="00457F22" w:rsidRPr="00C727CA">
        <w:t>vzhledem k</w:t>
      </w:r>
      <w:r w:rsidR="001C0298" w:rsidRPr="00C727CA">
        <w:t> výši jejich hodnoty</w:t>
      </w:r>
      <w:r w:rsidR="00457F22" w:rsidRPr="00C727CA">
        <w:t xml:space="preserve">, u kterých se </w:t>
      </w:r>
      <w:r w:rsidR="004C485D">
        <w:t>předpokládá</w:t>
      </w:r>
      <w:r w:rsidR="00457F22" w:rsidRPr="00C727CA">
        <w:t>, že o ně budou mít zájem i zahraniční</w:t>
      </w:r>
      <w:r w:rsidR="00A4031F" w:rsidRPr="00C727CA">
        <w:t xml:space="preserve"> dodavatelé a právě výše jejich hodnoty je </w:t>
      </w:r>
      <w:r w:rsidR="00CB25AC" w:rsidRPr="00C727CA">
        <w:t xml:space="preserve">také </w:t>
      </w:r>
      <w:r w:rsidR="00A4031F" w:rsidRPr="00C727CA">
        <w:t>spojena s největšími formálními a administrativními požadavky na zadávání</w:t>
      </w:r>
      <w:r w:rsidR="009E0071" w:rsidRPr="00C727CA">
        <w:t>.</w:t>
      </w:r>
      <w:r w:rsidR="00A4031F" w:rsidRPr="00C727CA">
        <w:t xml:space="preserve"> Informace o těchto VZ musí být zveřejňovány nejen na národní, ale i na evropské úrovni (vi</w:t>
      </w:r>
      <w:r w:rsidR="004C485D">
        <w:t>z v</w:t>
      </w:r>
      <w:r w:rsidR="00A4031F" w:rsidRPr="00C727CA">
        <w:t>ýše „prioritní služby“) s tím, že fakticky jde o jediné VZ, které jsou regulovány zadávacími směrnicemi EU (</w:t>
      </w:r>
      <w:r w:rsidR="002A10E2">
        <w:t>viz</w:t>
      </w:r>
      <w:r w:rsidR="00A4031F" w:rsidRPr="00C727CA">
        <w:t xml:space="preserve"> výše „</w:t>
      </w:r>
      <w:r w:rsidRPr="00C727CA">
        <w:t>Právo EU jakožto pramen práva VZ</w:t>
      </w:r>
      <w:r w:rsidR="009E0071" w:rsidRPr="00C727CA">
        <w:t>“</w:t>
      </w:r>
      <w:r w:rsidR="00A4031F" w:rsidRPr="00C727CA">
        <w:t>)</w:t>
      </w:r>
      <w:r w:rsidR="001C0298" w:rsidRPr="00C727CA">
        <w:t>.</w:t>
      </w:r>
      <w:r w:rsidR="00A4031F" w:rsidRPr="00C727CA">
        <w:t xml:space="preserve"> </w:t>
      </w:r>
      <w:r w:rsidR="001C0298" w:rsidRPr="00C727CA">
        <w:t xml:space="preserve">Dále </w:t>
      </w:r>
      <w:r w:rsidR="00A4031F" w:rsidRPr="00C727CA">
        <w:t>a</w:t>
      </w:r>
      <w:r w:rsidR="001C0298" w:rsidRPr="00C727CA">
        <w:t>le</w:t>
      </w:r>
      <w:r w:rsidR="00A4031F" w:rsidRPr="00C727CA">
        <w:t xml:space="preserve"> </w:t>
      </w:r>
      <w:r w:rsidR="001C0298" w:rsidRPr="00C727CA">
        <w:t>také podlé</w:t>
      </w:r>
      <w:r w:rsidR="00DB06CD">
        <w:t>ha</w:t>
      </w:r>
      <w:r w:rsidRPr="00C727CA">
        <w:t xml:space="preserve">jí </w:t>
      </w:r>
      <w:r w:rsidR="001C0298" w:rsidRPr="00C727CA">
        <w:t>„</w:t>
      </w:r>
      <w:r w:rsidR="00CB25AC" w:rsidRPr="00C727CA">
        <w:t>Dohodě o veřejných zakázkách</w:t>
      </w:r>
      <w:r w:rsidR="001C0298" w:rsidRPr="00C727CA">
        <w:t>“</w:t>
      </w:r>
      <w:r w:rsidR="00CB25AC" w:rsidRPr="00C727CA">
        <w:t xml:space="preserve">, </w:t>
      </w:r>
      <w:r w:rsidR="003E74E2" w:rsidRPr="00C727CA">
        <w:t>pro</w:t>
      </w:r>
      <w:r w:rsidR="00AD0307">
        <w:t> </w:t>
      </w:r>
      <w:r w:rsidR="003E74E2" w:rsidRPr="00C727CA">
        <w:t>ČR závazné mezinárodní smlouvě</w:t>
      </w:r>
      <w:r w:rsidR="00CB25AC" w:rsidRPr="00C727CA">
        <w:t xml:space="preserve">. </w:t>
      </w:r>
      <w:r w:rsidR="009E0071" w:rsidRPr="00C727CA">
        <w:t xml:space="preserve">Ze statistik </w:t>
      </w:r>
      <w:r w:rsidR="00CB25AC" w:rsidRPr="00C727CA">
        <w:t>však</w:t>
      </w:r>
      <w:r w:rsidR="009E0071" w:rsidRPr="00C727CA">
        <w:t xml:space="preserve"> vyplývá, ž</w:t>
      </w:r>
      <w:r w:rsidR="001C0298" w:rsidRPr="00C727CA">
        <w:t>e podíl zahraničních dodavatelů</w:t>
      </w:r>
      <w:r w:rsidR="00CB25AC" w:rsidRPr="00C727CA">
        <w:t xml:space="preserve"> </w:t>
      </w:r>
      <w:r w:rsidR="001C0298" w:rsidRPr="00C727CA">
        <w:t xml:space="preserve">na plnění </w:t>
      </w:r>
      <w:r w:rsidR="00CB25AC" w:rsidRPr="00C727CA">
        <w:t xml:space="preserve">těchto VZ je </w:t>
      </w:r>
      <w:r w:rsidR="001C0298" w:rsidRPr="00C727CA">
        <w:t>ve výsledku</w:t>
      </w:r>
      <w:r w:rsidR="00CB25AC" w:rsidRPr="00C727CA">
        <w:t xml:space="preserve"> </w:t>
      </w:r>
      <w:r w:rsidR="009E0071" w:rsidRPr="00C727CA">
        <w:t>vcelku zanedbatelný</w:t>
      </w:r>
      <w:r w:rsidR="001C0298" w:rsidRPr="00C727CA">
        <w:t>,</w:t>
      </w:r>
      <w:r w:rsidR="009E0071" w:rsidRPr="00C727CA">
        <w:t xml:space="preserve"> v podobě </w:t>
      </w:r>
      <w:r w:rsidR="00CB25AC" w:rsidRPr="00C727CA">
        <w:t xml:space="preserve">pouhých </w:t>
      </w:r>
      <w:r w:rsidR="009E0071" w:rsidRPr="00C727CA">
        <w:t>2</w:t>
      </w:r>
      <w:r w:rsidR="00CB25AC" w:rsidRPr="00C727CA">
        <w:t xml:space="preserve"> </w:t>
      </w:r>
      <w:r w:rsidR="009E0071" w:rsidRPr="00C727CA">
        <w:t>%.</w:t>
      </w:r>
      <w:r w:rsidR="009E0071" w:rsidRPr="00C727CA">
        <w:rPr>
          <w:rStyle w:val="FootnoteReference"/>
        </w:rPr>
        <w:footnoteReference w:id="44"/>
      </w:r>
    </w:p>
    <w:p w14:paraId="1CBE65C2" w14:textId="77777777" w:rsidR="00850240" w:rsidRPr="00C727CA" w:rsidRDefault="00850240" w:rsidP="002F722F">
      <w:pPr>
        <w:pStyle w:val="Heading3"/>
        <w:spacing w:line="360" w:lineRule="auto"/>
        <w:rPr>
          <w:color w:val="auto"/>
        </w:rPr>
      </w:pPr>
      <w:bookmarkStart w:id="12" w:name="_Toc472859441"/>
      <w:r w:rsidRPr="00C727CA">
        <w:rPr>
          <w:color w:val="auto"/>
        </w:rPr>
        <w:t>Významné, zelené a VZ v oblasti bezpečnosti a obrany</w:t>
      </w:r>
      <w:bookmarkEnd w:id="12"/>
    </w:p>
    <w:p w14:paraId="4F528A36" w14:textId="77777777" w:rsidR="00A55D0A" w:rsidRPr="00C727CA" w:rsidRDefault="00FA58C7" w:rsidP="002F722F">
      <w:pPr>
        <w:pStyle w:val="ListParagraph"/>
        <w:numPr>
          <w:ilvl w:val="0"/>
          <w:numId w:val="47"/>
        </w:numPr>
        <w:spacing w:after="120"/>
      </w:pPr>
      <w:r w:rsidRPr="00C727CA">
        <w:t>V</w:t>
      </w:r>
      <w:r w:rsidR="00056022" w:rsidRPr="00C727CA">
        <w:t>ýznamné VZ</w:t>
      </w:r>
    </w:p>
    <w:p w14:paraId="2C8D0A94" w14:textId="77777777" w:rsidR="00515193" w:rsidRPr="00C727CA" w:rsidRDefault="008E2F49" w:rsidP="008E2F49">
      <w:pPr>
        <w:ind w:firstLine="360"/>
      </w:pPr>
      <w:r w:rsidRPr="00C727CA">
        <w:t xml:space="preserve">Charakteristickým znakem těchto VZ je to, že jejich předpokládaná hodnota přesahuje určitý finanční limit bez ohledu na předmět VZ. Konkrétně </w:t>
      </w:r>
      <w:r w:rsidR="002A10E2">
        <w:t xml:space="preserve">jde </w:t>
      </w:r>
      <w:r w:rsidRPr="00C727CA">
        <w:t xml:space="preserve">o limity </w:t>
      </w:r>
      <w:r w:rsidR="004C485D">
        <w:t xml:space="preserve">stanovené § 16a zákona, </w:t>
      </w:r>
      <w:r w:rsidR="00757188" w:rsidRPr="00C727CA">
        <w:t>50</w:t>
      </w:r>
      <w:r w:rsidRPr="00C727CA">
        <w:t xml:space="preserve"> či </w:t>
      </w:r>
      <w:r w:rsidR="00757188" w:rsidRPr="00C727CA">
        <w:t>30</w:t>
      </w:r>
      <w:r w:rsidRPr="00C727CA">
        <w:t xml:space="preserve">0 milionů Kč s tím, že zadavatelem musí být vždy určitý veřejný zadavatel, abychom mohli takovou VZ překračující daný limit označit </w:t>
      </w:r>
      <w:r w:rsidR="00B93041" w:rsidRPr="00C727CA">
        <w:t xml:space="preserve">právě </w:t>
      </w:r>
      <w:r w:rsidRPr="00C727CA">
        <w:t>za významnou VZ a tím pádem</w:t>
      </w:r>
      <w:r w:rsidR="00757188" w:rsidRPr="00C727CA">
        <w:t>,</w:t>
      </w:r>
      <w:r w:rsidRPr="00C727CA">
        <w:t xml:space="preserve"> v rámci zadávacího řízení</w:t>
      </w:r>
      <w:r w:rsidR="00757188" w:rsidRPr="00C727CA">
        <w:t>,</w:t>
      </w:r>
      <w:r w:rsidRPr="00C727CA">
        <w:t xml:space="preserve"> uplatnit</w:t>
      </w:r>
      <w:r w:rsidR="004C485D">
        <w:t>,</w:t>
      </w:r>
      <w:r w:rsidRPr="00C727CA">
        <w:t xml:space="preserve"> </w:t>
      </w:r>
      <w:r w:rsidR="00757188" w:rsidRPr="00C727CA">
        <w:t>případně</w:t>
      </w:r>
      <w:r w:rsidR="00B93041" w:rsidRPr="00C727CA">
        <w:t xml:space="preserve"> naplnit</w:t>
      </w:r>
      <w:r w:rsidR="004C485D">
        <w:t>,</w:t>
      </w:r>
      <w:r w:rsidR="00B93041" w:rsidRPr="00C727CA">
        <w:t xml:space="preserve"> </w:t>
      </w:r>
      <w:r w:rsidR="00757188" w:rsidRPr="00C727CA">
        <w:t>určité</w:t>
      </w:r>
      <w:r w:rsidRPr="00C727CA">
        <w:t xml:space="preserve"> odchylky</w:t>
      </w:r>
      <w:r w:rsidR="00757188" w:rsidRPr="00C727CA">
        <w:t xml:space="preserve"> od</w:t>
      </w:r>
      <w:r w:rsidR="00AD0307">
        <w:t> </w:t>
      </w:r>
      <w:r w:rsidR="00757188" w:rsidRPr="00C727CA">
        <w:t>běžného zadávání VZ</w:t>
      </w:r>
      <w:r w:rsidRPr="00C727CA">
        <w:t xml:space="preserve">, jako je prodloužení </w:t>
      </w:r>
      <w:r w:rsidR="00DB06CD" w:rsidRPr="00C727CA">
        <w:t>lhůt o polovinu</w:t>
      </w:r>
      <w:r w:rsidRPr="00C727CA">
        <w:t xml:space="preserve"> dle § 39 odst. 4 zákona, </w:t>
      </w:r>
      <w:r w:rsidR="00757188" w:rsidRPr="00C727CA">
        <w:t>naplnění podmínky</w:t>
      </w:r>
      <w:r w:rsidRPr="00C727CA">
        <w:t xml:space="preserve"> na počet a složení hodnotící komise či </w:t>
      </w:r>
      <w:r w:rsidR="00757188" w:rsidRPr="00C727CA">
        <w:t>naplnění podmínky</w:t>
      </w:r>
      <w:r w:rsidR="00B93041" w:rsidRPr="00C727CA">
        <w:t xml:space="preserve"> </w:t>
      </w:r>
      <w:r w:rsidRPr="00C727CA">
        <w:t>schvalování odůvodnění VZ příslušným</w:t>
      </w:r>
      <w:r w:rsidR="00B93041" w:rsidRPr="00C727CA">
        <w:t xml:space="preserve"> orgánem.</w:t>
      </w:r>
      <w:r w:rsidR="00B93041" w:rsidRPr="00C727CA">
        <w:rPr>
          <w:rStyle w:val="FootnoteReference"/>
        </w:rPr>
        <w:footnoteReference w:id="45"/>
      </w:r>
    </w:p>
    <w:p w14:paraId="39DBA08A" w14:textId="77777777" w:rsidR="00FA58C7" w:rsidRPr="00C727CA" w:rsidRDefault="00FA58C7" w:rsidP="00FA58C7">
      <w:pPr>
        <w:ind w:firstLine="0"/>
      </w:pPr>
    </w:p>
    <w:p w14:paraId="39AAA0A1" w14:textId="77777777" w:rsidR="00937754" w:rsidRPr="00C727CA" w:rsidRDefault="00FA58C7" w:rsidP="00843EB3">
      <w:pPr>
        <w:pStyle w:val="ListParagraph"/>
        <w:numPr>
          <w:ilvl w:val="0"/>
          <w:numId w:val="47"/>
        </w:numPr>
        <w:spacing w:after="0"/>
      </w:pPr>
      <w:r w:rsidRPr="00C727CA">
        <w:t>Z</w:t>
      </w:r>
      <w:r w:rsidR="00937754" w:rsidRPr="00C727CA">
        <w:t>elené VZ</w:t>
      </w:r>
      <w:r w:rsidR="00843EB3" w:rsidRPr="00C727CA">
        <w:t xml:space="preserve"> (Green Procurement)</w:t>
      </w:r>
    </w:p>
    <w:p w14:paraId="61E119CD" w14:textId="77777777" w:rsidR="00937754" w:rsidRPr="00C727CA" w:rsidRDefault="00843EB3" w:rsidP="00843EB3">
      <w:pPr>
        <w:ind w:firstLine="360"/>
      </w:pPr>
      <w:r w:rsidRPr="00C727CA">
        <w:t>„Podle Evropské komise se zeleným veřejným obstaráváním rozumí takové zadávání veřejných zakázek, u kterých zadavatelé berou ohled na ekologické faktory při pořizování dodávek, poskytování služeb a stavebních prací.“</w:t>
      </w:r>
      <w:r w:rsidRPr="00C727CA">
        <w:rPr>
          <w:rStyle w:val="FootnoteReference"/>
        </w:rPr>
        <w:footnoteReference w:id="46"/>
      </w:r>
      <w:r w:rsidRPr="00C727CA">
        <w:t xml:space="preserve"> Toto je však pouze jedna z možností, jak chápat zelené VZ. Za zelené VZ můžeme také chápat takové zakázky, „které jsou cíleně zadávány za účelem zlepšení životního prostředí (čističky odpadních vod, apod.)</w:t>
      </w:r>
      <w:r w:rsidR="004C485D">
        <w:t>“.</w:t>
      </w:r>
      <w:r w:rsidR="004C485D">
        <w:rPr>
          <w:rStyle w:val="FootnoteReference"/>
        </w:rPr>
        <w:footnoteReference w:id="47"/>
      </w:r>
      <w:r w:rsidR="00240F1D" w:rsidRPr="00C727CA">
        <w:t xml:space="preserve"> Obecně pak můžeme </w:t>
      </w:r>
      <w:r w:rsidR="00757188" w:rsidRPr="00C727CA">
        <w:t xml:space="preserve">také </w:t>
      </w:r>
      <w:r w:rsidR="00240F1D" w:rsidRPr="00C727CA">
        <w:t xml:space="preserve">říci, že existují určité okruhy předmětů VZ, které mají </w:t>
      </w:r>
      <w:r w:rsidR="00757188" w:rsidRPr="00C727CA">
        <w:t xml:space="preserve">ze své přirozenosti určitý </w:t>
      </w:r>
      <w:r w:rsidR="00240F1D" w:rsidRPr="00C727CA">
        <w:t>vliv na životní prostředí</w:t>
      </w:r>
      <w:r w:rsidR="008441E4" w:rsidRPr="00C727CA">
        <w:t>, jako jsou např. dopravní prostředky a služby v dopravě, kancelářský papír, textilní produkty, nízkoenergetické budovy atd.</w:t>
      </w:r>
      <w:r w:rsidR="008441E4" w:rsidRPr="00C727CA">
        <w:rPr>
          <w:rStyle w:val="FootnoteReference"/>
        </w:rPr>
        <w:footnoteReference w:id="48"/>
      </w:r>
    </w:p>
    <w:p w14:paraId="13A7BB19" w14:textId="77777777" w:rsidR="00FA58C7" w:rsidRPr="00C727CA" w:rsidRDefault="00FA58C7" w:rsidP="00FA58C7">
      <w:pPr>
        <w:ind w:firstLine="0"/>
      </w:pPr>
    </w:p>
    <w:p w14:paraId="24C15798" w14:textId="77777777" w:rsidR="00937754" w:rsidRPr="00C727CA" w:rsidRDefault="00937754" w:rsidP="00FA58C7">
      <w:pPr>
        <w:pStyle w:val="ListParagraph"/>
        <w:numPr>
          <w:ilvl w:val="0"/>
          <w:numId w:val="47"/>
        </w:numPr>
        <w:spacing w:after="0" w:line="360" w:lineRule="auto"/>
      </w:pPr>
      <w:r w:rsidRPr="00C727CA">
        <w:t>VZ v oblasti bezpečnosti a obrany</w:t>
      </w:r>
    </w:p>
    <w:p w14:paraId="284A2DD3" w14:textId="77777777" w:rsidR="00FA58C7" w:rsidRPr="00C727CA" w:rsidRDefault="00081CAD" w:rsidP="007C7C3F">
      <w:pPr>
        <w:ind w:firstLine="360"/>
      </w:pPr>
      <w:r w:rsidRPr="00C727CA">
        <w:t>Dle § 10a zákona jde o takové VZ, jejímž předmětem jsou dodávky vojenského materiálu, citlivého materiálu</w:t>
      </w:r>
      <w:r w:rsidR="0087466D" w:rsidRPr="00C727CA">
        <w:t>, dále pak stavební práce, dodávky či služby přímo související s uvedenými dodávkami, dále stavební práce či služby pro výhradně vojenské účely, nebo citlivé stavební práce či služby. I u těchto VZ následně platí, že jsou spojeny s určitými zvlášt</w:t>
      </w:r>
      <w:r w:rsidR="00757188" w:rsidRPr="00C727CA">
        <w:t>nostmi v procesu zadávání takových</w:t>
      </w:r>
      <w:r w:rsidR="0087466D" w:rsidRPr="00C727CA">
        <w:t xml:space="preserve"> VZ, jako jsou např. zvláštnosti spojené s kva</w:t>
      </w:r>
      <w:r w:rsidR="007A212B">
        <w:t xml:space="preserve">lifikací dodavatelů, nebo </w:t>
      </w:r>
      <w:r w:rsidR="0087466D" w:rsidRPr="00C727CA">
        <w:t>určité postupy při výběru subdodavatelů.</w:t>
      </w:r>
      <w:r w:rsidR="0087466D" w:rsidRPr="00C727CA">
        <w:rPr>
          <w:rStyle w:val="FootnoteReference"/>
        </w:rPr>
        <w:footnoteReference w:id="49"/>
      </w:r>
    </w:p>
    <w:p w14:paraId="40CCB5B1" w14:textId="77777777" w:rsidR="009B5AF4" w:rsidRPr="00C727CA" w:rsidRDefault="009B5AF4" w:rsidP="007C7C3F">
      <w:pPr>
        <w:pStyle w:val="Heading2"/>
        <w:spacing w:after="0" w:line="360" w:lineRule="auto"/>
        <w:rPr>
          <w:color w:val="auto"/>
        </w:rPr>
      </w:pPr>
      <w:bookmarkStart w:id="13" w:name="_Toc472859442"/>
      <w:r w:rsidRPr="00C727CA">
        <w:rPr>
          <w:color w:val="auto"/>
        </w:rPr>
        <w:t xml:space="preserve">Zásady </w:t>
      </w:r>
      <w:r w:rsidR="00F30116" w:rsidRPr="00C727CA">
        <w:rPr>
          <w:color w:val="auto"/>
        </w:rPr>
        <w:t>postupu zadavatele</w:t>
      </w:r>
      <w:bookmarkEnd w:id="13"/>
    </w:p>
    <w:p w14:paraId="0863306E" w14:textId="77777777" w:rsidR="002E1DF3" w:rsidRPr="00C727CA" w:rsidRDefault="009953D4" w:rsidP="00A9664F">
      <w:pPr>
        <w:ind w:firstLine="0"/>
      </w:pPr>
      <w:r w:rsidRPr="00C727CA">
        <w:t>Zásady postupu zadava</w:t>
      </w:r>
      <w:r w:rsidR="00F30116" w:rsidRPr="00C727CA">
        <w:t>tele jsou uvedeny v § 6 záko</w:t>
      </w:r>
      <w:r w:rsidR="007A212B">
        <w:t xml:space="preserve">na </w:t>
      </w:r>
      <w:r w:rsidR="00F30116" w:rsidRPr="00C727CA">
        <w:t>s tím, že</w:t>
      </w:r>
      <w:r w:rsidRPr="00C727CA">
        <w:t xml:space="preserve"> </w:t>
      </w:r>
      <w:r w:rsidR="00FF26CE">
        <w:t>odst. 1</w:t>
      </w:r>
      <w:r w:rsidR="00F30116" w:rsidRPr="00C727CA">
        <w:t xml:space="preserve"> říká</w:t>
      </w:r>
      <w:r w:rsidRPr="00C727CA">
        <w:t>: „Zadavatel je povinen při postupu podle tohoto zákona dodržovat zásady transparentnosti, rovného zacházení a zákazu diskriminace.“</w:t>
      </w:r>
      <w:r w:rsidR="00076CC9" w:rsidRPr="00C727CA">
        <w:t xml:space="preserve"> Toto ustanovení má sice </w:t>
      </w:r>
      <w:r w:rsidR="00DB4748" w:rsidRPr="00C727CA">
        <w:t>jen</w:t>
      </w:r>
      <w:r w:rsidR="00076CC9" w:rsidRPr="00C727CA">
        <w:t xml:space="preserve"> demonstrativní charakter, nicméně uvádí nejdůležitější zásady, na kterých je celý zákon a </w:t>
      </w:r>
      <w:r w:rsidR="00DB4748" w:rsidRPr="00C727CA">
        <w:t xml:space="preserve">celý </w:t>
      </w:r>
      <w:r w:rsidR="00076CC9" w:rsidRPr="00C727CA">
        <w:t xml:space="preserve">proces zadávání VZ postaven. Jde </w:t>
      </w:r>
      <w:r w:rsidR="007C7C3F" w:rsidRPr="00C727CA">
        <w:t xml:space="preserve">tedy </w:t>
      </w:r>
      <w:r w:rsidR="00076CC9" w:rsidRPr="00C727CA">
        <w:t>o zásady:</w:t>
      </w:r>
    </w:p>
    <w:p w14:paraId="6045995E" w14:textId="77777777" w:rsidR="00076CC9" w:rsidRPr="00C727CA" w:rsidRDefault="00076CC9" w:rsidP="007C7C3F">
      <w:pPr>
        <w:pStyle w:val="ListParagraph"/>
        <w:numPr>
          <w:ilvl w:val="0"/>
          <w:numId w:val="46"/>
        </w:numPr>
        <w:spacing w:line="360" w:lineRule="auto"/>
        <w:jc w:val="both"/>
      </w:pPr>
      <w:r w:rsidRPr="00C727CA">
        <w:t xml:space="preserve">transparentnosti </w:t>
      </w:r>
      <w:r w:rsidR="007A212B" w:rsidRPr="007A212B">
        <w:t>–</w:t>
      </w:r>
      <w:r w:rsidRPr="00C727CA">
        <w:t xml:space="preserve"> </w:t>
      </w:r>
      <w:r w:rsidR="009C0A21" w:rsidRPr="00C727CA">
        <w:t>tato zásada souvisí a také se projevuje v celém způsobu vedení konkrétního zadávacího řízení v tom smyslu, že zadavatel má povinnost uveřejňovat nejdůležitější informace z daného řízení, pořizovat o svých úkonech záznamy, odůvodňovat svá rozhodnutí či např. zveřejňovat finální smlouvu včetně dohodnuté ceny</w:t>
      </w:r>
      <w:r w:rsidR="005D563E" w:rsidRPr="00C727CA">
        <w:t xml:space="preserve">, tedy být </w:t>
      </w:r>
      <w:r w:rsidR="004B6972" w:rsidRPr="00C727CA">
        <w:t>transparentní ve všeobecném</w:t>
      </w:r>
      <w:r w:rsidR="005D563E" w:rsidRPr="00C727CA">
        <w:t xml:space="preserve"> smyslu slova</w:t>
      </w:r>
      <w:r w:rsidR="009C0A21" w:rsidRPr="00C727CA">
        <w:t>;</w:t>
      </w:r>
    </w:p>
    <w:p w14:paraId="691987D5" w14:textId="77777777" w:rsidR="00076CC9" w:rsidRPr="00C727CA" w:rsidRDefault="00904BF4" w:rsidP="007C7C3F">
      <w:pPr>
        <w:pStyle w:val="ListParagraph"/>
        <w:numPr>
          <w:ilvl w:val="0"/>
          <w:numId w:val="46"/>
        </w:numPr>
        <w:spacing w:line="360" w:lineRule="auto"/>
        <w:jc w:val="both"/>
      </w:pPr>
      <w:r w:rsidRPr="00C727CA">
        <w:t xml:space="preserve">zásada </w:t>
      </w:r>
      <w:r w:rsidR="00076CC9" w:rsidRPr="00C727CA">
        <w:t xml:space="preserve">rovného zacházení </w:t>
      </w:r>
      <w:r w:rsidR="007A212B" w:rsidRPr="007A212B">
        <w:t>–</w:t>
      </w:r>
      <w:r w:rsidR="00076CC9" w:rsidRPr="00C727CA">
        <w:t xml:space="preserve"> </w:t>
      </w:r>
      <w:r w:rsidRPr="00C727CA">
        <w:t xml:space="preserve">podle této zásady má </w:t>
      </w:r>
      <w:r w:rsidR="009C0A21" w:rsidRPr="00C727CA">
        <w:t>zadavatel povinnost zacházet se</w:t>
      </w:r>
      <w:r w:rsidR="00AD0307">
        <w:t> </w:t>
      </w:r>
      <w:r w:rsidR="009C0A21" w:rsidRPr="00C727CA">
        <w:t>vš</w:t>
      </w:r>
      <w:r w:rsidR="00AC4508" w:rsidRPr="00C727CA">
        <w:t xml:space="preserve">emi uchazeči obdobně s tím, že </w:t>
      </w:r>
      <w:r w:rsidR="009C0A21" w:rsidRPr="00C727CA">
        <w:t>musí být ke všem uchazečům neutrální, a to během celého zadávacího řízení;</w:t>
      </w:r>
    </w:p>
    <w:p w14:paraId="137CEAAC" w14:textId="77777777" w:rsidR="00076CC9" w:rsidRPr="00C727CA" w:rsidRDefault="00904BF4" w:rsidP="007C7C3F">
      <w:pPr>
        <w:pStyle w:val="ListParagraph"/>
        <w:numPr>
          <w:ilvl w:val="0"/>
          <w:numId w:val="46"/>
        </w:numPr>
        <w:spacing w:line="360" w:lineRule="auto"/>
        <w:jc w:val="both"/>
      </w:pPr>
      <w:r w:rsidRPr="00C727CA">
        <w:t xml:space="preserve">zásada </w:t>
      </w:r>
      <w:r w:rsidR="00076CC9" w:rsidRPr="00C727CA">
        <w:t>zákaz</w:t>
      </w:r>
      <w:r w:rsidRPr="00C727CA">
        <w:t>u</w:t>
      </w:r>
      <w:r w:rsidR="00076CC9" w:rsidRPr="00C727CA">
        <w:t xml:space="preserve"> diskriminace </w:t>
      </w:r>
      <w:r w:rsidR="007A212B" w:rsidRPr="007A212B">
        <w:t>–</w:t>
      </w:r>
      <w:r w:rsidR="00EF2ED5" w:rsidRPr="00C727CA">
        <w:t xml:space="preserve"> </w:t>
      </w:r>
      <w:r w:rsidRPr="00C727CA">
        <w:t xml:space="preserve">zásada zákazu diskriminace </w:t>
      </w:r>
      <w:r w:rsidR="005D563E" w:rsidRPr="00C727CA">
        <w:t>znamená, že zadavatel nesmí zvýhodnit určitého uchazeče na úkor jiného. Musíme ale dodat, že sám zákon v § 101 uvádí výjimku z</w:t>
      </w:r>
      <w:r w:rsidR="007A212B">
        <w:t xml:space="preserve"> této zásady, </w:t>
      </w:r>
      <w:r w:rsidR="005D563E" w:rsidRPr="00C727CA">
        <w:t>kdy dodavatel zaměstnává osoby se zdravotním postižením.</w:t>
      </w:r>
    </w:p>
    <w:p w14:paraId="3A43785D" w14:textId="77777777" w:rsidR="00076CC9" w:rsidRPr="00C727CA" w:rsidRDefault="00076CC9" w:rsidP="007C7C3F">
      <w:pPr>
        <w:ind w:firstLine="0"/>
      </w:pPr>
      <w:r w:rsidRPr="00C727CA">
        <w:t xml:space="preserve">Další zásady výslovně neuvedené v zákoně o VZ pak vycházejí z práva EU či z účelu VZ. Konkrétně jde </w:t>
      </w:r>
      <w:r w:rsidR="00A75DB7" w:rsidRPr="00C727CA">
        <w:t xml:space="preserve">o </w:t>
      </w:r>
      <w:r w:rsidRPr="00C727CA">
        <w:t>zásady:</w:t>
      </w:r>
    </w:p>
    <w:p w14:paraId="496D643F" w14:textId="77777777" w:rsidR="00076CC9" w:rsidRPr="00C727CA" w:rsidRDefault="00A75DB7" w:rsidP="00C64D59">
      <w:pPr>
        <w:pStyle w:val="ListParagraph"/>
        <w:numPr>
          <w:ilvl w:val="0"/>
          <w:numId w:val="48"/>
        </w:numPr>
        <w:spacing w:line="360" w:lineRule="auto"/>
      </w:pPr>
      <w:r w:rsidRPr="00C727CA">
        <w:t>z</w:t>
      </w:r>
      <w:r w:rsidR="00076CC9" w:rsidRPr="00C727CA">
        <w:t>abezpečení hospodárného nakládání s veřejnými prostředky</w:t>
      </w:r>
      <w:r w:rsidRPr="00C727CA">
        <w:t>,</w:t>
      </w:r>
    </w:p>
    <w:p w14:paraId="04ABA446" w14:textId="77777777" w:rsidR="00076CC9" w:rsidRPr="00C727CA" w:rsidRDefault="00A75DB7" w:rsidP="00C64D59">
      <w:pPr>
        <w:pStyle w:val="ListParagraph"/>
        <w:numPr>
          <w:ilvl w:val="0"/>
          <w:numId w:val="48"/>
        </w:numPr>
        <w:spacing w:line="360" w:lineRule="auto"/>
      </w:pPr>
      <w:r w:rsidRPr="00C727CA">
        <w:t>p</w:t>
      </w:r>
      <w:r w:rsidR="00076CC9" w:rsidRPr="00C727CA">
        <w:t>odpora konkurenčního prostředí</w:t>
      </w:r>
      <w:r w:rsidRPr="00C727CA">
        <w:t>,</w:t>
      </w:r>
    </w:p>
    <w:p w14:paraId="47C9CDAC" w14:textId="77777777" w:rsidR="00076CC9" w:rsidRPr="00C727CA" w:rsidRDefault="00A75DB7" w:rsidP="00C64D59">
      <w:pPr>
        <w:pStyle w:val="ListParagraph"/>
        <w:numPr>
          <w:ilvl w:val="0"/>
          <w:numId w:val="48"/>
        </w:numPr>
        <w:spacing w:line="360" w:lineRule="auto"/>
      </w:pPr>
      <w:r w:rsidRPr="00C727CA">
        <w:t>p</w:t>
      </w:r>
      <w:r w:rsidR="00076CC9" w:rsidRPr="00C727CA">
        <w:t>řijetí nejvýhodnější nabídky</w:t>
      </w:r>
      <w:r w:rsidRPr="00C727CA">
        <w:t>,</w:t>
      </w:r>
    </w:p>
    <w:p w14:paraId="23E41AD3" w14:textId="77777777" w:rsidR="00A75DB7" w:rsidRPr="00C727CA" w:rsidRDefault="00A75DB7" w:rsidP="00C64D59">
      <w:pPr>
        <w:pStyle w:val="ListParagraph"/>
        <w:numPr>
          <w:ilvl w:val="0"/>
          <w:numId w:val="48"/>
        </w:numPr>
        <w:spacing w:line="360" w:lineRule="auto"/>
      </w:pPr>
      <w:r w:rsidRPr="00C727CA">
        <w:t>zamezení pletich a zvýhodňování vybraných subjektů,</w:t>
      </w:r>
    </w:p>
    <w:p w14:paraId="00E5D43E" w14:textId="77777777" w:rsidR="00A75DB7" w:rsidRPr="00C727CA" w:rsidRDefault="003E04C3" w:rsidP="00C64D59">
      <w:pPr>
        <w:pStyle w:val="ListParagraph"/>
        <w:numPr>
          <w:ilvl w:val="0"/>
          <w:numId w:val="48"/>
        </w:numPr>
        <w:spacing w:line="360" w:lineRule="auto"/>
      </w:pPr>
      <w:r>
        <w:t>d</w:t>
      </w:r>
      <w:r w:rsidR="00A75DB7" w:rsidRPr="00C727CA">
        <w:t>ůvěrnosti nabídek,</w:t>
      </w:r>
    </w:p>
    <w:p w14:paraId="0C0BFBDC" w14:textId="77777777" w:rsidR="00A75DB7" w:rsidRPr="00C727CA" w:rsidRDefault="00A75DB7" w:rsidP="00C64D59">
      <w:pPr>
        <w:pStyle w:val="ListParagraph"/>
        <w:numPr>
          <w:ilvl w:val="0"/>
          <w:numId w:val="48"/>
        </w:numPr>
        <w:spacing w:line="360" w:lineRule="auto"/>
      </w:pPr>
      <w:r w:rsidRPr="00C727CA">
        <w:t>veřejné soutěže</w:t>
      </w:r>
      <w:r w:rsidR="0062559C">
        <w:t>,</w:t>
      </w:r>
    </w:p>
    <w:p w14:paraId="42C9D647" w14:textId="77777777" w:rsidR="00076CC9" w:rsidRPr="00C727CA" w:rsidRDefault="00A75DB7" w:rsidP="00C64D59">
      <w:pPr>
        <w:pStyle w:val="ListParagraph"/>
        <w:numPr>
          <w:ilvl w:val="0"/>
          <w:numId w:val="48"/>
        </w:numPr>
        <w:spacing w:line="360" w:lineRule="auto"/>
      </w:pPr>
      <w:r w:rsidRPr="00C727CA">
        <w:t>nápravy a možnosti uložení sankce.</w:t>
      </w:r>
    </w:p>
    <w:p w14:paraId="542E3F57" w14:textId="77777777" w:rsidR="00A75DB7" w:rsidRPr="00C727CA" w:rsidRDefault="00A75DB7" w:rsidP="007C7C3F">
      <w:pPr>
        <w:ind w:firstLine="0"/>
      </w:pPr>
      <w:r w:rsidRPr="00C727CA">
        <w:t>Tyto zásady se v rámci proc</w:t>
      </w:r>
      <w:r w:rsidR="005D563E" w:rsidRPr="00C727CA">
        <w:t xml:space="preserve">esu zadávání VZ různě </w:t>
      </w:r>
      <w:r w:rsidR="005D563E" w:rsidRPr="005F0D77">
        <w:t>prolínají</w:t>
      </w:r>
      <w:r w:rsidR="005D563E" w:rsidRPr="00C727CA">
        <w:t xml:space="preserve"> a tedy nestojí </w:t>
      </w:r>
      <w:r w:rsidR="00357E0E" w:rsidRPr="00C727CA">
        <w:t>nikterak</w:t>
      </w:r>
      <w:r w:rsidR="005D563E" w:rsidRPr="00C727CA">
        <w:t xml:space="preserve"> </w:t>
      </w:r>
      <w:r w:rsidR="003E04C3" w:rsidRPr="00C727CA">
        <w:t>samostatně</w:t>
      </w:r>
      <w:r w:rsidR="005D563E" w:rsidRPr="00C727CA">
        <w:t xml:space="preserve"> či dokonce izolovaně </w:t>
      </w:r>
      <w:r w:rsidR="00357E0E" w:rsidRPr="00C727CA">
        <w:t>v takovém procesu s tím, že jejich dodržování vede ke </w:t>
      </w:r>
      <w:r w:rsidR="007C7C3F" w:rsidRPr="00C727CA">
        <w:t>skutečně</w:t>
      </w:r>
      <w:r w:rsidR="00357E0E" w:rsidRPr="00C727CA">
        <w:t xml:space="preserve"> hospodárnému nakládání s finančními prostředky, které mohou být následně použity k uspokojování většího množství potřeb konkrétních adresátů.</w:t>
      </w:r>
      <w:r w:rsidRPr="00C727CA">
        <w:rPr>
          <w:rStyle w:val="FootnoteReference"/>
        </w:rPr>
        <w:footnoteReference w:id="50"/>
      </w:r>
    </w:p>
    <w:p w14:paraId="0D40D12A" w14:textId="77777777" w:rsidR="00076CC9" w:rsidRPr="00C727CA" w:rsidRDefault="00076CC9" w:rsidP="00076CC9"/>
    <w:p w14:paraId="0AA4E299" w14:textId="77777777" w:rsidR="00120B15" w:rsidRPr="00C727CA" w:rsidRDefault="00120B15" w:rsidP="00076CC9"/>
    <w:p w14:paraId="7295ACBE" w14:textId="77777777" w:rsidR="00120B15" w:rsidRPr="00C727CA" w:rsidRDefault="00120B15" w:rsidP="00076CC9"/>
    <w:p w14:paraId="7310F8D2" w14:textId="77777777" w:rsidR="00120B15" w:rsidRPr="00C727CA" w:rsidRDefault="00120B15" w:rsidP="00076CC9"/>
    <w:p w14:paraId="6D267D9B" w14:textId="77777777" w:rsidR="00120B15" w:rsidRPr="00C727CA" w:rsidRDefault="00120B15" w:rsidP="00076CC9"/>
    <w:p w14:paraId="78ADA41B" w14:textId="77777777" w:rsidR="00120B15" w:rsidRDefault="00120B15" w:rsidP="00076CC9"/>
    <w:p w14:paraId="4AF4908B" w14:textId="77777777" w:rsidR="00D33408" w:rsidRPr="00C727CA" w:rsidRDefault="00405F47" w:rsidP="00FA2973">
      <w:pPr>
        <w:pStyle w:val="Heading1"/>
        <w:spacing w:line="360" w:lineRule="auto"/>
        <w:rPr>
          <w:color w:val="auto"/>
        </w:rPr>
      </w:pPr>
      <w:bookmarkStart w:id="14" w:name="_Toc472859443"/>
      <w:r w:rsidRPr="00C727CA">
        <w:rPr>
          <w:color w:val="auto"/>
        </w:rPr>
        <w:t>Analýza problematiky z</w:t>
      </w:r>
      <w:r w:rsidR="009D52A6" w:rsidRPr="00C727CA">
        <w:rPr>
          <w:color w:val="auto"/>
        </w:rPr>
        <w:t>adávací</w:t>
      </w:r>
      <w:r w:rsidRPr="00C727CA">
        <w:rPr>
          <w:color w:val="auto"/>
        </w:rPr>
        <w:t>ch</w:t>
      </w:r>
      <w:r w:rsidR="009D52A6" w:rsidRPr="00C727CA">
        <w:rPr>
          <w:color w:val="auto"/>
        </w:rPr>
        <w:t xml:space="preserve"> řízení</w:t>
      </w:r>
      <w:bookmarkEnd w:id="14"/>
    </w:p>
    <w:p w14:paraId="2359F6B2" w14:textId="278D92D6" w:rsidR="00EA7FE8" w:rsidRPr="00C727CA" w:rsidRDefault="00A720E5" w:rsidP="00A9664F">
      <w:pPr>
        <w:ind w:firstLine="0"/>
      </w:pPr>
      <w:r w:rsidRPr="00C727CA">
        <w:t xml:space="preserve">V této části se dostáváme k jádru </w:t>
      </w:r>
      <w:r w:rsidR="001F6053">
        <w:t>této</w:t>
      </w:r>
      <w:r w:rsidR="00AA2D1A" w:rsidRPr="00C727CA">
        <w:t xml:space="preserve"> práce, tedy</w:t>
      </w:r>
      <w:r w:rsidR="00E65E50" w:rsidRPr="00C727CA">
        <w:t xml:space="preserve"> k</w:t>
      </w:r>
      <w:r w:rsidR="00A225AF" w:rsidRPr="00C727CA">
        <w:t xml:space="preserve"> analýze problematiky </w:t>
      </w:r>
      <w:r w:rsidR="00E65E50" w:rsidRPr="00C727CA">
        <w:t>samotn</w:t>
      </w:r>
      <w:r w:rsidR="00A225AF" w:rsidRPr="00C727CA">
        <w:t>ých zadávacích</w:t>
      </w:r>
      <w:r w:rsidRPr="00C727CA">
        <w:t xml:space="preserve"> řízením. Úvodem je vhodné říci, že </w:t>
      </w:r>
      <w:r w:rsidR="00A225AF" w:rsidRPr="00C727CA">
        <w:t>zadávací řízení můžeme definovat jako</w:t>
      </w:r>
      <w:r w:rsidR="00E8255F" w:rsidRPr="00C727CA">
        <w:t xml:space="preserve"> „zvláštní postup vedoucí k uzavření smlouvy, který není správním řízením a jeho výsledkem není vydání správního aktu. Jde o postup </w:t>
      </w:r>
      <w:r w:rsidR="00E8255F" w:rsidRPr="00C727CA">
        <w:rPr>
          <w:i/>
        </w:rPr>
        <w:t>sui generis</w:t>
      </w:r>
      <w:r w:rsidR="007A212B">
        <w:t xml:space="preserve"> […]</w:t>
      </w:r>
      <w:r w:rsidR="00E8255F" w:rsidRPr="00C727CA">
        <w:t>”</w:t>
      </w:r>
      <w:r w:rsidR="007A212B">
        <w:t>.</w:t>
      </w:r>
      <w:r w:rsidR="00E8255F" w:rsidRPr="00C727CA">
        <w:rPr>
          <w:rStyle w:val="FootnoteReference"/>
        </w:rPr>
        <w:footnoteReference w:id="51"/>
      </w:r>
      <w:r w:rsidR="00F766E2" w:rsidRPr="00C727CA">
        <w:t xml:space="preserve"> </w:t>
      </w:r>
      <w:r w:rsidR="00EA7FE8" w:rsidRPr="00C727CA">
        <w:t xml:space="preserve">Pro účel </w:t>
      </w:r>
      <w:r w:rsidR="001F6053">
        <w:t xml:space="preserve">práce </w:t>
      </w:r>
      <w:r w:rsidR="00EA7FE8" w:rsidRPr="00C727CA">
        <w:t>to tedy znamená, že se v níže uvedených podkapitolách</w:t>
      </w:r>
      <w:r w:rsidR="003E04C3">
        <w:t xml:space="preserve"> </w:t>
      </w:r>
      <w:r w:rsidR="001F6053">
        <w:t>bude</w:t>
      </w:r>
      <w:r w:rsidR="00EA7FE8" w:rsidRPr="00C727CA">
        <w:t xml:space="preserve"> zabývat analýzou </w:t>
      </w:r>
      <w:r w:rsidR="00F766E2" w:rsidRPr="00C727CA">
        <w:t>určitých okruhů sporných otázek</w:t>
      </w:r>
      <w:r w:rsidR="00D53C2F" w:rsidRPr="00C727CA">
        <w:t xml:space="preserve"> </w:t>
      </w:r>
      <w:r w:rsidR="00F766E2" w:rsidRPr="00C727CA">
        <w:t>zvláštní</w:t>
      </w:r>
      <w:r w:rsidR="00D53C2F" w:rsidRPr="00C727CA">
        <w:t>ho</w:t>
      </w:r>
      <w:r w:rsidR="00EA7FE8" w:rsidRPr="00C727CA">
        <w:t xml:space="preserve"> postupu zadavatele, který směřuje k uzavření určité smlouvy.</w:t>
      </w:r>
      <w:r w:rsidR="00F766E2" w:rsidRPr="00C727CA">
        <w:t xml:space="preserve"> </w:t>
      </w:r>
      <w:r w:rsidR="00B11FD4" w:rsidRPr="00C727CA">
        <w:t>Okruhy těchto sporných otázek jsou vymezeny v úvodu práce</w:t>
      </w:r>
      <w:r w:rsidR="00BD237F" w:rsidRPr="00C727CA">
        <w:t>.</w:t>
      </w:r>
    </w:p>
    <w:p w14:paraId="4D59C81B" w14:textId="77777777" w:rsidR="00D33408" w:rsidRPr="00C727CA" w:rsidRDefault="00BD237F" w:rsidP="00BD237F">
      <w:pPr>
        <w:ind w:firstLine="708"/>
      </w:pPr>
      <w:r w:rsidRPr="00C727CA">
        <w:t xml:space="preserve">Nyní </w:t>
      </w:r>
      <w:r w:rsidR="001E2049" w:rsidRPr="00C727CA">
        <w:t>již k samotné analý</w:t>
      </w:r>
      <w:r w:rsidRPr="00C727CA">
        <w:t xml:space="preserve">ze. </w:t>
      </w:r>
      <w:r w:rsidR="00740896" w:rsidRPr="00C727CA">
        <w:t xml:space="preserve">Platí, že zadavatel musí </w:t>
      </w:r>
      <w:r w:rsidR="00AA2D1A" w:rsidRPr="00C727CA">
        <w:t>nadlimitní a podlimitní</w:t>
      </w:r>
      <w:r w:rsidR="00740896" w:rsidRPr="00C727CA">
        <w:t xml:space="preserve"> VZ zadat </w:t>
      </w:r>
      <w:r w:rsidR="00AA2D1A" w:rsidRPr="00C727CA">
        <w:t>prostřednictvím</w:t>
      </w:r>
      <w:r w:rsidR="00740896" w:rsidRPr="00C727CA">
        <w:t xml:space="preserve"> zadávacího řízení </w:t>
      </w:r>
      <w:r w:rsidR="00BE2B06" w:rsidRPr="00C727CA">
        <w:t>podle zákona o VZ</w:t>
      </w:r>
      <w:r w:rsidR="00740896" w:rsidRPr="00C727CA">
        <w:t xml:space="preserve"> s tím, že VZ, které jsou vy</w:t>
      </w:r>
      <w:r w:rsidR="00BE2B06" w:rsidRPr="00C727CA">
        <w:t>loučeny z</w:t>
      </w:r>
      <w:r w:rsidR="00AD0307">
        <w:t> </w:t>
      </w:r>
      <w:r w:rsidR="00BE2B06" w:rsidRPr="00C727CA">
        <w:t>působnosti zákona</w:t>
      </w:r>
      <w:r w:rsidR="00740896" w:rsidRPr="00C727CA">
        <w:rPr>
          <w:rStyle w:val="FootnoteReference"/>
        </w:rPr>
        <w:footnoteReference w:id="52"/>
      </w:r>
      <w:r w:rsidR="00AA2D1A" w:rsidRPr="00C727CA">
        <w:t>,</w:t>
      </w:r>
      <w:r w:rsidR="00740896" w:rsidRPr="00C727CA">
        <w:t xml:space="preserve"> se </w:t>
      </w:r>
      <w:r w:rsidR="007A212B">
        <w:t>obvykle</w:t>
      </w:r>
      <w:r w:rsidR="00740896" w:rsidRPr="00C727CA">
        <w:t xml:space="preserve"> </w:t>
      </w:r>
      <w:r w:rsidR="00AA2D1A" w:rsidRPr="00C727CA">
        <w:t>prostřednictvím</w:t>
      </w:r>
      <w:r w:rsidR="00E31D63" w:rsidRPr="00C727CA">
        <w:t xml:space="preserve"> zadávacích řízení nezadávají.</w:t>
      </w:r>
      <w:r w:rsidR="00CE6891" w:rsidRPr="00C727CA">
        <w:t xml:space="preserve"> Jak je uvedeno v § 21 odst. 1 zákona, zadavatel může zadat VZ v jednom z následujících šesti zadávacích řízení:</w:t>
      </w:r>
    </w:p>
    <w:p w14:paraId="085E8B8E" w14:textId="77777777" w:rsidR="00CE6891" w:rsidRPr="00C727CA" w:rsidRDefault="005A210A" w:rsidP="00FA2973">
      <w:pPr>
        <w:pStyle w:val="ListParagraph"/>
        <w:numPr>
          <w:ilvl w:val="0"/>
          <w:numId w:val="34"/>
        </w:numPr>
        <w:spacing w:line="360" w:lineRule="auto"/>
      </w:pPr>
      <w:r w:rsidRPr="00C727CA">
        <w:t>o</w:t>
      </w:r>
      <w:r w:rsidR="00CE6891" w:rsidRPr="00C727CA">
        <w:t>tevřené řízení</w:t>
      </w:r>
      <w:r w:rsidRPr="00C727CA">
        <w:t>,</w:t>
      </w:r>
    </w:p>
    <w:p w14:paraId="2E1C6E99" w14:textId="77777777" w:rsidR="00CE6891" w:rsidRPr="00C727CA" w:rsidRDefault="005A210A" w:rsidP="00FA2973">
      <w:pPr>
        <w:pStyle w:val="ListParagraph"/>
        <w:numPr>
          <w:ilvl w:val="0"/>
          <w:numId w:val="34"/>
        </w:numPr>
        <w:spacing w:line="360" w:lineRule="auto"/>
      </w:pPr>
      <w:r w:rsidRPr="00C727CA">
        <w:t>u</w:t>
      </w:r>
      <w:r w:rsidR="00CE6891" w:rsidRPr="00C727CA">
        <w:t>žší řízení</w:t>
      </w:r>
      <w:r w:rsidRPr="00C727CA">
        <w:t>,</w:t>
      </w:r>
    </w:p>
    <w:p w14:paraId="13CBBD46" w14:textId="77777777" w:rsidR="00CE6891" w:rsidRPr="00C727CA" w:rsidRDefault="005A210A" w:rsidP="00FA2973">
      <w:pPr>
        <w:pStyle w:val="ListParagraph"/>
        <w:numPr>
          <w:ilvl w:val="0"/>
          <w:numId w:val="34"/>
        </w:numPr>
        <w:spacing w:line="360" w:lineRule="auto"/>
      </w:pPr>
      <w:r w:rsidRPr="00C727CA">
        <w:t>soutěžní dialog,</w:t>
      </w:r>
    </w:p>
    <w:p w14:paraId="0A28EA2B" w14:textId="77777777" w:rsidR="00CE6891" w:rsidRPr="00C727CA" w:rsidRDefault="005A210A" w:rsidP="005A210A">
      <w:pPr>
        <w:pStyle w:val="ListParagraph"/>
        <w:numPr>
          <w:ilvl w:val="0"/>
          <w:numId w:val="34"/>
        </w:numPr>
        <w:spacing w:line="360" w:lineRule="auto"/>
      </w:pPr>
      <w:r w:rsidRPr="00C727CA">
        <w:t>zjednodušené podlimitní řízení,</w:t>
      </w:r>
    </w:p>
    <w:p w14:paraId="5EAC2EE3" w14:textId="77777777" w:rsidR="00CE6891" w:rsidRPr="00C727CA" w:rsidRDefault="0062559C" w:rsidP="00FA2973">
      <w:pPr>
        <w:pStyle w:val="ListParagraph"/>
        <w:numPr>
          <w:ilvl w:val="0"/>
          <w:numId w:val="34"/>
        </w:numPr>
        <w:spacing w:line="360" w:lineRule="auto"/>
      </w:pPr>
      <w:r>
        <w:t>jednací řízení s uveřejněním,</w:t>
      </w:r>
    </w:p>
    <w:p w14:paraId="0E8FAE4F" w14:textId="77777777" w:rsidR="00CE6891" w:rsidRPr="00C727CA" w:rsidRDefault="005A210A" w:rsidP="00FA2973">
      <w:pPr>
        <w:pStyle w:val="ListParagraph"/>
        <w:numPr>
          <w:ilvl w:val="0"/>
          <w:numId w:val="34"/>
        </w:numPr>
        <w:spacing w:line="360" w:lineRule="auto"/>
      </w:pPr>
      <w:r w:rsidRPr="00C727CA">
        <w:t>jednací řízení bez uveřejnění</w:t>
      </w:r>
      <w:r w:rsidR="00434EAB" w:rsidRPr="00C727CA">
        <w:t>.</w:t>
      </w:r>
    </w:p>
    <w:p w14:paraId="391EB922" w14:textId="77777777" w:rsidR="00CE6891" w:rsidRPr="00C727CA" w:rsidRDefault="005B60A5" w:rsidP="00FA2973">
      <w:pPr>
        <w:ind w:firstLine="0"/>
      </w:pPr>
      <w:r w:rsidRPr="00C727CA">
        <w:t xml:space="preserve">Kritériem </w:t>
      </w:r>
      <w:r w:rsidR="003E04C3" w:rsidRPr="00C727CA">
        <w:t>pro použití</w:t>
      </w:r>
      <w:r w:rsidRPr="00C727CA">
        <w:t xml:space="preserve"> konkrétního zadávacího řízení je např. kategorie zadavatele</w:t>
      </w:r>
      <w:r w:rsidRPr="00C727CA">
        <w:rPr>
          <w:rStyle w:val="FootnoteReference"/>
        </w:rPr>
        <w:footnoteReference w:id="53"/>
      </w:r>
      <w:r w:rsidRPr="00C727CA">
        <w:t>, předpokládaná hodnota VZ</w:t>
      </w:r>
      <w:r w:rsidRPr="00C727CA">
        <w:rPr>
          <w:rStyle w:val="FootnoteReference"/>
        </w:rPr>
        <w:footnoteReference w:id="54"/>
      </w:r>
      <w:r w:rsidR="00C172D1" w:rsidRPr="00C727CA">
        <w:t>, charakter VZ</w:t>
      </w:r>
      <w:r w:rsidRPr="00C727CA">
        <w:t xml:space="preserve"> či ostatní podmínky stanovené zákonem pro</w:t>
      </w:r>
      <w:r w:rsidR="00AD0307">
        <w:t> </w:t>
      </w:r>
      <w:r w:rsidRPr="00C727CA">
        <w:t>jednotlivé druhy zadávacích</w:t>
      </w:r>
      <w:r w:rsidR="003E04C3">
        <w:t xml:space="preserve"> řízení. V případě možného použi</w:t>
      </w:r>
      <w:r w:rsidRPr="00C727CA">
        <w:t>tí více druhů zadávacích řízení pro konkrétní VZ je plně v kompetenci zadavatele</w:t>
      </w:r>
      <w:r w:rsidR="007A212B">
        <w:t>, aby určil,</w:t>
      </w:r>
      <w:r w:rsidR="00E92215" w:rsidRPr="00C727CA">
        <w:t xml:space="preserve"> </w:t>
      </w:r>
      <w:r w:rsidR="00AA2D1A" w:rsidRPr="00C727CA">
        <w:t>prostřednictvím</w:t>
      </w:r>
      <w:r w:rsidR="00E92215" w:rsidRPr="00C727CA">
        <w:t xml:space="preserve"> kterého řízení </w:t>
      </w:r>
      <w:r w:rsidR="00AA2D1A" w:rsidRPr="00C727CA">
        <w:t>zakázku zadá</w:t>
      </w:r>
      <w:r w:rsidR="00E92215" w:rsidRPr="00C727CA">
        <w:t>.</w:t>
      </w:r>
      <w:r w:rsidR="00E92215" w:rsidRPr="00C727CA">
        <w:rPr>
          <w:rStyle w:val="FootnoteReference"/>
        </w:rPr>
        <w:footnoteReference w:id="55"/>
      </w:r>
    </w:p>
    <w:p w14:paraId="6AB11C2D" w14:textId="77777777" w:rsidR="002E1DF3" w:rsidRPr="00C727CA" w:rsidRDefault="00E92215" w:rsidP="00FA2973">
      <w:pPr>
        <w:ind w:firstLine="0"/>
      </w:pPr>
      <w:r w:rsidRPr="00C727CA">
        <w:tab/>
      </w:r>
      <w:r w:rsidR="00E2067A" w:rsidRPr="003D10F6">
        <w:t>Vedle výše uvedených zadávacích řízení jsou v části třetí záko</w:t>
      </w:r>
      <w:r w:rsidR="003B0DDA" w:rsidRPr="003D10F6">
        <w:t xml:space="preserve">na upraveny i </w:t>
      </w:r>
      <w:r w:rsidR="004B6972" w:rsidRPr="003D10F6">
        <w:t>„</w:t>
      </w:r>
      <w:r w:rsidR="003B0DDA" w:rsidRPr="003D10F6">
        <w:t>zvláštní postupy v</w:t>
      </w:r>
      <w:r w:rsidR="004B6972" w:rsidRPr="003D10F6">
        <w:t> zadávacím</w:t>
      </w:r>
      <w:r w:rsidR="00E2067A" w:rsidRPr="003D10F6">
        <w:t xml:space="preserve"> řízení</w:t>
      </w:r>
      <w:r w:rsidR="004B6972" w:rsidRPr="003D10F6">
        <w:t>“</w:t>
      </w:r>
      <w:r w:rsidR="00E2067A" w:rsidRPr="003D10F6">
        <w:t>, jako jsou rámcové smlouvy (§</w:t>
      </w:r>
      <w:r w:rsidR="00AD0307" w:rsidRPr="003D10F6">
        <w:t xml:space="preserve"> </w:t>
      </w:r>
      <w:r w:rsidR="001F50A4" w:rsidRPr="003D10F6">
        <w:t xml:space="preserve">89 </w:t>
      </w:r>
      <w:r w:rsidR="00AD0307" w:rsidRPr="003D10F6">
        <w:t>z</w:t>
      </w:r>
      <w:r w:rsidR="00E2067A" w:rsidRPr="003D10F6">
        <w:t>ákona a násl.), dynamický nákupní systém (§ 93 zákona a násl.) a elektronická aukce (§</w:t>
      </w:r>
      <w:r w:rsidR="003E04C3" w:rsidRPr="003D10F6">
        <w:t xml:space="preserve"> </w:t>
      </w:r>
      <w:r w:rsidR="00E2067A" w:rsidRPr="003D10F6">
        <w:t xml:space="preserve">96 zákona a násl.). Jak již </w:t>
      </w:r>
      <w:r w:rsidR="003B0DDA" w:rsidRPr="003D10F6">
        <w:t>samotný</w:t>
      </w:r>
      <w:r w:rsidR="00E2067A" w:rsidRPr="003D10F6">
        <w:t xml:space="preserve"> název třetí části zákona napovídá, nejde o zadávací řízení</w:t>
      </w:r>
      <w:r w:rsidR="003B0DDA" w:rsidRPr="003D10F6">
        <w:t xml:space="preserve"> jako takov</w:t>
      </w:r>
      <w:r w:rsidR="009555E1" w:rsidRPr="003D10F6">
        <w:t>á</w:t>
      </w:r>
      <w:r w:rsidR="004B6972" w:rsidRPr="003D10F6">
        <w:t>,</w:t>
      </w:r>
      <w:r w:rsidR="00E2067A" w:rsidRPr="003D10F6">
        <w:t xml:space="preserve"> ale o </w:t>
      </w:r>
      <w:r w:rsidR="004B6972" w:rsidRPr="003D10F6">
        <w:t>jin</w:t>
      </w:r>
      <w:r w:rsidR="009555E1" w:rsidRPr="003D10F6">
        <w:t>á</w:t>
      </w:r>
      <w:r w:rsidR="003B0DDA" w:rsidRPr="003D10F6">
        <w:t xml:space="preserve"> řízení</w:t>
      </w:r>
      <w:r w:rsidR="00E2067A" w:rsidRPr="003D10F6">
        <w:t xml:space="preserve"> </w:t>
      </w:r>
      <w:r w:rsidR="00E2067A" w:rsidRPr="003D10F6">
        <w:rPr>
          <w:i/>
        </w:rPr>
        <w:t>sui generis</w:t>
      </w:r>
      <w:r w:rsidR="009555E1" w:rsidRPr="003D10F6">
        <w:t>, která</w:t>
      </w:r>
      <w:r w:rsidR="00E2067A" w:rsidRPr="003D10F6">
        <w:t xml:space="preserve"> vycház</w:t>
      </w:r>
      <w:r w:rsidR="003D10F6">
        <w:t>ejí</w:t>
      </w:r>
      <w:r w:rsidR="003B0DDA" w:rsidRPr="003D10F6">
        <w:t xml:space="preserve"> </w:t>
      </w:r>
      <w:r w:rsidR="00E2067A" w:rsidRPr="003D10F6">
        <w:t>z</w:t>
      </w:r>
      <w:r w:rsidR="003B0DDA" w:rsidRPr="003D10F6">
        <w:t>e</w:t>
      </w:r>
      <w:r w:rsidR="006F7140" w:rsidRPr="003D10F6">
        <w:t xml:space="preserve"> </w:t>
      </w:r>
      <w:r w:rsidR="004B6972" w:rsidRPr="003D10F6">
        <w:t>zadávacích</w:t>
      </w:r>
      <w:r w:rsidR="003B0DDA" w:rsidRPr="003D10F6">
        <w:t xml:space="preserve"> řízení s tím, že</w:t>
      </w:r>
      <w:r w:rsidR="00E2067A" w:rsidRPr="003D10F6">
        <w:t xml:space="preserve"> </w:t>
      </w:r>
      <w:r w:rsidR="004B6972" w:rsidRPr="003D10F6">
        <w:t>by měl</w:t>
      </w:r>
      <w:r w:rsidR="009555E1" w:rsidRPr="003D10F6">
        <w:t>a</w:t>
      </w:r>
      <w:r w:rsidR="003B0DDA" w:rsidRPr="003D10F6">
        <w:t xml:space="preserve"> sloužit</w:t>
      </w:r>
      <w:r w:rsidR="00E2067A" w:rsidRPr="003D10F6">
        <w:t xml:space="preserve"> </w:t>
      </w:r>
      <w:r w:rsidR="003B0DDA" w:rsidRPr="003D10F6">
        <w:t xml:space="preserve">ještě </w:t>
      </w:r>
      <w:r w:rsidR="00E2067A" w:rsidRPr="003D10F6">
        <w:t>k hospodárnějšímu, efe</w:t>
      </w:r>
      <w:r w:rsidR="003B0DDA" w:rsidRPr="003D10F6">
        <w:t>ktivnějšímu a pružnějšímu zadává</w:t>
      </w:r>
      <w:r w:rsidR="00E2067A" w:rsidRPr="003D10F6">
        <w:t xml:space="preserve">ní </w:t>
      </w:r>
      <w:r w:rsidR="003B0DDA" w:rsidRPr="003D10F6">
        <w:t>zakázek</w:t>
      </w:r>
      <w:r w:rsidR="00E2067A" w:rsidRPr="003D10F6">
        <w:t>.</w:t>
      </w:r>
      <w:r w:rsidR="00E2067A" w:rsidRPr="003D10F6">
        <w:rPr>
          <w:rStyle w:val="FootnoteReference"/>
        </w:rPr>
        <w:footnoteReference w:id="56"/>
      </w:r>
    </w:p>
    <w:p w14:paraId="2792C77C" w14:textId="21DE58F9" w:rsidR="00A11CC0" w:rsidRPr="00C727CA" w:rsidRDefault="00E2067A" w:rsidP="00FA2973">
      <w:pPr>
        <w:ind w:firstLine="0"/>
      </w:pPr>
      <w:r w:rsidRPr="00C727CA">
        <w:tab/>
      </w:r>
      <w:r w:rsidR="003B0DDA" w:rsidRPr="00C727CA">
        <w:t>N</w:t>
      </w:r>
      <w:r w:rsidR="001F6053">
        <w:t xml:space="preserve">ež </w:t>
      </w:r>
      <w:r w:rsidR="00BE2B06" w:rsidRPr="00C727CA">
        <w:t xml:space="preserve">ale </w:t>
      </w:r>
      <w:r w:rsidR="001F6053">
        <w:t>bude přistoupeno</w:t>
      </w:r>
      <w:r w:rsidR="00BE2B06" w:rsidRPr="00C727CA">
        <w:t xml:space="preserve"> </w:t>
      </w:r>
      <w:r w:rsidR="001F6053">
        <w:t xml:space="preserve">k </w:t>
      </w:r>
      <w:r w:rsidR="003E04C3" w:rsidRPr="00C727CA">
        <w:t>analýz</w:t>
      </w:r>
      <w:r w:rsidR="001F6053">
        <w:t>e</w:t>
      </w:r>
      <w:r w:rsidR="009555E1">
        <w:t xml:space="preserve"> </w:t>
      </w:r>
      <w:r w:rsidR="00BE2B06" w:rsidRPr="00C727CA">
        <w:t xml:space="preserve">a rozboru </w:t>
      </w:r>
      <w:r w:rsidR="003B0DDA" w:rsidRPr="00C727CA">
        <w:t>konkrétních</w:t>
      </w:r>
      <w:r w:rsidR="00BE2B06" w:rsidRPr="00C727CA">
        <w:t xml:space="preserve"> zadávacích řízení, </w:t>
      </w:r>
      <w:r w:rsidR="001F6053">
        <w:t>dodejme</w:t>
      </w:r>
      <w:r w:rsidR="00132B25" w:rsidRPr="00C727CA">
        <w:t>, že</w:t>
      </w:r>
      <w:r w:rsidR="005A26BB" w:rsidRPr="00C727CA">
        <w:t xml:space="preserve"> </w:t>
      </w:r>
      <w:r w:rsidR="00BE2B06" w:rsidRPr="00C727CA">
        <w:t xml:space="preserve">pro zadavatele </w:t>
      </w:r>
      <w:r w:rsidR="00132B25" w:rsidRPr="00C727CA">
        <w:t xml:space="preserve">je </w:t>
      </w:r>
      <w:r w:rsidR="005A26BB" w:rsidRPr="00C727CA">
        <w:t>vhodné, aby si v rámci určité přípravy</w:t>
      </w:r>
      <w:r w:rsidR="0025383D" w:rsidRPr="00C727CA">
        <w:t>,</w:t>
      </w:r>
      <w:r w:rsidR="005A26BB" w:rsidRPr="00C727CA">
        <w:t xml:space="preserve"> </w:t>
      </w:r>
      <w:r w:rsidR="00BE2B06" w:rsidRPr="00C727CA">
        <w:t>ještě před zadáváním</w:t>
      </w:r>
      <w:r w:rsidR="005A26BB" w:rsidRPr="00C727CA">
        <w:t xml:space="preserve"> </w:t>
      </w:r>
      <w:r w:rsidR="00BE2B06" w:rsidRPr="00C727CA">
        <w:t>VZ</w:t>
      </w:r>
      <w:r w:rsidR="0025383D" w:rsidRPr="00C727CA">
        <w:t>,</w:t>
      </w:r>
      <w:r w:rsidR="00BE2B06" w:rsidRPr="00C727CA">
        <w:t xml:space="preserve"> </w:t>
      </w:r>
      <w:r w:rsidR="005A26BB" w:rsidRPr="00C727CA">
        <w:t xml:space="preserve">promyslel určité skutečnosti jako </w:t>
      </w:r>
      <w:r w:rsidR="0025383D" w:rsidRPr="00C727CA">
        <w:t xml:space="preserve">je </w:t>
      </w:r>
      <w:r w:rsidR="005A26BB" w:rsidRPr="00C727CA">
        <w:t xml:space="preserve">např. harmonogram celého zadávání s důrazem na běh zákonných lhůt, zdali nemůže využít některých zvláštních postupů v řízení, pečlivě </w:t>
      </w:r>
      <w:r w:rsidR="0025383D" w:rsidRPr="00C727CA">
        <w:t xml:space="preserve">dopředu </w:t>
      </w:r>
      <w:r w:rsidR="005A26BB" w:rsidRPr="00C727CA">
        <w:t>zpracovat zadávací dokumentaci</w:t>
      </w:r>
      <w:r w:rsidR="00A225AF" w:rsidRPr="00C727CA">
        <w:rPr>
          <w:rStyle w:val="FootnoteReference"/>
        </w:rPr>
        <w:footnoteReference w:id="57"/>
      </w:r>
      <w:r w:rsidR="005A26BB" w:rsidRPr="00C727CA">
        <w:t xml:space="preserve">, zpracovat podklady pro vedení evidence úkonů provedených zadavatelem i </w:t>
      </w:r>
      <w:r w:rsidR="00C01687" w:rsidRPr="00C727CA">
        <w:t>dodavatelem</w:t>
      </w:r>
      <w:r w:rsidR="005A26BB" w:rsidRPr="00C727CA">
        <w:t xml:space="preserve"> atd.</w:t>
      </w:r>
      <w:r w:rsidR="005A26BB" w:rsidRPr="00C727CA">
        <w:rPr>
          <w:rStyle w:val="FootnoteReference"/>
        </w:rPr>
        <w:footnoteReference w:id="58"/>
      </w:r>
      <w:r w:rsidR="00483F75" w:rsidRPr="00C727CA">
        <w:t xml:space="preserve"> </w:t>
      </w:r>
      <w:r w:rsidR="00BE2B06" w:rsidRPr="00C727CA">
        <w:t xml:space="preserve">Takto provedená příprava totiž logicky povede k mnohem pružnějšímu procesu zadávání. </w:t>
      </w:r>
      <w:r w:rsidR="00483F75" w:rsidRPr="00C727CA">
        <w:t>Pokud jde o náklady z</w:t>
      </w:r>
      <w:r w:rsidR="00132B25" w:rsidRPr="00C727CA">
        <w:t>adávacího řízení, které jsou up</w:t>
      </w:r>
      <w:r w:rsidR="00483F75" w:rsidRPr="00C727CA">
        <w:t>raveny v § 153 záko</w:t>
      </w:r>
      <w:r w:rsidR="0025383D" w:rsidRPr="00C727CA">
        <w:t>na, platí obecné</w:t>
      </w:r>
      <w:r w:rsidR="00483F75" w:rsidRPr="00C727CA">
        <w:t xml:space="preserve"> pravidlo bezplatnosti, což znamená, že zadavatel nesmí poskytnout </w:t>
      </w:r>
      <w:r w:rsidR="00C01687" w:rsidRPr="00C727CA">
        <w:t>dodavateli</w:t>
      </w:r>
      <w:r w:rsidR="00483F75" w:rsidRPr="00C727CA">
        <w:t xml:space="preserve"> žádnou náhradu nákladů</w:t>
      </w:r>
      <w:r w:rsidR="0025383D" w:rsidRPr="00C727CA">
        <w:rPr>
          <w:rStyle w:val="FootnoteReference"/>
        </w:rPr>
        <w:footnoteReference w:id="59"/>
      </w:r>
      <w:r w:rsidR="00483F75" w:rsidRPr="00C727CA">
        <w:t>, které by mu vznikly v souvislosti s účastí v zadávací</w:t>
      </w:r>
      <w:r w:rsidR="00D504D5" w:rsidRPr="00C727CA">
        <w:t>m</w:t>
      </w:r>
      <w:r w:rsidR="00483F75" w:rsidRPr="00C727CA">
        <w:t xml:space="preserve"> řízení a </w:t>
      </w:r>
      <w:r w:rsidR="0025383D" w:rsidRPr="00C727CA">
        <w:t xml:space="preserve">také </w:t>
      </w:r>
      <w:r w:rsidR="00483F75" w:rsidRPr="00C727CA">
        <w:t xml:space="preserve">nesmí požadovat po </w:t>
      </w:r>
      <w:r w:rsidR="00C01687" w:rsidRPr="00C727CA">
        <w:t>dodavatelích</w:t>
      </w:r>
      <w:r w:rsidR="00483F75" w:rsidRPr="00C727CA">
        <w:t xml:space="preserve"> úhradu nákladů, které by</w:t>
      </w:r>
      <w:r w:rsidR="0025383D" w:rsidRPr="00C727CA">
        <w:t xml:space="preserve"> mu</w:t>
      </w:r>
      <w:r w:rsidR="00483F75" w:rsidRPr="00C727CA">
        <w:t xml:space="preserve"> vznikly v souvislosti s přípravou a realizací </w:t>
      </w:r>
      <w:r w:rsidR="0025383D" w:rsidRPr="00C727CA">
        <w:t xml:space="preserve">zadávacího </w:t>
      </w:r>
      <w:r w:rsidR="00483F75" w:rsidRPr="00C727CA">
        <w:t>řízení.</w:t>
      </w:r>
      <w:r w:rsidR="00483F75" w:rsidRPr="00C727CA">
        <w:rPr>
          <w:rStyle w:val="FootnoteReference"/>
        </w:rPr>
        <w:footnoteReference w:id="60"/>
      </w:r>
    </w:p>
    <w:p w14:paraId="44FBB16B" w14:textId="77777777" w:rsidR="00874015" w:rsidRPr="00C727CA" w:rsidRDefault="00483F75" w:rsidP="00FA2973">
      <w:pPr>
        <w:pStyle w:val="Heading2"/>
        <w:spacing w:line="360" w:lineRule="auto"/>
      </w:pPr>
      <w:bookmarkStart w:id="15" w:name="_Toc472859444"/>
      <w:r w:rsidRPr="00C727CA">
        <w:t>Otevřené řízení</w:t>
      </w:r>
      <w:bookmarkEnd w:id="15"/>
    </w:p>
    <w:p w14:paraId="06D239C1" w14:textId="77777777" w:rsidR="00483F75" w:rsidRPr="00C727CA" w:rsidRDefault="002B646B" w:rsidP="00A9664F">
      <w:pPr>
        <w:ind w:firstLine="0"/>
      </w:pPr>
      <w:r w:rsidRPr="00C727CA">
        <w:t xml:space="preserve">Otevřené řízení je svou povahou nejtransparentnější zadávací řízení, což </w:t>
      </w:r>
      <w:r w:rsidR="00C00B88" w:rsidRPr="00C727CA">
        <w:t xml:space="preserve">je </w:t>
      </w:r>
      <w:r w:rsidRPr="00C727CA">
        <w:t xml:space="preserve">ovšem </w:t>
      </w:r>
      <w:r w:rsidR="00C00B88" w:rsidRPr="00C727CA">
        <w:t>spojeno</w:t>
      </w:r>
      <w:r w:rsidRPr="00C727CA">
        <w:t xml:space="preserve"> s jeho velkou technickou a organizační náročností. Je otevřeno neomezenému počtu </w:t>
      </w:r>
      <w:r w:rsidR="006070F5" w:rsidRPr="00C727CA">
        <w:t>uchazečů</w:t>
      </w:r>
      <w:r w:rsidR="00C00B88" w:rsidRPr="00C727CA">
        <w:t xml:space="preserve"> s tím, že ho může </w:t>
      </w:r>
      <w:r w:rsidRPr="00C727CA">
        <w:t>použít bez omezení kterýkoliv ze zadavatelů</w:t>
      </w:r>
      <w:r w:rsidR="002C4094" w:rsidRPr="00C727CA">
        <w:rPr>
          <w:rStyle w:val="FootnoteReference"/>
        </w:rPr>
        <w:footnoteReference w:id="61"/>
      </w:r>
      <w:r w:rsidR="002C4094" w:rsidRPr="00C727CA">
        <w:t>.</w:t>
      </w:r>
      <w:r w:rsidR="00C00B88" w:rsidRPr="00C727CA">
        <w:t xml:space="preserve"> Dle</w:t>
      </w:r>
      <w:r w:rsidR="0016536E" w:rsidRPr="00C727CA">
        <w:t xml:space="preserve"> § 27 zákona </w:t>
      </w:r>
      <w:r w:rsidR="00C01687" w:rsidRPr="00C727CA">
        <w:t>se toto řízení zahajuje oznámením</w:t>
      </w:r>
      <w:r w:rsidR="006B7678" w:rsidRPr="00C727CA">
        <w:t xml:space="preserve"> na příslušném formuláři, které obsahuje úmysl</w:t>
      </w:r>
      <w:r w:rsidR="00C01687" w:rsidRPr="00C727CA">
        <w:t xml:space="preserve"> zadavatele zadat VZ. Toto oznámení</w:t>
      </w:r>
      <w:r w:rsidR="002E4CFE" w:rsidRPr="00C727CA">
        <w:t xml:space="preserve">, jakožto jednostranný neadresovaný právní </w:t>
      </w:r>
      <w:r w:rsidR="001F50A4" w:rsidRPr="00C727CA">
        <w:t>úkon, je</w:t>
      </w:r>
      <w:r w:rsidR="002E4CFE" w:rsidRPr="00C727CA">
        <w:t xml:space="preserve"> výzvou </w:t>
      </w:r>
      <w:r w:rsidR="00C01687" w:rsidRPr="00C727CA">
        <w:t>neomezenému počtu dodavatelů</w:t>
      </w:r>
      <w:r w:rsidR="002E4CFE" w:rsidRPr="00C727CA">
        <w:t xml:space="preserve"> k podání nabídek </w:t>
      </w:r>
      <w:r w:rsidR="00AB0931" w:rsidRPr="00C727CA">
        <w:t>včetně prokázání</w:t>
      </w:r>
      <w:r w:rsidR="002E4CFE" w:rsidRPr="00C727CA">
        <w:t xml:space="preserve"> splnění kvalifikace</w:t>
      </w:r>
      <w:r w:rsidR="003D10F6">
        <w:t>, oboje</w:t>
      </w:r>
      <w:r w:rsidR="006B7678" w:rsidRPr="00C727CA">
        <w:t xml:space="preserve"> ve stejné lhůtě</w:t>
      </w:r>
      <w:r w:rsidR="002E4CFE" w:rsidRPr="00C727CA">
        <w:rPr>
          <w:rStyle w:val="FootnoteReference"/>
        </w:rPr>
        <w:footnoteReference w:id="62"/>
      </w:r>
      <w:r w:rsidR="002C4094" w:rsidRPr="00C727CA">
        <w:t>.</w:t>
      </w:r>
      <w:r w:rsidR="002E4CFE" w:rsidRPr="00C727CA">
        <w:t xml:space="preserve"> </w:t>
      </w:r>
      <w:r w:rsidR="007F2DBB" w:rsidRPr="00C727CA">
        <w:t xml:space="preserve">Teoreticky bychom </w:t>
      </w:r>
      <w:r w:rsidR="006B7678" w:rsidRPr="00C727CA">
        <w:t xml:space="preserve">tedy </w:t>
      </w:r>
      <w:r w:rsidR="007F2DBB" w:rsidRPr="00C727CA">
        <w:t>mohli otevřené řízení přirovnat k soukromoprávnímu institutu veřejné soutěže.</w:t>
      </w:r>
      <w:r w:rsidR="007F2DBB" w:rsidRPr="00C727CA">
        <w:rPr>
          <w:rStyle w:val="FootnoteReference"/>
        </w:rPr>
        <w:footnoteReference w:id="63"/>
      </w:r>
      <w:r w:rsidR="00B8690B" w:rsidRPr="00C727CA">
        <w:rPr>
          <w:vertAlign w:val="superscript"/>
        </w:rPr>
        <w:t xml:space="preserve">, </w:t>
      </w:r>
      <w:r w:rsidR="00B8690B" w:rsidRPr="00C727CA">
        <w:rPr>
          <w:rStyle w:val="FootnoteReference"/>
        </w:rPr>
        <w:footnoteReference w:id="64"/>
      </w:r>
    </w:p>
    <w:p w14:paraId="49FE5976" w14:textId="77777777" w:rsidR="00B8690B" w:rsidRPr="00C727CA" w:rsidRDefault="008C4A12" w:rsidP="00FA2973">
      <w:r w:rsidRPr="00C727CA">
        <w:t>Pokud zadavatel během zadávacího řízení obdrží v otevřeném řízení pouze jedinou nabídku</w:t>
      </w:r>
      <w:r w:rsidR="0016536E" w:rsidRPr="00C727CA">
        <w:t>,</w:t>
      </w:r>
      <w:r w:rsidRPr="00C727CA">
        <w:t xml:space="preserve"> potažmo všechny nabídky kromě jedné vyřadí, v takovém případě je na jeho uvážení, zdali bude v zadávání pokračovat nebo takové řízení zruší dle § 84 odst. 3 písm. b) zákona. Pokud se rozhodne takové řízení zrušit, může tak učinit až do rozhodnutí o výběru nejvhodnější nabídky.</w:t>
      </w:r>
    </w:p>
    <w:p w14:paraId="3DBACE1F" w14:textId="77777777" w:rsidR="00B74762" w:rsidRPr="00C727CA" w:rsidRDefault="00B74762" w:rsidP="00FA2973">
      <w:r w:rsidRPr="00C727CA">
        <w:t>Jak již bylo uvedeno výše, otevřené řízení je nejtransparentnějším zadávacím řízením, může být použito jakýmkoliv zadavatelem pro jakoukoliv VZ podle předmětu i výše předpokládané hodnoty</w:t>
      </w:r>
      <w:r w:rsidR="005F0031" w:rsidRPr="00C727CA">
        <w:t xml:space="preserve">, vyjma </w:t>
      </w:r>
      <w:r w:rsidR="0016536E" w:rsidRPr="00C727CA">
        <w:t>VZ v oblasti</w:t>
      </w:r>
      <w:r w:rsidRPr="00C727CA">
        <w:t xml:space="preserve"> obrany nebo bezpečnosti</w:t>
      </w:r>
      <w:r w:rsidR="005F0031" w:rsidRPr="00C727CA">
        <w:t xml:space="preserve">. </w:t>
      </w:r>
      <w:r w:rsidRPr="00C727CA">
        <w:t>Samotný postup otevřeného řízení můžeme rozdělit do několika na sebe navazujících kroků:</w:t>
      </w:r>
    </w:p>
    <w:p w14:paraId="42825553" w14:textId="77777777" w:rsidR="00B74762" w:rsidRPr="00C727CA" w:rsidRDefault="008C799D" w:rsidP="00FA2973">
      <w:pPr>
        <w:pStyle w:val="ListParagraph"/>
        <w:numPr>
          <w:ilvl w:val="0"/>
          <w:numId w:val="35"/>
        </w:numPr>
        <w:spacing w:line="360" w:lineRule="auto"/>
        <w:jc w:val="both"/>
      </w:pPr>
      <w:r>
        <w:t>a</w:t>
      </w:r>
      <w:r w:rsidR="00341BFC" w:rsidRPr="00C727CA">
        <w:t xml:space="preserve">) </w:t>
      </w:r>
      <w:r w:rsidR="00B74762" w:rsidRPr="00C727CA">
        <w:t xml:space="preserve">předběžné oznámení </w:t>
      </w:r>
      <w:r w:rsidR="00E61E53" w:rsidRPr="00C727CA">
        <w:t>–</w:t>
      </w:r>
      <w:r w:rsidR="00B74762" w:rsidRPr="00C727CA">
        <w:t xml:space="preserve"> </w:t>
      </w:r>
      <w:r w:rsidR="00E61E53" w:rsidRPr="00C727CA">
        <w:t>tato povinnost se týká veřejného zadavatele na zá</w:t>
      </w:r>
      <w:r w:rsidR="00A6430D">
        <w:t>k</w:t>
      </w:r>
      <w:r w:rsidR="00E61E53" w:rsidRPr="00C727CA">
        <w:t xml:space="preserve">ladě § 86 </w:t>
      </w:r>
      <w:r w:rsidR="00341BFC" w:rsidRPr="00C727CA">
        <w:t xml:space="preserve">odst. 1 </w:t>
      </w:r>
      <w:r w:rsidR="00E61E53" w:rsidRPr="00C727CA">
        <w:t>zákona. Veřejný zadavatel uveřejní</w:t>
      </w:r>
      <w:r w:rsidR="00A11CC0" w:rsidRPr="00C727CA">
        <w:t>,</w:t>
      </w:r>
      <w:r w:rsidR="00E61E53" w:rsidRPr="00C727CA">
        <w:t xml:space="preserve"> </w:t>
      </w:r>
      <w:r w:rsidR="00D630CB" w:rsidRPr="00C727CA">
        <w:t>ve spojení s</w:t>
      </w:r>
      <w:r w:rsidR="00E61E53" w:rsidRPr="00C727CA">
        <w:t xml:space="preserve"> § 146 zákona</w:t>
      </w:r>
      <w:r w:rsidR="00A11CC0" w:rsidRPr="00C727CA">
        <w:t>,</w:t>
      </w:r>
      <w:r w:rsidR="00E61E53" w:rsidRPr="00C727CA">
        <w:t xml:space="preserve"> předběžné oznámení o zadávání nadlimitní či podlimitní VZ</w:t>
      </w:r>
      <w:r w:rsidR="00A11CC0" w:rsidRPr="00C727CA">
        <w:t>,</w:t>
      </w:r>
      <w:r w:rsidR="00E61E53" w:rsidRPr="00C727CA">
        <w:t xml:space="preserve"> bez ohledu na předmět VZ s tím, že následně</w:t>
      </w:r>
      <w:r w:rsidR="00B272DF" w:rsidRPr="00C727CA">
        <w:t>,</w:t>
      </w:r>
      <w:r w:rsidR="00E61E53" w:rsidRPr="00C727CA">
        <w:t xml:space="preserve"> po jednom měsíci je oprávněn zahájit samotné řízení. Součástí tohoto předběžného oznámení je taktéž dle § 86 odst. 2 zákona </w:t>
      </w:r>
      <w:r w:rsidR="00A11CC0" w:rsidRPr="00C727CA">
        <w:t xml:space="preserve">zatím </w:t>
      </w:r>
      <w:r w:rsidR="0006205E" w:rsidRPr="00C727CA">
        <w:t xml:space="preserve">pouhé </w:t>
      </w:r>
      <w:r w:rsidR="00E61E53" w:rsidRPr="00C727CA">
        <w:t>odůvodnění účelnosti veřejné zakázky, které je upraveno vyhláškou č. 232/2012 Sb., o podrobnostech rozsahu odůvodnění účelnosti veřejné zakázky a odůvodnění veřejné zakázky</w:t>
      </w:r>
      <w:r w:rsidR="00F64DF5" w:rsidRPr="00C727CA">
        <w:t>.</w:t>
      </w:r>
      <w:r w:rsidR="00950D21" w:rsidRPr="00C727CA">
        <w:t xml:space="preserve"> Pokud je </w:t>
      </w:r>
      <w:r w:rsidR="0089020E" w:rsidRPr="00C727CA">
        <w:t>ovšem zadávána tzv. významná VZ</w:t>
      </w:r>
      <w:r w:rsidR="00950D21" w:rsidRPr="00C727CA">
        <w:t xml:space="preserve">, veřejný zadavatel musí </w:t>
      </w:r>
      <w:r w:rsidR="004D4585" w:rsidRPr="00C727CA">
        <w:t xml:space="preserve">v rámci předběžného oznámení </w:t>
      </w:r>
      <w:r w:rsidR="00950D21" w:rsidRPr="00C727CA">
        <w:t xml:space="preserve">předložit </w:t>
      </w:r>
      <w:r w:rsidR="00AC4368" w:rsidRPr="00C727CA">
        <w:t xml:space="preserve">již </w:t>
      </w:r>
      <w:r w:rsidR="00F506D8" w:rsidRPr="00C727CA">
        <w:t xml:space="preserve">celkové </w:t>
      </w:r>
      <w:r w:rsidR="00950D21" w:rsidRPr="00C727CA">
        <w:t>odůvodnění VZ a její předpokládané hodnoty</w:t>
      </w:r>
      <w:r w:rsidR="00AC4368" w:rsidRPr="00C727CA">
        <w:t xml:space="preserve">, </w:t>
      </w:r>
      <w:r w:rsidR="004D4585" w:rsidRPr="00C727CA">
        <w:t xml:space="preserve">předem schválené </w:t>
      </w:r>
      <w:r w:rsidR="00E7533A" w:rsidRPr="00C727CA">
        <w:t>v</w:t>
      </w:r>
      <w:r w:rsidR="004D4585" w:rsidRPr="00C727CA">
        <w:t>ládou, zastupitelstvem či jiným orgánem</w:t>
      </w:r>
      <w:r w:rsidR="00E7533A" w:rsidRPr="00C727CA">
        <w:t xml:space="preserve"> dle podmínek stanovených v § 156 odst. 3, 4 či 5. V případě schvalování vládou musí být vypracováno oponentní vyjádření, což má na starosti příslušné ministerstvo.</w:t>
      </w:r>
      <w:r w:rsidR="00E7533A" w:rsidRPr="00C727CA">
        <w:rPr>
          <w:rStyle w:val="FootnoteReference"/>
        </w:rPr>
        <w:footnoteReference w:id="65"/>
      </w:r>
      <w:r w:rsidR="00F64DF5" w:rsidRPr="00C727CA">
        <w:t xml:space="preserve"> Z předběžného oznámení by se měl dodavatel dozvědět identifikační údaje zadavatele, předmět VZ, předpokládanou hodnotu VZ, přibližné datum zahájení zadáv</w:t>
      </w:r>
      <w:r w:rsidR="004D4585" w:rsidRPr="00C727CA">
        <w:t>acího řízení, dobu plnění VZ případně další informace</w:t>
      </w:r>
      <w:r w:rsidR="00F64DF5" w:rsidRPr="00C727CA">
        <w:t>. Na</w:t>
      </w:r>
      <w:r w:rsidR="001F50A4">
        <w:t> </w:t>
      </w:r>
      <w:r w:rsidR="00F64DF5" w:rsidRPr="00C727CA">
        <w:t>druhou stranu</w:t>
      </w:r>
      <w:r w:rsidR="004D4585" w:rsidRPr="00C727CA">
        <w:t>,</w:t>
      </w:r>
      <w:r w:rsidR="00F64DF5" w:rsidRPr="00C727CA">
        <w:t xml:space="preserve"> samotné předběžné oznámení nezakládá zadavatelovu povinnost následně zadávací řízení zahájit</w:t>
      </w:r>
      <w:r w:rsidR="00C437C0" w:rsidRPr="00C727CA">
        <w:t>;</w:t>
      </w:r>
      <w:r w:rsidR="00520C13" w:rsidRPr="00C727CA">
        <w:rPr>
          <w:rStyle w:val="FootnoteReference"/>
        </w:rPr>
        <w:footnoteReference w:id="66"/>
      </w:r>
    </w:p>
    <w:p w14:paraId="1D1037BB" w14:textId="77777777" w:rsidR="00341BFC" w:rsidRPr="00C727CA" w:rsidRDefault="008C799D" w:rsidP="00FA2973">
      <w:pPr>
        <w:pStyle w:val="ListParagraph"/>
        <w:numPr>
          <w:ilvl w:val="0"/>
          <w:numId w:val="36"/>
        </w:numPr>
        <w:spacing w:line="360" w:lineRule="auto"/>
        <w:jc w:val="both"/>
      </w:pPr>
      <w:r>
        <w:t>b</w:t>
      </w:r>
      <w:r w:rsidR="00341BFC" w:rsidRPr="00C727CA">
        <w:t>) pravidelné předběžné oznámení – tato povinnost se</w:t>
      </w:r>
      <w:r w:rsidR="000D7C8C" w:rsidRPr="00C727CA">
        <w:t>,</w:t>
      </w:r>
      <w:r w:rsidR="00341BFC" w:rsidRPr="00C727CA">
        <w:t xml:space="preserve"> naopak od výše uvedeného předběžného oznámení</w:t>
      </w:r>
      <w:r w:rsidR="000D7C8C" w:rsidRPr="00C727CA">
        <w:t>,</w:t>
      </w:r>
      <w:r w:rsidR="00341BFC" w:rsidRPr="00C727CA">
        <w:t xml:space="preserve"> týká pouze sektorového zadavatele. Podle § 87 odst. 1 zákona uveřejní sektorový zadavatel </w:t>
      </w:r>
      <w:r w:rsidR="00B244E2" w:rsidRPr="00C727CA">
        <w:t xml:space="preserve">opět podle § 146 zákona </w:t>
      </w:r>
      <w:r w:rsidR="00341BFC" w:rsidRPr="00C727CA">
        <w:t>pravidelné předběžné oznámení</w:t>
      </w:r>
      <w:r w:rsidR="00B244E2" w:rsidRPr="00C727CA">
        <w:t xml:space="preserve"> pouze pro nadlimitní VZ, kterou</w:t>
      </w:r>
      <w:r w:rsidR="00341BFC" w:rsidRPr="00C727CA">
        <w:t xml:space="preserve"> plánuje zadávat (nikoliv </w:t>
      </w:r>
      <w:r w:rsidR="000D7C8C" w:rsidRPr="00C727CA">
        <w:t xml:space="preserve">nutně </w:t>
      </w:r>
      <w:r w:rsidR="00341BFC" w:rsidRPr="00C727CA">
        <w:t xml:space="preserve">zadat) v následujících </w:t>
      </w:r>
      <w:r w:rsidR="00B244E2" w:rsidRPr="00C727CA">
        <w:t>dvanác</w:t>
      </w:r>
      <w:r w:rsidR="000D7C8C" w:rsidRPr="00C727CA">
        <w:t>ti měsících a u které</w:t>
      </w:r>
      <w:r w:rsidR="00341BFC" w:rsidRPr="00C727CA">
        <w:t xml:space="preserve"> chce zkrátit lhůtu pro podání nabídek dle § 42 zákona. </w:t>
      </w:r>
      <w:r w:rsidR="00B244E2" w:rsidRPr="00C727CA">
        <w:t>Z toho tedy vyplývá, že p</w:t>
      </w:r>
      <w:r w:rsidR="00341BFC" w:rsidRPr="00C727CA">
        <w:t>okud sektorový zadavatel u nadlimitní VZ na jakýkoliv předmět plnění</w:t>
      </w:r>
      <w:r w:rsidR="00B244E2" w:rsidRPr="00C727CA">
        <w:t xml:space="preserve"> nehodlá zkrátit lhůtu pro podání nabídek, toto </w:t>
      </w:r>
      <w:r w:rsidR="000D7C8C" w:rsidRPr="00C727CA">
        <w:t xml:space="preserve">pravidelné </w:t>
      </w:r>
      <w:r w:rsidR="00C437C0" w:rsidRPr="00C727CA">
        <w:t xml:space="preserve">předběžné oznámení se </w:t>
      </w:r>
      <w:r w:rsidR="000D7C8C" w:rsidRPr="00C727CA">
        <w:t>neuveřejňuje</w:t>
      </w:r>
      <w:r w:rsidR="00C437C0" w:rsidRPr="00C727CA">
        <w:t>;</w:t>
      </w:r>
      <w:r w:rsidR="00520C13" w:rsidRPr="00C727CA">
        <w:rPr>
          <w:rStyle w:val="FootnoteReference"/>
        </w:rPr>
        <w:footnoteReference w:id="67"/>
      </w:r>
    </w:p>
    <w:p w14:paraId="1236CDF7" w14:textId="77777777" w:rsidR="00B244E2" w:rsidRPr="00C727CA" w:rsidRDefault="00B244E2" w:rsidP="00FA2973">
      <w:pPr>
        <w:pStyle w:val="ListParagraph"/>
        <w:numPr>
          <w:ilvl w:val="0"/>
          <w:numId w:val="36"/>
        </w:numPr>
        <w:spacing w:line="360" w:lineRule="auto"/>
        <w:jc w:val="both"/>
      </w:pPr>
      <w:r w:rsidRPr="00C727CA">
        <w:t>oznámení otevřeného řízení – tímto úkonem dochá</w:t>
      </w:r>
      <w:r w:rsidR="008B1D3E" w:rsidRPr="00C727CA">
        <w:t>zí k zahájení otevřeného řízení. O</w:t>
      </w:r>
      <w:r w:rsidRPr="00C727CA">
        <w:t>známení se uveřejňuje na základě § 146 zákona s tím, že nadlimitní VZ se zveřejňují i na úrovni E</w:t>
      </w:r>
      <w:r w:rsidR="005C2194" w:rsidRPr="00C727CA">
        <w:t>U</w:t>
      </w:r>
      <w:r w:rsidRPr="00C727CA">
        <w:rPr>
          <w:rStyle w:val="FootnoteReference"/>
        </w:rPr>
        <w:footnoteReference w:id="68"/>
      </w:r>
      <w:r w:rsidR="005C2194" w:rsidRPr="00C727CA">
        <w:t>.</w:t>
      </w:r>
      <w:r w:rsidRPr="00C727CA">
        <w:t xml:space="preserve"> Toto oznámení by mělo obsahovat opět identifikační údaje zadavatele</w:t>
      </w:r>
      <w:r w:rsidR="00615A1C" w:rsidRPr="00C727CA">
        <w:t>, předmět VZ, informaci o zadávání VZ v rámci otevřeného řízení, požadavky na</w:t>
      </w:r>
      <w:r w:rsidR="001F50A4">
        <w:t> </w:t>
      </w:r>
      <w:r w:rsidR="00615A1C" w:rsidRPr="00C727CA">
        <w:t>kvalifikaci dodavatele, stanovení lhůty pro podání nabídek a taktéž</w:t>
      </w:r>
      <w:r w:rsidR="00520C13" w:rsidRPr="00C727CA">
        <w:t xml:space="preserve"> stanovení hodnotících kritérií;</w:t>
      </w:r>
      <w:r w:rsidR="00615A1C" w:rsidRPr="00C727CA">
        <w:rPr>
          <w:rStyle w:val="FootnoteReference"/>
        </w:rPr>
        <w:footnoteReference w:id="69"/>
      </w:r>
    </w:p>
    <w:p w14:paraId="5B8825B7" w14:textId="77777777" w:rsidR="00B22191" w:rsidRPr="00C727CA" w:rsidRDefault="00615A1C" w:rsidP="00B22191">
      <w:pPr>
        <w:pStyle w:val="ListParagraph"/>
        <w:numPr>
          <w:ilvl w:val="0"/>
          <w:numId w:val="36"/>
        </w:numPr>
        <w:spacing w:line="360" w:lineRule="auto"/>
        <w:jc w:val="both"/>
      </w:pPr>
      <w:r w:rsidRPr="00C727CA">
        <w:t xml:space="preserve">uveřejnění zadávací dokumentace – </w:t>
      </w:r>
      <w:r w:rsidR="00710C0B" w:rsidRPr="00C727CA">
        <w:t>uveřejnění se týká alespoň textové</w:t>
      </w:r>
      <w:r w:rsidR="00C437C0" w:rsidRPr="00C727CA">
        <w:t xml:space="preserve"> část</w:t>
      </w:r>
      <w:r w:rsidR="00710C0B" w:rsidRPr="00C727CA">
        <w:t>i</w:t>
      </w:r>
      <w:r w:rsidR="00C437C0" w:rsidRPr="00C727CA">
        <w:rPr>
          <w:rStyle w:val="FootnoteReference"/>
        </w:rPr>
        <w:footnoteReference w:id="70"/>
      </w:r>
      <w:r w:rsidR="00C437C0" w:rsidRPr="00C727CA">
        <w:t xml:space="preserve"> </w:t>
      </w:r>
      <w:r w:rsidR="008B1D3E" w:rsidRPr="00C727CA">
        <w:t>zadávací dokumentace</w:t>
      </w:r>
      <w:r w:rsidRPr="00C727CA">
        <w:t xml:space="preserve"> na profilu</w:t>
      </w:r>
      <w:r w:rsidR="0089020E" w:rsidRPr="00C727CA">
        <w:rPr>
          <w:rStyle w:val="FootnoteReference"/>
        </w:rPr>
        <w:footnoteReference w:id="71"/>
      </w:r>
      <w:r w:rsidR="00C437C0" w:rsidRPr="00C727CA">
        <w:t xml:space="preserve"> </w:t>
      </w:r>
      <w:r w:rsidR="00710C0B" w:rsidRPr="00C727CA">
        <w:t>zadavatele</w:t>
      </w:r>
      <w:r w:rsidR="008B1D3E" w:rsidRPr="00C727CA">
        <w:t>,</w:t>
      </w:r>
      <w:r w:rsidR="00710C0B" w:rsidRPr="00C727CA">
        <w:t xml:space="preserve"> </w:t>
      </w:r>
      <w:r w:rsidR="00511DF4" w:rsidRPr="00C727CA">
        <w:t>a to nejméně do konce lhůty pro podání nabídek</w:t>
      </w:r>
      <w:r w:rsidR="001C7E33" w:rsidRPr="00C727CA">
        <w:t xml:space="preserve">. Dle § 48 </w:t>
      </w:r>
      <w:r w:rsidR="00974C0B" w:rsidRPr="00C727CA">
        <w:t>odst. 1</w:t>
      </w:r>
      <w:r w:rsidR="00DD644E" w:rsidRPr="00C727CA">
        <w:t xml:space="preserve"> </w:t>
      </w:r>
      <w:r w:rsidR="001C7E33" w:rsidRPr="00C727CA">
        <w:t>zákona však zadavatel tuto povinnost nemá, pokud</w:t>
      </w:r>
      <w:r w:rsidR="00974C0B" w:rsidRPr="00C727CA">
        <w:t xml:space="preserve"> by takovým uveřejněním došlo k vyzrazení nebo ohrožení utajovaných i</w:t>
      </w:r>
      <w:r w:rsidR="0095058C" w:rsidRPr="00C727CA">
        <w:t>nformací</w:t>
      </w:r>
      <w:r w:rsidR="00C437C0" w:rsidRPr="00C727CA">
        <w:t>;</w:t>
      </w:r>
      <w:r w:rsidR="00520C13" w:rsidRPr="00C727CA">
        <w:rPr>
          <w:rStyle w:val="FootnoteReference"/>
        </w:rPr>
        <w:footnoteReference w:id="72"/>
      </w:r>
    </w:p>
    <w:p w14:paraId="111BC509" w14:textId="77777777" w:rsidR="00974C0B" w:rsidRPr="00C727CA" w:rsidRDefault="00974C0B" w:rsidP="00FA2973">
      <w:pPr>
        <w:pStyle w:val="ListParagraph"/>
        <w:numPr>
          <w:ilvl w:val="0"/>
          <w:numId w:val="36"/>
        </w:numPr>
        <w:spacing w:line="360" w:lineRule="auto"/>
        <w:jc w:val="both"/>
      </w:pPr>
      <w:r w:rsidRPr="00C727CA">
        <w:t xml:space="preserve">předání či odeslání nezveřejněných částí zadávací dokumentace – pokud zadavatel nezveřejnil část </w:t>
      </w:r>
      <w:r w:rsidR="0095058C" w:rsidRPr="00C727CA">
        <w:t>své dokumentace na svém profilu</w:t>
      </w:r>
      <w:r w:rsidRPr="00C727CA">
        <w:t>, postupuje se dle § 48 odst. 2 zákona</w:t>
      </w:r>
      <w:r w:rsidR="008C799D">
        <w:t>,</w:t>
      </w:r>
      <w:r w:rsidRPr="00C727CA">
        <w:t xml:space="preserve"> kdy </w:t>
      </w:r>
      <w:r w:rsidR="008B1D3E" w:rsidRPr="00C727CA">
        <w:t xml:space="preserve">je zadavatel </w:t>
      </w:r>
      <w:r w:rsidRPr="00C727CA">
        <w:t xml:space="preserve">povinen do tří pracovních dnů předat či odeslat dodavateli </w:t>
      </w:r>
      <w:r w:rsidR="00710C0B" w:rsidRPr="00C727CA">
        <w:t>nezveřejněné</w:t>
      </w:r>
      <w:r w:rsidRPr="00C727CA">
        <w:t xml:space="preserve"> části zadávací dokumentace</w:t>
      </w:r>
      <w:r w:rsidR="00710C0B" w:rsidRPr="00C727CA">
        <w:t>, a to</w:t>
      </w:r>
      <w:r w:rsidRPr="00C727CA">
        <w:t xml:space="preserve"> od momentu, kdy obdrží písemnou žádost </w:t>
      </w:r>
      <w:r w:rsidR="00710C0B" w:rsidRPr="00C727CA">
        <w:t xml:space="preserve">od takového </w:t>
      </w:r>
      <w:r w:rsidRPr="00C727CA">
        <w:t>doda</w:t>
      </w:r>
      <w:r w:rsidR="00C437C0" w:rsidRPr="00C727CA">
        <w:t>vatele;</w:t>
      </w:r>
      <w:r w:rsidRPr="00C727CA">
        <w:rPr>
          <w:rStyle w:val="FootnoteReference"/>
        </w:rPr>
        <w:footnoteReference w:id="73"/>
      </w:r>
    </w:p>
    <w:p w14:paraId="71629ECB" w14:textId="77777777" w:rsidR="00C437C0" w:rsidRPr="00C727CA" w:rsidRDefault="00B51BCC" w:rsidP="00FA2973">
      <w:pPr>
        <w:pStyle w:val="ListParagraph"/>
        <w:numPr>
          <w:ilvl w:val="0"/>
          <w:numId w:val="36"/>
        </w:numPr>
        <w:spacing w:line="360" w:lineRule="auto"/>
        <w:jc w:val="both"/>
      </w:pPr>
      <w:r w:rsidRPr="00C727CA">
        <w:t xml:space="preserve">odůvodnění VZ a jeho publikace </w:t>
      </w:r>
      <w:r w:rsidR="00F506D8" w:rsidRPr="00C727CA">
        <w:t>–</w:t>
      </w:r>
      <w:r w:rsidRPr="00C727CA">
        <w:t xml:space="preserve"> </w:t>
      </w:r>
      <w:r w:rsidR="00F506D8" w:rsidRPr="00C727CA">
        <w:t>pokud nebyla zadávána významná VZ, musí v tento moment veřejný zadavatel dle § 156 odst. 1 zákona vypracovat odůvodnění VZ, které musí následně dle odst. 2 uveřejnit na svém profilu do tří pracovních dnů od uveřejnění oznámení o zahájení otevřeného řízení</w:t>
      </w:r>
      <w:r w:rsidR="00F4434E" w:rsidRPr="00C727CA">
        <w:t>. Nezapomeňme, že toto odůvodnění se liší od</w:t>
      </w:r>
      <w:r w:rsidR="001F50A4">
        <w:t> </w:t>
      </w:r>
      <w:r w:rsidR="00F4434E" w:rsidRPr="00C727CA">
        <w:t>odůvodnění účelnosti v rámci předběžného oznámené</w:t>
      </w:r>
      <w:r w:rsidR="00F506D8" w:rsidRPr="00C727CA">
        <w:t>;</w:t>
      </w:r>
      <w:r w:rsidR="00520C13" w:rsidRPr="00C727CA">
        <w:rPr>
          <w:rStyle w:val="FootnoteReference"/>
        </w:rPr>
        <w:footnoteReference w:id="74"/>
      </w:r>
    </w:p>
    <w:p w14:paraId="6F72B83F" w14:textId="77777777" w:rsidR="00F506D8" w:rsidRPr="00C727CA" w:rsidRDefault="00F506D8" w:rsidP="00FA2973">
      <w:pPr>
        <w:pStyle w:val="ListParagraph"/>
        <w:numPr>
          <w:ilvl w:val="0"/>
          <w:numId w:val="36"/>
        </w:numPr>
        <w:spacing w:line="360" w:lineRule="auto"/>
        <w:jc w:val="both"/>
      </w:pPr>
      <w:r w:rsidRPr="00C727CA">
        <w:t xml:space="preserve">poskytnutí dodatečných informací včetně prohlídky místa plnění </w:t>
      </w:r>
      <w:r w:rsidR="00DF5946" w:rsidRPr="00C727CA">
        <w:t>–</w:t>
      </w:r>
      <w:r w:rsidRPr="00C727CA">
        <w:t xml:space="preserve"> </w:t>
      </w:r>
      <w:r w:rsidR="00DF5946" w:rsidRPr="00C727CA">
        <w:t>dodavatel může po</w:t>
      </w:r>
      <w:r w:rsidR="001F50A4">
        <w:t> </w:t>
      </w:r>
      <w:r w:rsidR="00DF5946" w:rsidRPr="00C727CA">
        <w:t xml:space="preserve">zadavateli </w:t>
      </w:r>
      <w:r w:rsidR="00CC0F05" w:rsidRPr="00C727CA">
        <w:t>dle § 49 odst. 1 zákona na základě</w:t>
      </w:r>
      <w:r w:rsidR="00DF5946" w:rsidRPr="00C727CA">
        <w:t xml:space="preserve"> písemné </w:t>
      </w:r>
      <w:r w:rsidR="00CC0F05" w:rsidRPr="00C727CA">
        <w:t>žádosti</w:t>
      </w:r>
      <w:r w:rsidR="00DF5946" w:rsidRPr="00C727CA">
        <w:t xml:space="preserve"> </w:t>
      </w:r>
      <w:r w:rsidR="00CC0F05" w:rsidRPr="00C727CA">
        <w:t xml:space="preserve">požadovat </w:t>
      </w:r>
      <w:r w:rsidR="00DF5946" w:rsidRPr="00C727CA">
        <w:t xml:space="preserve">dodatečné </w:t>
      </w:r>
      <w:r w:rsidR="00A6430D" w:rsidRPr="00C727CA">
        <w:t>informace</w:t>
      </w:r>
      <w:r w:rsidR="00DF5946" w:rsidRPr="00C727CA">
        <w:t xml:space="preserve"> k zadávacím podmínkám s tím,</w:t>
      </w:r>
      <w:r w:rsidR="00CC0F05" w:rsidRPr="00C727CA">
        <w:t xml:space="preserve"> že tato žádost musí být z</w:t>
      </w:r>
      <w:r w:rsidR="00DF5946" w:rsidRPr="00C727CA">
        <w:t xml:space="preserve">adavateli doručena </w:t>
      </w:r>
      <w:r w:rsidR="002854A3" w:rsidRPr="00C727CA">
        <w:t>nejméně</w:t>
      </w:r>
      <w:r w:rsidR="00DF5946" w:rsidRPr="00C727CA">
        <w:t xml:space="preserve"> šest</w:t>
      </w:r>
      <w:r w:rsidR="00CC0F05" w:rsidRPr="00C727CA">
        <w:t xml:space="preserve"> pracovních dnů </w:t>
      </w:r>
      <w:r w:rsidR="008C799D">
        <w:t>před datem</w:t>
      </w:r>
      <w:r w:rsidR="00CC0F05" w:rsidRPr="00C727CA">
        <w:t xml:space="preserve"> pro podání nabídek</w:t>
      </w:r>
      <w:r w:rsidR="002854A3" w:rsidRPr="00C727CA">
        <w:t>.</w:t>
      </w:r>
      <w:r w:rsidR="00CC0F05" w:rsidRPr="00C727CA">
        <w:t xml:space="preserve"> Zadavatel musí následně</w:t>
      </w:r>
      <w:r w:rsidR="00CC14D3" w:rsidRPr="00C727CA">
        <w:t xml:space="preserve"> do čtyř pracovních dnů od doručení dané žádosti</w:t>
      </w:r>
      <w:r w:rsidR="00C33687" w:rsidRPr="00C727CA">
        <w:t xml:space="preserve"> </w:t>
      </w:r>
      <w:r w:rsidR="00A36A1C" w:rsidRPr="00C727CA">
        <w:t xml:space="preserve">dle odst. 2 </w:t>
      </w:r>
      <w:r w:rsidR="00C33687" w:rsidRPr="00C727CA">
        <w:t xml:space="preserve">dodavateli dodatečné informace odeslat. Důležité je </w:t>
      </w:r>
      <w:r w:rsidR="002E6587" w:rsidRPr="00C727CA">
        <w:t>také</w:t>
      </w:r>
      <w:r w:rsidR="00C33687" w:rsidRPr="00C727CA">
        <w:t xml:space="preserve"> dodat, že dle Nejvyššího správního soudu České republiky (dále jen „NSS“) „není přípustné, aby zadavatel prostřednictvím poskytnutí dodatečných informací […] v průběhu zadávacího řízení měnil konkrétní předmět veřejné zakázky nebo byť jen částečně modifikoval zadávací dokumentaci.“</w:t>
      </w:r>
      <w:r w:rsidR="00C33687" w:rsidRPr="00C727CA">
        <w:rPr>
          <w:rStyle w:val="FootnoteReference"/>
        </w:rPr>
        <w:footnoteReference w:id="75"/>
      </w:r>
      <w:r w:rsidR="00A36A1C" w:rsidRPr="00C727CA">
        <w:t xml:space="preserve"> Na základě § 49 odst.</w:t>
      </w:r>
      <w:r w:rsidR="002E6587" w:rsidRPr="00C727CA">
        <w:t xml:space="preserve"> </w:t>
      </w:r>
      <w:r w:rsidR="00A36A1C" w:rsidRPr="00C727CA">
        <w:t xml:space="preserve">3 zákona zadavateli </w:t>
      </w:r>
      <w:r w:rsidR="002E6587" w:rsidRPr="00C727CA">
        <w:t xml:space="preserve">následně </w:t>
      </w:r>
      <w:r w:rsidR="00A36A1C" w:rsidRPr="00C727CA">
        <w:t xml:space="preserve">vzniká povinnost, aby </w:t>
      </w:r>
      <w:r w:rsidR="00FF3514" w:rsidRPr="00C727CA">
        <w:t>přesné znění písemné žádosti, jakož i poskytnuté dodatečné informace, odeslal ve stejné lhůtě veškerým dalším dodavatelům, kteří o zadávací dokumentaci požádali, případně jim již byla poskytnuta</w:t>
      </w:r>
      <w:r w:rsidR="00F75C65" w:rsidRPr="00C727CA">
        <w:t>, a aby tyto veškeré</w:t>
      </w:r>
      <w:r w:rsidR="002E6587" w:rsidRPr="00C727CA">
        <w:t xml:space="preserve"> informace zadavatel zveřejnil</w:t>
      </w:r>
      <w:r w:rsidR="00B66D4A" w:rsidRPr="00C727CA">
        <w:t xml:space="preserve">, </w:t>
      </w:r>
      <w:r w:rsidR="00F75C65" w:rsidRPr="00C727CA">
        <w:t>nejčastěji</w:t>
      </w:r>
      <w:r w:rsidR="00FF3514" w:rsidRPr="00C727CA">
        <w:t xml:space="preserve"> </w:t>
      </w:r>
      <w:r w:rsidR="002A59D2" w:rsidRPr="00C727CA">
        <w:t>na</w:t>
      </w:r>
      <w:r w:rsidR="00B66D4A" w:rsidRPr="00C727CA">
        <w:t xml:space="preserve"> svém</w:t>
      </w:r>
      <w:r w:rsidR="00F75C65" w:rsidRPr="00C727CA">
        <w:t xml:space="preserve"> profilu. Zadavateli ovšem také nic nebrání </w:t>
      </w:r>
      <w:r w:rsidR="002E6587" w:rsidRPr="00C727CA">
        <w:t>v tom</w:t>
      </w:r>
      <w:r w:rsidR="00F75C65" w:rsidRPr="00C727CA">
        <w:t xml:space="preserve">, aby dodavatelům poskytl případné dodatečné informace z vlastní </w:t>
      </w:r>
      <w:r w:rsidR="002E6587" w:rsidRPr="00C727CA">
        <w:t>vůle</w:t>
      </w:r>
      <w:r w:rsidR="00F75C65" w:rsidRPr="00C727CA">
        <w:t xml:space="preserve"> bez jejich předchozích</w:t>
      </w:r>
      <w:r w:rsidR="00B66D4A" w:rsidRPr="00C727CA">
        <w:t xml:space="preserve"> žádostí, pokud si myslí, že je to </w:t>
      </w:r>
      <w:r w:rsidR="00F75C65" w:rsidRPr="00C727CA">
        <w:t>nutné. Musí při</w:t>
      </w:r>
      <w:r w:rsidR="00FF26CE">
        <w:t xml:space="preserve">tom dodržet podmínky dané </w:t>
      </w:r>
      <w:r w:rsidR="00F75C65" w:rsidRPr="00C727CA">
        <w:t xml:space="preserve">odstavcem </w:t>
      </w:r>
      <w:r w:rsidR="00FF26CE">
        <w:t xml:space="preserve">2 a 3 </w:t>
      </w:r>
      <w:r w:rsidR="00F75C65" w:rsidRPr="00C727CA">
        <w:t xml:space="preserve">§ 49 zákona. </w:t>
      </w:r>
      <w:r w:rsidR="00A209B6" w:rsidRPr="00C727CA">
        <w:t>Pokud jde o prohlídku místa plnění, zadavatel toto umožní nejpozději dvanáct dnů před uplynutím lhůty pro podání nabídek s tím, že tato prohlídka může být realizována se všemi dodavateli společně nebo s každým zvlášť;</w:t>
      </w:r>
      <w:r w:rsidR="00A209B6" w:rsidRPr="00C727CA">
        <w:rPr>
          <w:rStyle w:val="FootnoteReference"/>
        </w:rPr>
        <w:footnoteReference w:id="76"/>
      </w:r>
    </w:p>
    <w:p w14:paraId="1F13354F" w14:textId="77777777" w:rsidR="002E1DF3" w:rsidRPr="00C727CA" w:rsidRDefault="00B96A33" w:rsidP="00FA2973">
      <w:pPr>
        <w:pStyle w:val="ListParagraph"/>
        <w:numPr>
          <w:ilvl w:val="0"/>
          <w:numId w:val="36"/>
        </w:numPr>
        <w:spacing w:line="360" w:lineRule="auto"/>
        <w:jc w:val="both"/>
      </w:pPr>
      <w:r w:rsidRPr="00C727CA">
        <w:t>podání nabídek</w:t>
      </w:r>
      <w:r w:rsidR="00E36393" w:rsidRPr="00C727CA">
        <w:t xml:space="preserve"> </w:t>
      </w:r>
      <w:r w:rsidR="002A59D2" w:rsidRPr="00C727CA">
        <w:t>–</w:t>
      </w:r>
      <w:r w:rsidR="00E36393" w:rsidRPr="00C727CA">
        <w:t xml:space="preserve"> </w:t>
      </w:r>
      <w:r w:rsidR="002A59D2" w:rsidRPr="00C727CA">
        <w:t>problematika nabídky</w:t>
      </w:r>
      <w:r w:rsidRPr="00C727CA">
        <w:t>,</w:t>
      </w:r>
      <w:r w:rsidR="002A59D2" w:rsidRPr="00C727CA">
        <w:t xml:space="preserve"> jakožto návrhu uchazeče na uzavření smlouvy s</w:t>
      </w:r>
      <w:r w:rsidR="00E60B70" w:rsidRPr="00C727CA">
        <w:t>e</w:t>
      </w:r>
      <w:r w:rsidR="002A59D2" w:rsidRPr="00C727CA">
        <w:t> zadavatelem</w:t>
      </w:r>
      <w:r w:rsidRPr="00C727CA">
        <w:t>,</w:t>
      </w:r>
      <w:r w:rsidR="002A59D2" w:rsidRPr="00C727CA">
        <w:t xml:space="preserve"> je obecně řešena v hlavě VI. zákona. Obsahové požadavky na nabídku jsou stanoveny v § 68 zákona. Pokud jde o proces podání nabídky, musíme ovšem vycházet z ustanovení § 69 zákona.</w:t>
      </w:r>
      <w:r w:rsidR="00E60B70" w:rsidRPr="00C727CA">
        <w:t xml:space="preserve"> Obecně platí, že každý dodavatel může podat v rámci konkrétního zadávacího řízení pouze jednu nabídku. V případě splnění podmínek stanovených § 70 zákona pro varianty nabídky platí, že varianty jsou posuzovány jako jediná nabídka. Pokud by uchazeč výše uvedené obecné pravidlo o jedné nabídce porušil, má zadavatel za povinnost</w:t>
      </w:r>
      <w:r w:rsidRPr="00C727CA">
        <w:t>,</w:t>
      </w:r>
      <w:r w:rsidR="00E60B70" w:rsidRPr="00C727CA">
        <w:t xml:space="preserve"> daného uchazeče z takového zadávacího řízení vyloučit.</w:t>
      </w:r>
      <w:r w:rsidR="001D160A" w:rsidRPr="00C727CA">
        <w:t xml:space="preserve"> Stejná situace nastane také tehdy, pokud by určitý dodavatel </w:t>
      </w:r>
      <w:r w:rsidR="003F5A3D" w:rsidRPr="00C727CA">
        <w:t xml:space="preserve">„A“ </w:t>
      </w:r>
      <w:r w:rsidR="001D160A" w:rsidRPr="00C727CA">
        <w:t xml:space="preserve">v tomtéž zadávacím řízení </w:t>
      </w:r>
      <w:r w:rsidR="00A6430D" w:rsidRPr="00C727CA">
        <w:t>vystupoval</w:t>
      </w:r>
      <w:r w:rsidR="001D160A" w:rsidRPr="00C727CA">
        <w:t xml:space="preserve"> jako subdodavatel jiného dodavatele </w:t>
      </w:r>
      <w:r w:rsidR="003F5A3D" w:rsidRPr="00C727CA">
        <w:t xml:space="preserve">„B“ </w:t>
      </w:r>
      <w:r w:rsidR="001D160A" w:rsidRPr="00C727CA">
        <w:t xml:space="preserve">a takovému dodavateli </w:t>
      </w:r>
      <w:r w:rsidR="003F5A3D" w:rsidRPr="00C727CA">
        <w:t xml:space="preserve">„B“ </w:t>
      </w:r>
      <w:r w:rsidR="001D160A" w:rsidRPr="00C727CA">
        <w:t xml:space="preserve">poskytoval prokázání kvalifikace pro danou VZ. V takovém případě má zadavatel </w:t>
      </w:r>
      <w:r w:rsidRPr="00C727CA">
        <w:t xml:space="preserve">opět </w:t>
      </w:r>
      <w:r w:rsidR="001D160A" w:rsidRPr="00C727CA">
        <w:t>za</w:t>
      </w:r>
      <w:r w:rsidR="001F50A4">
        <w:t> </w:t>
      </w:r>
      <w:r w:rsidR="001D160A" w:rsidRPr="00C727CA">
        <w:t xml:space="preserve">povinnost </w:t>
      </w:r>
      <w:r w:rsidR="003F5A3D" w:rsidRPr="00C727CA">
        <w:t xml:space="preserve">nabídku tohoto dodavatele „A“ vyřadit a tento subjekt z celého zadávacího řízení vyloučit. O této skutečnosti musí být </w:t>
      </w:r>
      <w:r w:rsidRPr="00C727CA">
        <w:t>náš</w:t>
      </w:r>
      <w:r w:rsidR="003F5A3D" w:rsidRPr="00C727CA">
        <w:t xml:space="preserve"> dodavatel „A“ bezod</w:t>
      </w:r>
      <w:r w:rsidRPr="00C727CA">
        <w:t>kladně písemně vyrozuměn</w:t>
      </w:r>
      <w:r w:rsidR="003F5A3D" w:rsidRPr="00C727CA">
        <w:t xml:space="preserve"> dle § 69 odst. 3 zákona. S</w:t>
      </w:r>
      <w:r w:rsidR="001D160A" w:rsidRPr="00C727CA">
        <w:t>oučasně ale není nikterak zakázáno, aby j</w:t>
      </w:r>
      <w:r w:rsidR="003F5A3D" w:rsidRPr="00C727CA">
        <w:t>eden subdodavatel, který</w:t>
      </w:r>
      <w:r w:rsidR="001D160A" w:rsidRPr="00C727CA">
        <w:t xml:space="preserve"> sám nepo</w:t>
      </w:r>
      <w:r w:rsidR="003F5A3D" w:rsidRPr="00C727CA">
        <w:t xml:space="preserve">dá vlastní nabídku, vystupoval jako subdodavatel ve více nabídkách </w:t>
      </w:r>
      <w:r w:rsidRPr="00C727CA">
        <w:t>různých</w:t>
      </w:r>
      <w:r w:rsidR="003F5A3D" w:rsidRPr="00C727CA">
        <w:t xml:space="preserve"> dodavatelů.</w:t>
      </w:r>
      <w:r w:rsidR="00652DED" w:rsidRPr="00C727CA">
        <w:t xml:space="preserve"> Dále je také možné podání tzv. společn</w:t>
      </w:r>
      <w:r w:rsidRPr="00C727CA">
        <w:t>é nabídky více dodavateli</w:t>
      </w:r>
      <w:r w:rsidR="00652DED" w:rsidRPr="00C727CA">
        <w:t xml:space="preserve">, kteří jsou následně zavázáni společně a nerozdílně. Tito dodavatelé podávají takovou nabídku v tzv. dodavatelském konsorciu s tím, </w:t>
      </w:r>
      <w:r w:rsidR="00CE78A1" w:rsidRPr="00C727CA">
        <w:t xml:space="preserve">že </w:t>
      </w:r>
      <w:r w:rsidR="00652DED" w:rsidRPr="00C727CA">
        <w:t xml:space="preserve">následně je každý z nich oprávněn podat případné námitky či návrh k ÚOHS. </w:t>
      </w:r>
      <w:r w:rsidR="00E806C5">
        <w:t>Samotné n</w:t>
      </w:r>
      <w:r w:rsidR="00652DED" w:rsidRPr="00C727CA">
        <w:t>abídky se podávají písemně v</w:t>
      </w:r>
      <w:r w:rsidR="001F50A4">
        <w:t> </w:t>
      </w:r>
      <w:r w:rsidR="00652DED" w:rsidRPr="00C727CA">
        <w:t>listinné či elektronické pod</w:t>
      </w:r>
      <w:r w:rsidR="00E806C5">
        <w:t xml:space="preserve">obě. Zadavatel má samozřejmě </w:t>
      </w:r>
      <w:r w:rsidR="00652DED" w:rsidRPr="00C727CA">
        <w:t>povinnost došlé nabídky evidovat</w:t>
      </w:r>
      <w:r w:rsidR="0075131D" w:rsidRPr="00C727CA">
        <w:t xml:space="preserve"> a přidělit každé z nich pořadové číslo, datum a čas jejich doručení. Pokud zadavatel obdrží </w:t>
      </w:r>
      <w:r w:rsidRPr="00C727CA">
        <w:t>vedle listinných nabídek i</w:t>
      </w:r>
      <w:r w:rsidR="0075131D" w:rsidRPr="00C727CA">
        <w:t xml:space="preserve"> </w:t>
      </w:r>
      <w:r w:rsidR="00CE78A1" w:rsidRPr="00C727CA">
        <w:t>elektronické</w:t>
      </w:r>
      <w:r w:rsidR="0075131D" w:rsidRPr="00C727CA">
        <w:t>, finální pořadová čísla všech nabídek jsou stanovena tak, že číselná řada elektronických nabídek je předřazena té listinné;</w:t>
      </w:r>
      <w:r w:rsidR="0075131D" w:rsidRPr="00C727CA">
        <w:rPr>
          <w:rStyle w:val="FootnoteReference"/>
        </w:rPr>
        <w:footnoteReference w:id="77"/>
      </w:r>
    </w:p>
    <w:p w14:paraId="3EF0EB3F" w14:textId="77777777" w:rsidR="0075131D" w:rsidRPr="00C727CA" w:rsidRDefault="00972BDB" w:rsidP="00FA2973">
      <w:pPr>
        <w:pStyle w:val="ListParagraph"/>
        <w:numPr>
          <w:ilvl w:val="0"/>
          <w:numId w:val="36"/>
        </w:numPr>
        <w:spacing w:line="360" w:lineRule="auto"/>
        <w:jc w:val="both"/>
      </w:pPr>
      <w:r w:rsidRPr="00C727CA">
        <w:t xml:space="preserve">otevírání obálek s nabídkami včetně nabídek podaných v elektronické podobě – </w:t>
      </w:r>
      <w:r w:rsidR="00E806C5">
        <w:t xml:space="preserve">v </w:t>
      </w:r>
      <w:r w:rsidR="00FE3FF0" w:rsidRPr="00C727CA">
        <w:t>souvislosti s otevíráním obálek může veřejný zadavatel zřídit tzv. komisi pro otevírání obálek s tím, že pokud tato komise činí v rámci daného řízení určité kroky dle zákona o VZ,</w:t>
      </w:r>
      <w:r w:rsidR="00B96A33" w:rsidRPr="00C727CA">
        <w:t xml:space="preserve"> činí je jménem zadavatele. N</w:t>
      </w:r>
      <w:r w:rsidR="00FE3FF0" w:rsidRPr="00C727CA">
        <w:t xml:space="preserve">utné </w:t>
      </w:r>
      <w:r w:rsidR="00B96A33" w:rsidRPr="00C727CA">
        <w:t xml:space="preserve">je </w:t>
      </w:r>
      <w:r w:rsidR="00FE3FF0" w:rsidRPr="00C727CA">
        <w:t xml:space="preserve">si ale uvědomit, že zřízení této komise není obligatorní, a to vzhledem k odst. 3 § 71 zákona, </w:t>
      </w:r>
      <w:r w:rsidR="00CC13F5" w:rsidRPr="00C727CA">
        <w:t xml:space="preserve">ze kterého </w:t>
      </w:r>
      <w:r w:rsidR="00BF7336" w:rsidRPr="00C727CA">
        <w:t>plyne</w:t>
      </w:r>
      <w:r w:rsidR="00CC13F5" w:rsidRPr="00C727CA">
        <w:t xml:space="preserve"> určitá</w:t>
      </w:r>
      <w:r w:rsidR="00FE3FF0" w:rsidRPr="00C727CA">
        <w:t xml:space="preserve"> volba </w:t>
      </w:r>
      <w:r w:rsidR="00CC13F5" w:rsidRPr="00C727CA">
        <w:t>pro veřejného zadavatele</w:t>
      </w:r>
      <w:r w:rsidR="00FE3FF0" w:rsidRPr="00C727CA">
        <w:t xml:space="preserve"> v tom smyslu, že funkci komise pro otevírání obálek může na základě jeho uvážení vykonat </w:t>
      </w:r>
      <w:r w:rsidR="00B96A33" w:rsidRPr="00C727CA">
        <w:t xml:space="preserve">i </w:t>
      </w:r>
      <w:r w:rsidR="00FE3FF0" w:rsidRPr="00C727CA">
        <w:t>tzv. hodnotící komise</w:t>
      </w:r>
      <w:r w:rsidR="00CC13F5" w:rsidRPr="00C727CA">
        <w:t>.</w:t>
      </w:r>
      <w:r w:rsidR="007E44E7" w:rsidRPr="00C727CA">
        <w:t xml:space="preserve"> V každém případě</w:t>
      </w:r>
      <w:r w:rsidR="00B96A33" w:rsidRPr="00C727CA">
        <w:t>,</w:t>
      </w:r>
      <w:r w:rsidR="007E44E7" w:rsidRPr="00C727CA">
        <w:t xml:space="preserve"> proces otevírání obálek musí následovat ihned</w:t>
      </w:r>
      <w:r w:rsidR="00757807" w:rsidRPr="00C727CA">
        <w:rPr>
          <w:rStyle w:val="FootnoteReference"/>
        </w:rPr>
        <w:footnoteReference w:id="78"/>
      </w:r>
      <w:r w:rsidR="007E44E7" w:rsidRPr="00C727CA">
        <w:t xml:space="preserve"> po up</w:t>
      </w:r>
      <w:r w:rsidR="00D71864" w:rsidRPr="00C727CA">
        <w:t xml:space="preserve">lynutí lhůty pro podání </w:t>
      </w:r>
      <w:r w:rsidR="00A6430D" w:rsidRPr="00C727CA">
        <w:t>nabídek</w:t>
      </w:r>
      <w:r w:rsidR="00D71864" w:rsidRPr="00C727CA">
        <w:t xml:space="preserve"> s tím, </w:t>
      </w:r>
      <w:r w:rsidR="00A6430D" w:rsidRPr="00C727CA">
        <w:t>že během</w:t>
      </w:r>
      <w:r w:rsidR="00D71864" w:rsidRPr="00C727CA">
        <w:t xml:space="preserve"> něho dochází k </w:t>
      </w:r>
      <w:r w:rsidR="00B96A33" w:rsidRPr="00C727CA">
        <w:t>fyzickému</w:t>
      </w:r>
      <w:r w:rsidR="00D71864" w:rsidRPr="00C727CA">
        <w:t xml:space="preserve"> </w:t>
      </w:r>
      <w:r w:rsidR="00EB7417" w:rsidRPr="00C727CA">
        <w:t>otevření</w:t>
      </w:r>
      <w:r w:rsidR="00D71864" w:rsidRPr="00C727CA">
        <w:t xml:space="preserve"> </w:t>
      </w:r>
      <w:r w:rsidR="006D099F" w:rsidRPr="00C727CA">
        <w:t>obálek s nabídkami</w:t>
      </w:r>
      <w:r w:rsidR="00D71864" w:rsidRPr="00C727CA">
        <w:t>, a to dle pořadí, v jakém byly doručeny</w:t>
      </w:r>
      <w:r w:rsidR="00EB7417" w:rsidRPr="00C727CA">
        <w:rPr>
          <w:rStyle w:val="FootnoteReference"/>
        </w:rPr>
        <w:footnoteReference w:id="79"/>
      </w:r>
      <w:r w:rsidR="00EB7417" w:rsidRPr="00C727CA">
        <w:t>.</w:t>
      </w:r>
      <w:r w:rsidR="00D71864" w:rsidRPr="00C727CA">
        <w:t xml:space="preserve"> </w:t>
      </w:r>
      <w:r w:rsidR="00EB7417" w:rsidRPr="00C727CA">
        <w:t>Zkontroluje se jazyk nabídky, pří</w:t>
      </w:r>
      <w:r w:rsidR="00D71864" w:rsidRPr="00C727CA">
        <w:t xml:space="preserve">tomnost </w:t>
      </w:r>
      <w:r w:rsidR="006D099F" w:rsidRPr="00C727CA">
        <w:t xml:space="preserve">uchazečova </w:t>
      </w:r>
      <w:r w:rsidR="00D71864" w:rsidRPr="00AA66F9">
        <w:t xml:space="preserve">podpisu </w:t>
      </w:r>
      <w:r w:rsidR="00F44039" w:rsidRPr="00AA66F9">
        <w:t xml:space="preserve">či </w:t>
      </w:r>
      <w:r w:rsidR="006D2F0E" w:rsidRPr="00AA66F9">
        <w:t xml:space="preserve">podpisu </w:t>
      </w:r>
      <w:r w:rsidR="00F44039" w:rsidRPr="00AA66F9">
        <w:t>osoby</w:t>
      </w:r>
      <w:r w:rsidR="006D099F" w:rsidRPr="00AA66F9">
        <w:t>,</w:t>
      </w:r>
      <w:r w:rsidR="00AA66F9" w:rsidRPr="00AA66F9">
        <w:t xml:space="preserve"> </w:t>
      </w:r>
      <w:r w:rsidR="00F44039" w:rsidRPr="00AA66F9">
        <w:t>oprávněné za</w:t>
      </w:r>
      <w:r w:rsidR="001F50A4" w:rsidRPr="00AA66F9">
        <w:t> </w:t>
      </w:r>
      <w:r w:rsidR="00F44039" w:rsidRPr="00AA66F9">
        <w:t>něho jednat</w:t>
      </w:r>
      <w:r w:rsidR="006D099F" w:rsidRPr="00AA66F9">
        <w:t>,</w:t>
      </w:r>
      <w:r w:rsidR="00A3077E" w:rsidRPr="00AA66F9">
        <w:t xml:space="preserve"> </w:t>
      </w:r>
      <w:r w:rsidR="006D099F" w:rsidRPr="00AA66F9">
        <w:t xml:space="preserve">na návrhu smlouvy, dále </w:t>
      </w:r>
      <w:r w:rsidR="00D71864" w:rsidRPr="00AA66F9">
        <w:t>dojde k</w:t>
      </w:r>
      <w:r w:rsidR="00B96A33" w:rsidRPr="00AA66F9">
        <w:t> obeznámení</w:t>
      </w:r>
      <w:r w:rsidR="006D099F" w:rsidRPr="00C727CA">
        <w:t xml:space="preserve"> se s </w:t>
      </w:r>
      <w:r w:rsidR="00D71864" w:rsidRPr="00C727CA">
        <w:t>hodnot</w:t>
      </w:r>
      <w:r w:rsidR="006D099F" w:rsidRPr="00C727CA">
        <w:t xml:space="preserve">ami </w:t>
      </w:r>
      <w:r w:rsidR="00D71864" w:rsidRPr="00C727CA">
        <w:t>kvalifikovaných kriterií</w:t>
      </w:r>
      <w:r w:rsidR="00F44039" w:rsidRPr="00C727CA">
        <w:t xml:space="preserve"> </w:t>
      </w:r>
      <w:r w:rsidR="006D099F" w:rsidRPr="00C727CA">
        <w:t xml:space="preserve">a </w:t>
      </w:r>
      <w:r w:rsidR="00B96A33" w:rsidRPr="00C727CA">
        <w:t xml:space="preserve">také </w:t>
      </w:r>
      <w:r w:rsidR="00064F87">
        <w:t>k </w:t>
      </w:r>
      <w:r w:rsidR="006D099F" w:rsidRPr="00C727CA">
        <w:t>hlasitému přečtení nabídkových cen</w:t>
      </w:r>
      <w:r w:rsidR="00D71864" w:rsidRPr="00C727CA">
        <w:t xml:space="preserve">. </w:t>
      </w:r>
      <w:r w:rsidR="00A3077E" w:rsidRPr="00C727CA">
        <w:t xml:space="preserve">Pokud nabídka touto kontrolou neprojde, je rovnou vyloučena jakožto </w:t>
      </w:r>
      <w:r w:rsidR="00021938" w:rsidRPr="00C727CA">
        <w:t>neúplná</w:t>
      </w:r>
      <w:r w:rsidR="00A3077E" w:rsidRPr="00C727CA">
        <w:t>.</w:t>
      </w:r>
      <w:r w:rsidR="006D099F" w:rsidRPr="00C727CA">
        <w:t xml:space="preserve"> </w:t>
      </w:r>
      <w:r w:rsidR="00D71864" w:rsidRPr="00C727CA">
        <w:t xml:space="preserve">O </w:t>
      </w:r>
      <w:r w:rsidR="00F44039" w:rsidRPr="00C727CA">
        <w:t>procesu</w:t>
      </w:r>
      <w:r w:rsidR="00D71864" w:rsidRPr="00C727CA">
        <w:t xml:space="preserve"> otevírání obálek se vypracovává protokol o otevírání obálek dle § 73 zákona</w:t>
      </w:r>
      <w:r w:rsidR="00B97BB2" w:rsidRPr="00C727CA">
        <w:t xml:space="preserve">, do kterého mohou následně </w:t>
      </w:r>
      <w:r w:rsidR="00A6430D" w:rsidRPr="00C727CA">
        <w:t>všichni</w:t>
      </w:r>
      <w:r w:rsidR="00B97BB2" w:rsidRPr="00C727CA">
        <w:t xml:space="preserve"> uchazeči na </w:t>
      </w:r>
      <w:r w:rsidR="00021938" w:rsidRPr="00C727CA">
        <w:t xml:space="preserve">základě </w:t>
      </w:r>
      <w:r w:rsidR="00B97BB2" w:rsidRPr="00C727CA">
        <w:t>žádost</w:t>
      </w:r>
      <w:r w:rsidR="00021938" w:rsidRPr="00C727CA">
        <w:t>i</w:t>
      </w:r>
      <w:r w:rsidR="00B97BB2" w:rsidRPr="00C727CA">
        <w:t xml:space="preserve"> nahlédnout</w:t>
      </w:r>
      <w:r w:rsidR="00D71864" w:rsidRPr="00C727CA">
        <w:t xml:space="preserve">. </w:t>
      </w:r>
      <w:r w:rsidR="00BF7336" w:rsidRPr="00C727CA">
        <w:t xml:space="preserve">Proces otevírání obálek je veřejný </w:t>
      </w:r>
      <w:r w:rsidR="006D099F" w:rsidRPr="00C727CA">
        <w:t xml:space="preserve">s tím, že mu </w:t>
      </w:r>
      <w:r w:rsidR="002D465C" w:rsidRPr="00C727CA">
        <w:t xml:space="preserve">mohou </w:t>
      </w:r>
      <w:r w:rsidR="00A6430D">
        <w:t>být pří</w:t>
      </w:r>
      <w:r w:rsidR="00BF7336" w:rsidRPr="00C727CA">
        <w:t xml:space="preserve">tomni ti uchazeči, jejichž nabídky byly zadavateli doručeny včas. </w:t>
      </w:r>
      <w:r w:rsidR="00EF19BA" w:rsidRPr="00C727CA">
        <w:t xml:space="preserve">Pokud byly zadavateli doručeny také nabídky v elektronické podobě, považuje se za moment otevření </w:t>
      </w:r>
      <w:r w:rsidR="00BF7336" w:rsidRPr="00C727CA">
        <w:t xml:space="preserve">takové nabídky </w:t>
      </w:r>
      <w:r w:rsidR="00EF19BA" w:rsidRPr="00C727CA">
        <w:t xml:space="preserve">okamžik </w:t>
      </w:r>
      <w:r w:rsidR="00BF7336" w:rsidRPr="00C727CA">
        <w:t xml:space="preserve">tzv. </w:t>
      </w:r>
      <w:r w:rsidR="001D3492" w:rsidRPr="00C727CA">
        <w:t>rozbalení</w:t>
      </w:r>
      <w:r w:rsidR="00BF7336" w:rsidRPr="00C727CA">
        <w:t xml:space="preserve"> nabídky</w:t>
      </w:r>
      <w:r w:rsidR="00EF19BA" w:rsidRPr="00C727CA">
        <w:t xml:space="preserve">. Tento proces </w:t>
      </w:r>
      <w:r w:rsidR="001D3492" w:rsidRPr="00C727CA">
        <w:t>rozbalení</w:t>
      </w:r>
      <w:r w:rsidR="00A3077E" w:rsidRPr="00C727CA">
        <w:t xml:space="preserve"> ovšem</w:t>
      </w:r>
      <w:r w:rsidR="002D465C" w:rsidRPr="00C727CA">
        <w:t>,</w:t>
      </w:r>
      <w:r w:rsidR="00A3077E" w:rsidRPr="00C727CA">
        <w:t xml:space="preserve"> naopak od </w:t>
      </w:r>
      <w:r w:rsidR="002D465C" w:rsidRPr="00C727CA">
        <w:t xml:space="preserve">otevírání </w:t>
      </w:r>
      <w:r w:rsidR="00A3077E" w:rsidRPr="00C727CA">
        <w:t>listinných nabídek</w:t>
      </w:r>
      <w:r w:rsidR="002D465C" w:rsidRPr="00C727CA">
        <w:t>,</w:t>
      </w:r>
      <w:r w:rsidR="00A3077E" w:rsidRPr="00C727CA">
        <w:t xml:space="preserve"> </w:t>
      </w:r>
      <w:r w:rsidR="00EF19BA" w:rsidRPr="00C727CA">
        <w:t>probíhá neveřejně s tím, že vše potřebné zanese</w:t>
      </w:r>
      <w:r w:rsidR="00021938" w:rsidRPr="00C727CA">
        <w:t xml:space="preserve"> komise</w:t>
      </w:r>
      <w:r w:rsidR="00EF19BA" w:rsidRPr="00C727CA">
        <w:t xml:space="preserve"> </w:t>
      </w:r>
      <w:r w:rsidR="001D3492" w:rsidRPr="00C727CA">
        <w:t xml:space="preserve">opět </w:t>
      </w:r>
      <w:r w:rsidR="00EF19BA" w:rsidRPr="00C727CA">
        <w:t>do zmiňovaného protokolu o otevírání obálek</w:t>
      </w:r>
      <w:r w:rsidR="00BF7336" w:rsidRPr="00C727CA">
        <w:t>. Pokud jde o nabídky podané po lhůtě pro podání nabídek</w:t>
      </w:r>
      <w:r w:rsidR="00021938" w:rsidRPr="00C727CA">
        <w:t>,</w:t>
      </w:r>
      <w:r w:rsidR="00BF7336" w:rsidRPr="00C727CA">
        <w:t xml:space="preserve"> </w:t>
      </w:r>
      <w:r w:rsidR="00D71864" w:rsidRPr="00C727CA">
        <w:t xml:space="preserve">pohlíží </w:t>
      </w:r>
      <w:r w:rsidR="00BF7336" w:rsidRPr="00C727CA">
        <w:t xml:space="preserve">se na ně </w:t>
      </w:r>
      <w:r w:rsidR="00D71864" w:rsidRPr="00C727CA">
        <w:t xml:space="preserve">tak, jako by nebyly vůbec podány, o čemž je </w:t>
      </w:r>
      <w:r w:rsidR="001D3492" w:rsidRPr="00C727CA">
        <w:t>uchazeč bezodkladně vyrozum</w:t>
      </w:r>
      <w:r w:rsidR="00F44039" w:rsidRPr="00C727CA">
        <w:t>ěn s tím, že tako</w:t>
      </w:r>
      <w:r w:rsidR="008C799D">
        <w:t>vé nabídky se vůbec neotevírají.</w:t>
      </w:r>
      <w:r w:rsidR="00F44039" w:rsidRPr="00C727CA">
        <w:t xml:space="preserve"> </w:t>
      </w:r>
      <w:r w:rsidR="008C799D">
        <w:t>N</w:t>
      </w:r>
      <w:r w:rsidR="00F44039" w:rsidRPr="00C727CA">
        <w:t xml:space="preserve">icméně zadavatel má i </w:t>
      </w:r>
      <w:r w:rsidR="00BF7336" w:rsidRPr="00C727CA">
        <w:t>přesto</w:t>
      </w:r>
      <w:r w:rsidR="00F44039" w:rsidRPr="00C727CA">
        <w:t xml:space="preserve"> povinnost tyto nabídky archivoval, </w:t>
      </w:r>
      <w:r w:rsidR="002D465C" w:rsidRPr="00C727CA">
        <w:t xml:space="preserve">a </w:t>
      </w:r>
      <w:r w:rsidR="00021938" w:rsidRPr="00C727CA">
        <w:t>tedy</w:t>
      </w:r>
      <w:r w:rsidR="00BF7336" w:rsidRPr="00C727CA">
        <w:t xml:space="preserve"> </w:t>
      </w:r>
      <w:r w:rsidR="002D465C" w:rsidRPr="00C727CA">
        <w:t>danému</w:t>
      </w:r>
      <w:r w:rsidR="00BF7336" w:rsidRPr="00C727CA">
        <w:t xml:space="preserve"> uchazeči se nevracejí</w:t>
      </w:r>
      <w:r w:rsidR="00906EFB" w:rsidRPr="00C727CA">
        <w:t>;</w:t>
      </w:r>
      <w:r w:rsidR="00AF3501" w:rsidRPr="00C727CA">
        <w:rPr>
          <w:rStyle w:val="FootnoteReference"/>
        </w:rPr>
        <w:footnoteReference w:id="80"/>
      </w:r>
    </w:p>
    <w:p w14:paraId="3B7D97AB" w14:textId="77777777" w:rsidR="00A3077E" w:rsidRPr="00C727CA" w:rsidRDefault="00297C7D" w:rsidP="00FA2973">
      <w:pPr>
        <w:pStyle w:val="ListParagraph"/>
        <w:numPr>
          <w:ilvl w:val="0"/>
          <w:numId w:val="36"/>
        </w:numPr>
        <w:spacing w:line="360" w:lineRule="auto"/>
        <w:jc w:val="both"/>
      </w:pPr>
      <w:r w:rsidRPr="00C727CA">
        <w:t xml:space="preserve">posouzení a </w:t>
      </w:r>
      <w:r w:rsidR="00A3077E" w:rsidRPr="00C727CA">
        <w:t xml:space="preserve">hodnocení nabídek </w:t>
      </w:r>
      <w:r w:rsidRPr="00C727CA">
        <w:t>–</w:t>
      </w:r>
      <w:r w:rsidR="00A3077E" w:rsidRPr="00C727CA">
        <w:t xml:space="preserve"> </w:t>
      </w:r>
      <w:r w:rsidRPr="00C727CA">
        <w:t xml:space="preserve">proces </w:t>
      </w:r>
      <w:r w:rsidR="00DD2E74" w:rsidRPr="00C727CA">
        <w:t xml:space="preserve">posouzení a </w:t>
      </w:r>
      <w:r w:rsidR="008C799D">
        <w:t>hodnocení nabídek je spojen</w:t>
      </w:r>
      <w:r w:rsidRPr="00C727CA">
        <w:t xml:space="preserve"> s odborně poradním orgánem veřejného zadavatele, tzv. hodnotící komisí. Sektorový zadavatel tuto povinnost, tedy sestavení hodnotící komise, nemá. Může tak ale učinit z vlastní iniciativy. Problematika hodnotící komise, jakožto určitého orgánu, je upravena v obsáhlých ustanoveních §§74 – 75 zákona. </w:t>
      </w:r>
      <w:r w:rsidR="00CB2152" w:rsidRPr="00C727CA">
        <w:t xml:space="preserve">Vzhledem k charakteru této práce ovšem </w:t>
      </w:r>
      <w:r w:rsidR="00A6430D">
        <w:t>rovnou zanaly</w:t>
      </w:r>
      <w:r w:rsidR="00DD2E74" w:rsidRPr="00C727CA">
        <w:t>zujeme samotné</w:t>
      </w:r>
      <w:r w:rsidRPr="00C727CA">
        <w:t xml:space="preserve"> proces</w:t>
      </w:r>
      <w:r w:rsidR="00DD2E74" w:rsidRPr="00C727CA">
        <w:t>y</w:t>
      </w:r>
      <w:r w:rsidRPr="00C727CA">
        <w:t xml:space="preserve"> </w:t>
      </w:r>
      <w:r w:rsidR="00DD2E74" w:rsidRPr="00C727CA">
        <w:t xml:space="preserve">posouzení a </w:t>
      </w:r>
      <w:r w:rsidRPr="00C727CA">
        <w:t>ho</w:t>
      </w:r>
      <w:r w:rsidR="00DB79AC" w:rsidRPr="00C727CA">
        <w:t>dnocení nabídek:</w:t>
      </w:r>
      <w:r w:rsidRPr="00C727CA">
        <w:t xml:space="preserve">  </w:t>
      </w:r>
    </w:p>
    <w:p w14:paraId="5C305569" w14:textId="77777777" w:rsidR="00DD2E74" w:rsidRPr="00C727CA" w:rsidRDefault="00DD2E74" w:rsidP="00FA2973">
      <w:pPr>
        <w:pStyle w:val="ListParagraph"/>
        <w:numPr>
          <w:ilvl w:val="0"/>
          <w:numId w:val="39"/>
        </w:numPr>
        <w:spacing w:line="360" w:lineRule="auto"/>
        <w:jc w:val="both"/>
      </w:pPr>
      <w:r w:rsidRPr="00C727CA">
        <w:t>posouzení nabídek</w:t>
      </w:r>
      <w:r w:rsidR="00CB2152" w:rsidRPr="00C727CA">
        <w:t xml:space="preserve"> – v rámci procesu posouzení musí hodnotící komise dané nabídky posoudit z pohledu splnění zákonných požadavků a </w:t>
      </w:r>
      <w:r w:rsidR="00BA4AE2" w:rsidRPr="00C727CA">
        <w:t xml:space="preserve">požadavků stanovených zadavatelem v zadávací </w:t>
      </w:r>
      <w:r w:rsidR="00BA4AE2" w:rsidRPr="008C799D">
        <w:t>dokumentaci</w:t>
      </w:r>
      <w:r w:rsidR="00BA4AE2" w:rsidRPr="00C727CA">
        <w:t>. Tento proces je neveřejný s tím, že na rozdíl od postu</w:t>
      </w:r>
      <w:r w:rsidR="00BC12BD" w:rsidRPr="00C727CA">
        <w:t>pů v rámci otevírání obálek, kde</w:t>
      </w:r>
      <w:r w:rsidR="00BA4AE2" w:rsidRPr="00C727CA">
        <w:t xml:space="preserve"> se zkoumala </w:t>
      </w:r>
      <w:r w:rsidR="00BC12BD" w:rsidRPr="00C727CA">
        <w:t>přednostně</w:t>
      </w:r>
      <w:r w:rsidR="00BA4AE2" w:rsidRPr="00C727CA">
        <w:t xml:space="preserve"> přítomnost určitých materiálů, zde se </w:t>
      </w:r>
      <w:r w:rsidR="00BC12BD" w:rsidRPr="00C727CA">
        <w:t xml:space="preserve">již </w:t>
      </w:r>
      <w:r w:rsidR="00BA4AE2" w:rsidRPr="00C727CA">
        <w:t xml:space="preserve">komise zabývá </w:t>
      </w:r>
      <w:r w:rsidR="00BC12BD" w:rsidRPr="00C727CA">
        <w:t xml:space="preserve">též </w:t>
      </w:r>
      <w:r w:rsidR="00BA4AE2" w:rsidRPr="00C727CA">
        <w:t xml:space="preserve">obsahovou stránkou. O jednání komise se i zde sepisuje protokol, konkrétně protokol o jednání dle § 75 odst. 5 zákona. Pokud některá nabídka, případně varianta nabídky, nesplňuje výše uvedené </w:t>
      </w:r>
      <w:r w:rsidR="00BC12BD" w:rsidRPr="00C727CA">
        <w:t>okruhy požadavků</w:t>
      </w:r>
      <w:r w:rsidR="00BA4AE2" w:rsidRPr="00C727CA">
        <w:t xml:space="preserve">, taková nabídka, či jen varianta, je vyřazena a </w:t>
      </w:r>
      <w:r w:rsidR="008B4AEB" w:rsidRPr="00C727CA">
        <w:t>dodavatel</w:t>
      </w:r>
      <w:r w:rsidR="00BA4AE2" w:rsidRPr="00C727CA">
        <w:t xml:space="preserve"> takové nabídky je z řízení vyloučen. Stejně tak </w:t>
      </w:r>
      <w:r w:rsidR="003A5B2A" w:rsidRPr="00C727CA">
        <w:t xml:space="preserve">je </w:t>
      </w:r>
      <w:r w:rsidR="00BA4AE2" w:rsidRPr="00C727CA">
        <w:t>z</w:t>
      </w:r>
      <w:r w:rsidR="003A5B2A" w:rsidRPr="00C727CA">
        <w:t xml:space="preserve"> řízení v této fázi vyloučen dle ustanovení § 60 zákona </w:t>
      </w:r>
      <w:r w:rsidR="00BA4AE2" w:rsidRPr="00C727CA">
        <w:t xml:space="preserve">ten </w:t>
      </w:r>
      <w:r w:rsidR="003A5B2A" w:rsidRPr="00C727CA">
        <w:t>dodavatel</w:t>
      </w:r>
      <w:r w:rsidR="00BA4AE2" w:rsidRPr="00C727CA">
        <w:t>, který neprokázal splnění</w:t>
      </w:r>
      <w:r w:rsidR="003A5B2A" w:rsidRPr="00C727CA">
        <w:t xml:space="preserve"> stanovené kvalifikace</w:t>
      </w:r>
      <w:r w:rsidR="00005883" w:rsidRPr="00C727CA">
        <w:t xml:space="preserve"> s tím, že </w:t>
      </w:r>
      <w:r w:rsidR="00506854" w:rsidRPr="00C727CA">
        <w:t xml:space="preserve">o posouzení kvalifikace musí veřejný zadavatel během </w:t>
      </w:r>
      <w:r w:rsidR="00005883" w:rsidRPr="00C727CA">
        <w:t>této fáze</w:t>
      </w:r>
      <w:r w:rsidR="00506854" w:rsidRPr="00C727CA">
        <w:t xml:space="preserve"> </w:t>
      </w:r>
      <w:r w:rsidR="00A6430D" w:rsidRPr="00C727CA">
        <w:t>sepsat protokol</w:t>
      </w:r>
      <w:r w:rsidR="00005883" w:rsidRPr="00C727CA">
        <w:t xml:space="preserve"> </w:t>
      </w:r>
      <w:r w:rsidR="00506854" w:rsidRPr="00C727CA">
        <w:t>na základě § 59 odst. 5 zákona. Současně ve</w:t>
      </w:r>
      <w:r w:rsidR="00AB4799" w:rsidRPr="00C727CA">
        <w:t xml:space="preserve"> fázi </w:t>
      </w:r>
      <w:r w:rsidR="00506854" w:rsidRPr="00C727CA">
        <w:t xml:space="preserve">posouzení </w:t>
      </w:r>
      <w:r w:rsidR="00AB4799" w:rsidRPr="00C727CA">
        <w:t xml:space="preserve">může komise využít </w:t>
      </w:r>
      <w:r w:rsidR="008B4AEB" w:rsidRPr="00C727CA">
        <w:t xml:space="preserve">institutu </w:t>
      </w:r>
      <w:r w:rsidR="00506854" w:rsidRPr="00C727CA">
        <w:t>přizvání</w:t>
      </w:r>
      <w:r w:rsidR="00AB4799" w:rsidRPr="00C727CA">
        <w:t xml:space="preserve"> </w:t>
      </w:r>
      <w:r w:rsidR="00AB4799" w:rsidRPr="00AA66F9">
        <w:t>poradce, osoby</w:t>
      </w:r>
      <w:r w:rsidR="00064F87" w:rsidRPr="00AA66F9">
        <w:t xml:space="preserve"> </w:t>
      </w:r>
      <w:r w:rsidR="00CE1D02" w:rsidRPr="00AA66F9">
        <w:t>vzhledem k zakázce a uchazečům</w:t>
      </w:r>
      <w:r w:rsidR="00AB4799" w:rsidRPr="00AA66F9">
        <w:t xml:space="preserve"> nepodjaté</w:t>
      </w:r>
      <w:r w:rsidR="00AA66F9" w:rsidRPr="00AA66F9">
        <w:t xml:space="preserve"> </w:t>
      </w:r>
      <w:r w:rsidR="00AB4799" w:rsidRPr="00AA66F9">
        <w:t xml:space="preserve">s tím, že jeho </w:t>
      </w:r>
      <w:r w:rsidR="00005883" w:rsidRPr="00AA66F9">
        <w:t>funkce</w:t>
      </w:r>
      <w:r w:rsidR="00AB4799" w:rsidRPr="00AA66F9">
        <w:t xml:space="preserve"> je</w:t>
      </w:r>
      <w:r w:rsidR="00AB4799" w:rsidRPr="00C727CA">
        <w:t xml:space="preserve"> </w:t>
      </w:r>
      <w:r w:rsidR="00A6430D" w:rsidRPr="00C727CA">
        <w:t>pouze poradní</w:t>
      </w:r>
      <w:r w:rsidR="00AB4799" w:rsidRPr="00C727CA">
        <w:t xml:space="preserve"> a záleží jenom na komisi, jak </w:t>
      </w:r>
      <w:r w:rsidR="00CE1D02" w:rsidRPr="00C727CA">
        <w:t>s jeho případnými připomínkami naloží</w:t>
      </w:r>
      <w:r w:rsidR="008B4AEB" w:rsidRPr="00C727CA">
        <w:t xml:space="preserve">. Pokud se </w:t>
      </w:r>
      <w:r w:rsidR="00AB4799" w:rsidRPr="00C727CA">
        <w:t xml:space="preserve">v nabídce objeví určité nejasnosti, má komise právo, nikoliv povinnost, požádat </w:t>
      </w:r>
      <w:r w:rsidR="008B4AEB" w:rsidRPr="00C727CA">
        <w:t xml:space="preserve">samotného </w:t>
      </w:r>
      <w:r w:rsidR="00AB4799" w:rsidRPr="00C727CA">
        <w:t>uchazeče o vysvětlení</w:t>
      </w:r>
      <w:r w:rsidR="008C799D">
        <w:t>.</w:t>
      </w:r>
      <w:r w:rsidR="00AB4799" w:rsidRPr="00C727CA">
        <w:t xml:space="preserve"> </w:t>
      </w:r>
      <w:r w:rsidR="008C799D">
        <w:t>N</w:t>
      </w:r>
      <w:r w:rsidR="00005883" w:rsidRPr="00C727CA">
        <w:t>icméně</w:t>
      </w:r>
      <w:r w:rsidR="00AB4799" w:rsidRPr="00C727CA">
        <w:t xml:space="preserve"> tento postup neslouží k doplnění zřejmě chybějícího obsahu</w:t>
      </w:r>
      <w:r w:rsidR="0013062E" w:rsidRPr="00C727CA">
        <w:t xml:space="preserve"> či </w:t>
      </w:r>
      <w:r w:rsidR="00AB4799" w:rsidRPr="00C727CA">
        <w:t>jiných materiálů</w:t>
      </w:r>
      <w:r w:rsidR="0013062E" w:rsidRPr="00C727CA">
        <w:t xml:space="preserve"> s </w:t>
      </w:r>
      <w:r w:rsidR="00A6430D" w:rsidRPr="00C727CA">
        <w:t>výjimkou</w:t>
      </w:r>
      <w:r w:rsidR="0013062E" w:rsidRPr="00C727CA">
        <w:t xml:space="preserve"> materiálů dle § 68 odst. 3 zákona</w:t>
      </w:r>
      <w:r w:rsidR="00AB4799" w:rsidRPr="00C727CA">
        <w:t xml:space="preserve">. </w:t>
      </w:r>
      <w:r w:rsidR="00F81025" w:rsidRPr="00C727CA">
        <w:t>Takové vysvětlení</w:t>
      </w:r>
      <w:r w:rsidR="00AB4799" w:rsidRPr="00C727CA">
        <w:t xml:space="preserve"> tedy slouží k odstranění formálních chyb.</w:t>
      </w:r>
      <w:r w:rsidR="00506854" w:rsidRPr="00C727CA">
        <w:t xml:space="preserve"> </w:t>
      </w:r>
      <w:r w:rsidR="00DB79AC" w:rsidRPr="00C727CA">
        <w:t>Následně má komise také za povinnost posoudit nabídku z pohledu tzv. mimořádně nízké nabídkové ceny, a to vzhledem k předmětu VZ. Jestliže nabídka mimořádně nízkou nabídkovou cenu obsahuje, musí si komise obligatorně vyžádat od uchazeče písemné zdůvodnění</w:t>
      </w:r>
      <w:r w:rsidR="00DD5E81" w:rsidRPr="00C727CA">
        <w:t xml:space="preserve"> takové ceny</w:t>
      </w:r>
      <w:r w:rsidR="00DB79AC" w:rsidRPr="00C727CA">
        <w:t xml:space="preserve">. Pokud si uchazeč </w:t>
      </w:r>
      <w:r w:rsidR="00DD5E81" w:rsidRPr="00C727CA">
        <w:t>tuto</w:t>
      </w:r>
      <w:r w:rsidR="00DB79AC" w:rsidRPr="00C727CA">
        <w:t xml:space="preserve"> cenu své nabídky neobhájí, může být nejpozději do procesu hodnocení nabídek vyloučen</w:t>
      </w:r>
      <w:r w:rsidR="00005883" w:rsidRPr="00C727CA">
        <w:t xml:space="preserve"> na základě §</w:t>
      </w:r>
      <w:r w:rsidR="00064F87">
        <w:t> </w:t>
      </w:r>
      <w:r w:rsidR="00005883" w:rsidRPr="00C727CA">
        <w:t>77 odst. 6 zákona</w:t>
      </w:r>
      <w:r w:rsidR="00906EFB" w:rsidRPr="00C727CA">
        <w:t>;</w:t>
      </w:r>
    </w:p>
    <w:p w14:paraId="45497243" w14:textId="77777777" w:rsidR="00866FF3" w:rsidRPr="00C727CA" w:rsidRDefault="00DB79AC" w:rsidP="00866FF3">
      <w:pPr>
        <w:pStyle w:val="ListParagraph"/>
        <w:numPr>
          <w:ilvl w:val="0"/>
          <w:numId w:val="39"/>
        </w:numPr>
        <w:spacing w:line="360" w:lineRule="auto"/>
        <w:jc w:val="both"/>
      </w:pPr>
      <w:r w:rsidRPr="00C727CA">
        <w:t xml:space="preserve">hodnocení nabídek </w:t>
      </w:r>
      <w:r w:rsidR="00E03C99" w:rsidRPr="00C727CA">
        <w:t>–</w:t>
      </w:r>
      <w:r w:rsidRPr="00C727CA">
        <w:t xml:space="preserve"> </w:t>
      </w:r>
      <w:r w:rsidR="00E03C99" w:rsidRPr="00C727CA">
        <w:t xml:space="preserve">pokud nabídka splnila veškeré požadavky, které na ni byly kladeny v rámci procesů otevírání obálek a posuzování nabídek, </w:t>
      </w:r>
      <w:r w:rsidR="00AD20AF" w:rsidRPr="00C727CA">
        <w:t xml:space="preserve">pak se </w:t>
      </w:r>
      <w:r w:rsidR="00E03C99" w:rsidRPr="00C727CA">
        <w:t xml:space="preserve">taková nabídka dostane do </w:t>
      </w:r>
      <w:r w:rsidR="00DC06EA" w:rsidRPr="00C727CA">
        <w:t>jedné z finálních fází zadávacího</w:t>
      </w:r>
      <w:r w:rsidR="00E03C99" w:rsidRPr="00C727CA">
        <w:t xml:space="preserve"> řízení, do fáze hodnocení</w:t>
      </w:r>
      <w:r w:rsidR="00F43669" w:rsidRPr="00C727CA">
        <w:t xml:space="preserve"> </w:t>
      </w:r>
      <w:r w:rsidR="00DC06EA" w:rsidRPr="00C727CA">
        <w:t xml:space="preserve">nabídek </w:t>
      </w:r>
      <w:r w:rsidR="00F43669" w:rsidRPr="00C727CA">
        <w:t>dle §</w:t>
      </w:r>
      <w:r w:rsidR="00064F87">
        <w:t> </w:t>
      </w:r>
      <w:r w:rsidR="00F43669" w:rsidRPr="00C727CA">
        <w:t>79 zákona</w:t>
      </w:r>
      <w:r w:rsidR="00E03C99" w:rsidRPr="00C727CA">
        <w:t>. Hodnocení probíhá na základě před</w:t>
      </w:r>
      <w:r w:rsidR="00A6430D">
        <w:t>em stanov</w:t>
      </w:r>
      <w:r w:rsidR="008B4AEB" w:rsidRPr="00C727CA">
        <w:t>ených hodnotících krité</w:t>
      </w:r>
      <w:r w:rsidR="00E03C99" w:rsidRPr="00C727CA">
        <w:t xml:space="preserve">rií, kterými může být dle § 78 odst. 1 zákona </w:t>
      </w:r>
      <w:r w:rsidR="00AD20AF" w:rsidRPr="00C727CA">
        <w:t xml:space="preserve">buď </w:t>
      </w:r>
      <w:r w:rsidR="00E03C99" w:rsidRPr="00C727CA">
        <w:t>nejnižší nabídková cena</w:t>
      </w:r>
      <w:r w:rsidR="00CD5567" w:rsidRPr="00C727CA">
        <w:t xml:space="preserve"> (umožňující nejprůhlednější hodnocení)</w:t>
      </w:r>
      <w:r w:rsidR="00A6430D">
        <w:t>, v takovém příp</w:t>
      </w:r>
      <w:r w:rsidR="00E03C99" w:rsidRPr="00C727CA">
        <w:t>adě</w:t>
      </w:r>
      <w:r w:rsidR="00CD5567" w:rsidRPr="00C727CA">
        <w:t xml:space="preserve"> je nabídka s nejnižší c</w:t>
      </w:r>
      <w:r w:rsidR="00F43669" w:rsidRPr="00C727CA">
        <w:t>enou hodnocena jako nejlepší</w:t>
      </w:r>
      <w:r w:rsidR="00307E50">
        <w:t>.</w:t>
      </w:r>
      <w:r w:rsidR="00CD5567" w:rsidRPr="00C727CA">
        <w:t xml:space="preserve"> </w:t>
      </w:r>
      <w:r w:rsidR="00307E50">
        <w:t>N</w:t>
      </w:r>
      <w:r w:rsidR="00CD5567" w:rsidRPr="00C727CA">
        <w:t xml:space="preserve">ebo ekonomická výhodnost nabídky, u které musí zadavatel stanovit dílčí hodnotící kritéria dle § 78 odst. 4 zákona. Tato dílčí kritéria musí být vždy případným uchazečům sdělena předem v oznámení </w:t>
      </w:r>
      <w:r w:rsidR="005F16A3" w:rsidRPr="00C727CA">
        <w:t>o zahájení řízení. Jednotlivým dílčím kritériím je přidělena určitá váha dle jejich celkové důležitosti tak, aby</w:t>
      </w:r>
      <w:r w:rsidR="00DD5E81" w:rsidRPr="00C727CA">
        <w:t xml:space="preserve"> ve výsledku dávala součet 100</w:t>
      </w:r>
      <w:r w:rsidR="00154DA9" w:rsidRPr="00C727CA">
        <w:t xml:space="preserve"> </w:t>
      </w:r>
      <w:r w:rsidR="00DD5E81" w:rsidRPr="00C727CA">
        <w:t>%</w:t>
      </w:r>
      <w:r w:rsidR="005F16A3" w:rsidRPr="00C727CA">
        <w:rPr>
          <w:rStyle w:val="FootnoteReference"/>
        </w:rPr>
        <w:footnoteReference w:id="81"/>
      </w:r>
      <w:r w:rsidR="00DD5E81" w:rsidRPr="00C727CA">
        <w:t>.</w:t>
      </w:r>
      <w:r w:rsidR="005F16A3" w:rsidRPr="00C727CA">
        <w:t xml:space="preserve"> Nás</w:t>
      </w:r>
      <w:r w:rsidR="00F43669" w:rsidRPr="00C727CA">
        <w:t xml:space="preserve">ledně, po provedeném posouzení, hodnotící </w:t>
      </w:r>
      <w:r w:rsidR="005F16A3" w:rsidRPr="00C727CA">
        <w:t xml:space="preserve">komise </w:t>
      </w:r>
      <w:r w:rsidR="00F43669" w:rsidRPr="00C727CA">
        <w:t xml:space="preserve">sestaví </w:t>
      </w:r>
      <w:r w:rsidR="005F16A3" w:rsidRPr="00C727CA">
        <w:t>výsledné pořadí nabídek tak, že na prvním místě</w:t>
      </w:r>
      <w:r w:rsidR="00854201" w:rsidRPr="00C727CA">
        <w:t xml:space="preserve"> by měla být nabídka, která byla v rámci tohoto procesu hodnocena nejlé</w:t>
      </w:r>
      <w:r w:rsidR="00F43669" w:rsidRPr="00C727CA">
        <w:t>pe a naopak na konci bude nejhůř</w:t>
      </w:r>
      <w:r w:rsidR="00854201" w:rsidRPr="00C727CA">
        <w:t xml:space="preserve">e hodnocená nabídka. </w:t>
      </w:r>
      <w:r w:rsidR="00E1448F" w:rsidRPr="00C727CA">
        <w:t>Pokud by ale komise měla hodnotit nabídku</w:t>
      </w:r>
      <w:r w:rsidR="00F43669" w:rsidRPr="00C727CA">
        <w:t xml:space="preserve"> pouze jednoho uchazeče, a to byť</w:t>
      </w:r>
      <w:r w:rsidR="008C799D">
        <w:t xml:space="preserve"> z toho důvodu,</w:t>
      </w:r>
      <w:r w:rsidR="00E1448F" w:rsidRPr="00C727CA">
        <w:t xml:space="preserve"> že byla zadavateli doručena jen jediná nabídka, případně že ostatní nabídky byly nejpozději v rámci posouzení vyřazeny, pak se taková nabídka vůbec nehodnotí a dochází k fikci, že taková nabídka je nejvýhodnější. K</w:t>
      </w:r>
      <w:r w:rsidR="00854201" w:rsidRPr="00C727CA">
        <w:t xml:space="preserve">omise </w:t>
      </w:r>
      <w:r w:rsidR="00E1448F" w:rsidRPr="00C727CA">
        <w:t xml:space="preserve">musí ale </w:t>
      </w:r>
      <w:r w:rsidR="008B4AEB" w:rsidRPr="00C727CA">
        <w:t>stále,</w:t>
      </w:r>
      <w:r w:rsidR="00E1448F" w:rsidRPr="00C727CA">
        <w:t xml:space="preserve"> </w:t>
      </w:r>
      <w:r w:rsidR="008B4AEB" w:rsidRPr="00C727CA">
        <w:t xml:space="preserve">i </w:t>
      </w:r>
      <w:r w:rsidR="00854201" w:rsidRPr="00C727CA">
        <w:t>při</w:t>
      </w:r>
      <w:r w:rsidR="00E1448F" w:rsidRPr="00C727CA">
        <w:t xml:space="preserve"> svém </w:t>
      </w:r>
      <w:r w:rsidR="00854201" w:rsidRPr="00C727CA">
        <w:t>hodnocení</w:t>
      </w:r>
      <w:r w:rsidR="008B4AEB" w:rsidRPr="00C727CA">
        <w:t>,</w:t>
      </w:r>
      <w:r w:rsidR="00D168AE" w:rsidRPr="00C727CA">
        <w:t xml:space="preserve"> dodržovat</w:t>
      </w:r>
      <w:r w:rsidR="00854201" w:rsidRPr="00C727CA">
        <w:t xml:space="preserve"> zásady, které jsou </w:t>
      </w:r>
      <w:r w:rsidR="00E1448F" w:rsidRPr="00C727CA">
        <w:t>esenciální</w:t>
      </w:r>
      <w:r w:rsidR="00854201" w:rsidRPr="00C727CA">
        <w:t xml:space="preserve"> pro proces zadávání VZ, tedy zásady transparentnosti a nediskriminace. </w:t>
      </w:r>
      <w:r w:rsidR="00D4384C" w:rsidRPr="00C727CA">
        <w:t>Současně, pokud by zadavatel zjistil, že hodnotící komise</w:t>
      </w:r>
      <w:r w:rsidR="00D168AE" w:rsidRPr="00C727CA">
        <w:t>,</w:t>
      </w:r>
      <w:r w:rsidR="00D4384C" w:rsidRPr="00C727CA">
        <w:t xml:space="preserve"> v jakékoliv fázi své činnosti</w:t>
      </w:r>
      <w:r w:rsidR="00D168AE" w:rsidRPr="00C727CA">
        <w:t>,</w:t>
      </w:r>
      <w:r w:rsidR="00D4384C" w:rsidRPr="00C727CA">
        <w:t xml:space="preserve"> postupovala v rozporu se zákonem, má zadavatel právo rozhodnout o novém hodnocení i posouzení n</w:t>
      </w:r>
      <w:r w:rsidR="00F43669" w:rsidRPr="00C727CA">
        <w:t>abídek</w:t>
      </w:r>
      <w:r w:rsidR="00D4384C" w:rsidRPr="00C727CA">
        <w:t xml:space="preserve">, a to i s novou hodnotící komisí, </w:t>
      </w:r>
      <w:r w:rsidR="00F43669" w:rsidRPr="00C727CA">
        <w:t>potažmo</w:t>
      </w:r>
      <w:r w:rsidR="00D4384C" w:rsidRPr="00C727CA">
        <w:t xml:space="preserve"> sektorový zadavatel může </w:t>
      </w:r>
      <w:r w:rsidR="00F43669" w:rsidRPr="00C727CA">
        <w:t xml:space="preserve">takové </w:t>
      </w:r>
      <w:r w:rsidR="00D4384C" w:rsidRPr="00C727CA">
        <w:t xml:space="preserve">posouzení a hodnocení nabídek provést sám. </w:t>
      </w:r>
      <w:r w:rsidR="00D168AE" w:rsidRPr="00C727CA">
        <w:t>O celém procesu posouzení i</w:t>
      </w:r>
      <w:r w:rsidR="00E1448F" w:rsidRPr="00C727CA">
        <w:t xml:space="preserve"> hodnocení je na závěr sepsána zpráva o posouzení a ho</w:t>
      </w:r>
      <w:r w:rsidR="001C5687" w:rsidRPr="00C727CA">
        <w:t xml:space="preserve">dnocení nabídek dle § 80 zákona, jakožto finální dokument sloužící zadavateli jako podklad pro jeho rozhodnutí o výběru té či oné nabídky. Zadavatel má povinnost umožnit každému uchazeči, jehož nabídka </w:t>
      </w:r>
      <w:r w:rsidR="00B97BB2" w:rsidRPr="00C727CA">
        <w:t>byla posouzena a hodnocena</w:t>
      </w:r>
      <w:r w:rsidR="00906EFB" w:rsidRPr="00C727CA">
        <w:t>, do této zprávy nahlédnout;</w:t>
      </w:r>
      <w:r w:rsidR="00BB5A1F" w:rsidRPr="00C727CA">
        <w:rPr>
          <w:rStyle w:val="FootnoteReference"/>
        </w:rPr>
        <w:footnoteReference w:id="82"/>
      </w:r>
    </w:p>
    <w:p w14:paraId="2DB15B5E" w14:textId="77777777" w:rsidR="002E1DF3" w:rsidRPr="00C727CA" w:rsidRDefault="0098491C" w:rsidP="00FA2973">
      <w:pPr>
        <w:pStyle w:val="ListParagraph"/>
        <w:numPr>
          <w:ilvl w:val="0"/>
          <w:numId w:val="36"/>
        </w:numPr>
        <w:spacing w:line="360" w:lineRule="auto"/>
        <w:jc w:val="both"/>
      </w:pPr>
      <w:r w:rsidRPr="00C727CA">
        <w:t xml:space="preserve">rozhodnutí zadavatele o výběru nejvhodnější nabídky </w:t>
      </w:r>
      <w:r w:rsidR="00AD438A" w:rsidRPr="00C727CA">
        <w:t>–</w:t>
      </w:r>
      <w:r w:rsidR="008C72AD" w:rsidRPr="00C727CA">
        <w:t xml:space="preserve"> </w:t>
      </w:r>
      <w:r w:rsidR="00AD438A" w:rsidRPr="00C727CA">
        <w:t xml:space="preserve">toto rozhodnutí je specifickým úkonem zadavatele, kterým </w:t>
      </w:r>
      <w:r w:rsidR="00D168AE" w:rsidRPr="00C727CA">
        <w:t xml:space="preserve">ovšem </w:t>
      </w:r>
      <w:r w:rsidR="00AD438A" w:rsidRPr="00C727CA">
        <w:t xml:space="preserve">zatím pouze uvozuje, se kterým z uchazečů </w:t>
      </w:r>
      <w:r w:rsidR="009727FA" w:rsidRPr="00C727CA">
        <w:t>má zájem uzavřít následnou</w:t>
      </w:r>
      <w:r w:rsidR="008C799D">
        <w:t xml:space="preserve"> smlouvu</w:t>
      </w:r>
      <w:r w:rsidR="000E5FE8">
        <w:t>. S</w:t>
      </w:r>
      <w:r w:rsidR="00AD438A" w:rsidRPr="00C727CA">
        <w:t xml:space="preserve">tále </w:t>
      </w:r>
      <w:r w:rsidR="000E5FE8">
        <w:t xml:space="preserve">tedy </w:t>
      </w:r>
      <w:r w:rsidR="00AD438A" w:rsidRPr="00C727CA">
        <w:t>ještě nejde o samotnou akceptaci návrhu uch</w:t>
      </w:r>
      <w:r w:rsidR="00AF32B3">
        <w:t>azečovy</w:t>
      </w:r>
      <w:r w:rsidR="00AD438A" w:rsidRPr="00C727CA">
        <w:t xml:space="preserve"> smlouvy</w:t>
      </w:r>
      <w:r w:rsidR="008C72AD" w:rsidRPr="00C727CA">
        <w:t>.</w:t>
      </w:r>
      <w:r w:rsidR="00AD438A" w:rsidRPr="00C727CA">
        <w:t xml:space="preserve"> </w:t>
      </w:r>
      <w:r w:rsidR="008C72AD" w:rsidRPr="00C727CA">
        <w:t>Současně,</w:t>
      </w:r>
      <w:r w:rsidR="00AD438A" w:rsidRPr="00C727CA">
        <w:t xml:space="preserve"> na základě doručení takového</w:t>
      </w:r>
      <w:r w:rsidR="009727FA" w:rsidRPr="00C727CA">
        <w:t>to</w:t>
      </w:r>
      <w:r w:rsidR="00AD438A" w:rsidRPr="00C727CA">
        <w:t xml:space="preserve"> rozhodnutí</w:t>
      </w:r>
      <w:r w:rsidR="008C72AD" w:rsidRPr="00C727CA">
        <w:t>,</w:t>
      </w:r>
      <w:r w:rsidR="00AD438A" w:rsidRPr="00C727CA">
        <w:t xml:space="preserve"> vzniká vybranému uchazeči</w:t>
      </w:r>
      <w:r w:rsidR="000E5FE8">
        <w:t xml:space="preserve"> </w:t>
      </w:r>
      <w:r w:rsidR="00AD438A" w:rsidRPr="00C727CA">
        <w:t xml:space="preserve">určité očekávání, ač legitimní, že s ním smlouva uzavřena bude. </w:t>
      </w:r>
      <w:r w:rsidR="009727FA" w:rsidRPr="00C727CA">
        <w:t>Podkladem</w:t>
      </w:r>
      <w:r w:rsidR="00AD438A" w:rsidRPr="00C727CA">
        <w:t xml:space="preserve"> </w:t>
      </w:r>
      <w:r w:rsidR="00AF32B3">
        <w:t xml:space="preserve">pro </w:t>
      </w:r>
      <w:r w:rsidR="009727FA" w:rsidRPr="00C727CA">
        <w:t xml:space="preserve">toto zadavatelovo </w:t>
      </w:r>
      <w:r w:rsidR="00AD438A" w:rsidRPr="00C727CA">
        <w:t>rozhodnutí je výše uvedená zpráva o</w:t>
      </w:r>
      <w:r w:rsidR="001F50A4">
        <w:t> </w:t>
      </w:r>
      <w:r w:rsidR="00AD438A" w:rsidRPr="00C727CA">
        <w:t>posouzení a hodnocení nabídek</w:t>
      </w:r>
      <w:r w:rsidR="009727FA" w:rsidRPr="00C727CA">
        <w:t>,</w:t>
      </w:r>
      <w:r w:rsidR="00AD438A" w:rsidRPr="00C727CA">
        <w:t xml:space="preserve"> jakožto závazné doporučení pro zadavatele. Zadavatel je vázán názorem v této zprávě uvedeným s tím, že v opačném případě by byla činnost komise prakticky bezvýznamná.</w:t>
      </w:r>
      <w:r w:rsidR="00621A53" w:rsidRPr="00C727CA">
        <w:t xml:space="preserve"> Následně, po vydání rozhodnutí</w:t>
      </w:r>
      <w:r w:rsidR="008C72AD" w:rsidRPr="00C727CA">
        <w:rPr>
          <w:rStyle w:val="FootnoteReference"/>
        </w:rPr>
        <w:footnoteReference w:id="83"/>
      </w:r>
      <w:r w:rsidR="00621A53" w:rsidRPr="00C727CA">
        <w:t xml:space="preserve">, je zadavatel </w:t>
      </w:r>
      <w:r w:rsidR="001F50A4" w:rsidRPr="00C727CA">
        <w:t>povinen</w:t>
      </w:r>
      <w:r w:rsidR="00621A53" w:rsidRPr="00C727CA">
        <w:t xml:space="preserve"> všem hodnoceným uchazečům </w:t>
      </w:r>
      <w:r w:rsidR="00730E0F" w:rsidRPr="00C727CA">
        <w:t xml:space="preserve">a těm, kteří nebyli pravomocně vyloučeni, </w:t>
      </w:r>
      <w:r w:rsidR="00621A53" w:rsidRPr="00C727CA">
        <w:t>zaslat oznámení rozhodnutí</w:t>
      </w:r>
      <w:r w:rsidR="009727FA" w:rsidRPr="00C727CA">
        <w:t xml:space="preserve"> o výběru nejvhodnější nabídky včetně toho,</w:t>
      </w:r>
      <w:r w:rsidR="00621A53" w:rsidRPr="00C727CA">
        <w:t xml:space="preserve"> jehož nabídka byla vybrána jako nejvhodnější, a to do pěti pracovních dnů po takovém rozhodnutí. Oznámení musí so</w:t>
      </w:r>
      <w:r w:rsidR="009727FA" w:rsidRPr="00C727CA">
        <w:t>učasně naplňovat podmínky stano</w:t>
      </w:r>
      <w:r w:rsidR="00621A53" w:rsidRPr="00C727CA">
        <w:t xml:space="preserve">vené § 81 odst. 5 zákona v tom smyslu, že bude obsahovat </w:t>
      </w:r>
      <w:r w:rsidR="009727FA" w:rsidRPr="00C727CA">
        <w:t xml:space="preserve">především </w:t>
      </w:r>
      <w:r w:rsidR="00621A53" w:rsidRPr="00C727CA">
        <w:t xml:space="preserve">identifikační údaje </w:t>
      </w:r>
      <w:r w:rsidR="00730E0F" w:rsidRPr="00C727CA">
        <w:t>hodnocených uchazečů, celkový výsledek včetně pořadí a i poučení o lhůtách pro případné podání nám</w:t>
      </w:r>
      <w:r w:rsidR="00906EFB" w:rsidRPr="00C727CA">
        <w:t>itek podle § 110 odst. 4 zákona;</w:t>
      </w:r>
      <w:r w:rsidR="00730E0F" w:rsidRPr="00C727CA">
        <w:rPr>
          <w:rStyle w:val="FootnoteReference"/>
        </w:rPr>
        <w:footnoteReference w:id="84"/>
      </w:r>
      <w:r w:rsidR="006A6A08" w:rsidRPr="00C727CA">
        <w:rPr>
          <w:vertAlign w:val="superscript"/>
        </w:rPr>
        <w:t xml:space="preserve">, </w:t>
      </w:r>
      <w:r w:rsidR="006A6A08" w:rsidRPr="00C727CA">
        <w:rPr>
          <w:rStyle w:val="FootnoteReference"/>
        </w:rPr>
        <w:footnoteReference w:id="85"/>
      </w:r>
    </w:p>
    <w:p w14:paraId="080AF5A0" w14:textId="77777777" w:rsidR="00730E0F" w:rsidRPr="00C727CA" w:rsidRDefault="00730E0F" w:rsidP="00FA2973">
      <w:pPr>
        <w:pStyle w:val="ListParagraph"/>
        <w:numPr>
          <w:ilvl w:val="0"/>
          <w:numId w:val="36"/>
        </w:numPr>
        <w:spacing w:line="360" w:lineRule="auto"/>
        <w:jc w:val="both"/>
      </w:pPr>
      <w:r w:rsidRPr="00C727CA">
        <w:t xml:space="preserve">uzavření smlouvy </w:t>
      </w:r>
      <w:r w:rsidR="00A13E8A" w:rsidRPr="00C727CA">
        <w:t>–</w:t>
      </w:r>
      <w:r w:rsidRPr="00C727CA">
        <w:t xml:space="preserve"> </w:t>
      </w:r>
      <w:r w:rsidR="00883957" w:rsidRPr="00C727CA">
        <w:t>takové</w:t>
      </w:r>
      <w:r w:rsidR="00A13E8A" w:rsidRPr="00C727CA">
        <w:t xml:space="preserve"> uzavření smlouvy, vedle zrušení zadávacího řízení dle § 84 zákona, </w:t>
      </w:r>
      <w:r w:rsidR="00C5783B" w:rsidRPr="00C727CA">
        <w:t xml:space="preserve">je jedním ze dvou způsobů, </w:t>
      </w:r>
      <w:r w:rsidR="006A6A08" w:rsidRPr="00C727CA">
        <w:t>kterým se ukončuje zadávací</w:t>
      </w:r>
      <w:r w:rsidR="00A13E8A" w:rsidRPr="00C727CA">
        <w:t xml:space="preserve"> řízení.</w:t>
      </w:r>
      <w:r w:rsidR="00A13E8A" w:rsidRPr="00C727CA">
        <w:rPr>
          <w:rStyle w:val="FootnoteReference"/>
        </w:rPr>
        <w:footnoteReference w:id="86"/>
      </w:r>
      <w:r w:rsidR="00A13E8A" w:rsidRPr="00C727CA">
        <w:t xml:space="preserve"> </w:t>
      </w:r>
      <w:r w:rsidR="00F01B17" w:rsidRPr="00C727CA">
        <w:t xml:space="preserve">Proces uzavření smlouvy musíme ale chápat jako akceptování </w:t>
      </w:r>
      <w:r w:rsidR="00647649" w:rsidRPr="00C727CA">
        <w:t>vybrané nabídky. V opačném případě, tedy při uzavření smlouvy, která by byla v rozporu se zadáním ze strany zadavatele či v rozporu s nabídkou ze strany uchazeče, by byla uzavřena smlouva, která by byla absolutně neplatná na základě § 580 odst. 1 NOZ.</w:t>
      </w:r>
      <w:r w:rsidR="00647649" w:rsidRPr="00C727CA">
        <w:rPr>
          <w:rStyle w:val="FootnoteReference"/>
        </w:rPr>
        <w:footnoteReference w:id="87"/>
      </w:r>
      <w:r w:rsidR="00455AA3" w:rsidRPr="00C727CA">
        <w:t xml:space="preserve"> Pokud by již po uzavření smlouvy od</w:t>
      </w:r>
      <w:r w:rsidR="001F50A4">
        <w:t> </w:t>
      </w:r>
      <w:r w:rsidR="00E50216" w:rsidRPr="00C727CA">
        <w:t xml:space="preserve">takové smlouvy vybraný uchazeč </w:t>
      </w:r>
      <w:r w:rsidR="00455AA3" w:rsidRPr="00C727CA">
        <w:t xml:space="preserve">odstoupil, zadavatel </w:t>
      </w:r>
      <w:r w:rsidR="00E50216" w:rsidRPr="00C727CA">
        <w:t xml:space="preserve">nemůže automaticky </w:t>
      </w:r>
      <w:r w:rsidR="00455AA3" w:rsidRPr="00C727CA">
        <w:t xml:space="preserve">oslovit druhého </w:t>
      </w:r>
      <w:r w:rsidR="00E50216" w:rsidRPr="00C727CA">
        <w:t xml:space="preserve">uchazeče </w:t>
      </w:r>
      <w:r w:rsidR="00455AA3" w:rsidRPr="00C727CA">
        <w:t xml:space="preserve">v pořadí. V takové situaci by muselo být zahájeno nové zadávací řízení. Zadavatel ovšem není oprávněn uzavřít s uchazečem zmiňovanou smlouvu do uplynutí lhůty pro podání námitek </w:t>
      </w:r>
      <w:r w:rsidR="00392753">
        <w:t>neúspěšnými uchazeči</w:t>
      </w:r>
      <w:r w:rsidR="00392753" w:rsidRPr="00C727CA">
        <w:t xml:space="preserve"> </w:t>
      </w:r>
      <w:r w:rsidR="00455AA3" w:rsidRPr="00C727CA">
        <w:t>proti rozhodnutí zadavatele o výběru nejvhodnější nabídky</w:t>
      </w:r>
      <w:r w:rsidR="00392753">
        <w:t xml:space="preserve"> </w:t>
      </w:r>
      <w:r w:rsidR="00455AA3" w:rsidRPr="00C727CA">
        <w:t xml:space="preserve">s tím, že tato lhůta běží </w:t>
      </w:r>
      <w:r w:rsidR="00E50216" w:rsidRPr="00C727CA">
        <w:t>daným</w:t>
      </w:r>
      <w:r w:rsidR="00C5783B" w:rsidRPr="00C727CA">
        <w:t xml:space="preserve"> uchazečům</w:t>
      </w:r>
      <w:r w:rsidR="00455AA3" w:rsidRPr="00C727CA">
        <w:t xml:space="preserve"> od</w:t>
      </w:r>
      <w:r w:rsidR="001F50A4">
        <w:t> </w:t>
      </w:r>
      <w:r w:rsidR="00455AA3" w:rsidRPr="00C727CA">
        <w:t>okamžiku d</w:t>
      </w:r>
      <w:r w:rsidR="00AC0D00" w:rsidRPr="00C727CA">
        <w:t>oručení výše uvedeného oznámení</w:t>
      </w:r>
      <w:r w:rsidR="00E50216" w:rsidRPr="00C727CA">
        <w:t>. D</w:t>
      </w:r>
      <w:r w:rsidR="00455AA3" w:rsidRPr="00C727CA">
        <w:t xml:space="preserve">le § 110 odst. 4 zákona </w:t>
      </w:r>
      <w:r w:rsidR="00E50216" w:rsidRPr="00C727CA">
        <w:t>činí</w:t>
      </w:r>
      <w:r w:rsidR="00C5783B" w:rsidRPr="00C727CA">
        <w:t xml:space="preserve"> </w:t>
      </w:r>
      <w:r w:rsidR="00E50216" w:rsidRPr="00C727CA">
        <w:t xml:space="preserve">patnáct dnů a </w:t>
      </w:r>
      <w:r w:rsidR="00455AA3" w:rsidRPr="00C727CA">
        <w:t>jde o lhůtu hmotněprávní</w:t>
      </w:r>
      <w:r w:rsidR="00AC0D00" w:rsidRPr="00C727CA">
        <w:t xml:space="preserve">. Pokud žádné námitky podány nebyly, má zadavatel povinnost s vybraným uchazečem uzavřít smlouvu, a to do </w:t>
      </w:r>
      <w:r w:rsidR="00E50216" w:rsidRPr="00C727CA">
        <w:t xml:space="preserve">dalších </w:t>
      </w:r>
      <w:r w:rsidR="00AC0D00" w:rsidRPr="00C727CA">
        <w:t>patnácti dnů od</w:t>
      </w:r>
      <w:r w:rsidR="001F50A4">
        <w:t> </w:t>
      </w:r>
      <w:r w:rsidR="00AC0D00" w:rsidRPr="00C727CA">
        <w:t>uplynutí lhůty pro podání námitek. Pokud ovšem smlouva s vybraným uchazečem není v patnáctidenní lhůtě uzavřena</w:t>
      </w:r>
      <w:r w:rsidR="00E50216" w:rsidRPr="00C727CA">
        <w:t>,</w:t>
      </w:r>
      <w:r w:rsidR="00AC0D00" w:rsidRPr="00C727CA">
        <w:t xml:space="preserve"> potažmo </w:t>
      </w:r>
      <w:r w:rsidR="00C5783B" w:rsidRPr="00C727CA">
        <w:t xml:space="preserve">uchazeč </w:t>
      </w:r>
      <w:r w:rsidR="00AC0D00" w:rsidRPr="00C727CA">
        <w:t xml:space="preserve">vůbec </w:t>
      </w:r>
      <w:r w:rsidR="004B4227" w:rsidRPr="00C727CA">
        <w:t>neposkytne</w:t>
      </w:r>
      <w:r w:rsidR="00AC0D00" w:rsidRPr="00C727CA">
        <w:t xml:space="preserve"> potřebnou součinnost, </w:t>
      </w:r>
      <w:r w:rsidR="0092069E" w:rsidRPr="00C727CA">
        <w:t xml:space="preserve">pak se </w:t>
      </w:r>
      <w:r w:rsidR="00E50216" w:rsidRPr="00C727CA">
        <w:t>pouze zde</w:t>
      </w:r>
      <w:r w:rsidR="0092069E" w:rsidRPr="00C727CA">
        <w:t xml:space="preserve"> </w:t>
      </w:r>
      <w:r w:rsidR="00AC0D00" w:rsidRPr="00C727CA">
        <w:t>může</w:t>
      </w:r>
      <w:r w:rsidR="00E50216" w:rsidRPr="00C727CA">
        <w:t xml:space="preserve"> </w:t>
      </w:r>
      <w:r w:rsidR="00AC0D00" w:rsidRPr="00C727CA">
        <w:t xml:space="preserve">zadavatel </w:t>
      </w:r>
      <w:r w:rsidR="0092069E" w:rsidRPr="00C727CA">
        <w:t xml:space="preserve">rovnou </w:t>
      </w:r>
      <w:r w:rsidR="00AC0D00" w:rsidRPr="00C727CA">
        <w:t>obrátit na uchazeče druhého v pořadí</w:t>
      </w:r>
      <w:r w:rsidR="00BA3BA5" w:rsidRPr="00C727CA">
        <w:t>.</w:t>
      </w:r>
      <w:r w:rsidR="004B4227" w:rsidRPr="00C727CA">
        <w:t xml:space="preserve"> Také druhý uchazeč musí </w:t>
      </w:r>
      <w:r w:rsidR="0092069E" w:rsidRPr="00C727CA">
        <w:t xml:space="preserve">následně </w:t>
      </w:r>
      <w:r w:rsidR="004B4227" w:rsidRPr="00C727CA">
        <w:t>poskytnout potřebnou součinnost tak, aby mohla být smlouva uzavřena</w:t>
      </w:r>
      <w:r w:rsidR="0092069E" w:rsidRPr="00C727CA">
        <w:t>,</w:t>
      </w:r>
      <w:r w:rsidR="004B4227" w:rsidRPr="00C727CA">
        <w:t xml:space="preserve"> opět ve lhůtě patnácti dnů od výzvy k tomu určené a uchazeči doručené.</w:t>
      </w:r>
      <w:r w:rsidR="0092069E" w:rsidRPr="00C727CA">
        <w:t xml:space="preserve"> Pokud se ani s uchazečem </w:t>
      </w:r>
      <w:r w:rsidR="00BE2B76" w:rsidRPr="00C727CA">
        <w:t>umístěný</w:t>
      </w:r>
      <w:r w:rsidR="0092069E" w:rsidRPr="00C727CA">
        <w:t>m</w:t>
      </w:r>
      <w:r w:rsidR="00BE2B76" w:rsidRPr="00C727CA">
        <w:t xml:space="preserve"> </w:t>
      </w:r>
      <w:r w:rsidR="00C5783B" w:rsidRPr="00C727CA">
        <w:t xml:space="preserve">na druhém místě </w:t>
      </w:r>
      <w:r w:rsidR="00BE2B76" w:rsidRPr="00C727CA">
        <w:t>nep</w:t>
      </w:r>
      <w:r w:rsidR="0092069E" w:rsidRPr="00C727CA">
        <w:t>odaří smlouvu ve</w:t>
      </w:r>
      <w:r w:rsidR="001F50A4">
        <w:t> </w:t>
      </w:r>
      <w:r w:rsidR="0092069E" w:rsidRPr="00C727CA">
        <w:t xml:space="preserve">lhůtě uzavřít, </w:t>
      </w:r>
      <w:r w:rsidR="00BE2B76" w:rsidRPr="00C727CA">
        <w:t>zadavatel v takovém případě buď celé zadávací řízení zruší dle § 84 odst. 2 písm</w:t>
      </w:r>
      <w:r w:rsidR="00475FAA" w:rsidRPr="00C727CA">
        <w:t>.</w:t>
      </w:r>
      <w:r w:rsidR="00BE2B76" w:rsidRPr="00C727CA">
        <w:t xml:space="preserve"> c)</w:t>
      </w:r>
      <w:r w:rsidR="00C5783B" w:rsidRPr="00C727CA">
        <w:t xml:space="preserve">, </w:t>
      </w:r>
      <w:r w:rsidR="00BE2B76" w:rsidRPr="00C727CA">
        <w:t xml:space="preserve">nebo dle § 82 odst. 4 zákona vyzve </w:t>
      </w:r>
      <w:r w:rsidR="00C5783B" w:rsidRPr="00C727CA">
        <w:t xml:space="preserve">k uzavření smlouvy </w:t>
      </w:r>
      <w:r w:rsidR="0092069E" w:rsidRPr="00C727CA">
        <w:t xml:space="preserve">třetího </w:t>
      </w:r>
      <w:r w:rsidR="00BE2B76" w:rsidRPr="00C727CA">
        <w:t>uchazeče v pořadí. Pokud se ani s ním nepodaří smlouvu uzavřít, pak musí zadavatel celé řízení zrušit dle § 84 odst. 1 písm</w:t>
      </w:r>
      <w:r w:rsidR="00475FAA" w:rsidRPr="00C727CA">
        <w:t>.</w:t>
      </w:r>
      <w:r w:rsidR="00BE2B76" w:rsidRPr="00C727CA">
        <w:t xml:space="preserve"> c) zákona. </w:t>
      </w:r>
      <w:r w:rsidR="0092069E" w:rsidRPr="00C727CA">
        <w:t>Na závěr tohoto bodu m</w:t>
      </w:r>
      <w:r w:rsidR="00C5783B" w:rsidRPr="00C727CA">
        <w:t xml:space="preserve">usíme dodat, že pokud </w:t>
      </w:r>
      <w:r w:rsidR="00BE2B76" w:rsidRPr="00C727CA">
        <w:t>zadavatel uzavře smlouvu</w:t>
      </w:r>
      <w:r w:rsidR="006C541C" w:rsidRPr="00C727CA">
        <w:t xml:space="preserve"> s určitým uch</w:t>
      </w:r>
      <w:r w:rsidR="00C5783B" w:rsidRPr="00C727CA">
        <w:t>azečem, musí o</w:t>
      </w:r>
      <w:r w:rsidR="0092069E" w:rsidRPr="00C727CA">
        <w:t xml:space="preserve"> tom informovat tak</w:t>
      </w:r>
      <w:r w:rsidR="00C5783B" w:rsidRPr="00C727CA">
        <w:t>é ostatní</w:t>
      </w:r>
      <w:r w:rsidR="006C541C" w:rsidRPr="00C727CA">
        <w:t xml:space="preserve"> uchazeče, které případně mohl oslovit jako další v pořadí dle výše uvedeného „klíče“</w:t>
      </w:r>
      <w:r w:rsidR="0092069E" w:rsidRPr="00C727CA">
        <w:t xml:space="preserve"> jak stanovuje</w:t>
      </w:r>
      <w:r w:rsidR="00C5783B" w:rsidRPr="00C727CA">
        <w:t xml:space="preserve"> </w:t>
      </w:r>
      <w:r w:rsidR="00906EFB" w:rsidRPr="00C727CA">
        <w:t>§ 82 odst. 6 zákona;</w:t>
      </w:r>
      <w:r w:rsidR="006C541C" w:rsidRPr="00C727CA">
        <w:rPr>
          <w:rStyle w:val="FootnoteReference"/>
        </w:rPr>
        <w:footnoteReference w:id="88"/>
      </w:r>
      <w:r w:rsidR="006A6A08" w:rsidRPr="00C727CA">
        <w:rPr>
          <w:vertAlign w:val="superscript"/>
        </w:rPr>
        <w:t>,</w:t>
      </w:r>
      <w:r w:rsidR="006A6A08" w:rsidRPr="00C727CA">
        <w:rPr>
          <w:rStyle w:val="FootnoteReference"/>
        </w:rPr>
        <w:footnoteReference w:id="89"/>
      </w:r>
    </w:p>
    <w:p w14:paraId="277DB1C0" w14:textId="77777777" w:rsidR="002E1DF3" w:rsidRPr="00C727CA" w:rsidRDefault="006D588B" w:rsidP="00FA2973">
      <w:pPr>
        <w:pStyle w:val="ListParagraph"/>
        <w:numPr>
          <w:ilvl w:val="0"/>
          <w:numId w:val="36"/>
        </w:numPr>
        <w:spacing w:line="360" w:lineRule="auto"/>
        <w:jc w:val="both"/>
      </w:pPr>
      <w:r w:rsidRPr="00C727CA">
        <w:t xml:space="preserve">odeslání oznámení o výsledku otevřeného řízení </w:t>
      </w:r>
      <w:r w:rsidR="00883957" w:rsidRPr="00C727CA">
        <w:t>–</w:t>
      </w:r>
      <w:r w:rsidRPr="00C727CA">
        <w:t xml:space="preserve"> </w:t>
      </w:r>
      <w:r w:rsidR="00883957" w:rsidRPr="00C727CA">
        <w:t>ve lhůtě patnácti dnů od data uzavření smlouvy</w:t>
      </w:r>
      <w:r w:rsidR="00EE3617" w:rsidRPr="00C727CA">
        <w:t xml:space="preserve"> pro veřejného zadavatele</w:t>
      </w:r>
      <w:r w:rsidR="00883957" w:rsidRPr="00C727CA">
        <w:t>, popřípadě ve lhůtě třiceti dnů pro zadavatele sektorového, má daný zadavatel povinnost o této skutečnosti informovat na národní úrov</w:t>
      </w:r>
      <w:r w:rsidR="00AF32B3">
        <w:t xml:space="preserve">ni provozovatele Věstníku VZ, </w:t>
      </w:r>
      <w:r w:rsidR="00883957" w:rsidRPr="00C727CA">
        <w:t xml:space="preserve">v případě nadlimitních VZ </w:t>
      </w:r>
      <w:r w:rsidR="00DC1BC2" w:rsidRPr="00C727CA">
        <w:t>také</w:t>
      </w:r>
      <w:r w:rsidR="00883957" w:rsidRPr="00C727CA">
        <w:t xml:space="preserve"> na úrovni EU Úřad pro publikace E</w:t>
      </w:r>
      <w:r w:rsidR="00906EFB" w:rsidRPr="00C727CA">
        <w:t>U, to vše pro statistické účely;</w:t>
      </w:r>
      <w:r w:rsidR="00EE3617" w:rsidRPr="00C727CA">
        <w:rPr>
          <w:rStyle w:val="FootnoteReference"/>
        </w:rPr>
        <w:footnoteReference w:id="90"/>
      </w:r>
    </w:p>
    <w:p w14:paraId="1C18D630" w14:textId="77777777" w:rsidR="00915870" w:rsidRPr="00C727CA" w:rsidRDefault="00915870" w:rsidP="00FA2973">
      <w:pPr>
        <w:pStyle w:val="ListParagraph"/>
        <w:numPr>
          <w:ilvl w:val="0"/>
          <w:numId w:val="36"/>
        </w:numPr>
        <w:spacing w:line="360" w:lineRule="auto"/>
        <w:jc w:val="both"/>
      </w:pPr>
      <w:r w:rsidRPr="00C727CA">
        <w:t xml:space="preserve">vypracování písemné zprávy zadavatelem VZ – zadavatel </w:t>
      </w:r>
      <w:r w:rsidR="008B583F" w:rsidRPr="00C727CA">
        <w:t xml:space="preserve">má povinnost </w:t>
      </w:r>
      <w:r w:rsidR="00DC1BC2" w:rsidRPr="00C727CA">
        <w:t>dle</w:t>
      </w:r>
      <w:r w:rsidR="008B583F" w:rsidRPr="00C727CA">
        <w:t xml:space="preserve"> § 85 zákona </w:t>
      </w:r>
      <w:r w:rsidRPr="00C727CA">
        <w:t>u</w:t>
      </w:r>
      <w:r w:rsidR="001F50A4">
        <w:t> </w:t>
      </w:r>
      <w:r w:rsidRPr="00C727CA">
        <w:t>nadlimitní a podlimitní VZ</w:t>
      </w:r>
      <w:r w:rsidR="008B583F" w:rsidRPr="00C727CA">
        <w:t>,</w:t>
      </w:r>
      <w:r w:rsidR="00CC468F" w:rsidRPr="00C727CA">
        <w:t xml:space="preserve"> </w:t>
      </w:r>
      <w:r w:rsidR="008B583F" w:rsidRPr="00C727CA">
        <w:t xml:space="preserve">u které zahájil zadávací řízení, </w:t>
      </w:r>
      <w:r w:rsidR="00CC468F" w:rsidRPr="00C727CA">
        <w:t xml:space="preserve">vypracovat písemnou zprávu, kterou musí následně uveřejnit </w:t>
      </w:r>
      <w:r w:rsidR="008B583F" w:rsidRPr="00C727CA">
        <w:t xml:space="preserve">na </w:t>
      </w:r>
      <w:r w:rsidR="00CC468F" w:rsidRPr="00C727CA">
        <w:t xml:space="preserve">svém profilu, a to do patnácti dnů od </w:t>
      </w:r>
      <w:r w:rsidR="00DC1BC2" w:rsidRPr="00C727CA">
        <w:t>ukončení zadávacího</w:t>
      </w:r>
      <w:r w:rsidR="008B583F" w:rsidRPr="00C727CA">
        <w:t xml:space="preserve"> řízení</w:t>
      </w:r>
      <w:r w:rsidR="00CC468F" w:rsidRPr="00C727CA">
        <w:t xml:space="preserve">. </w:t>
      </w:r>
      <w:r w:rsidR="008B583F" w:rsidRPr="00C727CA">
        <w:t xml:space="preserve">Tato povinnost tedy </w:t>
      </w:r>
      <w:r w:rsidR="00DC1BC2" w:rsidRPr="00C727CA">
        <w:t>dopadá</w:t>
      </w:r>
      <w:r w:rsidR="008B583F" w:rsidRPr="00C727CA">
        <w:t xml:space="preserve"> i na ty případy, kdy bylo zadávací řízení zrušeno z některého z důvodů dle § 84 zákona. </w:t>
      </w:r>
      <w:r w:rsidR="00CC468F" w:rsidRPr="00C727CA">
        <w:t>Současně, pokud o to Evropská komise či ÚOHS požádá, zadavatel má povinnost tuto zprávu daným subjektům zaslat. Obsahové náležitosti této zprávy upravuje odst. 2 § 85 zákona s tím, že v kostce můžeme konstatovat, že musí obsahovat stejné informace, které jsou obsaženy v</w:t>
      </w:r>
      <w:r w:rsidR="008B583F" w:rsidRPr="00C727CA">
        <w:t>e</w:t>
      </w:r>
      <w:r w:rsidR="00CC468F" w:rsidRPr="00C727CA">
        <w:t> zprávě o</w:t>
      </w:r>
      <w:r w:rsidR="001F50A4">
        <w:t> </w:t>
      </w:r>
      <w:r w:rsidR="00CC468F" w:rsidRPr="00C727CA">
        <w:t>posouzení a hodnocení nabíd</w:t>
      </w:r>
      <w:r w:rsidR="00906EFB" w:rsidRPr="00C727CA">
        <w:t>ek plus některé další informace;</w:t>
      </w:r>
      <w:r w:rsidR="00D31C76" w:rsidRPr="00C727CA">
        <w:rPr>
          <w:rStyle w:val="FootnoteReference"/>
        </w:rPr>
        <w:footnoteReference w:id="91"/>
      </w:r>
    </w:p>
    <w:p w14:paraId="7FDDB531" w14:textId="77777777" w:rsidR="009250DC" w:rsidRPr="00C727CA" w:rsidRDefault="008B583F" w:rsidP="00FA2973">
      <w:pPr>
        <w:pStyle w:val="ListParagraph"/>
        <w:numPr>
          <w:ilvl w:val="0"/>
          <w:numId w:val="36"/>
        </w:numPr>
        <w:spacing w:line="360" w:lineRule="auto"/>
        <w:jc w:val="both"/>
      </w:pPr>
      <w:r w:rsidRPr="00C727CA">
        <w:t>uveřejnění smlouvy, výše skutečně uhrazené ceny a seznam subdodavatelů – na rozdíl od</w:t>
      </w:r>
      <w:r w:rsidR="001F50A4">
        <w:t> </w:t>
      </w:r>
      <w:r w:rsidRPr="00C727CA">
        <w:t>výše uvedené zprávy</w:t>
      </w:r>
      <w:r w:rsidR="007A1801" w:rsidRPr="00C727CA">
        <w:t>, tato povinnost se týká pouze toho zadavatele, který s uchazeček skutečně uzavřel určitou smlouvu, čímž došlo k ukončení zadávacího řízení.</w:t>
      </w:r>
      <w:r w:rsidR="009250DC" w:rsidRPr="00C727CA">
        <w:t xml:space="preserve"> </w:t>
      </w:r>
      <w:r w:rsidR="00C728F0" w:rsidRPr="00C727CA">
        <w:t>Dále</w:t>
      </w:r>
      <w:r w:rsidR="009250DC" w:rsidRPr="00C727CA">
        <w:t xml:space="preserve"> k tomuto kroku </w:t>
      </w:r>
      <w:r w:rsidR="00C728F0" w:rsidRPr="00C727CA">
        <w:t>dodáme pouze to</w:t>
      </w:r>
      <w:r w:rsidR="009250DC" w:rsidRPr="00C727CA">
        <w:t>, že je velmi technické povahy v tom smyslu, že zadavatel jednoduše následuje</w:t>
      </w:r>
      <w:r w:rsidR="00906EFB" w:rsidRPr="00C727CA">
        <w:t xml:space="preserve"> pokyny v § 147a zákona uvedené;</w:t>
      </w:r>
    </w:p>
    <w:p w14:paraId="777D1D1F" w14:textId="77777777" w:rsidR="009250DC" w:rsidRPr="00C727CA" w:rsidRDefault="00C728F0" w:rsidP="00C728F0">
      <w:pPr>
        <w:ind w:firstLine="360"/>
      </w:pPr>
      <w:r w:rsidRPr="00C727CA">
        <w:t>Pro celistvos</w:t>
      </w:r>
      <w:r w:rsidR="00DC1BC2" w:rsidRPr="00C727CA">
        <w:t>t analýzy otevřeného řízení a z</w:t>
      </w:r>
      <w:r w:rsidRPr="00C727CA">
        <w:t>odpovězení všech vytyčených otázek musíme uvést, že „s</w:t>
      </w:r>
      <w:r w:rsidR="009250DC" w:rsidRPr="00C727CA">
        <w:t xml:space="preserve">ektoroví zadavatelé postupují v otevřeném řízení obdobně jako veřejní zadavatelé s následujícími odchylkami. Nečiní předběžné oznámení, odůvodnění veřejné zakázky a uveřejňovací povinnosti. Dotovaný zadavatel postupuje při zadávání veřejné zakázky podle ustanovení tohoto zákona platných pro veřejného zadavatele </w:t>
      </w:r>
      <w:r w:rsidRPr="00C727CA">
        <w:t>[…].“</w:t>
      </w:r>
      <w:r w:rsidRPr="00C727CA">
        <w:rPr>
          <w:rStyle w:val="FootnoteReference"/>
        </w:rPr>
        <w:footnoteReference w:id="92"/>
      </w:r>
    </w:p>
    <w:p w14:paraId="15D32613" w14:textId="77777777" w:rsidR="002E1DF3" w:rsidRPr="00C727CA" w:rsidRDefault="003360BF" w:rsidP="00FA2973">
      <w:pPr>
        <w:pStyle w:val="Heading2"/>
        <w:spacing w:line="360" w:lineRule="auto"/>
      </w:pPr>
      <w:bookmarkStart w:id="16" w:name="_Toc472859445"/>
      <w:r w:rsidRPr="00C727CA">
        <w:t>Užší řízení</w:t>
      </w:r>
      <w:bookmarkEnd w:id="16"/>
    </w:p>
    <w:p w14:paraId="60686B76" w14:textId="77777777" w:rsidR="0038398C" w:rsidRPr="00C727CA" w:rsidRDefault="005E5368" w:rsidP="00A9664F">
      <w:pPr>
        <w:ind w:firstLine="0"/>
      </w:pPr>
      <w:r w:rsidRPr="00C727CA">
        <w:t>O užším ří</w:t>
      </w:r>
      <w:r w:rsidR="007D0022" w:rsidRPr="00C727CA">
        <w:t>zení můžeme</w:t>
      </w:r>
      <w:r w:rsidRPr="00C727CA">
        <w:t xml:space="preserve"> </w:t>
      </w:r>
      <w:r w:rsidR="002A42CF" w:rsidRPr="00C727CA">
        <w:t xml:space="preserve">úvodem </w:t>
      </w:r>
      <w:r w:rsidRPr="00C727CA">
        <w:t xml:space="preserve">říci, že je svou povahou </w:t>
      </w:r>
      <w:r w:rsidR="00A6430D" w:rsidRPr="00C727CA">
        <w:t>rovnocenné</w:t>
      </w:r>
      <w:r w:rsidRPr="00C727CA">
        <w:t xml:space="preserve"> otevřenému řízení. Pro užší řízení je </w:t>
      </w:r>
      <w:r w:rsidR="0011695B" w:rsidRPr="00C727CA">
        <w:t>ale</w:t>
      </w:r>
      <w:r w:rsidRPr="00C727CA">
        <w:t xml:space="preserve"> typická </w:t>
      </w:r>
      <w:r w:rsidR="00392753">
        <w:t xml:space="preserve">určitá </w:t>
      </w:r>
      <w:r w:rsidRPr="00C727CA">
        <w:t>dvojstupňovost</w:t>
      </w:r>
      <w:r w:rsidR="00392753">
        <w:t>.</w:t>
      </w:r>
      <w:r w:rsidRPr="00C727CA">
        <w:t xml:space="preserve"> </w:t>
      </w:r>
      <w:r w:rsidR="0011695B" w:rsidRPr="00C727CA">
        <w:t>Proto</w:t>
      </w:r>
      <w:r w:rsidRPr="00C727CA">
        <w:t xml:space="preserve"> je toto řízení také méně konkurenční než řízení otevřené</w:t>
      </w:r>
      <w:r w:rsidR="002A42CF" w:rsidRPr="00C727CA">
        <w:t xml:space="preserve"> s tím, že </w:t>
      </w:r>
      <w:r w:rsidR="0011695B" w:rsidRPr="00C727CA">
        <w:t>pro</w:t>
      </w:r>
      <w:r w:rsidR="001F50A4">
        <w:t> </w:t>
      </w:r>
      <w:r w:rsidR="0011695B" w:rsidRPr="00C727CA">
        <w:t xml:space="preserve">naplnění ideje zákona by měl zadavatel u </w:t>
      </w:r>
      <w:r w:rsidR="007D0022" w:rsidRPr="00C727CA">
        <w:t xml:space="preserve">finančně </w:t>
      </w:r>
      <w:r w:rsidR="0011695B" w:rsidRPr="00C727CA">
        <w:t>„větších“ VZ použít otevřené řízení</w:t>
      </w:r>
      <w:r w:rsidRPr="00C727CA">
        <w:t>.</w:t>
      </w:r>
      <w:r w:rsidR="0011695B" w:rsidRPr="00C727CA">
        <w:t xml:space="preserve"> </w:t>
      </w:r>
      <w:r w:rsidR="00B272DF" w:rsidRPr="00C727CA">
        <w:t>Užší řízení je dle dikce § 26 odst. 1</w:t>
      </w:r>
      <w:r w:rsidR="00F344BF" w:rsidRPr="00C727CA">
        <w:t xml:space="preserve"> písm</w:t>
      </w:r>
      <w:r w:rsidR="00475FAA" w:rsidRPr="00C727CA">
        <w:t>.</w:t>
      </w:r>
      <w:r w:rsidR="002A42CF" w:rsidRPr="00C727CA">
        <w:t xml:space="preserve"> a) zákona, </w:t>
      </w:r>
      <w:r w:rsidR="00F344BF" w:rsidRPr="00C727CA">
        <w:t>ve spojení s odst. 2 písm</w:t>
      </w:r>
      <w:r w:rsidR="00475FAA" w:rsidRPr="00C727CA">
        <w:t>.</w:t>
      </w:r>
      <w:r w:rsidR="00F344BF" w:rsidRPr="00C727CA">
        <w:t xml:space="preserve"> a), b) a c) </w:t>
      </w:r>
      <w:r w:rsidR="002A42CF" w:rsidRPr="00C727CA">
        <w:t xml:space="preserve">zákona, </w:t>
      </w:r>
      <w:r w:rsidR="00F344BF" w:rsidRPr="00C727CA">
        <w:t>zahájeno oznámením ze</w:t>
      </w:r>
      <w:r w:rsidR="002A42CF" w:rsidRPr="00C727CA">
        <w:t xml:space="preserve"> strany veřejného zadavatele či </w:t>
      </w:r>
      <w:r w:rsidR="00F344BF" w:rsidRPr="00C727CA">
        <w:t>pravidelným předběžným oznámením ze strany sektorového zadavatele. Dle § 28 od</w:t>
      </w:r>
      <w:r w:rsidR="002A42CF" w:rsidRPr="00C727CA">
        <w:t>st. 1 zákona</w:t>
      </w:r>
      <w:r w:rsidR="00F344BF" w:rsidRPr="00C727CA">
        <w:t xml:space="preserve"> „oznamuje zadavatel neomezenému počtu dodavatelů svůj úmysl zadat“ VZ v užším řízení s tím, že takové oznámení „je výzvou k podání žádostí o účast“ v tomto řízení „a k prokázání splnění kvalifikace“. </w:t>
      </w:r>
      <w:r w:rsidR="0011695B" w:rsidRPr="00C727CA">
        <w:t xml:space="preserve">Jak již bylo řečeno výše, užší řízení se rozděluje do dvou stupňů – 1. stupeň spočívá ve výzvě </w:t>
      </w:r>
      <w:r w:rsidR="002A42CF" w:rsidRPr="00C727CA">
        <w:t xml:space="preserve">uchazečům </w:t>
      </w:r>
      <w:r w:rsidR="0011695B" w:rsidRPr="00C727CA">
        <w:t>k</w:t>
      </w:r>
      <w:r w:rsidR="002A42CF" w:rsidRPr="00C727CA">
        <w:t xml:space="preserve"> podání žádosti o účast v řízení včetně </w:t>
      </w:r>
      <w:r w:rsidR="0011695B" w:rsidRPr="00C727CA">
        <w:t>následné</w:t>
      </w:r>
      <w:r w:rsidR="002A42CF" w:rsidRPr="00C727CA">
        <w:t>ho</w:t>
      </w:r>
      <w:r w:rsidR="0011695B" w:rsidRPr="00C727CA">
        <w:t xml:space="preserve"> posouzení </w:t>
      </w:r>
      <w:r w:rsidR="002A42CF" w:rsidRPr="00C727CA">
        <w:t xml:space="preserve">jejich </w:t>
      </w:r>
      <w:r w:rsidR="0011695B" w:rsidRPr="00C727CA">
        <w:t xml:space="preserve">kvalifikace </w:t>
      </w:r>
      <w:r w:rsidR="00235CD7" w:rsidRPr="00C727CA">
        <w:t xml:space="preserve">(níže značeno </w:t>
      </w:r>
      <w:r w:rsidR="00A6430D" w:rsidRPr="00C727CA">
        <w:t>jako 1. X</w:t>
      </w:r>
      <w:r w:rsidR="00A6430D" w:rsidRPr="00AA66F9">
        <w:t>.)</w:t>
      </w:r>
      <w:r w:rsidR="00711961" w:rsidRPr="00AA66F9">
        <w:t xml:space="preserve">, </w:t>
      </w:r>
      <w:r w:rsidR="00A6430D" w:rsidRPr="00AA66F9">
        <w:t>2. stupeň</w:t>
      </w:r>
      <w:r w:rsidR="0011695B" w:rsidRPr="00AA66F9">
        <w:t xml:space="preserve"> </w:t>
      </w:r>
      <w:r w:rsidR="00711961" w:rsidRPr="00AA66F9">
        <w:t xml:space="preserve">pak </w:t>
      </w:r>
      <w:r w:rsidR="0011695B" w:rsidRPr="00AA66F9">
        <w:t>spočívá</w:t>
      </w:r>
      <w:r w:rsidR="0011695B" w:rsidRPr="00C727CA">
        <w:t xml:space="preserve"> již ve vlastním řízení o</w:t>
      </w:r>
      <w:r w:rsidR="001F50A4">
        <w:t> </w:t>
      </w:r>
      <w:r w:rsidR="0011695B" w:rsidRPr="00C727CA">
        <w:t>nabídkách</w:t>
      </w:r>
      <w:r w:rsidR="00235CD7" w:rsidRPr="00C727CA">
        <w:t xml:space="preserve"> (níže značeno </w:t>
      </w:r>
      <w:r w:rsidR="00A6430D" w:rsidRPr="00C727CA">
        <w:t>jako 2. X.).</w:t>
      </w:r>
      <w:r w:rsidR="0011695B" w:rsidRPr="00C727CA">
        <w:t xml:space="preserve"> Této „stupňovitosti“ se budeme i nadále držet a celý proces zadávání VZ v rámci užšího řízení budeme analyzovat právě s ohledem na toto členění:</w:t>
      </w:r>
    </w:p>
    <w:p w14:paraId="20EF6F6D" w14:textId="77777777" w:rsidR="004707F4" w:rsidRPr="00C727CA" w:rsidRDefault="00CE75B7" w:rsidP="00FA2973">
      <w:pPr>
        <w:pStyle w:val="ListParagraph"/>
        <w:numPr>
          <w:ilvl w:val="1"/>
          <w:numId w:val="35"/>
        </w:numPr>
        <w:spacing w:after="0" w:line="360" w:lineRule="auto"/>
        <w:jc w:val="both"/>
      </w:pPr>
      <w:r w:rsidRPr="00C727CA">
        <w:t xml:space="preserve">   </w:t>
      </w:r>
      <w:r w:rsidR="00AF32B3">
        <w:t>a</w:t>
      </w:r>
      <w:r w:rsidR="004707F4" w:rsidRPr="00C727CA">
        <w:t xml:space="preserve">) </w:t>
      </w:r>
      <w:r w:rsidR="003E58DE" w:rsidRPr="00C727CA">
        <w:t>předběžné oznámení – tento krok</w:t>
      </w:r>
      <w:r w:rsidRPr="00C727CA">
        <w:t>,</w:t>
      </w:r>
      <w:r w:rsidR="003E58DE" w:rsidRPr="00C727CA">
        <w:t xml:space="preserve"> v rámci zadávání VZ v užším řízení</w:t>
      </w:r>
      <w:r w:rsidRPr="00C727CA">
        <w:t>,</w:t>
      </w:r>
      <w:r w:rsidR="00C57C0C" w:rsidRPr="00C727CA">
        <w:t xml:space="preserve"> je totožný s předběžným oznámením výše uvedeným v rámci otevřeného řízení. Z tohoto důvod</w:t>
      </w:r>
      <w:r w:rsidR="002A10E2">
        <w:t xml:space="preserve">u tedy čtenáře pouze </w:t>
      </w:r>
      <w:r w:rsidR="00A6430D">
        <w:t>odkážu, viz</w:t>
      </w:r>
      <w:r w:rsidR="00C57C0C" w:rsidRPr="00C727CA">
        <w:t xml:space="preserve"> výše</w:t>
      </w:r>
      <w:r w:rsidR="00E53C91" w:rsidRPr="00C727CA">
        <w:t>;</w:t>
      </w:r>
    </w:p>
    <w:p w14:paraId="1C926F1C" w14:textId="77777777" w:rsidR="00962B50" w:rsidRPr="00C727CA" w:rsidRDefault="00AF32B3" w:rsidP="00FA2973">
      <w:pPr>
        <w:ind w:left="360" w:firstLine="207"/>
      </w:pPr>
      <w:r>
        <w:t>b</w:t>
      </w:r>
      <w:r w:rsidR="00E53C91" w:rsidRPr="00C727CA">
        <w:t xml:space="preserve">) </w:t>
      </w:r>
      <w:r w:rsidR="00CE75B7" w:rsidRPr="00C727CA">
        <w:t>pravidelné předběžné oznámení – tento krok, v rámci zadávání VZ v užší</w:t>
      </w:r>
      <w:r w:rsidR="0073083E" w:rsidRPr="00C727CA">
        <w:t>m řízení, je také v</w:t>
      </w:r>
      <w:r w:rsidR="00467100" w:rsidRPr="00C727CA">
        <w:t xml:space="preserve">elmi podobný </w:t>
      </w:r>
      <w:r w:rsidR="0073083E" w:rsidRPr="00C727CA">
        <w:t>s výše uvedeným krokem</w:t>
      </w:r>
      <w:r w:rsidR="00CE75B7" w:rsidRPr="00C727CA">
        <w:t xml:space="preserve"> v rámci otevřeného řízení s tím rozdílem, že sektorový zadavatel může následně </w:t>
      </w:r>
      <w:r w:rsidR="0073083E" w:rsidRPr="00C727CA">
        <w:t>toto</w:t>
      </w:r>
      <w:r w:rsidR="00CE75B7" w:rsidRPr="00C727CA">
        <w:t xml:space="preserve"> </w:t>
      </w:r>
      <w:r w:rsidR="0073083E" w:rsidRPr="00C727CA">
        <w:t xml:space="preserve">pravidelné předběžné </w:t>
      </w:r>
      <w:r w:rsidR="00CE75B7" w:rsidRPr="00C727CA">
        <w:t xml:space="preserve">oznámení využít přímo </w:t>
      </w:r>
      <w:r w:rsidR="0073083E" w:rsidRPr="00C727CA">
        <w:t>k</w:t>
      </w:r>
      <w:r w:rsidR="001F50A4">
        <w:t> </w:t>
      </w:r>
      <w:r w:rsidR="00CE75B7" w:rsidRPr="00C727CA">
        <w:t xml:space="preserve">zahájení </w:t>
      </w:r>
      <w:r w:rsidR="00467100" w:rsidRPr="00C727CA">
        <w:t>užšího řízení. Současně</w:t>
      </w:r>
      <w:r w:rsidR="0073083E" w:rsidRPr="00C727CA">
        <w:t>,</w:t>
      </w:r>
      <w:r w:rsidR="00962B50" w:rsidRPr="00C727CA">
        <w:t xml:space="preserve"> po</w:t>
      </w:r>
      <w:r>
        <w:t>kud zadavatel</w:t>
      </w:r>
      <w:r w:rsidR="00962B50" w:rsidRPr="00C727CA">
        <w:t xml:space="preserve"> plánuje využít </w:t>
      </w:r>
      <w:r w:rsidR="00467100" w:rsidRPr="00C727CA">
        <w:t>této</w:t>
      </w:r>
      <w:r w:rsidR="00962B50" w:rsidRPr="00C727CA">
        <w:t xml:space="preserve"> možnosti zahájení zadávacího řízení, vyzve v tomto </w:t>
      </w:r>
      <w:r w:rsidR="0073083E" w:rsidRPr="00C727CA">
        <w:t xml:space="preserve">pravidelném předběžném </w:t>
      </w:r>
      <w:r w:rsidR="00962B50" w:rsidRPr="00C727CA">
        <w:t xml:space="preserve">oznámení případné zájemce, aby v určité lhůtě </w:t>
      </w:r>
      <w:r w:rsidR="00467100" w:rsidRPr="00C727CA">
        <w:t>projevili zájem</w:t>
      </w:r>
      <w:r w:rsidR="00962B50" w:rsidRPr="00C727CA">
        <w:t xml:space="preserve"> o účast v případném zadávacím řízení. Takov</w:t>
      </w:r>
      <w:r w:rsidR="00467100" w:rsidRPr="00C727CA">
        <w:t>í</w:t>
      </w:r>
      <w:r w:rsidR="00962B50" w:rsidRPr="00C727CA">
        <w:t xml:space="preserve"> </w:t>
      </w:r>
      <w:r w:rsidR="00722541" w:rsidRPr="00C727CA">
        <w:t>zájemci</w:t>
      </w:r>
      <w:r w:rsidR="00962B50" w:rsidRPr="00C727CA">
        <w:t xml:space="preserve"> </w:t>
      </w:r>
      <w:r w:rsidR="00467100" w:rsidRPr="00C727CA">
        <w:t xml:space="preserve">tedy </w:t>
      </w:r>
      <w:r w:rsidR="00962B50" w:rsidRPr="00C727CA">
        <w:t>následně zadavateli zašlou vý</w:t>
      </w:r>
      <w:r w:rsidR="004A32FD" w:rsidRPr="00C727CA">
        <w:t>zvu, že o takovou VZ mají zájem;</w:t>
      </w:r>
      <w:r w:rsidR="00711A28" w:rsidRPr="00C727CA">
        <w:rPr>
          <w:rStyle w:val="FootnoteReference"/>
        </w:rPr>
        <w:footnoteReference w:id="93"/>
      </w:r>
    </w:p>
    <w:p w14:paraId="38BD35BA" w14:textId="77777777" w:rsidR="00962B50" w:rsidRPr="00C727CA" w:rsidRDefault="00962B50" w:rsidP="00FA2973">
      <w:pPr>
        <w:pStyle w:val="ListParagraph"/>
        <w:numPr>
          <w:ilvl w:val="1"/>
          <w:numId w:val="35"/>
        </w:numPr>
        <w:spacing w:line="360" w:lineRule="auto"/>
        <w:jc w:val="both"/>
      </w:pPr>
      <w:r w:rsidRPr="00C727CA">
        <w:t xml:space="preserve"> </w:t>
      </w:r>
      <w:r w:rsidR="00AF32B3">
        <w:t xml:space="preserve">  a</w:t>
      </w:r>
      <w:r w:rsidR="008B7258" w:rsidRPr="00C727CA">
        <w:t>) oznámení užšího řízení – kritéria pro takové oznámení jsou v podstatě shodná s kritérii pro oznámení otevřeného řízení, proto i z</w:t>
      </w:r>
      <w:r w:rsidR="002A10E2">
        <w:t xml:space="preserve">de, částečně </w:t>
      </w:r>
      <w:r w:rsidR="00A6430D">
        <w:t>odkážu čtenář</w:t>
      </w:r>
      <w:r w:rsidR="002A10E2">
        <w:t>e</w:t>
      </w:r>
      <w:r w:rsidR="00A6430D">
        <w:t>,</w:t>
      </w:r>
      <w:r w:rsidR="002A10E2">
        <w:t xml:space="preserve"> viz</w:t>
      </w:r>
      <w:r w:rsidR="008B7258" w:rsidRPr="00C727CA">
        <w:t xml:space="preserve"> výše. Rozdíl je ovšem v</w:t>
      </w:r>
      <w:r w:rsidR="00A6430D">
        <w:t>e dvou rovinách. Zaprv</w:t>
      </w:r>
      <w:r w:rsidR="00F9782A" w:rsidRPr="00C727CA">
        <w:t xml:space="preserve">é </w:t>
      </w:r>
      <w:r w:rsidR="00722541" w:rsidRPr="00C727CA">
        <w:t>zájemci</w:t>
      </w:r>
      <w:r w:rsidR="00F9782A" w:rsidRPr="00C727CA">
        <w:t xml:space="preserve"> jsou zatím pouze vyzváni k tomu, aby </w:t>
      </w:r>
      <w:r w:rsidR="004A32FD" w:rsidRPr="00C727CA">
        <w:t xml:space="preserve">podali žádost o účast a současně </w:t>
      </w:r>
      <w:r w:rsidR="00F9782A" w:rsidRPr="00C727CA">
        <w:t>prokázali splnění kvalifikace a zadruhé v</w:t>
      </w:r>
      <w:r w:rsidR="008B7258" w:rsidRPr="00C727CA">
        <w:t xml:space="preserve"> </w:t>
      </w:r>
      <w:r w:rsidR="008A1262" w:rsidRPr="00C727CA">
        <w:t>případném</w:t>
      </w:r>
      <w:r w:rsidR="008B7258" w:rsidRPr="00C727CA">
        <w:t xml:space="preserve"> omezení počtu </w:t>
      </w:r>
      <w:r w:rsidR="00E25853" w:rsidRPr="00C727CA">
        <w:t>zájemců</w:t>
      </w:r>
      <w:r w:rsidR="007D38C6" w:rsidRPr="00C727CA">
        <w:t xml:space="preserve">, kteří budou vyzváni k </w:t>
      </w:r>
      <w:r w:rsidR="00E25853" w:rsidRPr="00C727CA">
        <w:t xml:space="preserve">podání </w:t>
      </w:r>
      <w:r w:rsidR="007D38C6" w:rsidRPr="00C727CA">
        <w:t>nabídky</w:t>
      </w:r>
      <w:r w:rsidR="008B7258" w:rsidRPr="00C727CA">
        <w:t>. Pokud tak zadavatel plánuje,</w:t>
      </w:r>
      <w:r w:rsidR="003766ED" w:rsidRPr="00C727CA">
        <w:t xml:space="preserve"> </w:t>
      </w:r>
      <w:r w:rsidR="007D38C6" w:rsidRPr="00C727CA">
        <w:t xml:space="preserve">tedy </w:t>
      </w:r>
      <w:r w:rsidR="00F9782A" w:rsidRPr="00C727CA">
        <w:t xml:space="preserve">omezit počet </w:t>
      </w:r>
      <w:r w:rsidR="007D38C6" w:rsidRPr="00C727CA">
        <w:t>zájemců,</w:t>
      </w:r>
      <w:r w:rsidR="005B16A3" w:rsidRPr="00C727CA">
        <w:t xml:space="preserve"> </w:t>
      </w:r>
      <w:r w:rsidR="007D38C6" w:rsidRPr="00C727CA">
        <w:t>kteří budou vyzváni k podání nabídky</w:t>
      </w:r>
      <w:r w:rsidR="00F9782A" w:rsidRPr="00C727CA">
        <w:t xml:space="preserve">, </w:t>
      </w:r>
      <w:r w:rsidR="00AF32B3">
        <w:t xml:space="preserve">např. z důvodu, </w:t>
      </w:r>
      <w:r w:rsidR="003766ED" w:rsidRPr="00C727CA">
        <w:t xml:space="preserve">že se do řízení přihlásí </w:t>
      </w:r>
      <w:r w:rsidR="00F9782A" w:rsidRPr="00C727CA">
        <w:t xml:space="preserve">a </w:t>
      </w:r>
      <w:r w:rsidR="0073083E" w:rsidRPr="00C727CA">
        <w:t xml:space="preserve">současně </w:t>
      </w:r>
      <w:r w:rsidR="00F9782A" w:rsidRPr="00C727CA">
        <w:t xml:space="preserve">prokáže kvalifikaci </w:t>
      </w:r>
      <w:r w:rsidR="003766ED" w:rsidRPr="00C727CA">
        <w:t xml:space="preserve">tolik </w:t>
      </w:r>
      <w:r w:rsidR="00722541" w:rsidRPr="00C727CA">
        <w:t>zájemců</w:t>
      </w:r>
      <w:r w:rsidR="00F9782A" w:rsidRPr="00C727CA">
        <w:t xml:space="preserve">, že </w:t>
      </w:r>
      <w:r w:rsidR="007D38C6" w:rsidRPr="00C727CA">
        <w:t xml:space="preserve">se takové </w:t>
      </w:r>
      <w:r w:rsidR="00F9782A" w:rsidRPr="00C727CA">
        <w:t>omezení</w:t>
      </w:r>
      <w:r w:rsidR="003766ED" w:rsidRPr="00C727CA">
        <w:t xml:space="preserve"> bude </w:t>
      </w:r>
      <w:r w:rsidR="007D38C6" w:rsidRPr="00C727CA">
        <w:t xml:space="preserve">jevit jako </w:t>
      </w:r>
      <w:r w:rsidR="003766ED" w:rsidRPr="00C727CA">
        <w:t>praktické,</w:t>
      </w:r>
      <w:r w:rsidR="008B7258" w:rsidRPr="00C727CA">
        <w:t xml:space="preserve"> </w:t>
      </w:r>
      <w:r w:rsidR="007D38C6" w:rsidRPr="00C727CA">
        <w:t xml:space="preserve">pak </w:t>
      </w:r>
      <w:r w:rsidR="008B7258" w:rsidRPr="00C727CA">
        <w:t>musí</w:t>
      </w:r>
      <w:r w:rsidR="004D4B3E" w:rsidRPr="00C727CA">
        <w:t xml:space="preserve"> </w:t>
      </w:r>
      <w:r w:rsidR="005B16A3" w:rsidRPr="00C727CA">
        <w:t xml:space="preserve">zadavatel </w:t>
      </w:r>
      <w:r w:rsidR="004D4B3E" w:rsidRPr="00C727CA">
        <w:t xml:space="preserve">v daném oznámení </w:t>
      </w:r>
      <w:r w:rsidR="007D38C6" w:rsidRPr="00C727CA">
        <w:t xml:space="preserve">takové omezení </w:t>
      </w:r>
      <w:r w:rsidR="004D4B3E" w:rsidRPr="00C727CA">
        <w:t>uvést</w:t>
      </w:r>
      <w:r w:rsidR="00AF32B3">
        <w:t>, včetně kritérií</w:t>
      </w:r>
      <w:r w:rsidR="0073083E" w:rsidRPr="00C727CA">
        <w:t xml:space="preserve"> na základě kterých</w:t>
      </w:r>
      <w:r w:rsidR="004D4B3E" w:rsidRPr="00C727CA">
        <w:t xml:space="preserve"> případnou selekci </w:t>
      </w:r>
      <w:r w:rsidR="005B16A3" w:rsidRPr="00C727CA">
        <w:t>provede</w:t>
      </w:r>
      <w:r w:rsidR="004A32FD" w:rsidRPr="00C727CA">
        <w:t>;</w:t>
      </w:r>
      <w:r w:rsidR="003766ED" w:rsidRPr="00C727CA">
        <w:rPr>
          <w:rStyle w:val="FootnoteReference"/>
        </w:rPr>
        <w:footnoteReference w:id="94"/>
      </w:r>
    </w:p>
    <w:p w14:paraId="4DC2EF05" w14:textId="77777777" w:rsidR="00E53C91" w:rsidRPr="00C727CA" w:rsidRDefault="00AF32B3" w:rsidP="00FA2973">
      <w:pPr>
        <w:pStyle w:val="ListParagraph"/>
        <w:spacing w:line="360" w:lineRule="auto"/>
        <w:ind w:left="360"/>
        <w:jc w:val="both"/>
      </w:pPr>
      <w:r>
        <w:t xml:space="preserve"> b</w:t>
      </w:r>
      <w:r w:rsidR="00F9489D" w:rsidRPr="00C727CA">
        <w:t xml:space="preserve">) písemná výzva sektorového zadavatele </w:t>
      </w:r>
      <w:r w:rsidR="00722541" w:rsidRPr="00C727CA">
        <w:t>zájemcům</w:t>
      </w:r>
      <w:r w:rsidR="003A6018" w:rsidRPr="00C727CA">
        <w:t xml:space="preserve"> </w:t>
      </w:r>
      <w:r w:rsidR="00F9489D" w:rsidRPr="00C727CA">
        <w:t>k potvrzení zájmu</w:t>
      </w:r>
      <w:r w:rsidR="003A6018" w:rsidRPr="00C727CA">
        <w:t xml:space="preserve"> o VZ </w:t>
      </w:r>
      <w:r w:rsidR="00F9782A" w:rsidRPr="00C727CA">
        <w:t>–</w:t>
      </w:r>
      <w:r w:rsidR="003A6018" w:rsidRPr="00C727CA">
        <w:t xml:space="preserve"> </w:t>
      </w:r>
      <w:r w:rsidR="00F9782A" w:rsidRPr="00C727CA">
        <w:t xml:space="preserve">pokud sektorový zadavatel zveřejnil pravidelné předběžné oznámení a rozhodl se využít takovéhoto institutu k zahájení užšího </w:t>
      </w:r>
      <w:r w:rsidR="00A6430D" w:rsidRPr="00C727CA">
        <w:t>řízení, jak</w:t>
      </w:r>
      <w:r w:rsidR="00F9782A" w:rsidRPr="00C727CA">
        <w:t xml:space="preserve"> uvádí § 88 zákona, a pokud na takové oznámení reagovali někteří </w:t>
      </w:r>
      <w:r w:rsidR="00722541" w:rsidRPr="00C727CA">
        <w:t>zájemci</w:t>
      </w:r>
      <w:r w:rsidR="00F9782A" w:rsidRPr="00C727CA">
        <w:t xml:space="preserve"> ve smyslu projevení zá</w:t>
      </w:r>
      <w:r w:rsidR="00A51E5B">
        <w:t>j</w:t>
      </w:r>
      <w:r w:rsidR="00F9782A" w:rsidRPr="00C727CA">
        <w:t xml:space="preserve">mu o takovou VZ, pak musí sektorový zadavatel takové </w:t>
      </w:r>
      <w:r w:rsidR="001D57BE" w:rsidRPr="00C727CA">
        <w:t>zájemce</w:t>
      </w:r>
      <w:r w:rsidR="00F9782A" w:rsidRPr="00C727CA">
        <w:t xml:space="preserve"> </w:t>
      </w:r>
      <w:r w:rsidR="00467100" w:rsidRPr="00C727CA">
        <w:t>adresně</w:t>
      </w:r>
      <w:r w:rsidR="00F9782A" w:rsidRPr="00C727CA">
        <w:t xml:space="preserve"> vyzvat, aby svůj předcházející projevený zájem potvrdili a aby současně prokázali splně</w:t>
      </w:r>
      <w:r w:rsidR="00250E6C" w:rsidRPr="00C727CA">
        <w:t>ní kvalifikace,</w:t>
      </w:r>
      <w:r w:rsidR="004A32FD" w:rsidRPr="00C727CA">
        <w:t xml:space="preserve"> to vše dle odst. 3 § 88 zákona;</w:t>
      </w:r>
      <w:r w:rsidR="00250E6C" w:rsidRPr="00C727CA">
        <w:rPr>
          <w:rStyle w:val="FootnoteReference"/>
        </w:rPr>
        <w:footnoteReference w:id="95"/>
      </w:r>
    </w:p>
    <w:p w14:paraId="4A587379" w14:textId="77777777" w:rsidR="004A32FD" w:rsidRPr="00C727CA" w:rsidRDefault="004A32FD" w:rsidP="004A32FD">
      <w:pPr>
        <w:pStyle w:val="ListParagraph"/>
        <w:numPr>
          <w:ilvl w:val="1"/>
          <w:numId w:val="35"/>
        </w:numPr>
        <w:spacing w:line="360" w:lineRule="auto"/>
        <w:jc w:val="both"/>
      </w:pPr>
      <w:r w:rsidRPr="00C727CA">
        <w:t xml:space="preserve"> zveřejnění kvalifikační dokumentace – </w:t>
      </w:r>
      <w:r w:rsidR="00C822C9" w:rsidRPr="00C727CA">
        <w:t>kvalifikační</w:t>
      </w:r>
      <w:r w:rsidRPr="00C727CA">
        <w:t xml:space="preserve"> dokumentace, včetně kvalifikačních požadavků, které nebyly </w:t>
      </w:r>
      <w:r w:rsidR="003342A4" w:rsidRPr="00C727CA">
        <w:t>doposud zveřejněny</w:t>
      </w:r>
      <w:r w:rsidRPr="00C727CA">
        <w:t>, budou zveřejněny „na profilu zadavatele nejpozději ode dne uveřejnění oznámení zadávacího řízení“</w:t>
      </w:r>
      <w:r w:rsidR="00F4434E" w:rsidRPr="00C727CA">
        <w:t>;</w:t>
      </w:r>
      <w:r w:rsidRPr="00C727CA">
        <w:rPr>
          <w:rStyle w:val="FootnoteReference"/>
        </w:rPr>
        <w:footnoteReference w:id="96"/>
      </w:r>
    </w:p>
    <w:p w14:paraId="3E52CEEF" w14:textId="77777777" w:rsidR="00F4434E" w:rsidRPr="00C727CA" w:rsidRDefault="00F4434E" w:rsidP="004A32FD">
      <w:pPr>
        <w:pStyle w:val="ListParagraph"/>
        <w:numPr>
          <w:ilvl w:val="1"/>
          <w:numId w:val="35"/>
        </w:numPr>
        <w:spacing w:line="360" w:lineRule="auto"/>
        <w:jc w:val="both"/>
      </w:pPr>
      <w:r w:rsidRPr="00C727CA">
        <w:t xml:space="preserve"> </w:t>
      </w:r>
      <w:r w:rsidR="002C760E" w:rsidRPr="00C727CA">
        <w:t>o</w:t>
      </w:r>
      <w:r w:rsidRPr="00C727CA">
        <w:t xml:space="preserve">důvodnění </w:t>
      </w:r>
      <w:r w:rsidR="002C760E" w:rsidRPr="00C727CA">
        <w:t>VZ a jeho publikace</w:t>
      </w:r>
      <w:r w:rsidR="00AF32B3">
        <w:t xml:space="preserve"> </w:t>
      </w:r>
      <w:r w:rsidR="00AF32B3" w:rsidRPr="00C727CA">
        <w:t>–</w:t>
      </w:r>
      <w:r w:rsidR="00AF32B3">
        <w:t xml:space="preserve"> </w:t>
      </w:r>
      <w:r w:rsidR="002C760E" w:rsidRPr="00C727CA">
        <w:t>tento krok</w:t>
      </w:r>
      <w:r w:rsidR="00C822C9" w:rsidRPr="00C727CA">
        <w:t>, tedy</w:t>
      </w:r>
      <w:r w:rsidR="002C760E" w:rsidRPr="00C727CA">
        <w:t xml:space="preserve"> odůvodnění VZ</w:t>
      </w:r>
      <w:r w:rsidR="00C822C9" w:rsidRPr="00C727CA">
        <w:t xml:space="preserve"> včetně </w:t>
      </w:r>
      <w:r w:rsidR="002C760E" w:rsidRPr="00C727CA">
        <w:t>publikace</w:t>
      </w:r>
      <w:r w:rsidR="00C822C9" w:rsidRPr="00C727CA">
        <w:t xml:space="preserve"> takového odůvodnění,</w:t>
      </w:r>
      <w:r w:rsidR="002C760E" w:rsidRPr="00C727CA">
        <w:t xml:space="preserve"> je shodný s </w:t>
      </w:r>
      <w:r w:rsidR="00C822C9" w:rsidRPr="00C727CA">
        <w:t>daným</w:t>
      </w:r>
      <w:r w:rsidR="002C760E" w:rsidRPr="00C727CA">
        <w:t xml:space="preserve"> krokem v rámci otevřeného řízení. Z tohoto důvodu </w:t>
      </w:r>
      <w:r w:rsidR="00A51E5B">
        <w:t>tedy odk</w:t>
      </w:r>
      <w:r w:rsidR="002A10E2">
        <w:t>azuji čtenáře</w:t>
      </w:r>
      <w:r w:rsidR="00A51E5B">
        <w:t>,</w:t>
      </w:r>
      <w:r w:rsidR="002A10E2">
        <w:t xml:space="preserve"> viz</w:t>
      </w:r>
      <w:r w:rsidR="0005348F" w:rsidRPr="00C727CA">
        <w:t xml:space="preserve"> výše;</w:t>
      </w:r>
    </w:p>
    <w:p w14:paraId="09D988D6" w14:textId="77777777" w:rsidR="002C760E" w:rsidRPr="00C727CA" w:rsidRDefault="002C760E" w:rsidP="004A32FD">
      <w:pPr>
        <w:pStyle w:val="ListParagraph"/>
        <w:numPr>
          <w:ilvl w:val="1"/>
          <w:numId w:val="35"/>
        </w:numPr>
        <w:spacing w:line="360" w:lineRule="auto"/>
        <w:jc w:val="both"/>
      </w:pPr>
      <w:r w:rsidRPr="00C727CA">
        <w:t xml:space="preserve"> podávání žádostí o účast </w:t>
      </w:r>
      <w:r w:rsidR="003F5FBC" w:rsidRPr="00C727CA">
        <w:t xml:space="preserve">v užším řízení </w:t>
      </w:r>
      <w:r w:rsidRPr="00C727CA">
        <w:t xml:space="preserve">případnými zájemci </w:t>
      </w:r>
      <w:r w:rsidR="0005348F" w:rsidRPr="00C727CA">
        <w:t>–</w:t>
      </w:r>
      <w:r w:rsidRPr="00C727CA">
        <w:t xml:space="preserve"> </w:t>
      </w:r>
      <w:r w:rsidR="003342A4" w:rsidRPr="00C727CA">
        <w:t xml:space="preserve">tato </w:t>
      </w:r>
      <w:r w:rsidR="0005348F" w:rsidRPr="00C727CA">
        <w:t>žádos</w:t>
      </w:r>
      <w:r w:rsidR="003342A4" w:rsidRPr="00C727CA">
        <w:t>t není velmi formalizovaná. M</w:t>
      </w:r>
      <w:r w:rsidR="0005348F" w:rsidRPr="00C727CA">
        <w:t>usí z ní jednoduše vyplývat, že zájemce má zájem o danou VZ a chce</w:t>
      </w:r>
      <w:r w:rsidR="003342A4" w:rsidRPr="00C727CA">
        <w:t>,</w:t>
      </w:r>
      <w:r w:rsidR="0005348F" w:rsidRPr="00C727CA">
        <w:t xml:space="preserve"> v souvislosti s</w:t>
      </w:r>
      <w:r w:rsidR="003342A4" w:rsidRPr="00C727CA">
        <w:t> </w:t>
      </w:r>
      <w:r w:rsidR="0005348F" w:rsidRPr="00C727CA">
        <w:t>ní</w:t>
      </w:r>
      <w:r w:rsidR="003342A4" w:rsidRPr="00C727CA">
        <w:t>,</w:t>
      </w:r>
      <w:r w:rsidR="0005348F" w:rsidRPr="00C727CA">
        <w:t xml:space="preserve"> následně podat i svoji nabídku. Žádost musí být řádně podepsána, obsahovat identifikaci zájem</w:t>
      </w:r>
      <w:r w:rsidR="003342A4" w:rsidRPr="00C727CA">
        <w:t>ce a musí také obsahovat materiá</w:t>
      </w:r>
      <w:r w:rsidR="0005348F" w:rsidRPr="00C727CA">
        <w:t xml:space="preserve">ly, kterými </w:t>
      </w:r>
      <w:r w:rsidR="003342A4" w:rsidRPr="00C727CA">
        <w:t xml:space="preserve">zájemce </w:t>
      </w:r>
      <w:r w:rsidR="00AF32B3">
        <w:t>prokáže splnění kvalifikace</w:t>
      </w:r>
      <w:r w:rsidR="0005348F" w:rsidRPr="00C727CA">
        <w:t>;</w:t>
      </w:r>
      <w:r w:rsidR="0005348F" w:rsidRPr="00C727CA">
        <w:rPr>
          <w:rStyle w:val="FootnoteReference"/>
        </w:rPr>
        <w:footnoteReference w:id="97"/>
      </w:r>
    </w:p>
    <w:p w14:paraId="79631D54" w14:textId="77777777" w:rsidR="00C3678E" w:rsidRPr="00C727CA" w:rsidRDefault="00C3678E" w:rsidP="004A32FD">
      <w:pPr>
        <w:pStyle w:val="ListParagraph"/>
        <w:numPr>
          <w:ilvl w:val="1"/>
          <w:numId w:val="35"/>
        </w:numPr>
        <w:spacing w:line="360" w:lineRule="auto"/>
        <w:jc w:val="both"/>
      </w:pPr>
      <w:r w:rsidRPr="00C727CA">
        <w:t xml:space="preserve"> posouzení kvalifikace a případné vyloučení nekvalifikovaných zájemců – k žádostem došlým po lhůtě se nepřihlíží, takové jsou ovšem podle § 155 zákona archivovány s tím, že dodavatel o všem vyrozumí daného zájemce.</w:t>
      </w:r>
      <w:r w:rsidR="001E54D5" w:rsidRPr="00C727CA">
        <w:t xml:space="preserve"> Včasně podané žádosti s kvalifikací jsou následně </w:t>
      </w:r>
      <w:r w:rsidR="00A63DEC" w:rsidRPr="00C727CA">
        <w:t xml:space="preserve">neveřejně </w:t>
      </w:r>
      <w:r w:rsidR="001E54D5" w:rsidRPr="00C727CA">
        <w:t>posouzeny samotným zadavatelem, případně zvláštní komisí, zřízenou pro tento účel dle § 59 odst. 2 zákona. Zájemci, kteří t</w:t>
      </w:r>
      <w:r w:rsidR="00A51E5B">
        <w:t>akto svoji kvalifikaci neprokážou</w:t>
      </w:r>
      <w:r w:rsidR="003342A4" w:rsidRPr="00C727CA">
        <w:t>,</w:t>
      </w:r>
      <w:r w:rsidR="001E54D5" w:rsidRPr="00C727CA">
        <w:t xml:space="preserve"> jsou z účasti v řízení vyloučeni dle § 60 odst. 2 zákona.</w:t>
      </w:r>
      <w:r w:rsidR="001E54D5" w:rsidRPr="00C727CA">
        <w:rPr>
          <w:rStyle w:val="FootnoteReference"/>
        </w:rPr>
        <w:footnoteReference w:id="98"/>
      </w:r>
      <w:r w:rsidR="00A63DEC" w:rsidRPr="00C727CA">
        <w:t xml:space="preserve"> O celém tomto procesu je následně vypracován </w:t>
      </w:r>
      <w:r w:rsidR="00235CD7" w:rsidRPr="00C727CA">
        <w:t xml:space="preserve">tzv. </w:t>
      </w:r>
      <w:r w:rsidR="00A63DEC" w:rsidRPr="00C727CA">
        <w:t>seznam podaných žádostí o účast, kde jsou uvedeny iden</w:t>
      </w:r>
      <w:r w:rsidR="003342A4" w:rsidRPr="00C727CA">
        <w:t xml:space="preserve">tifikační údaje všech zájemců, </w:t>
      </w:r>
      <w:r w:rsidR="00A63DEC" w:rsidRPr="00C727CA">
        <w:t>doba a pořadí došlé žádosti;</w:t>
      </w:r>
      <w:r w:rsidR="00A63DEC" w:rsidRPr="00C727CA">
        <w:rPr>
          <w:rStyle w:val="FootnoteReference"/>
        </w:rPr>
        <w:footnoteReference w:id="99"/>
      </w:r>
    </w:p>
    <w:p w14:paraId="6A692A6E" w14:textId="77777777" w:rsidR="00316434" w:rsidRPr="00C727CA" w:rsidRDefault="004B7F61" w:rsidP="00316434">
      <w:pPr>
        <w:pStyle w:val="ListParagraph"/>
        <w:numPr>
          <w:ilvl w:val="1"/>
          <w:numId w:val="35"/>
        </w:numPr>
        <w:spacing w:line="360" w:lineRule="auto"/>
        <w:jc w:val="both"/>
      </w:pPr>
      <w:r w:rsidRPr="00C727CA">
        <w:t xml:space="preserve"> </w:t>
      </w:r>
      <w:r w:rsidR="00E91F9B" w:rsidRPr="00C727CA">
        <w:t xml:space="preserve">omezení </w:t>
      </w:r>
      <w:r w:rsidR="00A51E5B" w:rsidRPr="00C727CA">
        <w:t xml:space="preserve">počtu </w:t>
      </w:r>
      <w:r w:rsidR="00A51E5B">
        <w:t>zájemců</w:t>
      </w:r>
      <w:r w:rsidRPr="00C727CA">
        <w:t xml:space="preserve"> </w:t>
      </w:r>
      <w:r w:rsidR="00E91F9B" w:rsidRPr="00C727CA">
        <w:t>k</w:t>
      </w:r>
      <w:r w:rsidR="00316434" w:rsidRPr="00C727CA">
        <w:t xml:space="preserve"> </w:t>
      </w:r>
      <w:r w:rsidR="00E91F9B" w:rsidRPr="00C727CA">
        <w:t>podání nabídky</w:t>
      </w:r>
      <w:r w:rsidR="00F1266A" w:rsidRPr="00C727CA">
        <w:t>:</w:t>
      </w:r>
      <w:r w:rsidRPr="00C727CA">
        <w:t xml:space="preserve"> </w:t>
      </w:r>
    </w:p>
    <w:p w14:paraId="5F8DB52C" w14:textId="77777777" w:rsidR="004B7F61" w:rsidRPr="00C727CA" w:rsidRDefault="00316434" w:rsidP="003B528B">
      <w:pPr>
        <w:pStyle w:val="ListParagraph"/>
        <w:numPr>
          <w:ilvl w:val="0"/>
          <w:numId w:val="40"/>
        </w:numPr>
        <w:spacing w:line="360" w:lineRule="auto"/>
        <w:jc w:val="both"/>
      </w:pPr>
      <w:r w:rsidRPr="00C727CA">
        <w:t>veřejným zadavatelem v oblasti obrany a bezpečnosti</w:t>
      </w:r>
      <w:r w:rsidR="00F1266A" w:rsidRPr="00C727CA">
        <w:t xml:space="preserve"> dle § 28 odst. 2 ve spojení s § 61 zákona </w:t>
      </w:r>
      <w:r w:rsidR="004C04B3" w:rsidRPr="00C727CA">
        <w:t>–</w:t>
      </w:r>
      <w:r w:rsidR="00F1266A" w:rsidRPr="00C727CA">
        <w:t xml:space="preserve"> </w:t>
      </w:r>
      <w:r w:rsidR="004C04B3" w:rsidRPr="00C727CA">
        <w:t xml:space="preserve">pokud se zadavatel </w:t>
      </w:r>
      <w:r w:rsidR="00E91F9B" w:rsidRPr="00C727CA">
        <w:t>rozhodl omezit počet zájemců k</w:t>
      </w:r>
      <w:r w:rsidR="004C04B3" w:rsidRPr="00C727CA">
        <w:t xml:space="preserve"> </w:t>
      </w:r>
      <w:r w:rsidR="00E91F9B" w:rsidRPr="00C727CA">
        <w:t>podání nabídky</w:t>
      </w:r>
      <w:r w:rsidR="004C04B3" w:rsidRPr="00C727CA">
        <w:t>, je jeho povinností pro takovou selekci nastavit objektivní kritéria, která dle § 61 odst. 2 zákona musí být stanovena s ohledem na povahu, rozsah a složitost předmětu VZ, musí být v souladu se zásadami transparentnost</w:t>
      </w:r>
      <w:r w:rsidR="00AF32B3">
        <w:t xml:space="preserve">i, rovného zacházení, </w:t>
      </w:r>
      <w:r w:rsidR="00A51E5B">
        <w:t>zákazu di</w:t>
      </w:r>
      <w:r w:rsidR="004C04B3" w:rsidRPr="00C727CA">
        <w:t>skriminace a musí odpovídat alespoň některým technickým kvalifikačním požadavkům, jejichž prokázání je zadavatelem vyžadováno. Zadavatel následně sestaví pořadí zájemců dle naplnění selektivních kritérií</w:t>
      </w:r>
      <w:r w:rsidR="003342A4" w:rsidRPr="00C727CA">
        <w:t>, ze kterého</w:t>
      </w:r>
      <w:r w:rsidR="004C04B3" w:rsidRPr="00C727CA">
        <w:t xml:space="preserve"> poté vybere takový počet, jaký již dříve deklaroval v oznámení o zahájení VZ. Nevybraní a tedy vyloučení zájemci jsou bezodkladně o této skutečnosti písemně informováni s tím, že o celém procesu selekce je na závěr pořízen protokol, do kterého m</w:t>
      </w:r>
      <w:r w:rsidR="003B528B" w:rsidRPr="00C727CA">
        <w:t>ohou všichni zájemci nahlédnout;</w:t>
      </w:r>
      <w:r w:rsidR="003B528B" w:rsidRPr="00C727CA">
        <w:rPr>
          <w:rStyle w:val="FootnoteReference"/>
        </w:rPr>
        <w:footnoteReference w:id="100"/>
      </w:r>
    </w:p>
    <w:p w14:paraId="5A6C3273" w14:textId="77777777" w:rsidR="003B528B" w:rsidRPr="00C727CA" w:rsidRDefault="00A51E5B" w:rsidP="00CE78A1">
      <w:pPr>
        <w:pStyle w:val="ListParagraph"/>
        <w:numPr>
          <w:ilvl w:val="0"/>
          <w:numId w:val="40"/>
        </w:numPr>
        <w:spacing w:line="360" w:lineRule="auto"/>
        <w:jc w:val="both"/>
      </w:pPr>
      <w:r>
        <w:t>sektorovým</w:t>
      </w:r>
      <w:r w:rsidR="003B528B" w:rsidRPr="00C727CA">
        <w:t xml:space="preserve"> zadavatelem dle § 28 odst. 2 ve spojení s § 66 zákona </w:t>
      </w:r>
      <w:r w:rsidR="00202F04" w:rsidRPr="00C727CA">
        <w:t>–</w:t>
      </w:r>
      <w:r w:rsidR="003B528B" w:rsidRPr="00C727CA">
        <w:t xml:space="preserve"> </w:t>
      </w:r>
      <w:r w:rsidR="00202F04" w:rsidRPr="00C727CA">
        <w:t>sektorový zadavatel může, na rozdíl od veřejného zadavatele, provést toto omezení zájemců bez ohledu na povahu předmětu plnění VZ, tedy kdykoliv.</w:t>
      </w:r>
      <w:r w:rsidR="00254D93" w:rsidRPr="00C727CA">
        <w:t xml:space="preserve"> Selektivní kritéria musí být stanovena dle § 66 odst. 2 zákona </w:t>
      </w:r>
      <w:r w:rsidR="00CA55F4" w:rsidRPr="00C727CA">
        <w:t>opět s ohledem</w:t>
      </w:r>
      <w:r w:rsidR="00254D93" w:rsidRPr="00C727CA">
        <w:t xml:space="preserve"> na povahu, rozsah a složitost předmětu VZ, musí být v souladu se zásadami transparentnost</w:t>
      </w:r>
      <w:r w:rsidR="001E41C2">
        <w:t xml:space="preserve">i, rovného zacházení, </w:t>
      </w:r>
      <w:r w:rsidR="00CA55F4">
        <w:t>zákazu di</w:t>
      </w:r>
      <w:r w:rsidR="00254D93" w:rsidRPr="00C727CA">
        <w:t xml:space="preserve">skriminace a </w:t>
      </w:r>
      <w:r w:rsidR="006358DB" w:rsidRPr="00C727CA">
        <w:t xml:space="preserve">dále </w:t>
      </w:r>
      <w:r w:rsidR="00254D93" w:rsidRPr="00C727CA">
        <w:t xml:space="preserve">musí odpovídat alespoň některým </w:t>
      </w:r>
      <w:r w:rsidR="006358DB" w:rsidRPr="00C727CA">
        <w:t>finančním, ekonomický</w:t>
      </w:r>
      <w:r w:rsidR="006358DB" w:rsidRPr="00AA66F9">
        <w:t>m</w:t>
      </w:r>
      <w:r w:rsidR="004E21A5" w:rsidRPr="00AA66F9">
        <w:t>,</w:t>
      </w:r>
      <w:r w:rsidR="00AA66F9">
        <w:rPr>
          <w:color w:val="FF0000"/>
        </w:rPr>
        <w:t xml:space="preserve"> </w:t>
      </w:r>
      <w:r w:rsidR="006358DB" w:rsidRPr="00C727CA">
        <w:t xml:space="preserve">nebo </w:t>
      </w:r>
      <w:r w:rsidR="00254D93" w:rsidRPr="00C727CA">
        <w:t>technickým kvalifikačním požadavkům, jejichž prokázání je zadavatelem vyžadováno.</w:t>
      </w:r>
      <w:r w:rsidR="006358DB" w:rsidRPr="00C727CA">
        <w:t xml:space="preserve"> Zadavatel následně </w:t>
      </w:r>
      <w:r w:rsidR="003342A4" w:rsidRPr="00C727CA">
        <w:t xml:space="preserve">také </w:t>
      </w:r>
      <w:r w:rsidR="006358DB" w:rsidRPr="00C727CA">
        <w:t>sestaví pořadí zájemců dle naplnění selektivních kritérií</w:t>
      </w:r>
      <w:r w:rsidR="003342A4" w:rsidRPr="00C727CA">
        <w:t>, ze kterého</w:t>
      </w:r>
      <w:r w:rsidR="006358DB" w:rsidRPr="00C727CA">
        <w:t xml:space="preserve"> poté vybere takový počet, jaký již dříve deklaroval v oznámení o zahájení VZ nebo ve výzvě k potvrzení zájmu o účast. Nevybraní a tedy vyloučení zájemci jsou bezodkladně o této skutečnosti písemně informováni s tím, že o celém procesu selekce je na závěr </w:t>
      </w:r>
      <w:r w:rsidR="003342A4" w:rsidRPr="00C727CA">
        <w:t xml:space="preserve">opět </w:t>
      </w:r>
      <w:r w:rsidR="006358DB" w:rsidRPr="00C727CA">
        <w:t>pořízen protokol, do kterého mohou všichni zájemci nahlédnout;</w:t>
      </w:r>
      <w:r w:rsidR="006358DB" w:rsidRPr="00C727CA">
        <w:rPr>
          <w:rStyle w:val="FootnoteReference"/>
        </w:rPr>
        <w:footnoteReference w:id="101"/>
      </w:r>
    </w:p>
    <w:p w14:paraId="03D83AFA" w14:textId="77777777" w:rsidR="007A212C" w:rsidRPr="00C727CA" w:rsidRDefault="007A212C" w:rsidP="00CE78A1">
      <w:pPr>
        <w:pStyle w:val="ListParagraph"/>
        <w:numPr>
          <w:ilvl w:val="1"/>
          <w:numId w:val="31"/>
        </w:numPr>
        <w:spacing w:line="360" w:lineRule="auto"/>
        <w:jc w:val="both"/>
      </w:pPr>
      <w:r w:rsidRPr="00C727CA">
        <w:t xml:space="preserve"> výzva zadavatele k podání nabídek </w:t>
      </w:r>
      <w:r w:rsidR="00E25853" w:rsidRPr="00C727CA">
        <w:t xml:space="preserve">uchazeči </w:t>
      </w:r>
      <w:r w:rsidR="00CE78A1" w:rsidRPr="00C727CA">
        <w:t>–</w:t>
      </w:r>
      <w:r w:rsidRPr="00C727CA">
        <w:t xml:space="preserve"> </w:t>
      </w:r>
      <w:r w:rsidR="00CE78A1" w:rsidRPr="00C727CA">
        <w:t>„po posouzení žádostí o účast, posouzení kvalifikace a případném omezení počtu zájemců vyzve zadavatel písemně zájemce k</w:t>
      </w:r>
      <w:r w:rsidR="00335279">
        <w:t> </w:t>
      </w:r>
      <w:r w:rsidR="00CE78A1" w:rsidRPr="00C727CA">
        <w:t>podání nabídky na plnění veřejné zakázky.“</w:t>
      </w:r>
      <w:r w:rsidR="00CE78A1" w:rsidRPr="00C727CA">
        <w:rPr>
          <w:rStyle w:val="FootnoteReference"/>
        </w:rPr>
        <w:footnoteReference w:id="102"/>
      </w:r>
      <w:r w:rsidR="00CE78A1" w:rsidRPr="00C727CA">
        <w:t xml:space="preserve"> Výzva k podání nabídek musí </w:t>
      </w:r>
      <w:r w:rsidR="002C0BF3" w:rsidRPr="00C727CA">
        <w:t xml:space="preserve">obsahovat </w:t>
      </w:r>
      <w:r w:rsidR="00C93F85" w:rsidRPr="00C727CA">
        <w:t xml:space="preserve">minimálně </w:t>
      </w:r>
      <w:r w:rsidR="00CE78A1" w:rsidRPr="00C727CA">
        <w:t xml:space="preserve">zadávací dokumentaci, </w:t>
      </w:r>
      <w:r w:rsidR="00C93F85" w:rsidRPr="00C727CA">
        <w:t>informaci o uveřejnění oznámení o</w:t>
      </w:r>
      <w:r w:rsidR="00AF089D" w:rsidRPr="00C727CA">
        <w:t xml:space="preserve"> </w:t>
      </w:r>
      <w:r w:rsidR="00C93F85" w:rsidRPr="00C727CA">
        <w:t>zahájení řízení, lhůtu pro podání nabídek</w:t>
      </w:r>
      <w:r w:rsidR="003342A4" w:rsidRPr="00C727CA">
        <w:t>,</w:t>
      </w:r>
      <w:r w:rsidR="00C93F85" w:rsidRPr="00C727CA">
        <w:t xml:space="preserve"> s jedinou </w:t>
      </w:r>
      <w:r w:rsidR="00CA55F4" w:rsidRPr="00C727CA">
        <w:t>výjimkou</w:t>
      </w:r>
      <w:r w:rsidR="00C93F85" w:rsidRPr="00C727CA">
        <w:t>, pokud sektorový zadavatel stanovil lhůty na základě předešlé případné dohody se zájemci, dále vymezení místa pro podání nabídek, jazyk, v jakém má být nabídka vypracována</w:t>
      </w:r>
      <w:r w:rsidR="003342A4" w:rsidRPr="00C727CA">
        <w:t>,</w:t>
      </w:r>
      <w:r w:rsidR="001E41C2">
        <w:t xml:space="preserve"> </w:t>
      </w:r>
      <w:r w:rsidR="00C93F85" w:rsidRPr="00C727CA">
        <w:t>případně i hodnotící kritéria, pokud již nebyla zveřejněna v oznámení o zahájení.</w:t>
      </w:r>
      <w:r w:rsidR="00C93F85" w:rsidRPr="00C727CA">
        <w:rPr>
          <w:rStyle w:val="FootnoteReference"/>
        </w:rPr>
        <w:footnoteReference w:id="103"/>
      </w:r>
      <w:r w:rsidR="00AF089D" w:rsidRPr="00C727CA">
        <w:t xml:space="preserve"> Pokud nemůže zadavatel naplnit kritéria pro</w:t>
      </w:r>
      <w:r w:rsidR="00335279">
        <w:t> </w:t>
      </w:r>
      <w:r w:rsidR="00AF089D" w:rsidRPr="00C727CA">
        <w:t xml:space="preserve">počet </w:t>
      </w:r>
      <w:r w:rsidR="00AD5D4D" w:rsidRPr="00C727CA">
        <w:t>výzev</w:t>
      </w:r>
      <w:r w:rsidR="00AF089D" w:rsidRPr="00C727CA">
        <w:t xml:space="preserve"> stanovených § 28 odst. 3 zákona, tedy že veřejný zadavatel u VZ v oblasti obrany a bezpečnosti</w:t>
      </w:r>
      <w:r w:rsidR="00CA55F4">
        <w:t xml:space="preserve"> je povi</w:t>
      </w:r>
      <w:r w:rsidR="00475FAA" w:rsidRPr="00C727CA">
        <w:t>n</w:t>
      </w:r>
      <w:r w:rsidR="001E41C2">
        <w:t xml:space="preserve">en vyzvat nejméně pět zájemců, </w:t>
      </w:r>
      <w:r w:rsidR="00475FAA" w:rsidRPr="00C727CA">
        <w:t>sektorový zadavatel u</w:t>
      </w:r>
      <w:r w:rsidR="00335279">
        <w:t> </w:t>
      </w:r>
      <w:r w:rsidR="00475FAA" w:rsidRPr="00C727CA">
        <w:t>jakékoliv VZ bez ohledu na její předmět plnění</w:t>
      </w:r>
      <w:r w:rsidR="000F7AC9" w:rsidRPr="00C727CA">
        <w:t xml:space="preserve"> také</w:t>
      </w:r>
      <w:r w:rsidR="00475FAA" w:rsidRPr="00C727CA">
        <w:t>,</w:t>
      </w:r>
      <w:r w:rsidR="000F7AC9" w:rsidRPr="00C727CA">
        <w:t xml:space="preserve"> a to</w:t>
      </w:r>
      <w:r w:rsidR="00475FAA" w:rsidRPr="00C727CA">
        <w:t xml:space="preserve"> z objektivních důvodů, kdy nebyl podán dostatečný počet žádostí o účast či někteří zájemci neprokázali svoji kvalifikaci, pak zadavatel takové řízení může z</w:t>
      </w:r>
      <w:r w:rsidR="001E41C2">
        <w:t>rušit dle § 84 odst. 2 písm. b)</w:t>
      </w:r>
      <w:r w:rsidR="002D78D6" w:rsidRPr="00C727CA">
        <w:t xml:space="preserve"> nebo </w:t>
      </w:r>
      <w:r w:rsidR="00475FAA" w:rsidRPr="00C727CA">
        <w:t xml:space="preserve">jinak </w:t>
      </w:r>
      <w:r w:rsidR="002D78D6" w:rsidRPr="00C727CA">
        <w:t xml:space="preserve">musí </w:t>
      </w:r>
      <w:r w:rsidR="00475FAA" w:rsidRPr="00C727CA">
        <w:t>v</w:t>
      </w:r>
      <w:r w:rsidR="002D78D6" w:rsidRPr="00C727CA">
        <w:t xml:space="preserve"> řízení </w:t>
      </w:r>
      <w:r w:rsidR="00475FAA" w:rsidRPr="00C727CA">
        <w:t>pokračovat</w:t>
      </w:r>
      <w:r w:rsidR="00AD5D4D" w:rsidRPr="00C727CA">
        <w:t xml:space="preserve"> s těmi, kdo kvalifikaci prokázali a tyto zájemce vyzvat k podání nabídky;</w:t>
      </w:r>
      <w:r w:rsidR="00AD5D4D" w:rsidRPr="00C727CA">
        <w:rPr>
          <w:rStyle w:val="FootnoteReference"/>
        </w:rPr>
        <w:footnoteReference w:id="104"/>
      </w:r>
    </w:p>
    <w:p w14:paraId="195B2A17" w14:textId="77777777" w:rsidR="00371E07" w:rsidRPr="00C727CA" w:rsidRDefault="00371E07" w:rsidP="00371E07">
      <w:pPr>
        <w:pStyle w:val="ListParagraph"/>
        <w:numPr>
          <w:ilvl w:val="1"/>
          <w:numId w:val="31"/>
        </w:numPr>
        <w:spacing w:line="360" w:lineRule="auto"/>
        <w:jc w:val="both"/>
      </w:pPr>
      <w:r w:rsidRPr="00C727CA">
        <w:t xml:space="preserve"> uveřejnění zadávací dokumentace – zadavatel má povinnost na svém profilu zveřejnit alespoň textovou část zadávací dokumentace, a to v době od odeslání výzvy pro podání nabídek do konce lhůty pro podání nabídek. Dle § 48 odst. 1 zákona však zadavatel tuto povinnost nemá, pokud by takovým uveřejněním došlo k vyzrazení nebo </w:t>
      </w:r>
      <w:r w:rsidR="00E71C31" w:rsidRPr="00C727CA">
        <w:t>ohrožení utajovaných informací</w:t>
      </w:r>
      <w:r w:rsidRPr="00C727CA">
        <w:t>;</w:t>
      </w:r>
      <w:r w:rsidRPr="00C727CA">
        <w:rPr>
          <w:rStyle w:val="FootnoteReference"/>
        </w:rPr>
        <w:footnoteReference w:id="105"/>
      </w:r>
    </w:p>
    <w:p w14:paraId="596A80B5" w14:textId="77777777" w:rsidR="00090899" w:rsidRPr="00C727CA" w:rsidRDefault="00BF263F" w:rsidP="00371E07">
      <w:pPr>
        <w:pStyle w:val="ListParagraph"/>
        <w:numPr>
          <w:ilvl w:val="1"/>
          <w:numId w:val="31"/>
        </w:numPr>
        <w:spacing w:line="360" w:lineRule="auto"/>
        <w:jc w:val="both"/>
      </w:pPr>
      <w:r w:rsidRPr="00C727CA">
        <w:t xml:space="preserve"> předání či odeslání nezveřejněných částí zadávací dokumentace – pokud zadavatel nezveřejnil část </w:t>
      </w:r>
      <w:r w:rsidR="008A1262" w:rsidRPr="00C727CA">
        <w:t>zadávací</w:t>
      </w:r>
      <w:r w:rsidRPr="00C727CA">
        <w:t xml:space="preserve"> dokumentace na svém profilu</w:t>
      </w:r>
      <w:r w:rsidR="008A1262" w:rsidRPr="00C727CA">
        <w:t>,</w:t>
      </w:r>
      <w:r w:rsidRPr="00C727CA">
        <w:t xml:space="preserve"> </w:t>
      </w:r>
      <w:r w:rsidR="008A1262" w:rsidRPr="00C727CA">
        <w:t xml:space="preserve">ať už </w:t>
      </w:r>
      <w:r w:rsidRPr="00C727CA">
        <w:t>z jakéhokoliv důvod</w:t>
      </w:r>
      <w:r w:rsidR="004F21A5" w:rsidRPr="00C727CA">
        <w:t>u, postupuje se dle § 48 odst. 4, který odkazuje na obdobný postup zadavatele dle odst. 5 písm. a), c) nebo d) zákona</w:t>
      </w:r>
      <w:r w:rsidR="00BE7B9B" w:rsidRPr="00C727CA">
        <w:t>, tedy že nezveřejněnou část nejčastěji zašle do tří pracovních dnů od obdržení žádosti</w:t>
      </w:r>
      <w:r w:rsidRPr="00C727CA">
        <w:t>;</w:t>
      </w:r>
      <w:r w:rsidRPr="00C727CA">
        <w:rPr>
          <w:rStyle w:val="FootnoteReference"/>
        </w:rPr>
        <w:footnoteReference w:id="106"/>
      </w:r>
    </w:p>
    <w:p w14:paraId="65D87D1D" w14:textId="77777777" w:rsidR="00BF263F" w:rsidRPr="00C727CA" w:rsidRDefault="00A10DA2" w:rsidP="00976356">
      <w:pPr>
        <w:pStyle w:val="ListParagraph"/>
        <w:numPr>
          <w:ilvl w:val="1"/>
          <w:numId w:val="31"/>
        </w:numPr>
        <w:spacing w:line="360" w:lineRule="auto"/>
        <w:jc w:val="both"/>
      </w:pPr>
      <w:r w:rsidRPr="00C727CA">
        <w:t xml:space="preserve"> poskytnutí dodatečných informací včetně prohlídky místa plnění </w:t>
      </w:r>
      <w:r w:rsidR="00967259" w:rsidRPr="00C727CA">
        <w:t>–</w:t>
      </w:r>
      <w:r w:rsidRPr="00C727CA">
        <w:t xml:space="preserve"> </w:t>
      </w:r>
      <w:r w:rsidR="008935B9" w:rsidRPr="00C727CA">
        <w:t xml:space="preserve">tato </w:t>
      </w:r>
      <w:r w:rsidR="00967259" w:rsidRPr="00C727CA">
        <w:t xml:space="preserve">problematika </w:t>
      </w:r>
      <w:r w:rsidR="008935B9" w:rsidRPr="00C727CA">
        <w:t xml:space="preserve">je </w:t>
      </w:r>
      <w:r w:rsidR="00967259" w:rsidRPr="00C727CA">
        <w:t xml:space="preserve">v rámci užšího řízení až na určité odchylky shodná s úpravou </w:t>
      </w:r>
      <w:r w:rsidR="008935B9" w:rsidRPr="00C727CA">
        <w:t>dle</w:t>
      </w:r>
      <w:r w:rsidR="00967259" w:rsidRPr="00C727CA">
        <w:t> ot</w:t>
      </w:r>
      <w:r w:rsidR="008935B9" w:rsidRPr="00C727CA">
        <w:t>evřeného</w:t>
      </w:r>
      <w:r w:rsidR="00967259" w:rsidRPr="00C727CA">
        <w:t xml:space="preserve"> řízení. V tomto smyslu tedy čtenáře </w:t>
      </w:r>
      <w:r w:rsidR="00947A2C" w:rsidRPr="00C727CA">
        <w:t xml:space="preserve">primárně </w:t>
      </w:r>
      <w:r w:rsidR="00CA55F4">
        <w:t>odkážu,</w:t>
      </w:r>
      <w:r w:rsidR="002A10E2">
        <w:t xml:space="preserve"> viz</w:t>
      </w:r>
      <w:r w:rsidR="00967259" w:rsidRPr="00C727CA">
        <w:t xml:space="preserve"> výše. Pokud jde o zmiňované odchylky, jde o </w:t>
      </w:r>
      <w:r w:rsidR="0095058C" w:rsidRPr="00C727CA">
        <w:t>možné</w:t>
      </w:r>
      <w:r w:rsidR="00967259" w:rsidRPr="00C727CA">
        <w:t xml:space="preserve"> </w:t>
      </w:r>
      <w:r w:rsidR="00B4433E" w:rsidRPr="00C727CA">
        <w:t>zkrácení lhůty, kterou</w:t>
      </w:r>
      <w:r w:rsidR="00967259" w:rsidRPr="00C727CA">
        <w:t xml:space="preserve"> má </w:t>
      </w:r>
      <w:r w:rsidR="008935B9" w:rsidRPr="00C727CA">
        <w:t xml:space="preserve">nejen </w:t>
      </w:r>
      <w:r w:rsidR="00967259" w:rsidRPr="00C727CA">
        <w:t>zadavatel</w:t>
      </w:r>
      <w:r w:rsidR="00B4433E" w:rsidRPr="00C727CA">
        <w:t xml:space="preserve"> pro případné poskytnutí dodatečných informací či umožnění prohlídky místa plnění</w:t>
      </w:r>
      <w:r w:rsidR="008935B9" w:rsidRPr="00C727CA">
        <w:t>, ale i dodavat</w:t>
      </w:r>
      <w:r w:rsidR="00B4433E" w:rsidRPr="00C727CA">
        <w:t>el</w:t>
      </w:r>
      <w:r w:rsidR="00BE7B9B" w:rsidRPr="00C727CA">
        <w:t>,</w:t>
      </w:r>
      <w:r w:rsidR="00B4433E" w:rsidRPr="00C727CA">
        <w:t xml:space="preserve"> vzhledem k podání žádosti o poskytnutí právě dodatečných informací, </w:t>
      </w:r>
      <w:r w:rsidR="00967259" w:rsidRPr="00C727CA">
        <w:t>a to v těch případech</w:t>
      </w:r>
      <w:r w:rsidR="008935B9" w:rsidRPr="00C727CA">
        <w:t>, kdy veřejný zadavatel zkrátí lhůtu pro podání nabídek u podlimitních VZ dle § 39 odst. 3 písm. b) bod 2.</w:t>
      </w:r>
      <w:r w:rsidR="00282B2A" w:rsidRPr="00C727CA">
        <w:t xml:space="preserve"> zákona nebo, </w:t>
      </w:r>
      <w:r w:rsidR="00BA64F1" w:rsidRPr="00C727CA">
        <w:t>v souvislosti s prohlídkou</w:t>
      </w:r>
      <w:r w:rsidR="00282B2A" w:rsidRPr="00C727CA">
        <w:t xml:space="preserve"> místa</w:t>
      </w:r>
      <w:r w:rsidR="00BA64F1" w:rsidRPr="00C727CA">
        <w:t xml:space="preserve"> plnění</w:t>
      </w:r>
      <w:r w:rsidR="00282B2A" w:rsidRPr="00C727CA">
        <w:t>, p</w:t>
      </w:r>
      <w:r w:rsidR="001E41C2">
        <w:t>okud sektorový zadavatel stanoví</w:t>
      </w:r>
      <w:r w:rsidR="00282B2A" w:rsidRPr="00C727CA">
        <w:t xml:space="preserve"> lhůtu pro podání </w:t>
      </w:r>
      <w:r w:rsidR="00A831B7" w:rsidRPr="00C727CA">
        <w:t>nabídek dle odst. 5 § 41 zákona;</w:t>
      </w:r>
    </w:p>
    <w:p w14:paraId="3D44A7D0" w14:textId="77777777" w:rsidR="0011695B" w:rsidRPr="00C727CA" w:rsidRDefault="00A831B7" w:rsidP="00D51743">
      <w:pPr>
        <w:ind w:firstLine="360"/>
      </w:pPr>
      <w:r w:rsidRPr="00C727CA">
        <w:t>Všechny následné kroky v rámci užšího řízení</w:t>
      </w:r>
      <w:r w:rsidR="00157D82" w:rsidRPr="00C727CA">
        <w:t xml:space="preserve"> a s tím související </w:t>
      </w:r>
      <w:r w:rsidR="00AA66F9">
        <w:t xml:space="preserve">diplomantova analýza </w:t>
      </w:r>
      <w:r w:rsidR="00D51743">
        <w:t xml:space="preserve">takových </w:t>
      </w:r>
      <w:r w:rsidR="00976356" w:rsidRPr="00C727CA">
        <w:t>kroků</w:t>
      </w:r>
      <w:r w:rsidR="00D51743">
        <w:t xml:space="preserve"> </w:t>
      </w:r>
      <w:r w:rsidR="00CA55F4">
        <w:t>by byla shodná</w:t>
      </w:r>
      <w:r w:rsidR="00976356" w:rsidRPr="00C727CA">
        <w:t xml:space="preserve"> s analýzou postupu</w:t>
      </w:r>
      <w:r w:rsidR="00157D82" w:rsidRPr="00C727CA">
        <w:t xml:space="preserve"> zadavatele v rámci otevřeného řízení</w:t>
      </w:r>
      <w:r w:rsidR="00D51743">
        <w:t xml:space="preserve">, kde </w:t>
      </w:r>
      <w:r w:rsidR="00940A6D">
        <w:t>byly označeny jako</w:t>
      </w:r>
      <w:r w:rsidR="00D51743">
        <w:t xml:space="preserve"> </w:t>
      </w:r>
      <w:r w:rsidR="009975A9">
        <w:t xml:space="preserve">kroky </w:t>
      </w:r>
      <w:r w:rsidR="00D51743">
        <w:t xml:space="preserve">7. podání nabídky – 14. </w:t>
      </w:r>
      <w:r w:rsidR="00940A6D" w:rsidRPr="00C727CA">
        <w:t>uveřejnění smlouvy</w:t>
      </w:r>
      <w:r w:rsidR="00157D82" w:rsidRPr="00C727CA">
        <w:t xml:space="preserve"> „s</w:t>
      </w:r>
      <w:r w:rsidR="001F50A4">
        <w:t> </w:t>
      </w:r>
      <w:r w:rsidR="00157D82" w:rsidRPr="00C727CA">
        <w:t>výjimkou toho, že po podání nabídek v užším řízení se neprovádí posouzení kvalifikace, jelikož posouzení kvalifikace se provádí po uplynutí lhůty pro doručení žádostí o účast.“</w:t>
      </w:r>
      <w:r w:rsidR="00157D82" w:rsidRPr="00C727CA">
        <w:rPr>
          <w:rStyle w:val="FootnoteReference"/>
        </w:rPr>
        <w:footnoteReference w:id="107"/>
      </w:r>
      <w:r w:rsidR="00157D82" w:rsidRPr="00C727CA">
        <w:rPr>
          <w:vertAlign w:val="superscript"/>
        </w:rPr>
        <w:t xml:space="preserve"> </w:t>
      </w:r>
      <w:r w:rsidR="00976356" w:rsidRPr="00C727CA">
        <w:t xml:space="preserve">Z tohoto důvodu tedy čtenáře </w:t>
      </w:r>
      <w:r w:rsidR="00CA55F4" w:rsidRPr="00C727CA">
        <w:t>odkazuji, viz</w:t>
      </w:r>
      <w:r w:rsidR="002A10E2">
        <w:t xml:space="preserve"> </w:t>
      </w:r>
      <w:r w:rsidR="00976356" w:rsidRPr="00C727CA">
        <w:t>výše.</w:t>
      </w:r>
      <w:r w:rsidR="00157D82" w:rsidRPr="00C727CA">
        <w:rPr>
          <w:rStyle w:val="FootnoteReference"/>
        </w:rPr>
        <w:footnoteReference w:id="108"/>
      </w:r>
      <w:r w:rsidR="00BA64F1" w:rsidRPr="00C727CA">
        <w:t xml:space="preserve"> </w:t>
      </w:r>
    </w:p>
    <w:p w14:paraId="0DE6AE15" w14:textId="77777777" w:rsidR="00BA64F1" w:rsidRPr="00C727CA" w:rsidRDefault="00BA64F1" w:rsidP="00BA64F1">
      <w:pPr>
        <w:ind w:firstLine="0"/>
      </w:pPr>
      <w:r w:rsidRPr="00C727CA">
        <w:tab/>
        <w:t>I zde pak platí, že „sektoroví zadavatelé postupují v užším řízení obdobně</w:t>
      </w:r>
      <w:r w:rsidR="00AA66F9">
        <w:t xml:space="preserve"> </w:t>
      </w:r>
      <w:r w:rsidRPr="00C727CA">
        <w:t>jako veřejní zadavatelé s následujícími odchylkami. Nečiní předběžné oznámení, odůvodnění veřejné zakázky a uveřejňovací povinnosti. Dotovaný zadavatel postupuje při zadávání veřejné zakázky podle ustanovení tohoto zákona platných pro veřejného zadavatele.“</w:t>
      </w:r>
      <w:r w:rsidRPr="00C727CA">
        <w:rPr>
          <w:rStyle w:val="FootnoteReference"/>
        </w:rPr>
        <w:footnoteReference w:id="109"/>
      </w:r>
    </w:p>
    <w:p w14:paraId="65B11519" w14:textId="77777777" w:rsidR="0038398C" w:rsidRPr="00C727CA" w:rsidRDefault="007970EC" w:rsidP="003A71FF">
      <w:pPr>
        <w:pStyle w:val="Heading2"/>
        <w:spacing w:line="360" w:lineRule="auto"/>
      </w:pPr>
      <w:bookmarkStart w:id="17" w:name="_Toc472859446"/>
      <w:r w:rsidRPr="00C727CA">
        <w:t>Soutěžní dialog</w:t>
      </w:r>
      <w:bookmarkEnd w:id="17"/>
    </w:p>
    <w:p w14:paraId="55834622" w14:textId="77777777" w:rsidR="003A71FF" w:rsidRPr="00C727CA" w:rsidRDefault="007C13A4" w:rsidP="00A9664F">
      <w:pPr>
        <w:ind w:firstLine="0"/>
      </w:pPr>
      <w:r w:rsidRPr="00C727CA">
        <w:t>Soutěžní dialog je zadávací řízení, které má b</w:t>
      </w:r>
      <w:r w:rsidR="00B57DFC">
        <w:t>ýt využíváno v případě VZ, která je velmi složitá a u které</w:t>
      </w:r>
      <w:r w:rsidRPr="00C727CA">
        <w:t xml:space="preserve"> není veřejný zadavatel sám schopen z určitých níže uved</w:t>
      </w:r>
      <w:r w:rsidR="00CA55F4">
        <w:t>e</w:t>
      </w:r>
      <w:r w:rsidRPr="00C727CA">
        <w:t xml:space="preserve">ných objektivních důvodů specifikovat způsob provedení </w:t>
      </w:r>
      <w:r w:rsidR="001A78D7" w:rsidRPr="00C727CA">
        <w:t>či</w:t>
      </w:r>
      <w:r w:rsidR="00563102" w:rsidRPr="00C727CA">
        <w:t xml:space="preserve"> předmět </w:t>
      </w:r>
      <w:r w:rsidRPr="00C727CA">
        <w:t xml:space="preserve">takové VZ. Toto </w:t>
      </w:r>
      <w:r w:rsidR="00B57DFC">
        <w:t>řízení</w:t>
      </w:r>
      <w:r w:rsidRPr="00C727CA">
        <w:t xml:space="preserve"> je v</w:t>
      </w:r>
      <w:r w:rsidR="005D4D5A" w:rsidRPr="00C727CA">
        <w:t xml:space="preserve">edeno formou diskuse zadavatele </w:t>
      </w:r>
      <w:r w:rsidRPr="00C727CA">
        <w:t>s</w:t>
      </w:r>
      <w:r w:rsidR="00724975" w:rsidRPr="00C727CA">
        <w:t> </w:t>
      </w:r>
      <w:r w:rsidRPr="00C727CA">
        <w:t xml:space="preserve">uchazeči ohledně veškerých aspektů </w:t>
      </w:r>
      <w:r w:rsidR="00E868C5" w:rsidRPr="00C727CA">
        <w:t xml:space="preserve">předložených </w:t>
      </w:r>
      <w:r w:rsidRPr="00C727CA">
        <w:t>řešení</w:t>
      </w:r>
      <w:r w:rsidR="00E868C5" w:rsidRPr="00C727CA">
        <w:t xml:space="preserve"> ze stran uchazečů </w:t>
      </w:r>
      <w:r w:rsidRPr="00C727CA">
        <w:t xml:space="preserve">s tím, že </w:t>
      </w:r>
      <w:r w:rsidR="00E868C5" w:rsidRPr="00C727CA">
        <w:t>jak zadavatel, tak uchazeči</w:t>
      </w:r>
      <w:r w:rsidR="005D4D5A" w:rsidRPr="00C727CA">
        <w:t>,</w:t>
      </w:r>
      <w:r w:rsidRPr="00C727CA">
        <w:t xml:space="preserve"> musí vždy dbát na</w:t>
      </w:r>
      <w:r w:rsidR="00E868C5" w:rsidRPr="00C727CA">
        <w:t xml:space="preserve"> důvěrnost diskutovaných informací. Soutěžní dialog je řízení, které není </w:t>
      </w:r>
      <w:r w:rsidR="00E868C5" w:rsidRPr="00C727CA">
        <w:rPr>
          <w:i/>
        </w:rPr>
        <w:t>a priori</w:t>
      </w:r>
      <w:r w:rsidR="00E868C5" w:rsidRPr="00C727CA">
        <w:t xml:space="preserve"> omezeno pouze pro</w:t>
      </w:r>
      <w:r w:rsidR="001F50A4">
        <w:t> </w:t>
      </w:r>
      <w:r w:rsidR="00E868C5" w:rsidRPr="00C727CA">
        <w:t>určité uchazeče, může se ho zúčastnit jakýkoliv hospodářský subjekt</w:t>
      </w:r>
      <w:r w:rsidR="00724975" w:rsidRPr="00C727CA">
        <w:t xml:space="preserve">. </w:t>
      </w:r>
      <w:r w:rsidR="00E868C5" w:rsidRPr="00C727CA">
        <w:t xml:space="preserve">Na druhou stranu je nutné říci, že dle § 24 odst. 1 zákona může toto řízení </w:t>
      </w:r>
      <w:r w:rsidR="00C3511B" w:rsidRPr="00C727CA">
        <w:t>použít</w:t>
      </w:r>
      <w:r w:rsidR="00E868C5" w:rsidRPr="00C727CA">
        <w:t xml:space="preserve"> pouze veřejný </w:t>
      </w:r>
      <w:r w:rsidR="00563102" w:rsidRPr="00C727CA">
        <w:t xml:space="preserve">a dotovaný </w:t>
      </w:r>
      <w:r w:rsidR="00E868C5" w:rsidRPr="00C727CA">
        <w:t>zadavatel</w:t>
      </w:r>
      <w:r w:rsidR="00C3511B" w:rsidRPr="00C727CA">
        <w:t>.</w:t>
      </w:r>
      <w:r w:rsidR="0047775D" w:rsidRPr="00C727CA">
        <w:rPr>
          <w:rStyle w:val="FootnoteReference"/>
        </w:rPr>
        <w:footnoteReference w:id="110"/>
      </w:r>
    </w:p>
    <w:p w14:paraId="28266F54" w14:textId="77777777" w:rsidR="00563102" w:rsidRPr="00C727CA" w:rsidRDefault="00B94B44" w:rsidP="003A71FF">
      <w:r>
        <w:t>Jak již bylo nastíněno</w:t>
      </w:r>
      <w:r w:rsidR="00BF4C2E" w:rsidRPr="00C727CA">
        <w:t>, soutěžní dialog může být použit jako zadávací řízení jen v těch případech, které splňují podmínky stanovené § 24 zákona. Vedle podmínky veřejného či dotovaného zadavatele</w:t>
      </w:r>
      <w:r w:rsidR="007070A3" w:rsidRPr="00C727CA">
        <w:rPr>
          <w:rStyle w:val="FootnoteReference"/>
        </w:rPr>
        <w:footnoteReference w:id="111"/>
      </w:r>
      <w:r w:rsidR="00BF4C2E" w:rsidRPr="00C727CA">
        <w:t xml:space="preserve"> musí být také splněno to, že předmět VZ musí být zvláš</w:t>
      </w:r>
      <w:r w:rsidR="007070A3" w:rsidRPr="00C727CA">
        <w:t>t</w:t>
      </w:r>
      <w:r w:rsidR="00BF4C2E" w:rsidRPr="00C727CA">
        <w:t xml:space="preserve">ě složitý z objektivního </w:t>
      </w:r>
      <w:r w:rsidR="007070A3" w:rsidRPr="00C727CA">
        <w:t>hlediska</w:t>
      </w:r>
      <w:r w:rsidR="00CA55F4">
        <w:t>, což současně znemožň</w:t>
      </w:r>
      <w:r w:rsidR="007070A3" w:rsidRPr="00C727CA">
        <w:t>uje použití otevřeného či užšího řízení. Jako hodnotící kritérium může být logicky použito pouze kritérium ekonomické výhodnosti nabídky.</w:t>
      </w:r>
      <w:r w:rsidR="007070A3" w:rsidRPr="00C727CA">
        <w:rPr>
          <w:rStyle w:val="FootnoteReference"/>
        </w:rPr>
        <w:footnoteReference w:id="112"/>
      </w:r>
    </w:p>
    <w:p w14:paraId="6589AF59" w14:textId="77777777" w:rsidR="005D4D5A" w:rsidRPr="00C727CA" w:rsidRDefault="005D4D5A" w:rsidP="005D4D5A">
      <w:r w:rsidRPr="00C727CA">
        <w:t>Pokud jde o problematiku zvláště složitého předmětu řízení, je na místě se jí v</w:t>
      </w:r>
      <w:r w:rsidR="003437AC" w:rsidRPr="00C727CA">
        <w:t xml:space="preserve"> následujících odstavcích </w:t>
      </w:r>
      <w:r w:rsidRPr="00C727CA">
        <w:t xml:space="preserve">podrobněji věnovat a pokusit se jí taktéž určitým způsobem zanalyzovat. Dle § 24 odst. 2 zákona „za veřejnou zakázku se zvláště složitým předmětem plnění je považována veřejná zakázka, u níž není veřejný zadavatel objektivně schopen přesně vymezit technické </w:t>
      </w:r>
      <w:r w:rsidR="00B94B44">
        <w:t>podmínky podle § 46 odst. 4 a 5</w:t>
      </w:r>
      <w:r w:rsidRPr="00C727CA">
        <w:t xml:space="preserve"> nebo právní </w:t>
      </w:r>
      <w:r w:rsidR="00B94B44">
        <w:t>či</w:t>
      </w:r>
      <w:r w:rsidRPr="00C727CA">
        <w:t xml:space="preserve"> finanční požadavky na</w:t>
      </w:r>
      <w:r w:rsidR="001F50A4">
        <w:t> </w:t>
      </w:r>
      <w:r w:rsidRPr="00C727CA">
        <w:t>plnění veřejné zakázky.“ Z toho tedy pro zadavatele plyne, že je sice schope</w:t>
      </w:r>
      <w:r w:rsidR="00380A66" w:rsidRPr="00C727CA">
        <w:t>n určit své potřeby a cíle, ale není schopen určit nejvýhodnější cestu, jak takového cíle dosáhnout.</w:t>
      </w:r>
      <w:r w:rsidR="00240D2F" w:rsidRPr="00C727CA">
        <w:t xml:space="preserve"> Zvláštní složitost musí být pojímána z objektivního </w:t>
      </w:r>
      <w:r w:rsidR="00E01947" w:rsidRPr="00C727CA">
        <w:t>hlediska.</w:t>
      </w:r>
      <w:r w:rsidR="00240D2F" w:rsidRPr="00C727CA">
        <w:t xml:space="preserve"> </w:t>
      </w:r>
      <w:r w:rsidR="00E01947" w:rsidRPr="00C727CA">
        <w:t>P</w:t>
      </w:r>
      <w:r w:rsidR="00240D2F" w:rsidRPr="00C727CA">
        <w:t>ři jejím vyhodnocování však musíme vždy přihlédnout k určitým okolnostem daných případů</w:t>
      </w:r>
      <w:r w:rsidR="00E01947" w:rsidRPr="00C727CA">
        <w:t>, neboli to, co je pro malého zadavatele</w:t>
      </w:r>
      <w:r w:rsidR="00E01947" w:rsidRPr="00C727CA">
        <w:rPr>
          <w:rStyle w:val="FootnoteReference"/>
        </w:rPr>
        <w:footnoteReference w:id="113"/>
      </w:r>
      <w:r w:rsidR="003437AC" w:rsidRPr="00C727CA">
        <w:t xml:space="preserve"> veřejná zakázka</w:t>
      </w:r>
      <w:r w:rsidR="00E01947" w:rsidRPr="00C727CA">
        <w:t xml:space="preserve"> se zvláště složitým předmětem plnění, nemusí tak být pro</w:t>
      </w:r>
      <w:r w:rsidR="001F50A4">
        <w:t> </w:t>
      </w:r>
      <w:r w:rsidR="00E01947" w:rsidRPr="00C727CA">
        <w:t>velkého zadavatele.</w:t>
      </w:r>
      <w:r w:rsidR="00BD03A2" w:rsidRPr="00C727CA">
        <w:t xml:space="preserve"> Současně četnost zadávání VZ s takovým předmětem</w:t>
      </w:r>
      <w:r w:rsidR="009E0E0B" w:rsidRPr="00C727CA">
        <w:t xml:space="preserve"> </w:t>
      </w:r>
      <w:r w:rsidR="00724975" w:rsidRPr="00C727CA">
        <w:t xml:space="preserve">plnění konkrétním zadavatelem </w:t>
      </w:r>
      <w:r w:rsidR="009E0E0B" w:rsidRPr="00C727CA">
        <w:t xml:space="preserve">má </w:t>
      </w:r>
      <w:r w:rsidR="00724975" w:rsidRPr="00C727CA">
        <w:t xml:space="preserve">také </w:t>
      </w:r>
      <w:r w:rsidR="009E0E0B" w:rsidRPr="00C727CA">
        <w:t xml:space="preserve">vliv pro </w:t>
      </w:r>
      <w:r w:rsidR="00724975" w:rsidRPr="00C727CA">
        <w:t>vyhodnocení daného předmětu jako</w:t>
      </w:r>
      <w:r w:rsidR="009E0E0B" w:rsidRPr="00C727CA">
        <w:t xml:space="preserve"> </w:t>
      </w:r>
      <w:r w:rsidR="00724975" w:rsidRPr="00C727CA">
        <w:t>zvláště složitého</w:t>
      </w:r>
      <w:r w:rsidR="009E0E0B" w:rsidRPr="00C727CA">
        <w:t>.</w:t>
      </w:r>
      <w:r w:rsidR="009E0E0B" w:rsidRPr="00C727CA">
        <w:rPr>
          <w:rStyle w:val="FootnoteReference"/>
        </w:rPr>
        <w:footnoteReference w:id="114"/>
      </w:r>
    </w:p>
    <w:p w14:paraId="6E18CE42" w14:textId="77777777" w:rsidR="003437AC" w:rsidRPr="00C727CA" w:rsidRDefault="00EB77DF" w:rsidP="005D4D5A">
      <w:r w:rsidRPr="00C727CA">
        <w:t xml:space="preserve">Pokud jde o technickou </w:t>
      </w:r>
      <w:r w:rsidR="00724975" w:rsidRPr="00C727CA">
        <w:t>otázku</w:t>
      </w:r>
      <w:r w:rsidRPr="00C727CA">
        <w:t xml:space="preserve"> plnění, vyznačuje se tím, ž</w:t>
      </w:r>
      <w:r w:rsidR="00AA66F9">
        <w:t>e veřejný či dotovaný zadavatel</w:t>
      </w:r>
      <w:r w:rsidR="003F3C0B" w:rsidRPr="00C727CA">
        <w:t xml:space="preserve"> </w:t>
      </w:r>
      <w:r w:rsidRPr="00C727CA">
        <w:t>není schopen stanovit tech</w:t>
      </w:r>
      <w:r w:rsidR="00FF26CE">
        <w:t>nické podmínky dle § 46 odst. 4 a 5</w:t>
      </w:r>
      <w:r w:rsidRPr="00C727CA">
        <w:t xml:space="preserve"> zákona. Nejčastěji jde o VZ „s jinými než běžnými předměty plnění, popř. o nejnovější řešení (zadavateli neznámé).“</w:t>
      </w:r>
      <w:r w:rsidRPr="00C727CA">
        <w:rPr>
          <w:rStyle w:val="FootnoteReference"/>
        </w:rPr>
        <w:footnoteReference w:id="115"/>
      </w:r>
      <w:r w:rsidRPr="00C727CA">
        <w:t xml:space="preserve"> Prakticky tak tento případ dopadá na situace, kdy jsou zadávány VZ např. na léky pro zvlášť závažné choroby, kdy je snahou zadavatele</w:t>
      </w:r>
      <w:r w:rsidR="003F3C0B" w:rsidRPr="00C727CA">
        <w:t>,</w:t>
      </w:r>
      <w:r w:rsidRPr="00C727CA">
        <w:t xml:space="preserve"> s pomocí uchazečů</w:t>
      </w:r>
      <w:r w:rsidR="003F3C0B" w:rsidRPr="00C727CA">
        <w:t>,</w:t>
      </w:r>
      <w:r w:rsidRPr="00C727CA">
        <w:t xml:space="preserve"> prozkoumat trh tak, aby soutěž byla zahájena s takovým předmětem, který bude odpovídat </w:t>
      </w:r>
      <w:r w:rsidR="003F3C0B" w:rsidRPr="00C727CA">
        <w:t xml:space="preserve">dodávce </w:t>
      </w:r>
      <w:r w:rsidRPr="00C727CA">
        <w:t>nejno</w:t>
      </w:r>
      <w:r w:rsidR="003F3C0B" w:rsidRPr="00C727CA">
        <w:t>vějších</w:t>
      </w:r>
      <w:r w:rsidRPr="00C727CA">
        <w:t xml:space="preserve"> léků. Dalším případem může být </w:t>
      </w:r>
      <w:r w:rsidR="003F3C0B" w:rsidRPr="00C727CA">
        <w:t>VZ</w:t>
      </w:r>
      <w:r w:rsidRPr="00C727CA">
        <w:t xml:space="preserve"> s předmětem plnění </w:t>
      </w:r>
      <w:r w:rsidR="00E06BF3" w:rsidRPr="00C727CA">
        <w:t>v</w:t>
      </w:r>
      <w:r w:rsidR="003F3C0B" w:rsidRPr="00C727CA">
        <w:t> </w:t>
      </w:r>
      <w:r w:rsidR="00E06BF3" w:rsidRPr="00C727CA">
        <w:t>podobě</w:t>
      </w:r>
      <w:r w:rsidR="003F3C0B" w:rsidRPr="00C727CA">
        <w:t xml:space="preserve"> </w:t>
      </w:r>
      <w:r w:rsidR="00E06BF3" w:rsidRPr="00C727CA">
        <w:t xml:space="preserve">určitých </w:t>
      </w:r>
      <w:r w:rsidR="003F3C0B" w:rsidRPr="00C727CA">
        <w:t>složitých IT technologií či otázka</w:t>
      </w:r>
      <w:r w:rsidR="00E06BF3" w:rsidRPr="00C727CA">
        <w:t xml:space="preserve"> řešení elektrárny, vytvoření parkovacího systému nebo i otázka týkající se spojení dvou míst pomocí mostu či tunelu.</w:t>
      </w:r>
      <w:r w:rsidR="00E06BF3" w:rsidRPr="00C727CA">
        <w:rPr>
          <w:rStyle w:val="FootnoteReference"/>
        </w:rPr>
        <w:footnoteReference w:id="116"/>
      </w:r>
    </w:p>
    <w:p w14:paraId="48ADAD84" w14:textId="77777777" w:rsidR="00E06BF3" w:rsidRPr="00C727CA" w:rsidRDefault="00E06BF3" w:rsidP="005D4D5A">
      <w:r w:rsidRPr="00C727CA">
        <w:t>Právní nemožnost</w:t>
      </w:r>
      <w:r w:rsidR="003F3C0B" w:rsidRPr="00C727CA">
        <w:t xml:space="preserve"> plnění může spočívat </w:t>
      </w:r>
      <w:r w:rsidRPr="00C727CA">
        <w:t>v</w:t>
      </w:r>
      <w:r w:rsidR="009A6D02" w:rsidRPr="00C727CA">
        <w:t> otázkách odpovědnosti a záruky či</w:t>
      </w:r>
      <w:r w:rsidRPr="00C727CA">
        <w:t xml:space="preserve"> v otázce, zdali je vhodnější </w:t>
      </w:r>
      <w:r w:rsidR="00D70561" w:rsidRPr="00C727CA">
        <w:t>zadavatelův záměr</w:t>
      </w:r>
      <w:r w:rsidRPr="00C727CA">
        <w:t xml:space="preserve"> řešit formou VZ </w:t>
      </w:r>
      <w:r w:rsidR="003F3C0B" w:rsidRPr="00C727CA">
        <w:t>nebo uzavřením koncesní smlouvy. Finanční nemožnost plnění pak může spočívat v otázce</w:t>
      </w:r>
      <w:r w:rsidR="00D44350" w:rsidRPr="00C727CA">
        <w:t xml:space="preserve"> financování VZ</w:t>
      </w:r>
      <w:r w:rsidR="0024333F" w:rsidRPr="00C727CA">
        <w:t>, tedy zdali může být</w:t>
      </w:r>
      <w:r w:rsidR="003F3C0B" w:rsidRPr="00C727CA">
        <w:t xml:space="preserve"> </w:t>
      </w:r>
      <w:r w:rsidR="0024333F" w:rsidRPr="00C727CA">
        <w:t xml:space="preserve">financována např. </w:t>
      </w:r>
      <w:r w:rsidR="00D44350" w:rsidRPr="00C727CA">
        <w:t>částečně v penězích a částečně jinou protihodnotou.</w:t>
      </w:r>
      <w:r w:rsidR="00640EED" w:rsidRPr="00C727CA">
        <w:rPr>
          <w:rStyle w:val="FootnoteReference"/>
        </w:rPr>
        <w:footnoteReference w:id="117"/>
      </w:r>
    </w:p>
    <w:p w14:paraId="49E67E63" w14:textId="77777777" w:rsidR="0038398C" w:rsidRPr="00C727CA" w:rsidRDefault="00344DB4" w:rsidP="00314348">
      <w:pPr>
        <w:ind w:firstLine="0"/>
      </w:pPr>
      <w:r w:rsidRPr="00C727CA">
        <w:tab/>
        <w:t>Po výše uvedeném úvodním rozboru soutěžního dialogu, včetně podmínek pro jeho použití, provedeme analýzu postupu zadavatele v tomto zadávacím řízení s tím, že stejně jak</w:t>
      </w:r>
      <w:r w:rsidR="00EE5E99" w:rsidRPr="00C727CA">
        <w:t>o</w:t>
      </w:r>
      <w:r w:rsidRPr="00C727CA">
        <w:t xml:space="preserve"> u užšího řízení se budeme držet určité stupňovitosti</w:t>
      </w:r>
      <w:r w:rsidR="00B94B44">
        <w:t xml:space="preserve"> </w:t>
      </w:r>
      <w:r w:rsidR="00B94B44" w:rsidRPr="00C727CA">
        <w:t>–</w:t>
      </w:r>
      <w:r w:rsidR="00EE5E99" w:rsidRPr="00C727CA">
        <w:t xml:space="preserve"> 1. </w:t>
      </w:r>
      <w:r w:rsidR="0024333F" w:rsidRPr="00C727CA">
        <w:t>stupeň spočívá ve výzvě uchazečům k podání žádosti o účast v dialogu včetně následného posouzení jejich kvalifikace</w:t>
      </w:r>
      <w:r w:rsidR="00EE5E99" w:rsidRPr="00C727CA">
        <w:t xml:space="preserve"> </w:t>
      </w:r>
      <w:r w:rsidR="0024333F" w:rsidRPr="00C727CA">
        <w:t xml:space="preserve">a </w:t>
      </w:r>
      <w:r w:rsidR="00EE5E99" w:rsidRPr="00C727CA">
        <w:t xml:space="preserve">jednání v soutěžním dialogu (níže značeno </w:t>
      </w:r>
      <w:r w:rsidR="00CA55F4" w:rsidRPr="00C727CA">
        <w:t>jako 1. X.);</w:t>
      </w:r>
      <w:r w:rsidR="00EE5E99" w:rsidRPr="00C727CA">
        <w:t xml:space="preserve"> 2. stupeň </w:t>
      </w:r>
      <w:r w:rsidR="00EB1F6E" w:rsidRPr="00C727CA">
        <w:t>bude spočívat</w:t>
      </w:r>
      <w:r w:rsidR="00EE5E99" w:rsidRPr="00C727CA">
        <w:t xml:space="preserve"> již ve vlastním řízení o</w:t>
      </w:r>
      <w:r w:rsidR="001F50A4">
        <w:t> </w:t>
      </w:r>
      <w:r w:rsidR="00EE5E99" w:rsidRPr="00C727CA">
        <w:t xml:space="preserve">nabídkách (níže značeno </w:t>
      </w:r>
      <w:r w:rsidR="00CA55F4" w:rsidRPr="00C727CA">
        <w:t>jako 2. X.):</w:t>
      </w:r>
    </w:p>
    <w:p w14:paraId="2A8B8936" w14:textId="77777777" w:rsidR="00344DB4" w:rsidRPr="00C727CA" w:rsidRDefault="00B94B44" w:rsidP="00314348">
      <w:pPr>
        <w:pStyle w:val="ListParagraph"/>
        <w:numPr>
          <w:ilvl w:val="1"/>
          <w:numId w:val="41"/>
        </w:numPr>
        <w:spacing w:line="360" w:lineRule="auto"/>
        <w:jc w:val="both"/>
      </w:pPr>
      <w:r>
        <w:t xml:space="preserve"> předběžné oznámení </w:t>
      </w:r>
      <w:r w:rsidRPr="00C727CA">
        <w:t>–</w:t>
      </w:r>
      <w:r w:rsidR="00D630CB" w:rsidRPr="00C727CA">
        <w:t xml:space="preserve"> </w:t>
      </w:r>
      <w:r w:rsidR="00314348" w:rsidRPr="00C727CA">
        <w:t>tento krok, v rámci zadávání VZ v soutěžním dialogu, je totožný s předběžným oznámením výše uvedeným v rámci otevřeného řízení. Z tohoto důvod</w:t>
      </w:r>
      <w:r w:rsidR="002A10E2">
        <w:t xml:space="preserve">u tedy čtenáře </w:t>
      </w:r>
      <w:r w:rsidR="00CA55F4">
        <w:t>odkážu, viz</w:t>
      </w:r>
      <w:r w:rsidR="00314348" w:rsidRPr="00C727CA">
        <w:t xml:space="preserve"> výše;</w:t>
      </w:r>
      <w:r w:rsidR="00314348" w:rsidRPr="00C727CA">
        <w:rPr>
          <w:rStyle w:val="FootnoteReference"/>
        </w:rPr>
        <w:footnoteReference w:id="118"/>
      </w:r>
    </w:p>
    <w:p w14:paraId="461BB003" w14:textId="77777777" w:rsidR="00314348" w:rsidRPr="00C727CA" w:rsidRDefault="00314348" w:rsidP="00314348">
      <w:pPr>
        <w:pStyle w:val="ListParagraph"/>
        <w:numPr>
          <w:ilvl w:val="1"/>
          <w:numId w:val="41"/>
        </w:numPr>
        <w:spacing w:line="360" w:lineRule="auto"/>
        <w:jc w:val="both"/>
      </w:pPr>
      <w:r w:rsidRPr="00C727CA">
        <w:t xml:space="preserve"> oznámení </w:t>
      </w:r>
      <w:r w:rsidR="0095058C" w:rsidRPr="00C727CA">
        <w:t xml:space="preserve">soutěžního dialogu </w:t>
      </w:r>
      <w:r w:rsidR="0078746A" w:rsidRPr="00C727CA">
        <w:t>včetně</w:t>
      </w:r>
      <w:r w:rsidR="00FA6060" w:rsidRPr="00C727CA">
        <w:t xml:space="preserve"> </w:t>
      </w:r>
      <w:r w:rsidR="0078746A" w:rsidRPr="00C727CA">
        <w:t xml:space="preserve">poskytnutí </w:t>
      </w:r>
      <w:r w:rsidR="00FA6060" w:rsidRPr="00C727CA">
        <w:t xml:space="preserve">dokumentace soutěžního dialogu </w:t>
      </w:r>
      <w:r w:rsidRPr="00C727CA">
        <w:t>–</w:t>
      </w:r>
      <w:r w:rsidR="00FA6060" w:rsidRPr="00C727CA">
        <w:t xml:space="preserve"> </w:t>
      </w:r>
      <w:r w:rsidRPr="00C727CA">
        <w:t>oznámení</w:t>
      </w:r>
      <w:r w:rsidR="00E73C30" w:rsidRPr="00C727CA">
        <w:t xml:space="preserve"> </w:t>
      </w:r>
      <w:r w:rsidR="00FA6060" w:rsidRPr="00C727CA">
        <w:t xml:space="preserve">soutěžního dialogu </w:t>
      </w:r>
      <w:r w:rsidR="00E73C30" w:rsidRPr="00C727CA">
        <w:t>se provádí na příslušném je</w:t>
      </w:r>
      <w:r w:rsidR="0078746A" w:rsidRPr="00C727CA">
        <w:t>d</w:t>
      </w:r>
      <w:r w:rsidR="00C22410" w:rsidRPr="00C727CA">
        <w:t>notném formuláři</w:t>
      </w:r>
      <w:r w:rsidR="000E30F6" w:rsidRPr="00C727CA">
        <w:t xml:space="preserve"> s tím, že dle </w:t>
      </w:r>
      <w:r w:rsidR="00C22410" w:rsidRPr="00C727CA">
        <w:t>odst. 1 písm. a)</w:t>
      </w:r>
      <w:r w:rsidR="000E30F6" w:rsidRPr="00C727CA">
        <w:t>,</w:t>
      </w:r>
      <w:r w:rsidR="00C22410" w:rsidRPr="00C727CA">
        <w:t xml:space="preserve"> v</w:t>
      </w:r>
      <w:r w:rsidR="00FF26CE">
        <w:t>e spojení s odst. 2</w:t>
      </w:r>
      <w:r w:rsidR="00C22410" w:rsidRPr="00C727CA">
        <w:t xml:space="preserve"> písm. b)</w:t>
      </w:r>
      <w:r w:rsidR="000E30F6" w:rsidRPr="00C727CA">
        <w:t>,</w:t>
      </w:r>
      <w:r w:rsidR="00C22410" w:rsidRPr="00C727CA">
        <w:t xml:space="preserve"> § 26 zákona je považováno za úkon zahajující </w:t>
      </w:r>
      <w:r w:rsidR="000E30F6" w:rsidRPr="00C727CA">
        <w:t>toto</w:t>
      </w:r>
      <w:r w:rsidR="00C22410" w:rsidRPr="00C727CA">
        <w:t xml:space="preserve"> zadávací řízení.</w:t>
      </w:r>
      <w:r w:rsidR="00E73C30" w:rsidRPr="00C727CA">
        <w:t xml:space="preserve"> Dle § 35 odst. 1 zákona je oznámení adresováno neomezenému počtu dodavatelů</w:t>
      </w:r>
      <w:r w:rsidR="000E30F6" w:rsidRPr="00C727CA">
        <w:t xml:space="preserve">. Jejím prostřednictvím </w:t>
      </w:r>
      <w:r w:rsidR="00E73C30" w:rsidRPr="00C727CA">
        <w:t xml:space="preserve">zadavatel sděluje svůj úmysl zadat VZ v soutěžním dialogu. Současně také </w:t>
      </w:r>
      <w:r w:rsidR="0032121E" w:rsidRPr="00C727CA">
        <w:t xml:space="preserve">obsahuje </w:t>
      </w:r>
      <w:r w:rsidR="00E73C30" w:rsidRPr="00C727CA">
        <w:t>výzvu zájemcům, aby podali žádost o účast v tomto řízení a</w:t>
      </w:r>
      <w:r w:rsidR="000E30F6" w:rsidRPr="00C727CA">
        <w:t xml:space="preserve"> aby </w:t>
      </w:r>
      <w:r w:rsidR="00FA6060" w:rsidRPr="00C727CA">
        <w:t>prokázali</w:t>
      </w:r>
      <w:r w:rsidR="000E30F6" w:rsidRPr="00C727CA">
        <w:t>,</w:t>
      </w:r>
      <w:r w:rsidR="00FA6060" w:rsidRPr="00C727CA">
        <w:t xml:space="preserve"> zadavatelem v</w:t>
      </w:r>
      <w:r w:rsidR="0032121E" w:rsidRPr="00C727CA">
        <w:t> </w:t>
      </w:r>
      <w:r w:rsidR="00FA6060" w:rsidRPr="00C727CA">
        <w:t xml:space="preserve">oznámení </w:t>
      </w:r>
      <w:r w:rsidR="00E73C30" w:rsidRPr="00C727CA">
        <w:t>stanovenou</w:t>
      </w:r>
      <w:r w:rsidR="000E30F6" w:rsidRPr="00C727CA">
        <w:t>,</w:t>
      </w:r>
      <w:r w:rsidR="00E73C30" w:rsidRPr="00C727CA">
        <w:t xml:space="preserve"> kvalifikaci</w:t>
      </w:r>
      <w:r w:rsidR="00FA6060" w:rsidRPr="00C727CA">
        <w:t xml:space="preserve">. </w:t>
      </w:r>
      <w:r w:rsidR="00CA55F4">
        <w:t>Zadava</w:t>
      </w:r>
      <w:r w:rsidR="0032121E" w:rsidRPr="00C727CA">
        <w:t>tel je navíc oprávněn v</w:t>
      </w:r>
      <w:r w:rsidR="004F49DB" w:rsidRPr="00C727CA">
        <w:t xml:space="preserve"> oznámení</w:t>
      </w:r>
      <w:r w:rsidR="000E30F6" w:rsidRPr="00C727CA">
        <w:t>,</w:t>
      </w:r>
      <w:r w:rsidR="004F49DB" w:rsidRPr="00C727CA">
        <w:t xml:space="preserve"> </w:t>
      </w:r>
      <w:r w:rsidR="00C13352" w:rsidRPr="00C727CA">
        <w:t xml:space="preserve">či </w:t>
      </w:r>
      <w:r w:rsidR="000E30F6" w:rsidRPr="00C727CA">
        <w:t xml:space="preserve">v </w:t>
      </w:r>
      <w:r w:rsidR="00C13352" w:rsidRPr="00C727CA">
        <w:t xml:space="preserve">níže uvedené </w:t>
      </w:r>
      <w:r w:rsidR="000E30F6" w:rsidRPr="00C727CA">
        <w:t xml:space="preserve">speciální </w:t>
      </w:r>
      <w:r w:rsidR="00C13352" w:rsidRPr="00C727CA">
        <w:t>dokumentaci</w:t>
      </w:r>
      <w:r w:rsidR="000E30F6" w:rsidRPr="00C727CA">
        <w:t>,</w:t>
      </w:r>
      <w:r w:rsidR="00C13352" w:rsidRPr="00C727CA">
        <w:t xml:space="preserve"> </w:t>
      </w:r>
      <w:r w:rsidR="004F49DB" w:rsidRPr="00C727CA">
        <w:t xml:space="preserve">informovat zájemce o tom, že </w:t>
      </w:r>
      <w:r w:rsidR="000E30F6" w:rsidRPr="00C727CA">
        <w:t>jim</w:t>
      </w:r>
      <w:r w:rsidR="004F49DB" w:rsidRPr="00C727CA">
        <w:t xml:space="preserve"> budou poskytnuty soutěžní ceny. Jde v podstatě o platby či jiné odměny poskytnuté vyzvaným zájemcům jako určitá protihodnota za to, že</w:t>
      </w:r>
      <w:r w:rsidR="001F50A4">
        <w:t> </w:t>
      </w:r>
      <w:r w:rsidR="00C13352" w:rsidRPr="00C727CA">
        <w:t>na</w:t>
      </w:r>
      <w:r w:rsidR="004F49DB" w:rsidRPr="00C727CA">
        <w:t>pomohou prostřednictvím jednání v soutěžním dialogu</w:t>
      </w:r>
      <w:r w:rsidR="00C13352" w:rsidRPr="00C727CA">
        <w:t xml:space="preserve"> zadavateli nalézt a přesně vym</w:t>
      </w:r>
      <w:r w:rsidR="004F49DB" w:rsidRPr="00C727CA">
        <w:t xml:space="preserve">ezit předmět plánované VZ. </w:t>
      </w:r>
      <w:r w:rsidR="002C3B2B" w:rsidRPr="00C727CA">
        <w:t>Taková soutěžní cena může též sloužit jako určitý motivační prostředek pro účast zájemců, protože je nutné si uvědomit, že tito zájemci v rámci soutěžního jednání sdělují zadavateli citl</w:t>
      </w:r>
      <w:r w:rsidR="00CA55F4">
        <w:t xml:space="preserve">ivé informace včetně svého </w:t>
      </w:r>
      <w:r w:rsidR="00CA55F4" w:rsidRPr="00B94B44">
        <w:rPr>
          <w:i/>
        </w:rPr>
        <w:t>know-</w:t>
      </w:r>
      <w:r w:rsidR="002C3B2B" w:rsidRPr="00B94B44">
        <w:rPr>
          <w:i/>
        </w:rPr>
        <w:t>how</w:t>
      </w:r>
      <w:r w:rsidR="002C3B2B" w:rsidRPr="00C727CA">
        <w:t xml:space="preserve">. </w:t>
      </w:r>
      <w:r w:rsidR="000E30F6" w:rsidRPr="00C727CA">
        <w:t xml:space="preserve">Zmiňovaná </w:t>
      </w:r>
      <w:r w:rsidR="0032121E" w:rsidRPr="00C727CA">
        <w:t>„</w:t>
      </w:r>
      <w:r w:rsidR="000E30F6" w:rsidRPr="00C727CA">
        <w:t>d</w:t>
      </w:r>
      <w:r w:rsidR="00FA6060" w:rsidRPr="00C727CA">
        <w:t>okumentace soutěžního dialogu</w:t>
      </w:r>
      <w:r w:rsidR="0032121E" w:rsidRPr="00C727CA">
        <w:t>“</w:t>
      </w:r>
      <w:r w:rsidR="00FA6060" w:rsidRPr="00C727CA">
        <w:t xml:space="preserve"> pak </w:t>
      </w:r>
      <w:r w:rsidR="000E30F6" w:rsidRPr="00C727CA">
        <w:t>umožňuje zadavateli</w:t>
      </w:r>
      <w:r w:rsidR="00FA6060" w:rsidRPr="00C727CA">
        <w:t xml:space="preserve">, aby </w:t>
      </w:r>
      <w:r w:rsidR="000E30F6" w:rsidRPr="00C727CA">
        <w:t xml:space="preserve">jejím </w:t>
      </w:r>
      <w:r w:rsidR="00FA6060" w:rsidRPr="00C727CA">
        <w:t xml:space="preserve">prostřednictvím </w:t>
      </w:r>
      <w:r w:rsidR="000E30F6" w:rsidRPr="00C727CA">
        <w:t>stanovil</w:t>
      </w:r>
      <w:r w:rsidR="00FA6060" w:rsidRPr="00C727CA">
        <w:t xml:space="preserve"> své </w:t>
      </w:r>
      <w:r w:rsidR="00A621D1" w:rsidRPr="00C727CA">
        <w:t xml:space="preserve">cíle </w:t>
      </w:r>
      <w:r w:rsidR="00FA6060" w:rsidRPr="00C727CA">
        <w:t xml:space="preserve">s tím, že </w:t>
      </w:r>
      <w:r w:rsidR="000E30F6" w:rsidRPr="00C727CA">
        <w:t xml:space="preserve">tedy </w:t>
      </w:r>
      <w:r w:rsidR="00FA6060" w:rsidRPr="00C727CA">
        <w:t>nejde o klasickou zadávací dokumentaci, ale o jakýsi speciál</w:t>
      </w:r>
      <w:r w:rsidR="00A621D1" w:rsidRPr="00C727CA">
        <w:t>ní druh dokumentace, protože zadavatel v tuto chvíli ještě není schopen pře</w:t>
      </w:r>
      <w:r w:rsidR="000E30F6" w:rsidRPr="00C727CA">
        <w:t xml:space="preserve">sně vymezit předmět VZ, který </w:t>
      </w:r>
      <w:r w:rsidR="0032121E" w:rsidRPr="00C727CA">
        <w:t xml:space="preserve">by měl </w:t>
      </w:r>
      <w:r w:rsidR="00CA55F4">
        <w:t>být v klasické zadávací dokumen</w:t>
      </w:r>
      <w:r w:rsidR="0032121E" w:rsidRPr="00C727CA">
        <w:t>t</w:t>
      </w:r>
      <w:r w:rsidR="00CA55F4">
        <w:t>a</w:t>
      </w:r>
      <w:r w:rsidR="0032121E" w:rsidRPr="00C727CA">
        <w:t>ci</w:t>
      </w:r>
      <w:r w:rsidR="007A0A31" w:rsidRPr="00C727CA">
        <w:t xml:space="preserve"> </w:t>
      </w:r>
      <w:r w:rsidR="0032121E" w:rsidRPr="00C727CA">
        <w:t xml:space="preserve">již jasně stanoven. </w:t>
      </w:r>
      <w:r w:rsidR="007A0A31" w:rsidRPr="00C727CA">
        <w:t xml:space="preserve">Důležité je také dodat, že oznámení i dokumentace jsou uveřejněny </w:t>
      </w:r>
      <w:r w:rsidR="000B7B67" w:rsidRPr="00C727CA">
        <w:t>dle § 146 zákona;</w:t>
      </w:r>
      <w:r w:rsidR="00A621D1" w:rsidRPr="00C727CA">
        <w:rPr>
          <w:rStyle w:val="FootnoteReference"/>
        </w:rPr>
        <w:footnoteReference w:id="119"/>
      </w:r>
      <w:r w:rsidR="0032121E" w:rsidRPr="00C727CA">
        <w:rPr>
          <w:vertAlign w:val="superscript"/>
        </w:rPr>
        <w:t xml:space="preserve">, </w:t>
      </w:r>
      <w:r w:rsidR="002C3B2B" w:rsidRPr="00C727CA">
        <w:rPr>
          <w:rStyle w:val="FootnoteReference"/>
        </w:rPr>
        <w:footnoteReference w:id="120"/>
      </w:r>
    </w:p>
    <w:p w14:paraId="2F3C434D" w14:textId="77777777" w:rsidR="000B7B67" w:rsidRPr="00C727CA" w:rsidRDefault="000B7B67" w:rsidP="00314348">
      <w:pPr>
        <w:pStyle w:val="ListParagraph"/>
        <w:numPr>
          <w:ilvl w:val="1"/>
          <w:numId w:val="41"/>
        </w:numPr>
        <w:spacing w:line="360" w:lineRule="auto"/>
        <w:jc w:val="both"/>
      </w:pPr>
      <w:r w:rsidRPr="00C727CA">
        <w:t xml:space="preserve"> </w:t>
      </w:r>
      <w:r w:rsidR="00B94B44">
        <w:t xml:space="preserve">odůvodnění VZ a jeho publikace </w:t>
      </w:r>
      <w:r w:rsidR="00B94B44" w:rsidRPr="00C727CA">
        <w:t>–</w:t>
      </w:r>
      <w:r w:rsidRPr="00C727CA">
        <w:t xml:space="preserve"> tento krok, tedy odůvodnění VZ, včetně publikace takového odůvodnění, je shodný s daným krokem v rámci otevřeného řízení. Z tohoto d</w:t>
      </w:r>
      <w:r w:rsidR="00CA55F4">
        <w:t>ůvodu tedy odk</w:t>
      </w:r>
      <w:r w:rsidR="002A10E2">
        <w:t>azuji čtenáře</w:t>
      </w:r>
      <w:r w:rsidR="00CA55F4">
        <w:t>,</w:t>
      </w:r>
      <w:r w:rsidR="002A10E2">
        <w:t xml:space="preserve"> viz</w:t>
      </w:r>
      <w:r w:rsidRPr="00C727CA">
        <w:t xml:space="preserve"> výše;</w:t>
      </w:r>
      <w:r w:rsidRPr="00C727CA">
        <w:rPr>
          <w:rStyle w:val="FootnoteReference"/>
        </w:rPr>
        <w:footnoteReference w:id="121"/>
      </w:r>
    </w:p>
    <w:p w14:paraId="35EE9D24" w14:textId="77777777" w:rsidR="000B7B67" w:rsidRPr="00C727CA" w:rsidRDefault="003F5FBC" w:rsidP="00314348">
      <w:pPr>
        <w:pStyle w:val="ListParagraph"/>
        <w:numPr>
          <w:ilvl w:val="1"/>
          <w:numId w:val="41"/>
        </w:numPr>
        <w:spacing w:line="360" w:lineRule="auto"/>
        <w:jc w:val="both"/>
      </w:pPr>
      <w:r w:rsidRPr="00C727CA">
        <w:t xml:space="preserve"> podávání žádostí o účast v soutěžním dialogu případnými zájemci </w:t>
      </w:r>
      <w:r w:rsidR="00BE43D6" w:rsidRPr="00C727CA">
        <w:t>–</w:t>
      </w:r>
      <w:r w:rsidRPr="00C727CA">
        <w:t xml:space="preserve"> </w:t>
      </w:r>
      <w:r w:rsidR="00BE43D6" w:rsidRPr="00C727CA">
        <w:t>případní zájemci musí v této fázi podat písemnou žádost o účast v soutěžním dialogu a prokázat splnění stanovené kvalifikace</w:t>
      </w:r>
      <w:r w:rsidR="00A94C2A" w:rsidRPr="00C727CA">
        <w:t>;</w:t>
      </w:r>
      <w:r w:rsidR="00A94C2A" w:rsidRPr="00C727CA">
        <w:rPr>
          <w:rStyle w:val="FootnoteReference"/>
        </w:rPr>
        <w:footnoteReference w:id="122"/>
      </w:r>
    </w:p>
    <w:p w14:paraId="1E0F4273" w14:textId="77777777" w:rsidR="00A94C2A" w:rsidRPr="00C727CA" w:rsidRDefault="00A94C2A" w:rsidP="00A94C2A">
      <w:pPr>
        <w:pStyle w:val="ListParagraph"/>
        <w:numPr>
          <w:ilvl w:val="1"/>
          <w:numId w:val="41"/>
        </w:numPr>
        <w:spacing w:line="360" w:lineRule="auto"/>
        <w:jc w:val="both"/>
      </w:pPr>
      <w:r w:rsidRPr="00C727CA">
        <w:t xml:space="preserve"> posouzení kvalifikace z</w:t>
      </w:r>
      <w:r w:rsidR="0032121E" w:rsidRPr="00C727CA">
        <w:t xml:space="preserve">ájemců – </w:t>
      </w:r>
      <w:r w:rsidR="0027245F" w:rsidRPr="00C727CA">
        <w:t xml:space="preserve">před, ale i po posouzení kvalifikace pro zadavatele </w:t>
      </w:r>
      <w:r w:rsidR="003D36EF" w:rsidRPr="00C727CA">
        <w:t>platí, že</w:t>
      </w:r>
      <w:r w:rsidR="0032121E" w:rsidRPr="00C727CA">
        <w:t xml:space="preserve"> </w:t>
      </w:r>
      <w:r w:rsidRPr="00C727CA">
        <w:t>„zadavatel není […] oprávněn, obdobně jako v užším řízení a jednacím řízení s</w:t>
      </w:r>
      <w:r w:rsidR="001F50A4">
        <w:t> </w:t>
      </w:r>
      <w:r w:rsidRPr="00C727CA">
        <w:t>uveřejněním, omezit počet zájemců, kteří budou vyzváni k účasti v soutěžním dialogu.“</w:t>
      </w:r>
      <w:r w:rsidRPr="00C727CA">
        <w:rPr>
          <w:rStyle w:val="FootnoteReference"/>
        </w:rPr>
        <w:footnoteReference w:id="123"/>
      </w:r>
    </w:p>
    <w:p w14:paraId="4A74FD7C" w14:textId="77777777" w:rsidR="00A94C2A" w:rsidRPr="00C727CA" w:rsidRDefault="0032121E" w:rsidP="00A94C2A">
      <w:pPr>
        <w:pStyle w:val="ListParagraph"/>
        <w:numPr>
          <w:ilvl w:val="1"/>
          <w:numId w:val="41"/>
        </w:numPr>
        <w:spacing w:line="360" w:lineRule="auto"/>
        <w:jc w:val="both"/>
      </w:pPr>
      <w:r w:rsidRPr="00C727CA">
        <w:t xml:space="preserve"> výzva kvalifikovaným </w:t>
      </w:r>
      <w:r w:rsidR="00A94C2A" w:rsidRPr="00C727CA">
        <w:t xml:space="preserve">zájemcům k účasti v soutěžním dialogu </w:t>
      </w:r>
      <w:r w:rsidR="0078746A" w:rsidRPr="00C727CA">
        <w:t>–</w:t>
      </w:r>
      <w:r w:rsidR="00A94C2A" w:rsidRPr="00C727CA">
        <w:t xml:space="preserve"> </w:t>
      </w:r>
      <w:r w:rsidR="00CA55F4">
        <w:t>pokud zájemci prokážou</w:t>
      </w:r>
      <w:r w:rsidRPr="00C727CA">
        <w:t xml:space="preserve"> splnění kvalifikace, jsou následně dle odst. 3 § 35 zákona vyzváni k jednání. O</w:t>
      </w:r>
      <w:r w:rsidR="0078746A" w:rsidRPr="00C727CA">
        <w:t>bsahové náležitosti písemné výzvy jsou stanoveny odst. 4 § 35 zákona tak, aby byl naplněn účel použití soutěžního dialogu, což znamená, že musí obsahovat výše uvedenou dokumentaci soutěžního dialogu či informace o její přístupnosti, informace o výše uv</w:t>
      </w:r>
      <w:r w:rsidR="00B94B44">
        <w:t>edeném oznámení, údaje o hodnotí</w:t>
      </w:r>
      <w:r w:rsidR="0078746A" w:rsidRPr="00C727CA">
        <w:t xml:space="preserve">cích kritériích dle § 78 </w:t>
      </w:r>
      <w:r w:rsidR="00F04C75" w:rsidRPr="00C727CA">
        <w:t xml:space="preserve">odst. 2 </w:t>
      </w:r>
      <w:r w:rsidR="0078746A" w:rsidRPr="00C727CA">
        <w:t xml:space="preserve">zákona, kterými, jak již bylo řečeno, může být pouze ekonomická výhodnost nabídky, </w:t>
      </w:r>
      <w:r w:rsidR="00B94B44">
        <w:t xml:space="preserve">dále </w:t>
      </w:r>
      <w:r w:rsidR="0078746A" w:rsidRPr="00C727CA">
        <w:t>informace o místě, době a jazyce jednání v soutěžním dialogu;</w:t>
      </w:r>
      <w:r w:rsidR="0078746A" w:rsidRPr="00C727CA">
        <w:rPr>
          <w:rStyle w:val="FootnoteReference"/>
        </w:rPr>
        <w:footnoteReference w:id="124"/>
      </w:r>
    </w:p>
    <w:p w14:paraId="052D515F" w14:textId="77777777" w:rsidR="00D258E8" w:rsidRPr="00C727CA" w:rsidRDefault="00DE160E" w:rsidP="00A766F2">
      <w:pPr>
        <w:pStyle w:val="ListParagraph"/>
        <w:numPr>
          <w:ilvl w:val="1"/>
          <w:numId w:val="41"/>
        </w:numPr>
        <w:spacing w:line="360" w:lineRule="auto"/>
        <w:jc w:val="both"/>
      </w:pPr>
      <w:r w:rsidRPr="00C727CA">
        <w:t xml:space="preserve"> jednání </w:t>
      </w:r>
      <w:r w:rsidR="003013E1" w:rsidRPr="00C727CA">
        <w:t xml:space="preserve">v soutěžním dialogu </w:t>
      </w:r>
      <w:r w:rsidRPr="00C727CA">
        <w:t>s </w:t>
      </w:r>
      <w:r w:rsidR="003013E1" w:rsidRPr="00C727CA">
        <w:t>vyzvanými</w:t>
      </w:r>
      <w:r w:rsidRPr="00C727CA">
        <w:t xml:space="preserve"> zájemci </w:t>
      </w:r>
      <w:r w:rsidR="00A766F2" w:rsidRPr="00C727CA">
        <w:t xml:space="preserve">s následným výběrem jednoho či více řešení </w:t>
      </w:r>
      <w:r w:rsidR="003013E1" w:rsidRPr="00C727CA">
        <w:t>–</w:t>
      </w:r>
      <w:r w:rsidRPr="00C727CA">
        <w:t xml:space="preserve"> </w:t>
      </w:r>
      <w:r w:rsidR="003013E1" w:rsidRPr="00C727CA">
        <w:t>průběh jednání je veden zadavatelem</w:t>
      </w:r>
      <w:r w:rsidR="00405FBF" w:rsidRPr="00C727CA">
        <w:t xml:space="preserve"> dle § 36 zákona</w:t>
      </w:r>
      <w:r w:rsidR="00493EC8" w:rsidRPr="00C727CA">
        <w:t>, nicméně jejím organizováním může být pověřena hodnotící komise, vzhledem k jejímu odborně technickému charakteru.</w:t>
      </w:r>
      <w:r w:rsidR="003013E1" w:rsidRPr="00C727CA">
        <w:t xml:space="preserve"> </w:t>
      </w:r>
      <w:r w:rsidR="00405FBF" w:rsidRPr="00C727CA">
        <w:t>Zadavatel</w:t>
      </w:r>
      <w:r w:rsidR="00166F7C">
        <w:t xml:space="preserve"> je povi</w:t>
      </w:r>
      <w:r w:rsidR="003013E1" w:rsidRPr="00C727CA">
        <w:t xml:space="preserve">nen o každém jednotlivém jednání vyhotovovat příslušný </w:t>
      </w:r>
      <w:r w:rsidR="00493EC8" w:rsidRPr="00C727CA">
        <w:t xml:space="preserve">písemný </w:t>
      </w:r>
      <w:r w:rsidR="003013E1" w:rsidRPr="00C727CA">
        <w:t>protokol. Z protokolu musí být vždy patrný určitý předmět jednání a výsledek</w:t>
      </w:r>
      <w:r w:rsidR="00A766F2" w:rsidRPr="00C727CA">
        <w:t xml:space="preserve"> takového jednání</w:t>
      </w:r>
      <w:r w:rsidR="00C330BC" w:rsidRPr="00C727CA">
        <w:t xml:space="preserve"> s tím, že by</w:t>
      </w:r>
      <w:r w:rsidR="00493EC8" w:rsidRPr="00C727CA">
        <w:t xml:space="preserve"> měl být podep</w:t>
      </w:r>
      <w:r w:rsidR="00166F7C">
        <w:t>sán všemi</w:t>
      </w:r>
      <w:r w:rsidR="00493EC8" w:rsidRPr="00C727CA">
        <w:t xml:space="preserve"> osobami přítomnými dané</w:t>
      </w:r>
      <w:r w:rsidR="00C330BC" w:rsidRPr="00C727CA">
        <w:t>m</w:t>
      </w:r>
      <w:r w:rsidR="00493EC8" w:rsidRPr="00C727CA">
        <w:t>u jednání. Z</w:t>
      </w:r>
      <w:r w:rsidR="003013E1" w:rsidRPr="00C727CA">
        <w:t xml:space="preserve">adavatel nemusí jednat se všemi vyzvanými zájemci </w:t>
      </w:r>
      <w:r w:rsidR="00493EC8" w:rsidRPr="00C727CA">
        <w:t>najednou</w:t>
      </w:r>
      <w:r w:rsidR="003013E1" w:rsidRPr="00C727CA">
        <w:t xml:space="preserve">, nicméně vždy se musí s každým </w:t>
      </w:r>
      <w:r w:rsidR="00C330BC" w:rsidRPr="00C727CA">
        <w:t xml:space="preserve">zájemcem </w:t>
      </w:r>
      <w:r w:rsidR="003013E1" w:rsidRPr="00C727CA">
        <w:t xml:space="preserve">držet stejného předmětu jednání, včetně jeho rozsahu. </w:t>
      </w:r>
      <w:r w:rsidR="00C330BC" w:rsidRPr="00C727CA">
        <w:t xml:space="preserve">Pokud si to zadavatel předem v oznámení VZ vyhradil, mohou </w:t>
      </w:r>
      <w:r w:rsidR="00AC3A33" w:rsidRPr="00C727CA">
        <w:t>následná</w:t>
      </w:r>
      <w:r w:rsidR="003013E1" w:rsidRPr="00C727CA">
        <w:t xml:space="preserve"> jednání</w:t>
      </w:r>
      <w:r w:rsidR="00C330BC" w:rsidRPr="00C727CA">
        <w:t>,</w:t>
      </w:r>
      <w:r w:rsidR="003013E1" w:rsidRPr="00C727CA">
        <w:t xml:space="preserve"> </w:t>
      </w:r>
      <w:r w:rsidR="00C330BC" w:rsidRPr="00C727CA">
        <w:t>po</w:t>
      </w:r>
      <w:r w:rsidR="00AF3BC0">
        <w:t> </w:t>
      </w:r>
      <w:r w:rsidR="00D060DF" w:rsidRPr="00C727CA">
        <w:t>prvotním</w:t>
      </w:r>
      <w:r w:rsidR="00C330BC" w:rsidRPr="00C727CA">
        <w:t xml:space="preserve"> stanovení určitých možností</w:t>
      </w:r>
      <w:r w:rsidR="00D060DF" w:rsidRPr="00C727CA">
        <w:t xml:space="preserve"> řešení</w:t>
      </w:r>
      <w:r w:rsidR="00C330BC" w:rsidRPr="00C727CA">
        <w:t>, probíhat ve fázích</w:t>
      </w:r>
      <w:r w:rsidR="00405FBF" w:rsidRPr="00C727CA">
        <w:t xml:space="preserve">, které </w:t>
      </w:r>
      <w:r w:rsidR="00C330BC" w:rsidRPr="00C727CA">
        <w:t>budou postupně směřovat</w:t>
      </w:r>
      <w:r w:rsidR="00405FBF" w:rsidRPr="00C727CA">
        <w:t xml:space="preserve"> k výběru jednoho či více řešení.</w:t>
      </w:r>
      <w:r w:rsidR="00405FBF" w:rsidRPr="00C727CA">
        <w:rPr>
          <w:rStyle w:val="FootnoteReference"/>
        </w:rPr>
        <w:footnoteReference w:id="125"/>
      </w:r>
      <w:r w:rsidR="00405FBF" w:rsidRPr="00C727CA">
        <w:t xml:space="preserve"> Cílem ovšem není nalezení a stanovení smluvních podmínek zadávané VZ, ale nalezení určitých prostředků, jak dosáhnout zadavatelova </w:t>
      </w:r>
      <w:r w:rsidR="00A766F2" w:rsidRPr="00C727CA">
        <w:t xml:space="preserve">zamýšleného </w:t>
      </w:r>
      <w:r w:rsidR="00405FBF" w:rsidRPr="00C727CA">
        <w:t>cíle</w:t>
      </w:r>
      <w:r w:rsidR="00C330BC" w:rsidRPr="00C727CA">
        <w:t xml:space="preserve"> případně eliminovat nevhodné způsoby provedení VZ</w:t>
      </w:r>
      <w:r w:rsidR="00405FBF" w:rsidRPr="00C727CA">
        <w:t>.</w:t>
      </w:r>
      <w:r w:rsidR="00A766F2" w:rsidRPr="00C727CA">
        <w:t xml:space="preserve"> Zadavatel by ale neměl z jednotlivých návrhů obrazně řečeno „vyzobávat dílčí nápady a přenášet je do řešení konkurenčních účastníků, protože je povinen zajistit maximální ochranu duševního vlastnictví i neregistrovaného </w:t>
      </w:r>
      <w:r w:rsidR="00A766F2" w:rsidRPr="00FF26CE">
        <w:rPr>
          <w:i/>
        </w:rPr>
        <w:t>know-how</w:t>
      </w:r>
      <w:r w:rsidR="00A766F2" w:rsidRPr="00C727CA">
        <w:t xml:space="preserve"> každého z nich.“</w:t>
      </w:r>
      <w:r w:rsidR="00A766F2" w:rsidRPr="00C727CA">
        <w:rPr>
          <w:rStyle w:val="FootnoteReference"/>
        </w:rPr>
        <w:footnoteReference w:id="126"/>
      </w:r>
      <w:r w:rsidR="00A766F2" w:rsidRPr="00C727CA">
        <w:t xml:space="preserve"> </w:t>
      </w:r>
      <w:r w:rsidR="00FF26CE">
        <w:t>Proto</w:t>
      </w:r>
      <w:r w:rsidR="00C330BC" w:rsidRPr="00C727CA">
        <w:t xml:space="preserve"> </w:t>
      </w:r>
      <w:r w:rsidR="00FF26CE">
        <w:t xml:space="preserve">je </w:t>
      </w:r>
      <w:r w:rsidR="000808A2" w:rsidRPr="00C727CA">
        <w:t>ze</w:t>
      </w:r>
      <w:r w:rsidR="00AF3BC0">
        <w:t> </w:t>
      </w:r>
      <w:r w:rsidR="000808A2" w:rsidRPr="00C727CA">
        <w:t>strany</w:t>
      </w:r>
      <w:r w:rsidR="00E343FA" w:rsidRPr="00C727CA">
        <w:t xml:space="preserve"> zájemce</w:t>
      </w:r>
      <w:r w:rsidR="000808A2" w:rsidRPr="00C727CA">
        <w:t xml:space="preserve"> </w:t>
      </w:r>
      <w:r w:rsidR="00E343FA" w:rsidRPr="00C727CA">
        <w:t>v</w:t>
      </w:r>
      <w:r w:rsidR="00D060DF" w:rsidRPr="00C727CA">
        <w:t>hodné, aby údaje, které považuje</w:t>
      </w:r>
      <w:r w:rsidR="00E343FA" w:rsidRPr="00C727CA">
        <w:t xml:space="preserve"> za</w:t>
      </w:r>
      <w:r w:rsidR="00FF26CE">
        <w:t xml:space="preserve"> důvěrné, také výslovně označil</w:t>
      </w:r>
      <w:r w:rsidR="00D060DF" w:rsidRPr="00C727CA">
        <w:t xml:space="preserve"> za důvěrné</w:t>
      </w:r>
      <w:r w:rsidR="00E343FA" w:rsidRPr="00C727CA">
        <w:t>, protože o tak</w:t>
      </w:r>
      <w:r w:rsidR="00166F7C">
        <w:t>ových údajích je zadavatel povi</w:t>
      </w:r>
      <w:r w:rsidR="00E343FA" w:rsidRPr="00C727CA">
        <w:t>nen dodržovat mlčenlivost</w:t>
      </w:r>
      <w:r w:rsidR="00493EC8" w:rsidRPr="00C727CA">
        <w:t xml:space="preserve"> s tím, že dle odst. 3 § 36 zákona může zadavatel takové údaje zpřístupnit jen s předchozím </w:t>
      </w:r>
      <w:r w:rsidR="00166F7C">
        <w:t>písemným</w:t>
      </w:r>
      <w:r w:rsidR="00493EC8" w:rsidRPr="00C727CA">
        <w:t xml:space="preserve"> souhlasem daného zájemce. Pokud by tato podmínka byla porušena, může </w:t>
      </w:r>
      <w:r w:rsidR="006D3E6E" w:rsidRPr="00C727CA">
        <w:t>se</w:t>
      </w:r>
      <w:r w:rsidR="00AF3BC0">
        <w:t> </w:t>
      </w:r>
      <w:r w:rsidR="006D3E6E" w:rsidRPr="00C727CA">
        <w:t xml:space="preserve">zájemce </w:t>
      </w:r>
      <w:r w:rsidR="00493EC8" w:rsidRPr="00C727CA">
        <w:t>po zadavateli domáhat případné náhrady vzniklé škody.</w:t>
      </w:r>
      <w:r w:rsidR="00B04D0C" w:rsidRPr="00C727CA">
        <w:t xml:space="preserve"> </w:t>
      </w:r>
      <w:r w:rsidR="000808A2" w:rsidRPr="00C727CA">
        <w:t>Dále je vhodné uvést, že zadavatel může zadávací řízení v této fázi zrušit nejen v případě naplnění ně</w:t>
      </w:r>
      <w:r w:rsidR="005D0E3A">
        <w:t>kterého z důvodů v odst. 1 a 2</w:t>
      </w:r>
      <w:r w:rsidR="000808A2" w:rsidRPr="00C727CA">
        <w:t xml:space="preserve"> § 84 zákona, ale také tehdy, </w:t>
      </w:r>
      <w:r w:rsidR="00D060DF" w:rsidRPr="00C727CA">
        <w:t>když se mu nepodařilo dobrat k</w:t>
      </w:r>
      <w:r w:rsidR="000808A2" w:rsidRPr="00C727CA">
        <w:t xml:space="preserve"> řešení, které by odpovídalo jeho představám stanoveným v oznámení či dokumentaci</w:t>
      </w:r>
      <w:r w:rsidR="00976356" w:rsidRPr="00C727CA">
        <w:t xml:space="preserve"> VZ;</w:t>
      </w:r>
      <w:r w:rsidR="000808A2" w:rsidRPr="00C727CA">
        <w:rPr>
          <w:rStyle w:val="FootnoteReference"/>
        </w:rPr>
        <w:footnoteReference w:id="127"/>
      </w:r>
    </w:p>
    <w:p w14:paraId="36975C64" w14:textId="77777777" w:rsidR="006C2D1F" w:rsidRPr="00C727CA" w:rsidRDefault="0032578E" w:rsidP="00DE5991">
      <w:pPr>
        <w:pStyle w:val="ListParagraph"/>
        <w:numPr>
          <w:ilvl w:val="1"/>
          <w:numId w:val="42"/>
        </w:numPr>
        <w:spacing w:line="360" w:lineRule="auto"/>
        <w:jc w:val="both"/>
      </w:pPr>
      <w:r w:rsidRPr="00C727CA">
        <w:t xml:space="preserve"> výzva zájemcům jednajícím v soutěžním dialogu k podání nabídek – výzva k podání nabídek, včetně informa</w:t>
      </w:r>
      <w:r w:rsidR="009975A9">
        <w:t>ce o ukončení jednání a</w:t>
      </w:r>
      <w:r w:rsidRPr="00C727CA">
        <w:t xml:space="preserve"> vybrání nejvhodnějšího řešení musí být </w:t>
      </w:r>
      <w:r w:rsidR="005B00E9" w:rsidRPr="00C727CA">
        <w:t>odeslána</w:t>
      </w:r>
      <w:r w:rsidRPr="00C727CA">
        <w:t xml:space="preserve"> všem zájemcům, kteří byli vyzváni k účasti na jednání v</w:t>
      </w:r>
      <w:r w:rsidR="00FF26CE">
        <w:t> soutěžním dialogu a to i v tom</w:t>
      </w:r>
      <w:r w:rsidRPr="00C727CA">
        <w:t xml:space="preserve"> případě, že byl vyzván jen jeden zájemcem</w:t>
      </w:r>
      <w:r w:rsidR="005B00E9" w:rsidRPr="00C727CA">
        <w:t>, to vše dle § 37 zákona</w:t>
      </w:r>
      <w:r w:rsidRPr="00C727CA">
        <w:t>.</w:t>
      </w:r>
      <w:r w:rsidR="005B00E9" w:rsidRPr="00C727CA">
        <w:t xml:space="preserve"> Takto </w:t>
      </w:r>
      <w:r w:rsidR="003C7EE2" w:rsidRPr="00C727CA">
        <w:t xml:space="preserve">nyní </w:t>
      </w:r>
      <w:r w:rsidR="005B00E9" w:rsidRPr="00C727CA">
        <w:t>vyzvaní zájemci nabídku mohou, ale i nemusí podat</w:t>
      </w:r>
      <w:r w:rsidR="00B233F4" w:rsidRPr="00C727CA">
        <w:t>,</w:t>
      </w:r>
      <w:r w:rsidR="005B00E9" w:rsidRPr="00C727CA">
        <w:t xml:space="preserve"> jednoduše vzhledem k tomu, že jim vybrané řešení nemusí vyhovovat. Nejpozději však v tento moment musí zadavatel přesně stanovit zadávací podmínky VZ</w:t>
      </w:r>
      <w:r w:rsidR="00B4085D" w:rsidRPr="00C727CA">
        <w:t xml:space="preserve"> </w:t>
      </w:r>
      <w:r w:rsidR="0095058C" w:rsidRPr="00C727CA">
        <w:t>v zadávací dokumentaci, která má být</w:t>
      </w:r>
      <w:r w:rsidR="00B4085D" w:rsidRPr="00C727CA">
        <w:t xml:space="preserve"> součástí dané výzvy</w:t>
      </w:r>
      <w:r w:rsidR="005B00E9" w:rsidRPr="00C727CA">
        <w:t>.</w:t>
      </w:r>
      <w:r w:rsidR="00B4085D" w:rsidRPr="00C727CA">
        <w:t xml:space="preserve"> Pokud jde o minimální obsahové náležitosti výzvy k p</w:t>
      </w:r>
      <w:r w:rsidR="005D0E3A">
        <w:t>odání nabídek, musí dle odst. 4</w:t>
      </w:r>
      <w:r w:rsidR="00B4085D" w:rsidRPr="00C727CA">
        <w:t xml:space="preserve"> § 37 zákona obsahovat i</w:t>
      </w:r>
      <w:r w:rsidR="00B233F4" w:rsidRPr="00C727CA">
        <w:t>nformace o lhůtě, místě a jazyce</w:t>
      </w:r>
      <w:r w:rsidR="00B4085D" w:rsidRPr="00C727CA">
        <w:t xml:space="preserve"> v jakém má</w:t>
      </w:r>
      <w:r w:rsidR="00FF26CE">
        <w:t xml:space="preserve"> být nabídka podána, </w:t>
      </w:r>
      <w:r w:rsidR="00B4085D" w:rsidRPr="00C727CA">
        <w:t>dále také zadávací dokumentaci nebo podmínky k jejímu přístup</w:t>
      </w:r>
      <w:r w:rsidR="00976356" w:rsidRPr="00C727CA">
        <w:t xml:space="preserve">u či poskytnutí dle § 48 </w:t>
      </w:r>
      <w:r w:rsidR="00B233F4" w:rsidRPr="00C727CA">
        <w:t xml:space="preserve">odst. 5 </w:t>
      </w:r>
      <w:r w:rsidR="00976356" w:rsidRPr="00C727CA">
        <w:t>zákona;</w:t>
      </w:r>
      <w:r w:rsidR="00B4085D" w:rsidRPr="00C727CA">
        <w:rPr>
          <w:rStyle w:val="FootnoteReference"/>
        </w:rPr>
        <w:footnoteReference w:id="128"/>
      </w:r>
    </w:p>
    <w:p w14:paraId="67C0289D" w14:textId="77777777" w:rsidR="0038398C" w:rsidRPr="00C727CA" w:rsidRDefault="009975A9" w:rsidP="009975A9">
      <w:pPr>
        <w:ind w:firstLine="360"/>
      </w:pPr>
      <w:r w:rsidRPr="00C727CA">
        <w:t xml:space="preserve">Všechny následné kroky v rámci </w:t>
      </w:r>
      <w:r>
        <w:t>soutěžního dialogu</w:t>
      </w:r>
      <w:r w:rsidRPr="00C727CA">
        <w:t xml:space="preserve"> a s tím související </w:t>
      </w:r>
      <w:r>
        <w:t xml:space="preserve">diplomantova analýza takových </w:t>
      </w:r>
      <w:r w:rsidRPr="00C727CA">
        <w:t>kroků</w:t>
      </w:r>
      <w:r>
        <w:t xml:space="preserve"> by byla shodná</w:t>
      </w:r>
      <w:r w:rsidRPr="00C727CA">
        <w:t xml:space="preserve"> s analýzou postupu zadavatele v rámci otevřeného řízení</w:t>
      </w:r>
      <w:r>
        <w:t xml:space="preserve">, kde byly označeny jako kroky 7. podání nabídky – 14. </w:t>
      </w:r>
      <w:r w:rsidRPr="00C727CA">
        <w:t xml:space="preserve">uveřejnění smlouvy </w:t>
      </w:r>
      <w:r w:rsidR="00DE5991" w:rsidRPr="00C727CA">
        <w:t>„s výjimkou toho, že po podání nabídek v soutěžním dialogu se neprovádí posouzení kvalifikace, jelikož posouzení kvalifikace se provádí po uplynutí lhůty pro doručení žádostí o účast.“</w:t>
      </w:r>
      <w:r w:rsidR="00DE5991" w:rsidRPr="00C727CA">
        <w:rPr>
          <w:rStyle w:val="FootnoteReference"/>
        </w:rPr>
        <w:footnoteReference w:id="129"/>
      </w:r>
      <w:r w:rsidR="00DE5991" w:rsidRPr="00C727CA">
        <w:t xml:space="preserve"> Z t</w:t>
      </w:r>
      <w:r w:rsidR="009146BF" w:rsidRPr="00C727CA">
        <w:t xml:space="preserve">ohoto důvodu tedy čtenáře </w:t>
      </w:r>
      <w:r w:rsidR="00166F7C" w:rsidRPr="00C727CA">
        <w:t>odkazuji, viz</w:t>
      </w:r>
      <w:r w:rsidR="003D36EF">
        <w:t xml:space="preserve"> v</w:t>
      </w:r>
      <w:r w:rsidR="00DE5991" w:rsidRPr="00C727CA">
        <w:t>ýše.</w:t>
      </w:r>
      <w:r w:rsidR="00DE5991" w:rsidRPr="00C727CA">
        <w:rPr>
          <w:rStyle w:val="FootnoteReference"/>
        </w:rPr>
        <w:footnoteReference w:id="130"/>
      </w:r>
    </w:p>
    <w:p w14:paraId="51E30964" w14:textId="77777777" w:rsidR="0038398C" w:rsidRPr="00C727CA" w:rsidRDefault="00AE2E61" w:rsidP="00AE2E61">
      <w:pPr>
        <w:pStyle w:val="Heading2"/>
      </w:pPr>
      <w:bookmarkStart w:id="18" w:name="_Toc472859447"/>
      <w:r w:rsidRPr="00C727CA">
        <w:t>Zjednodušené podlimitní řízení</w:t>
      </w:r>
      <w:bookmarkEnd w:id="18"/>
    </w:p>
    <w:p w14:paraId="0DEC32EC" w14:textId="77777777" w:rsidR="00AE2E61" w:rsidRPr="00C727CA" w:rsidRDefault="000E657F" w:rsidP="00A9664F">
      <w:pPr>
        <w:ind w:firstLine="0"/>
      </w:pPr>
      <w:r w:rsidRPr="00C727CA">
        <w:t>Zjednoduš</w:t>
      </w:r>
      <w:r w:rsidR="006B2919" w:rsidRPr="00C727CA">
        <w:t xml:space="preserve">ené podlimitní řízení je </w:t>
      </w:r>
      <w:r w:rsidR="007B2DDC" w:rsidRPr="00C727CA">
        <w:t>kontroverzním</w:t>
      </w:r>
      <w:r w:rsidR="00A21F77" w:rsidRPr="00C727CA">
        <w:t xml:space="preserve"> </w:t>
      </w:r>
      <w:r w:rsidRPr="00C727CA">
        <w:t>druhem zadávacího řízení</w:t>
      </w:r>
      <w:r w:rsidR="004D0707" w:rsidRPr="00C727CA">
        <w:t>, a to</w:t>
      </w:r>
      <w:r w:rsidRPr="00C727CA">
        <w:t xml:space="preserve"> </w:t>
      </w:r>
      <w:r w:rsidR="006B2919" w:rsidRPr="00C727CA">
        <w:t xml:space="preserve">především </w:t>
      </w:r>
      <w:r w:rsidR="00166F7C">
        <w:t>proto, že umožň</w:t>
      </w:r>
      <w:r w:rsidRPr="00C727CA">
        <w:t xml:space="preserve">uje veřejnému </w:t>
      </w:r>
      <w:r w:rsidR="00F075E2" w:rsidRPr="00C727CA">
        <w:t xml:space="preserve">či dotovanému </w:t>
      </w:r>
      <w:r w:rsidRPr="00C727CA">
        <w:t xml:space="preserve">zadavateli </w:t>
      </w:r>
      <w:r w:rsidR="004D0707" w:rsidRPr="00C727CA">
        <w:t xml:space="preserve">od samého počátku adresně </w:t>
      </w:r>
      <w:r w:rsidRPr="00C727CA">
        <w:t>vyzvat konkrétní</w:t>
      </w:r>
      <w:r w:rsidR="006B2919" w:rsidRPr="00C727CA">
        <w:t>ho</w:t>
      </w:r>
      <w:r w:rsidRPr="00C727CA">
        <w:t xml:space="preserve"> zájemce</w:t>
      </w:r>
      <w:r w:rsidR="004D0707" w:rsidRPr="00C727CA">
        <w:t xml:space="preserve"> k podání nabídky</w:t>
      </w:r>
      <w:r w:rsidRPr="00C727CA">
        <w:t xml:space="preserve">, za splnění </w:t>
      </w:r>
      <w:r w:rsidR="004D0707" w:rsidRPr="00C727CA">
        <w:t>pouze</w:t>
      </w:r>
      <w:r w:rsidRPr="00C727CA">
        <w:t xml:space="preserve"> marginálních podmínek stanovených § 25 </w:t>
      </w:r>
      <w:r w:rsidR="006B2919" w:rsidRPr="00C727CA">
        <w:t xml:space="preserve">zákona. Dané ustanovení totiž </w:t>
      </w:r>
      <w:r w:rsidRPr="00C727CA">
        <w:t xml:space="preserve">říká, že </w:t>
      </w:r>
      <w:r w:rsidR="006B2919" w:rsidRPr="00C727CA">
        <w:t xml:space="preserve">zjednodušené podlimitní řízení </w:t>
      </w:r>
      <w:r w:rsidRPr="00C727CA">
        <w:t>může použít veřejný zadavatel</w:t>
      </w:r>
      <w:r w:rsidR="00F075E2" w:rsidRPr="00C727CA">
        <w:rPr>
          <w:rStyle w:val="FootnoteReference"/>
        </w:rPr>
        <w:footnoteReference w:id="131"/>
      </w:r>
      <w:r w:rsidR="00F075E2" w:rsidRPr="00C727CA">
        <w:t xml:space="preserve"> </w:t>
      </w:r>
      <w:r w:rsidRPr="00C727CA">
        <w:t xml:space="preserve">pro zadání podlimitní VZ na dodávky, podlimitní VZ na služby nebo podlimitní VZ na stavební práce, pokud její předpokládaná hodnota nepřesáhne 10 mil. Kč bez daně z přidané hodnoty (dále jen „DPH“). Pokud některá z těchto podmínek není splněna, </w:t>
      </w:r>
      <w:r w:rsidR="00F075E2" w:rsidRPr="00C727CA">
        <w:t xml:space="preserve">potažmo </w:t>
      </w:r>
      <w:r w:rsidRPr="00C727CA">
        <w:t xml:space="preserve">zadavatel </w:t>
      </w:r>
      <w:r w:rsidR="00F075E2" w:rsidRPr="00C727CA">
        <w:t xml:space="preserve">z nějakého důvodu nechce využít tohoto řízení, pak </w:t>
      </w:r>
      <w:r w:rsidRPr="00C727CA">
        <w:t xml:space="preserve">musí </w:t>
      </w:r>
      <w:r w:rsidR="00F075E2" w:rsidRPr="00C727CA">
        <w:t>pro zadání VZ použít jiné</w:t>
      </w:r>
      <w:r w:rsidR="006B2919" w:rsidRPr="00C727CA">
        <w:t>ho</w:t>
      </w:r>
      <w:r w:rsidRPr="00C727CA">
        <w:t xml:space="preserve"> zadávacího řízení, zpravidla </w:t>
      </w:r>
      <w:r w:rsidR="00F075E2" w:rsidRPr="00C727CA">
        <w:t>otevřené</w:t>
      </w:r>
      <w:r w:rsidR="006B2919" w:rsidRPr="00C727CA">
        <w:t>ho</w:t>
      </w:r>
      <w:r w:rsidR="00F075E2" w:rsidRPr="00C727CA">
        <w:t xml:space="preserve"> či užší</w:t>
      </w:r>
      <w:r w:rsidR="006B2919" w:rsidRPr="00C727CA">
        <w:t>ho</w:t>
      </w:r>
      <w:r w:rsidRPr="00C727CA">
        <w:t xml:space="preserve"> řízení.</w:t>
      </w:r>
      <w:r w:rsidR="00F075E2" w:rsidRPr="00C727CA">
        <w:rPr>
          <w:rStyle w:val="FootnoteReference"/>
        </w:rPr>
        <w:footnoteReference w:id="132"/>
      </w:r>
    </w:p>
    <w:p w14:paraId="396A494C" w14:textId="77777777" w:rsidR="00506C9D" w:rsidRPr="00C727CA" w:rsidRDefault="00A746F2" w:rsidP="00C22410">
      <w:r w:rsidRPr="00C727CA">
        <w:t>Pointou</w:t>
      </w:r>
      <w:r w:rsidR="00506C9D" w:rsidRPr="00C727CA">
        <w:t xml:space="preserve"> </w:t>
      </w:r>
      <w:r w:rsidR="006B2919" w:rsidRPr="00C727CA">
        <w:t>zjednodušeného podlimitního</w:t>
      </w:r>
      <w:r w:rsidR="00506C9D" w:rsidRPr="00C727CA">
        <w:t xml:space="preserve"> řízení je, že zadavatel</w:t>
      </w:r>
      <w:r w:rsidR="00A21F77" w:rsidRPr="00C727CA">
        <w:t xml:space="preserve"> může prostřednictvím </w:t>
      </w:r>
      <w:r w:rsidRPr="00C727CA">
        <w:t>tohoto</w:t>
      </w:r>
      <w:r w:rsidR="00A21F77" w:rsidRPr="00C727CA">
        <w:t xml:space="preserve"> řízení zvýhod</w:t>
      </w:r>
      <w:r w:rsidRPr="00C727CA">
        <w:t>n</w:t>
      </w:r>
      <w:r w:rsidR="00A21F77" w:rsidRPr="00C727CA">
        <w:t>it</w:t>
      </w:r>
      <w:r w:rsidR="000C000E" w:rsidRPr="00C727CA">
        <w:t>,</w:t>
      </w:r>
      <w:r w:rsidR="00A21F77" w:rsidRPr="00C727CA">
        <w:t xml:space="preserve"> u finančně méně nákladných VZ</w:t>
      </w:r>
      <w:r w:rsidR="000C000E" w:rsidRPr="00C727CA">
        <w:t>,</w:t>
      </w:r>
      <w:r w:rsidR="00A21F77" w:rsidRPr="00C727CA">
        <w:t xml:space="preserve"> ty dodavatele, se kterými má, na</w:t>
      </w:r>
      <w:r w:rsidR="00AF3BC0">
        <w:t> </w:t>
      </w:r>
      <w:r w:rsidR="00A21F77" w:rsidRPr="00C727CA">
        <w:t>základě předchozí spolupráce, dobrou zkušenost</w:t>
      </w:r>
      <w:r w:rsidR="004D0707" w:rsidRPr="00C727CA">
        <w:t>. Musíme si ale uvědomit, že i zde se</w:t>
      </w:r>
      <w:r w:rsidR="006B2919" w:rsidRPr="00C727CA">
        <w:t xml:space="preserve"> stále</w:t>
      </w:r>
      <w:r w:rsidR="004D0707" w:rsidRPr="00C727CA">
        <w:t xml:space="preserve"> </w:t>
      </w:r>
      <w:r w:rsidR="000C000E" w:rsidRPr="00C727CA">
        <w:t>pohyb</w:t>
      </w:r>
      <w:r w:rsidR="004D0707" w:rsidRPr="00C727CA">
        <w:t>ujeme ve finanční</w:t>
      </w:r>
      <w:r w:rsidR="00505F59" w:rsidRPr="00C727CA">
        <w:t>ch hladinách</w:t>
      </w:r>
      <w:r w:rsidR="004D0707" w:rsidRPr="00C727CA">
        <w:t xml:space="preserve"> odpovídající</w:t>
      </w:r>
      <w:r w:rsidRPr="00C727CA">
        <w:t>m</w:t>
      </w:r>
      <w:r w:rsidR="004D0707" w:rsidRPr="00C727CA">
        <w:t xml:space="preserve"> </w:t>
      </w:r>
      <w:r w:rsidR="00505F59" w:rsidRPr="00C727CA">
        <w:t xml:space="preserve">několika </w:t>
      </w:r>
      <w:r w:rsidR="000C000E" w:rsidRPr="00C727CA">
        <w:t>milionů</w:t>
      </w:r>
      <w:r w:rsidR="00505F59" w:rsidRPr="00C727CA">
        <w:t>m</w:t>
      </w:r>
      <w:r w:rsidR="004D0707" w:rsidRPr="00C727CA">
        <w:t xml:space="preserve"> korun</w:t>
      </w:r>
      <w:r w:rsidR="002A10E2">
        <w:t xml:space="preserve"> (viz</w:t>
      </w:r>
      <w:r w:rsidR="00505F59" w:rsidRPr="00C727CA">
        <w:t xml:space="preserve"> výše uvedený přehled)</w:t>
      </w:r>
      <w:r w:rsidR="000C000E" w:rsidRPr="00C727CA">
        <w:t>.</w:t>
      </w:r>
      <w:r w:rsidR="009502B0" w:rsidRPr="00C727CA">
        <w:rPr>
          <w:rStyle w:val="FootnoteReference"/>
        </w:rPr>
        <w:footnoteReference w:id="133"/>
      </w:r>
    </w:p>
    <w:p w14:paraId="3D8ABFFA" w14:textId="77777777" w:rsidR="002D12E0" w:rsidRPr="00C727CA" w:rsidRDefault="002D12E0" w:rsidP="00C22410">
      <w:r w:rsidRPr="00C727CA">
        <w:t xml:space="preserve">Jak </w:t>
      </w:r>
      <w:r w:rsidR="00A746F2" w:rsidRPr="00C727CA">
        <w:t xml:space="preserve">také </w:t>
      </w:r>
      <w:r w:rsidRPr="00C727CA">
        <w:t>uvádí odst. 1</w:t>
      </w:r>
      <w:r w:rsidR="005D0E3A">
        <w:t xml:space="preserve"> § 38 zákona, zadavatel je povi</w:t>
      </w:r>
      <w:r w:rsidRPr="00C727CA">
        <w:t>nen vyzvat nejméně pět zájemců k pod</w:t>
      </w:r>
      <w:r w:rsidR="00A746F2" w:rsidRPr="00C727CA">
        <w:t>ání nabídky a k prokázání své k</w:t>
      </w:r>
      <w:r w:rsidRPr="00C727CA">
        <w:t>valifikace</w:t>
      </w:r>
      <w:r w:rsidR="003A0F78" w:rsidRPr="00C727CA">
        <w:t>. Ustálenou rozhodovací praxí ÚOHS se ovšem dospělo k závěru, že zadavatel musí vyzvat a pokračovat v řízení s minimálně pěti kvalifikovanými zájemci.</w:t>
      </w:r>
      <w:r w:rsidR="003A0F78" w:rsidRPr="00C727CA">
        <w:rPr>
          <w:rStyle w:val="FootnoteReference"/>
        </w:rPr>
        <w:footnoteReference w:id="134"/>
      </w:r>
    </w:p>
    <w:p w14:paraId="0EF3ABB8" w14:textId="77777777" w:rsidR="00C22410" w:rsidRPr="00C727CA" w:rsidRDefault="004D0707" w:rsidP="00C22410">
      <w:r w:rsidRPr="00C727CA">
        <w:t>Pokud jde o samotnou analýzu</w:t>
      </w:r>
      <w:r w:rsidR="00C22410" w:rsidRPr="00C727CA">
        <w:t xml:space="preserve"> postupu zadavatele v tomto zadávacím řízení</w:t>
      </w:r>
      <w:r w:rsidRPr="00C727CA">
        <w:t xml:space="preserve">, </w:t>
      </w:r>
      <w:r w:rsidR="00505F59" w:rsidRPr="00C727CA">
        <w:t>není, i díky strohé právní úpravě, nikterak rozsáhlá. U</w:t>
      </w:r>
      <w:r w:rsidRPr="00C727CA">
        <w:t xml:space="preserve">vedeme si k ní </w:t>
      </w:r>
      <w:r w:rsidR="00505F59" w:rsidRPr="00C727CA">
        <w:t xml:space="preserve">však </w:t>
      </w:r>
      <w:r w:rsidRPr="00C727CA">
        <w:t>následující</w:t>
      </w:r>
      <w:r w:rsidR="00C22410" w:rsidRPr="00C727CA">
        <w:t>:</w:t>
      </w:r>
    </w:p>
    <w:p w14:paraId="350F79C7" w14:textId="77777777" w:rsidR="00C22410" w:rsidRPr="00C727CA" w:rsidRDefault="00C22410" w:rsidP="00A746F2">
      <w:pPr>
        <w:pStyle w:val="ListParagraph"/>
        <w:numPr>
          <w:ilvl w:val="0"/>
          <w:numId w:val="43"/>
        </w:numPr>
        <w:spacing w:after="0" w:line="360" w:lineRule="auto"/>
        <w:jc w:val="both"/>
      </w:pPr>
      <w:r w:rsidRPr="00C727CA">
        <w:t>výzva zájemcům k podání nabídek – tato výzva je dle § 26 odst. 1 písm. b)</w:t>
      </w:r>
      <w:r w:rsidR="00A746F2" w:rsidRPr="00C727CA">
        <w:t>,</w:t>
      </w:r>
      <w:r w:rsidR="00FF26CE">
        <w:t xml:space="preserve"> ve spojení s odst. 3</w:t>
      </w:r>
      <w:r w:rsidRPr="00C727CA">
        <w:t xml:space="preserve"> písm. b) </w:t>
      </w:r>
      <w:r w:rsidR="00A746F2" w:rsidRPr="00C727CA">
        <w:t xml:space="preserve">zákona, </w:t>
      </w:r>
      <w:r w:rsidRPr="00C727CA">
        <w:t xml:space="preserve">považována za zahájení zjednodušeného </w:t>
      </w:r>
      <w:r w:rsidR="000E1338" w:rsidRPr="00C727CA">
        <w:t xml:space="preserve">podlimitního </w:t>
      </w:r>
      <w:r w:rsidRPr="00C727CA">
        <w:t xml:space="preserve">řízení s tím, že musí být </w:t>
      </w:r>
      <w:r w:rsidR="00A6239B" w:rsidRPr="00C727CA">
        <w:t xml:space="preserve">adresována nejméně pěti zájemcům, kteří jsou </w:t>
      </w:r>
      <w:r w:rsidR="00A746F2" w:rsidRPr="00C727CA">
        <w:t xml:space="preserve">současně </w:t>
      </w:r>
      <w:r w:rsidR="00A6239B" w:rsidRPr="00C727CA">
        <w:t xml:space="preserve">vyzváni </w:t>
      </w:r>
      <w:r w:rsidR="000E1338" w:rsidRPr="00C727CA">
        <w:t xml:space="preserve">k prokázání </w:t>
      </w:r>
      <w:r w:rsidR="00A746F2" w:rsidRPr="00C727CA">
        <w:t xml:space="preserve">splnění </w:t>
      </w:r>
      <w:r w:rsidR="00A6239B" w:rsidRPr="00C727CA">
        <w:t xml:space="preserve">kvalifikaci. </w:t>
      </w:r>
      <w:r w:rsidR="008A174A" w:rsidRPr="00C727CA">
        <w:t xml:space="preserve">Tato výzva musí být současně publikována na profilu zadavatele. </w:t>
      </w:r>
      <w:r w:rsidR="00A6239B" w:rsidRPr="00C727CA">
        <w:t xml:space="preserve">Proces prokazování kvalifikace je v tomto řízení </w:t>
      </w:r>
      <w:r w:rsidR="00B547CE" w:rsidRPr="00C727CA">
        <w:t>k uchazeči</w:t>
      </w:r>
      <w:r w:rsidR="008A174A" w:rsidRPr="00C727CA">
        <w:t xml:space="preserve"> velmi přívětivý</w:t>
      </w:r>
      <w:r w:rsidR="00A6239B" w:rsidRPr="00C727CA">
        <w:t>, pr</w:t>
      </w:r>
      <w:r w:rsidR="008A174A" w:rsidRPr="00C727CA">
        <w:t>otože dle § 62 odst. 3 zákona k</w:t>
      </w:r>
      <w:r w:rsidR="00A6239B" w:rsidRPr="00C727CA">
        <w:t xml:space="preserve"> prokázání </w:t>
      </w:r>
      <w:r w:rsidR="008A174A" w:rsidRPr="00C727CA">
        <w:t xml:space="preserve">kvalifikace </w:t>
      </w:r>
      <w:r w:rsidR="00A6239B" w:rsidRPr="00C727CA">
        <w:t>postačí</w:t>
      </w:r>
      <w:r w:rsidR="005C7DA9" w:rsidRPr="00C727CA">
        <w:t xml:space="preserve"> předložení </w:t>
      </w:r>
      <w:r w:rsidR="0015207B" w:rsidRPr="00C727CA">
        <w:t xml:space="preserve">pouhého </w:t>
      </w:r>
      <w:r w:rsidR="005C7DA9" w:rsidRPr="00C727CA">
        <w:t>čestného prohlášení</w:t>
      </w:r>
      <w:r w:rsidR="000E1338" w:rsidRPr="00C727CA">
        <w:rPr>
          <w:rStyle w:val="FootnoteReference"/>
        </w:rPr>
        <w:footnoteReference w:id="135"/>
      </w:r>
      <w:r w:rsidR="008A174A" w:rsidRPr="00C727CA">
        <w:t xml:space="preserve"> a až následně</w:t>
      </w:r>
      <w:r w:rsidR="005C7DA9" w:rsidRPr="00C727CA">
        <w:t xml:space="preserve"> uchazeč, se kterým má být uzavřena smlouva</w:t>
      </w:r>
      <w:r w:rsidR="005D0E3A">
        <w:t>, má</w:t>
      </w:r>
      <w:r w:rsidR="00AF3BC0">
        <w:t> </w:t>
      </w:r>
      <w:r w:rsidR="005D0E3A">
        <w:t>povin</w:t>
      </w:r>
      <w:r w:rsidR="000E1338" w:rsidRPr="00C727CA">
        <w:t xml:space="preserve">nost před jejím uzavřením předložit originály či úředně ověřené kopie dokumentů, které </w:t>
      </w:r>
      <w:r w:rsidR="008A174A" w:rsidRPr="00C727CA">
        <w:t>kvalifikaci</w:t>
      </w:r>
      <w:r w:rsidR="005D0E3A">
        <w:t xml:space="preserve"> prokážou</w:t>
      </w:r>
      <w:r w:rsidR="000E1338" w:rsidRPr="00C727CA">
        <w:t xml:space="preserve">, jinak </w:t>
      </w:r>
      <w:r w:rsidR="008A174A" w:rsidRPr="00C727CA">
        <w:t xml:space="preserve">by šlo o </w:t>
      </w:r>
      <w:r w:rsidR="000E1338" w:rsidRPr="00C727CA">
        <w:t>neposkytnutí součinnosti dle § 82 odst. 4 zákona.</w:t>
      </w:r>
      <w:r w:rsidR="0071044C" w:rsidRPr="00C727CA">
        <w:rPr>
          <w:rStyle w:val="FootnoteReference"/>
        </w:rPr>
        <w:footnoteReference w:id="136"/>
      </w:r>
    </w:p>
    <w:p w14:paraId="2DBF8928" w14:textId="77777777" w:rsidR="0038398C" w:rsidRPr="00C727CA" w:rsidRDefault="001E1D69" w:rsidP="00A746F2">
      <w:pPr>
        <w:ind w:left="360" w:firstLine="348"/>
      </w:pPr>
      <w:r w:rsidRPr="00C727CA">
        <w:t>Obsahové náležitosti výzvy zájemcům jsou stanove</w:t>
      </w:r>
      <w:r w:rsidR="00FF26CE">
        <w:t>ny § 38 odst. 4</w:t>
      </w:r>
      <w:r w:rsidRPr="00C727CA">
        <w:t xml:space="preserve"> zákona s tím, že jde především o informace identifikující zadavatele, předmět VZ, zadávací dokumentaci, lhůtu a místo pro podání nabídky, </w:t>
      </w:r>
      <w:r w:rsidR="004D0707" w:rsidRPr="00C727CA">
        <w:t xml:space="preserve">dále </w:t>
      </w:r>
      <w:r w:rsidRPr="00C727CA">
        <w:t>požadavky na prokázání k</w:t>
      </w:r>
      <w:r w:rsidR="00007B29" w:rsidRPr="00C727CA">
        <w:t>valifikace a hodnotící kritéria</w:t>
      </w:r>
      <w:r w:rsidRPr="00C727CA">
        <w:t xml:space="preserve"> VZ.</w:t>
      </w:r>
      <w:r w:rsidR="002511EA" w:rsidRPr="00C727CA">
        <w:rPr>
          <w:rStyle w:val="FootnoteReference"/>
        </w:rPr>
        <w:footnoteReference w:id="137"/>
      </w:r>
    </w:p>
    <w:p w14:paraId="27FD9069" w14:textId="77777777" w:rsidR="0095058C" w:rsidRPr="00C727CA" w:rsidRDefault="0095058C" w:rsidP="006753D3">
      <w:pPr>
        <w:pStyle w:val="ListParagraph"/>
        <w:numPr>
          <w:ilvl w:val="0"/>
          <w:numId w:val="43"/>
        </w:numPr>
        <w:spacing w:line="360" w:lineRule="auto"/>
        <w:jc w:val="both"/>
      </w:pPr>
      <w:r w:rsidRPr="00C727CA">
        <w:t>uveřejnění zadávací d</w:t>
      </w:r>
      <w:r w:rsidR="008A174A" w:rsidRPr="00C727CA">
        <w:t xml:space="preserve">okumentace – </w:t>
      </w:r>
      <w:r w:rsidR="001A78D7" w:rsidRPr="00C727CA">
        <w:t>zadavatel musí i v tomto řízení na svém profilu zveřejnit alespoň textovou část zadávací dokumentace;</w:t>
      </w:r>
      <w:r w:rsidR="001A78D7" w:rsidRPr="00C727CA">
        <w:rPr>
          <w:rStyle w:val="FootnoteReference"/>
        </w:rPr>
        <w:footnoteReference w:id="138"/>
      </w:r>
    </w:p>
    <w:p w14:paraId="4599CD8F" w14:textId="77777777" w:rsidR="001A78D7" w:rsidRPr="00C727CA" w:rsidRDefault="001A78D7" w:rsidP="006753D3">
      <w:pPr>
        <w:pStyle w:val="ListParagraph"/>
        <w:numPr>
          <w:ilvl w:val="0"/>
          <w:numId w:val="43"/>
        </w:numPr>
        <w:spacing w:line="360" w:lineRule="auto"/>
        <w:jc w:val="both"/>
      </w:pPr>
      <w:r w:rsidRPr="00C727CA">
        <w:t xml:space="preserve">případné uveřejnění </w:t>
      </w:r>
      <w:r w:rsidR="00821D2E" w:rsidRPr="00C727CA">
        <w:t xml:space="preserve">informací </w:t>
      </w:r>
      <w:r w:rsidRPr="00C727CA">
        <w:t xml:space="preserve">a umožnění prohlídky místa plnění </w:t>
      </w:r>
      <w:r w:rsidR="006753D3" w:rsidRPr="00C727CA">
        <w:t>–</w:t>
      </w:r>
      <w:r w:rsidRPr="00C727CA">
        <w:t xml:space="preserve"> </w:t>
      </w:r>
      <w:r w:rsidR="006753D3" w:rsidRPr="00C727CA">
        <w:t>informace umožňující případnou prohlídku místa plnění, pokud to je nezbytné pro plnění VZ, zadavatel uveřejní na svém profilu dle § 49 odst. 5 zákona;</w:t>
      </w:r>
      <w:r w:rsidR="006753D3" w:rsidRPr="00C727CA">
        <w:rPr>
          <w:rStyle w:val="FootnoteReference"/>
        </w:rPr>
        <w:footnoteReference w:id="139"/>
      </w:r>
    </w:p>
    <w:p w14:paraId="386FB061" w14:textId="77777777" w:rsidR="00710C0B" w:rsidRDefault="0095058C" w:rsidP="003342A4">
      <w:pPr>
        <w:pStyle w:val="ListParagraph"/>
        <w:numPr>
          <w:ilvl w:val="0"/>
          <w:numId w:val="43"/>
        </w:numPr>
        <w:spacing w:line="360" w:lineRule="auto"/>
        <w:jc w:val="both"/>
      </w:pPr>
      <w:r w:rsidRPr="00C727CA">
        <w:t xml:space="preserve">předání či odeslání nezveřejněných částí zadávací dokumentace </w:t>
      </w:r>
      <w:r w:rsidR="006753D3" w:rsidRPr="00C727CA">
        <w:t xml:space="preserve">a poskytnutí dodatečných informací </w:t>
      </w:r>
      <w:r w:rsidR="004F21A5" w:rsidRPr="00C727CA">
        <w:t>– pokud jde o nezveřejněnou část dokumentace, zadavatel má povinnost takovou část do dvou pracovních dnů danému zájemci na základě j</w:t>
      </w:r>
      <w:r w:rsidR="005D0E3A">
        <w:t>eho písemné žádosti dle odst. 2</w:t>
      </w:r>
      <w:r w:rsidR="004F21A5" w:rsidRPr="00C727CA">
        <w:t xml:space="preserve"> § 48 zákona odeslat.</w:t>
      </w:r>
      <w:r w:rsidR="00501CD0" w:rsidRPr="00C727CA">
        <w:t xml:space="preserve"> Dodatečné informace pak zadavatel poskytuje </w:t>
      </w:r>
      <w:r w:rsidR="00821D2E" w:rsidRPr="00C727CA">
        <w:t xml:space="preserve">v tomto řízení </w:t>
      </w:r>
      <w:r w:rsidR="00501CD0" w:rsidRPr="00C727CA">
        <w:t xml:space="preserve">na základě </w:t>
      </w:r>
      <w:r w:rsidR="00821D2E" w:rsidRPr="00C727CA">
        <w:t xml:space="preserve">ustanovení </w:t>
      </w:r>
      <w:r w:rsidR="00501CD0" w:rsidRPr="00C727CA">
        <w:t>§ 49 zákona;</w:t>
      </w:r>
      <w:r w:rsidR="00501CD0" w:rsidRPr="00C727CA">
        <w:rPr>
          <w:rStyle w:val="FootnoteReference"/>
        </w:rPr>
        <w:footnoteReference w:id="140"/>
      </w:r>
    </w:p>
    <w:p w14:paraId="2FCE5361" w14:textId="77777777" w:rsidR="00BC12BD" w:rsidRPr="008B5795" w:rsidRDefault="009975A9" w:rsidP="008B5795">
      <w:pPr>
        <w:ind w:firstLine="360"/>
      </w:pPr>
      <w:r w:rsidRPr="00C727CA">
        <w:t xml:space="preserve">Všechny následné kroky v rámci zjednodušeného podlimitního řízení a s tím související </w:t>
      </w:r>
      <w:r>
        <w:t xml:space="preserve">diplomantova analýza takových </w:t>
      </w:r>
      <w:r w:rsidRPr="00C727CA">
        <w:t>kroků</w:t>
      </w:r>
      <w:r>
        <w:t xml:space="preserve"> by byla shodná</w:t>
      </w:r>
      <w:r w:rsidRPr="00C727CA">
        <w:t xml:space="preserve"> s analýzou postupu zadavatele v rámci otevřeného řízení</w:t>
      </w:r>
      <w:r>
        <w:t xml:space="preserve">, kde byly označeny jako </w:t>
      </w:r>
      <w:r w:rsidR="008B5795">
        <w:t xml:space="preserve">kroky </w:t>
      </w:r>
      <w:r>
        <w:t xml:space="preserve">7. podání nabídky – 14. </w:t>
      </w:r>
      <w:r w:rsidRPr="00C727CA">
        <w:t>uveřejnění smlouvy</w:t>
      </w:r>
      <w:r w:rsidR="008B5795">
        <w:t xml:space="preserve">. </w:t>
      </w:r>
      <w:r w:rsidR="00BC12BD" w:rsidRPr="00C727CA">
        <w:t>Z tohoto d</w:t>
      </w:r>
      <w:r w:rsidR="002A10E2">
        <w:t xml:space="preserve">ůvodu tedy čtenáře </w:t>
      </w:r>
      <w:r w:rsidR="005D0E3A">
        <w:t>odkazuji, viz</w:t>
      </w:r>
      <w:r w:rsidR="00BC12BD" w:rsidRPr="00C727CA">
        <w:t xml:space="preserve"> výše. Důležité je ale k bodu </w:t>
      </w:r>
      <w:r w:rsidR="008B5795">
        <w:t>7</w:t>
      </w:r>
      <w:r w:rsidR="00D51743">
        <w:t>. p</w:t>
      </w:r>
      <w:r w:rsidR="00BC12BD" w:rsidRPr="00C727CA">
        <w:t>odání nabídky dodat, že dle § 38 odst. 5 zákona musí zadavatel přijmout</w:t>
      </w:r>
      <w:r w:rsidR="00D02AF1" w:rsidRPr="00C727CA">
        <w:t xml:space="preserve"> i nabídky těch zájemců, kteří nebyli k tomu zadavatelem adresně vyzvání. V opačném případě by bylo jeho jednání považováno za</w:t>
      </w:r>
      <w:r w:rsidR="00AF3BC0">
        <w:t> </w:t>
      </w:r>
      <w:r w:rsidR="00D02AF1" w:rsidRPr="00C727CA">
        <w:t>diskriminační.</w:t>
      </w:r>
      <w:r w:rsidR="00D02AF1" w:rsidRPr="00C727CA">
        <w:rPr>
          <w:rStyle w:val="FootnoteReference"/>
        </w:rPr>
        <w:footnoteReference w:id="141"/>
      </w:r>
      <w:r w:rsidR="00D02AF1" w:rsidRPr="00C727CA">
        <w:rPr>
          <w:vertAlign w:val="superscript"/>
        </w:rPr>
        <w:t xml:space="preserve">, </w:t>
      </w:r>
      <w:r w:rsidR="00D02AF1" w:rsidRPr="00C727CA">
        <w:rPr>
          <w:rStyle w:val="FootnoteReference"/>
        </w:rPr>
        <w:footnoteReference w:id="142"/>
      </w:r>
    </w:p>
    <w:p w14:paraId="1961776C" w14:textId="77777777" w:rsidR="0038398C" w:rsidRPr="00C727CA" w:rsidRDefault="00CE1D02" w:rsidP="00CE1D02">
      <w:pPr>
        <w:pStyle w:val="Heading2"/>
      </w:pPr>
      <w:bookmarkStart w:id="19" w:name="_Toc472859448"/>
      <w:r w:rsidRPr="00C727CA">
        <w:t>Jednací řízení s uveřejněním</w:t>
      </w:r>
      <w:bookmarkEnd w:id="19"/>
    </w:p>
    <w:p w14:paraId="4B2F3324" w14:textId="77777777" w:rsidR="00EC671B" w:rsidRPr="00C727CA" w:rsidRDefault="00EB7A65" w:rsidP="00A9664F">
      <w:pPr>
        <w:ind w:firstLine="0"/>
      </w:pPr>
      <w:r w:rsidRPr="00C727CA">
        <w:t xml:space="preserve">Jde o zadávací řízení, které je nejméně formální a nejvíce se blíží klasickému obchodněprávnímu vyjednávání. </w:t>
      </w:r>
      <w:r w:rsidR="003E5687" w:rsidRPr="00C727CA">
        <w:t xml:space="preserve">Jeho podstatou je </w:t>
      </w:r>
      <w:r w:rsidR="00941B97" w:rsidRPr="00C727CA">
        <w:t xml:space="preserve">postupné </w:t>
      </w:r>
      <w:r w:rsidR="00821D2E" w:rsidRPr="00C727CA">
        <w:t>sjednávání</w:t>
      </w:r>
      <w:r w:rsidR="003E5687" w:rsidRPr="00C727CA">
        <w:t xml:space="preserve"> smluvních podmí</w:t>
      </w:r>
      <w:r w:rsidR="00941B97" w:rsidRPr="00C727CA">
        <w:t xml:space="preserve">nek s jedním či více dodavateli tak, aby </w:t>
      </w:r>
      <w:r w:rsidR="00821D2E" w:rsidRPr="00C727CA">
        <w:t>takové smluvní podmínky danému</w:t>
      </w:r>
      <w:r w:rsidR="00941B97" w:rsidRPr="00C727CA">
        <w:t xml:space="preserve"> zadavateli co možná nejvíce vyhovovaly. </w:t>
      </w:r>
      <w:r w:rsidR="00821D2E" w:rsidRPr="00C727CA">
        <w:t xml:space="preserve">Řízení </w:t>
      </w:r>
      <w:r w:rsidR="006D76A9" w:rsidRPr="00C727CA">
        <w:t>je také spojeno s p</w:t>
      </w:r>
      <w:r w:rsidR="00EC671B" w:rsidRPr="00C727CA">
        <w:t>roces</w:t>
      </w:r>
      <w:r w:rsidR="00941B97" w:rsidRPr="00C727CA">
        <w:t>em</w:t>
      </w:r>
      <w:r w:rsidR="00EC671B" w:rsidRPr="00C727CA">
        <w:t xml:space="preserve"> postupného</w:t>
      </w:r>
      <w:r w:rsidR="006D76A9" w:rsidRPr="00C727CA">
        <w:t xml:space="preserve"> </w:t>
      </w:r>
      <w:r w:rsidR="00941B97" w:rsidRPr="00C727CA">
        <w:t xml:space="preserve">omezování </w:t>
      </w:r>
      <w:r w:rsidR="006D76A9" w:rsidRPr="00C727CA">
        <w:t xml:space="preserve">počtu </w:t>
      </w:r>
      <w:r w:rsidR="00941B97" w:rsidRPr="00C727CA">
        <w:t>dodavatelů</w:t>
      </w:r>
      <w:r w:rsidR="00821D2E" w:rsidRPr="00C727CA">
        <w:t xml:space="preserve"> </w:t>
      </w:r>
      <w:r w:rsidR="006D76A9" w:rsidRPr="00C727CA">
        <w:t xml:space="preserve">v jednotlivých fázích </w:t>
      </w:r>
      <w:r w:rsidR="00821D2E" w:rsidRPr="00C727CA">
        <w:t xml:space="preserve">řízení </w:t>
      </w:r>
      <w:r w:rsidR="006D76A9" w:rsidRPr="00C727CA">
        <w:t xml:space="preserve">tak, aby zadavatel ve výsledku </w:t>
      </w:r>
      <w:r w:rsidR="00EC671B" w:rsidRPr="00C727CA">
        <w:t>dospět k ekonomicky nejvýhodnější nabídce (</w:t>
      </w:r>
      <w:r w:rsidR="00EC671B" w:rsidRPr="00FF26CE">
        <w:rPr>
          <w:i/>
        </w:rPr>
        <w:t>best value offer</w:t>
      </w:r>
      <w:r w:rsidR="00EC671B" w:rsidRPr="00C727CA">
        <w:t>).</w:t>
      </w:r>
      <w:r w:rsidR="006D76A9" w:rsidRPr="00C727CA">
        <w:rPr>
          <w:rStyle w:val="FootnoteReference"/>
        </w:rPr>
        <w:footnoteReference w:id="143"/>
      </w:r>
    </w:p>
    <w:p w14:paraId="6CC9BBCD" w14:textId="77777777" w:rsidR="00CE1D02" w:rsidRPr="00C727CA" w:rsidRDefault="00EB7A65" w:rsidP="00CE1D02">
      <w:r w:rsidRPr="00C727CA">
        <w:t>Použití tohoto zadávací</w:t>
      </w:r>
      <w:r w:rsidR="0090255A" w:rsidRPr="00C727CA">
        <w:t>ho</w:t>
      </w:r>
      <w:r w:rsidRPr="00C727CA">
        <w:t xml:space="preserve"> řízení je primárně spjato s předcházejícím splnění</w:t>
      </w:r>
      <w:r w:rsidR="003E5687" w:rsidRPr="00C727CA">
        <w:t xml:space="preserve">m zákonem stanovených </w:t>
      </w:r>
      <w:r w:rsidR="0090255A" w:rsidRPr="00C727CA">
        <w:t xml:space="preserve">taxativních </w:t>
      </w:r>
      <w:r w:rsidR="003E5687" w:rsidRPr="00C727CA">
        <w:t xml:space="preserve">podmínek, které jsou vymezeny </w:t>
      </w:r>
      <w:r w:rsidR="0090255A" w:rsidRPr="00C727CA">
        <w:t xml:space="preserve">§ 22 zákona, nicméně pro maximální zanalyzování § 22, začněme raději od </w:t>
      </w:r>
      <w:r w:rsidR="00941B97" w:rsidRPr="00C727CA">
        <w:t>jeho</w:t>
      </w:r>
      <w:r w:rsidR="0090255A" w:rsidRPr="00C727CA">
        <w:t xml:space="preserve"> konce.</w:t>
      </w:r>
      <w:r w:rsidR="0092768B" w:rsidRPr="00C727CA">
        <w:t xml:space="preserve"> Dle odst. 4 totiž „sektorový zadavatel může zadat veřejnou zakázku v jednacím řízení s uveřejněním i bez naplnění podmínek uvedených v odstavcích 1 až 3.“ To ted</w:t>
      </w:r>
      <w:r w:rsidR="001434BE" w:rsidRPr="00C727CA">
        <w:t xml:space="preserve">y </w:t>
      </w:r>
      <w:r w:rsidR="0092768B" w:rsidRPr="00C727CA">
        <w:t xml:space="preserve">znamená, že pozitivní podmínky použití jednacího řízení s uveřejněním </w:t>
      </w:r>
      <w:r w:rsidR="00051067" w:rsidRPr="00C727CA">
        <w:t xml:space="preserve">v odst. 1 až 3 </w:t>
      </w:r>
      <w:r w:rsidR="0092768B" w:rsidRPr="00C727CA">
        <w:t>musí naplnit veřejný či dotovaný zadavatel, nikoliv sektorový</w:t>
      </w:r>
      <w:r w:rsidR="00821D2E" w:rsidRPr="00C727CA">
        <w:t>,</w:t>
      </w:r>
      <w:r w:rsidR="0092768B" w:rsidRPr="00C727CA">
        <w:t xml:space="preserve"> a současně, že zákon </w:t>
      </w:r>
      <w:r w:rsidR="00821D2E" w:rsidRPr="00C727CA">
        <w:t xml:space="preserve">tedy </w:t>
      </w:r>
      <w:r w:rsidR="0092768B" w:rsidRPr="00C727CA">
        <w:t>vymezuje sektorovému zadavateli pro použití tohoto řízení pouze negativní podmínku</w:t>
      </w:r>
      <w:r w:rsidR="00051067" w:rsidRPr="00C727CA">
        <w:t>, z čehož pro sektorového zadavatele plyne, že toto řízení je pro něj na</w:t>
      </w:r>
      <w:r w:rsidR="00AF3BC0">
        <w:t> </w:t>
      </w:r>
      <w:r w:rsidR="00051067" w:rsidRPr="00C727CA">
        <w:t>ste</w:t>
      </w:r>
      <w:r w:rsidR="001434BE" w:rsidRPr="00C727CA">
        <w:t>jné úrovni, jako řízení otevřené</w:t>
      </w:r>
      <w:r w:rsidR="00051067" w:rsidRPr="00C727CA">
        <w:t xml:space="preserve"> či užší a je </w:t>
      </w:r>
      <w:r w:rsidR="0077521A" w:rsidRPr="00C727CA">
        <w:t xml:space="preserve">pouze </w:t>
      </w:r>
      <w:r w:rsidR="00051067" w:rsidRPr="00C727CA">
        <w:t xml:space="preserve">na jeho vůli, jaké řízení v konkrétním </w:t>
      </w:r>
      <w:r w:rsidR="00821D2E" w:rsidRPr="00C727CA">
        <w:t>p</w:t>
      </w:r>
      <w:r w:rsidR="00051067" w:rsidRPr="00C727CA">
        <w:t xml:space="preserve">řípadě použije. Musíme si totiž uvědomit, že sektorový zadavatel je většinou soukromým subjektem a </w:t>
      </w:r>
      <w:r w:rsidR="0077521A" w:rsidRPr="00C727CA">
        <w:t xml:space="preserve">jako </w:t>
      </w:r>
      <w:r w:rsidR="00051067" w:rsidRPr="00C727CA">
        <w:t xml:space="preserve">takovým je proto stanoven volnější způsob zadávání VZ, </w:t>
      </w:r>
      <w:r w:rsidR="0077521A" w:rsidRPr="00C727CA">
        <w:t>což také</w:t>
      </w:r>
      <w:r w:rsidR="00051067" w:rsidRPr="00C727CA">
        <w:t xml:space="preserve"> souvisí s</w:t>
      </w:r>
      <w:r w:rsidR="00AF3BC0">
        <w:t> </w:t>
      </w:r>
      <w:r w:rsidR="0077521A" w:rsidRPr="00C727CA">
        <w:t xml:space="preserve">výkonem </w:t>
      </w:r>
      <w:r w:rsidR="00051067" w:rsidRPr="00C727CA">
        <w:t>relevantní</w:t>
      </w:r>
      <w:r w:rsidR="0077521A" w:rsidRPr="00C727CA">
        <w:t xml:space="preserve"> činnosti </w:t>
      </w:r>
      <w:r w:rsidR="00CE7650" w:rsidRPr="00C727CA">
        <w:t>dle § 4 zákona.</w:t>
      </w:r>
      <w:r w:rsidR="003B7CB8" w:rsidRPr="00C727CA">
        <w:rPr>
          <w:rStyle w:val="FootnoteReference"/>
        </w:rPr>
        <w:footnoteReference w:id="144"/>
      </w:r>
    </w:p>
    <w:p w14:paraId="12368B81" w14:textId="77777777" w:rsidR="008D7A9F" w:rsidRPr="00C727CA" w:rsidRDefault="008D7A9F" w:rsidP="00CE1D02">
      <w:pPr>
        <w:rPr>
          <w:vertAlign w:val="superscript"/>
        </w:rPr>
      </w:pPr>
      <w:r w:rsidRPr="00C727CA">
        <w:t>Pro veřejného a dotovaného zad</w:t>
      </w:r>
      <w:r w:rsidR="00EC49C0" w:rsidRPr="00C727CA">
        <w:t>avatele</w:t>
      </w:r>
      <w:r w:rsidRPr="00C727CA">
        <w:t xml:space="preserve"> </w:t>
      </w:r>
      <w:r w:rsidR="00EC49C0" w:rsidRPr="00C727CA">
        <w:t xml:space="preserve">pak </w:t>
      </w:r>
      <w:r w:rsidRPr="00C727CA">
        <w:t>platí zásadní podmínky. Tento zadavatel totiž může použít jednací řízení s uveřejněním buď za splně</w:t>
      </w:r>
      <w:r w:rsidR="00FF26CE">
        <w:t>ní podmínek stanovených odst. 1</w:t>
      </w:r>
      <w:r w:rsidRPr="00C727CA">
        <w:t xml:space="preserve"> nebo odst. 3</w:t>
      </w:r>
      <w:r w:rsidR="005D0E3A">
        <w:t xml:space="preserve"> </w:t>
      </w:r>
      <w:r w:rsidRPr="00C727CA">
        <w:t>§ 22 zákona.</w:t>
      </w:r>
      <w:r w:rsidR="00576EDD" w:rsidRPr="00C727CA">
        <w:t xml:space="preserve"> </w:t>
      </w:r>
      <w:r w:rsidR="00A66A6A" w:rsidRPr="00C727CA">
        <w:t>Podmínky v ods</w:t>
      </w:r>
      <w:r w:rsidR="00FF26CE">
        <w:t>t. 1</w:t>
      </w:r>
      <w:r w:rsidR="00A66A6A" w:rsidRPr="00C727CA">
        <w:t xml:space="preserve"> stanovují, že „zadavatel může zadat veřejnou zakázku v jednacím řízení s uveřejněním, jestliže v předchozím otevřeném řízení, užším řízení, zjednodušeném podlimitním řízení nebo soutěžním dialogu byly podány pouze neúplné nebo nepřijatelné nabídky, podstatně nezmění zadávací podmínky a zahájí jednací řízení s</w:t>
      </w:r>
      <w:r w:rsidR="00AF3BC0">
        <w:t> </w:t>
      </w:r>
      <w:r w:rsidR="00A66A6A" w:rsidRPr="00C727CA">
        <w:t>uveřejněním bezodkladně po zrušení předchozího zadávacího řízení. Za neúplné nabídky se</w:t>
      </w:r>
      <w:r w:rsidR="00AF3BC0">
        <w:t> </w:t>
      </w:r>
      <w:r w:rsidR="00A66A6A" w:rsidRPr="00C727CA">
        <w:t xml:space="preserve">považují nabídky, které nevyhověly kontrole úplnosti podle § 71 odst. 7,“ tedy že buď nebyly zpracovány v požadovaném </w:t>
      </w:r>
      <w:r w:rsidR="009C5ADC">
        <w:t>jazyce</w:t>
      </w:r>
      <w:r w:rsidR="009C5ADC" w:rsidRPr="00C727CA">
        <w:t xml:space="preserve"> nebo</w:t>
      </w:r>
      <w:r w:rsidR="00A66A6A" w:rsidRPr="00C727CA">
        <w:t xml:space="preserve"> návrh smlouvy v takové nabídce nebyl podepsán osobou oprávněnou jednat jménem nebo za uchazeče</w:t>
      </w:r>
      <w:r w:rsidR="00BA3561" w:rsidRPr="00C727CA">
        <w:t xml:space="preserve"> či také pokud neobsahovaly všechny zákonem nebo zadavatelem požadované materiály</w:t>
      </w:r>
      <w:r w:rsidR="00A66A6A" w:rsidRPr="00C727CA">
        <w:t>. Nepřijatelnými nabídkami jsou pak takové</w:t>
      </w:r>
      <w:r w:rsidR="00A8335A" w:rsidRPr="00C727CA">
        <w:t>, které nap</w:t>
      </w:r>
      <w:r w:rsidR="00C0018A" w:rsidRPr="00C727CA">
        <w:t>l</w:t>
      </w:r>
      <w:r w:rsidR="00A8335A" w:rsidRPr="00C727CA">
        <w:t>nily alespoň jednu z</w:t>
      </w:r>
      <w:r w:rsidR="00C0018A" w:rsidRPr="00C727CA">
        <w:t xml:space="preserve"> taxativních </w:t>
      </w:r>
      <w:r w:rsidR="00A8335A" w:rsidRPr="00C727CA">
        <w:t xml:space="preserve">podmínek </w:t>
      </w:r>
      <w:r w:rsidR="001434BE" w:rsidRPr="00C727CA">
        <w:t xml:space="preserve">stanovených </w:t>
      </w:r>
      <w:r w:rsidR="009C5ADC">
        <w:t xml:space="preserve">odst. 1 § 22 zákona písmeno a) </w:t>
      </w:r>
      <w:r w:rsidR="009C5ADC" w:rsidRPr="00C727CA">
        <w:t>-</w:t>
      </w:r>
      <w:r w:rsidR="001434BE" w:rsidRPr="00C727CA">
        <w:t xml:space="preserve"> f)</w:t>
      </w:r>
      <w:r w:rsidR="009C5ADC">
        <w:t xml:space="preserve"> </w:t>
      </w:r>
      <w:r w:rsidR="009C5ADC" w:rsidRPr="00C727CA">
        <w:t>–</w:t>
      </w:r>
      <w:r w:rsidR="00A8335A" w:rsidRPr="00C727CA">
        <w:t xml:space="preserve"> namátkou, pokud jsou nevhodné, protože nesplňují požadavky na</w:t>
      </w:r>
      <w:r w:rsidR="00AF3BC0">
        <w:t> </w:t>
      </w:r>
      <w:r w:rsidR="00A8335A" w:rsidRPr="00C727CA">
        <w:t xml:space="preserve">předmět plnění, </w:t>
      </w:r>
      <w:r w:rsidR="009C5ADC">
        <w:t>takové</w:t>
      </w:r>
      <w:r w:rsidR="00C0018A" w:rsidRPr="00C727CA">
        <w:t xml:space="preserve"> u </w:t>
      </w:r>
      <w:r w:rsidR="00A8335A" w:rsidRPr="00C727CA">
        <w:t>kterých uchazeč neprokázal splnění kvalifikace</w:t>
      </w:r>
      <w:r w:rsidR="009C5ADC">
        <w:t xml:space="preserve"> či </w:t>
      </w:r>
      <w:r w:rsidR="00C0018A" w:rsidRPr="00C727CA">
        <w:t>které byly podány po uplynutí lhůty pro podání nabídek.</w:t>
      </w:r>
      <w:r w:rsidR="00890C05" w:rsidRPr="00C727CA">
        <w:t xml:space="preserve"> Pokud jde o vyloučení podstatné změ</w:t>
      </w:r>
      <w:r w:rsidR="001434BE" w:rsidRPr="00C727CA">
        <w:t xml:space="preserve">ny zadávacích podmínek, pak </w:t>
      </w:r>
      <w:r w:rsidR="00890C05" w:rsidRPr="00C727CA">
        <w:t xml:space="preserve">je nutné vždy přihlédnout k předmětu plnění a </w:t>
      </w:r>
      <w:r w:rsidR="001434BE" w:rsidRPr="00C727CA">
        <w:t>hodnotícím kritérií</w:t>
      </w:r>
      <w:r w:rsidR="00890C05" w:rsidRPr="00C727CA">
        <w:t xml:space="preserve">m. Cílem </w:t>
      </w:r>
      <w:r w:rsidR="001434BE" w:rsidRPr="00C727CA">
        <w:t xml:space="preserve">totiž </w:t>
      </w:r>
      <w:r w:rsidR="00890C05" w:rsidRPr="00C727CA">
        <w:t>je, aby byla v tomto řízení zadávána</w:t>
      </w:r>
      <w:r w:rsidR="00A67911" w:rsidRPr="00C727CA">
        <w:t xml:space="preserve"> ta samá VZ, která byla bezúspěšně zadávána v předchozím zadávacím řízení.</w:t>
      </w:r>
      <w:r w:rsidR="00BA3561" w:rsidRPr="00C727CA">
        <w:t xml:space="preserve"> Za podstatnou změnu se tak považuje např. změna v předmětu VZ, podstatné změny v obchodních či platebních podmínkách či jiné změny, které by měly za následek širokou změnu v počtu potenciálních dodavatelů. </w:t>
      </w:r>
      <w:r w:rsidR="00507C98" w:rsidRPr="00C727CA">
        <w:t>Bezodkladnost</w:t>
      </w:r>
      <w:r w:rsidR="00BA3561" w:rsidRPr="00C727CA">
        <w:t xml:space="preserve"> zahájení jednacího řízení s uveřejněním </w:t>
      </w:r>
      <w:r w:rsidR="005D0E3A">
        <w:t>pak musí být</w:t>
      </w:r>
      <w:r w:rsidR="00507C98" w:rsidRPr="00C727CA">
        <w:t xml:space="preserve"> chápána</w:t>
      </w:r>
      <w:r w:rsidR="00BA3561" w:rsidRPr="00C727CA">
        <w:t xml:space="preserve"> ve smyslu několika dnů.</w:t>
      </w:r>
      <w:r w:rsidR="00507C98" w:rsidRPr="00C727CA">
        <w:rPr>
          <w:rStyle w:val="FootnoteReference"/>
        </w:rPr>
        <w:footnoteReference w:id="145"/>
      </w:r>
      <w:r w:rsidR="00507C98" w:rsidRPr="00C727CA">
        <w:rPr>
          <w:vertAlign w:val="superscript"/>
        </w:rPr>
        <w:t xml:space="preserve">, </w:t>
      </w:r>
      <w:r w:rsidR="00507C98" w:rsidRPr="00C727CA">
        <w:rPr>
          <w:rStyle w:val="FootnoteReference"/>
        </w:rPr>
        <w:footnoteReference w:id="146"/>
      </w:r>
    </w:p>
    <w:p w14:paraId="51929A38" w14:textId="77777777" w:rsidR="00190BCB" w:rsidRPr="00C727CA" w:rsidRDefault="001434BE" w:rsidP="00BD3523">
      <w:r w:rsidRPr="00C727CA">
        <w:t>Podmínky v odst. 3</w:t>
      </w:r>
      <w:r w:rsidR="00507C98" w:rsidRPr="00C727CA">
        <w:t xml:space="preserve"> § 22 zákona poté stanovují, že zadavatel může použít jednací řízení s</w:t>
      </w:r>
      <w:r w:rsidR="00FA0568" w:rsidRPr="00C727CA">
        <w:t> </w:t>
      </w:r>
      <w:r w:rsidR="00507C98" w:rsidRPr="00C727CA">
        <w:t>uveřejněním</w:t>
      </w:r>
      <w:r w:rsidR="00FA0568" w:rsidRPr="00C727CA">
        <w:t xml:space="preserve"> také bez navázání na předchozí zrušené zadávací řízení</w:t>
      </w:r>
      <w:r w:rsidR="00507C98" w:rsidRPr="00C727CA">
        <w:t>, pokud nabídkové ceny uchazečů budou nesrovnatelné</w:t>
      </w:r>
      <w:r w:rsidR="00190BCB" w:rsidRPr="00C727CA">
        <w:t>, pokud povaha služeb neumožňuje dostatečné určení předmětu VZ či pokud bude VZ na stavební práce prováděna výhradně za účelem výzkumu nebo vývoje</w:t>
      </w:r>
      <w:r w:rsidR="00E75EEE" w:rsidRPr="00C727CA">
        <w:t>.</w:t>
      </w:r>
      <w:r w:rsidR="00EC49C0" w:rsidRPr="00C727CA">
        <w:t xml:space="preserve"> Nutné je ovšem dodat, že z podmínek </w:t>
      </w:r>
      <w:r w:rsidR="006869D5" w:rsidRPr="00C727CA">
        <w:t xml:space="preserve">použití tohoto řízení </w:t>
      </w:r>
      <w:r w:rsidR="00EC49C0" w:rsidRPr="00C727CA">
        <w:t>uvedených v odst. 1 a 3 exi</w:t>
      </w:r>
      <w:r w:rsidRPr="00C727CA">
        <w:t>stuje výjimka stanovená odst. 5</w:t>
      </w:r>
      <w:r w:rsidR="00EC49C0" w:rsidRPr="00C727CA">
        <w:t xml:space="preserve"> § 22 zákona a to, že </w:t>
      </w:r>
      <w:r w:rsidR="006869D5" w:rsidRPr="00C727CA">
        <w:t>veřejný zadavatel může jednací řízení s uveřejněním použít pro zadání VZ i bez naplnění podmínek v daných odstavcích, pokud bude zadávána VZ na služby uvedené v příloze č. 2 zákona</w:t>
      </w:r>
      <w:r w:rsidR="00BD3523" w:rsidRPr="00C727CA">
        <w:t xml:space="preserve"> </w:t>
      </w:r>
      <w:r w:rsidR="006869D5" w:rsidRPr="00C727CA">
        <w:t>nebo pokud bude zadávána VZ v oblasti obrany či bezpečnosti.</w:t>
      </w:r>
      <w:r w:rsidR="00BD3523" w:rsidRPr="00C727CA">
        <w:rPr>
          <w:rStyle w:val="FootnoteReference"/>
        </w:rPr>
        <w:footnoteReference w:id="147"/>
      </w:r>
    </w:p>
    <w:p w14:paraId="003345B1" w14:textId="77777777" w:rsidR="003D638F" w:rsidRPr="00C727CA" w:rsidRDefault="003D638F" w:rsidP="00C924EE">
      <w:r w:rsidRPr="00C727CA">
        <w:t xml:space="preserve">Před samotnou analýzou postupu zadavatele v rámci jednacího řízení s uveřejněním </w:t>
      </w:r>
      <w:r w:rsidR="002D0CC1" w:rsidRPr="00C727CA">
        <w:t>si</w:t>
      </w:r>
      <w:r w:rsidR="00AF3BC0">
        <w:t> </w:t>
      </w:r>
      <w:r w:rsidR="002D0CC1" w:rsidRPr="00C727CA">
        <w:t xml:space="preserve">musíme výše rozebrané podmínky určitým způsobem klasifikovat, což nám napomůže k lepšímu pochopení případných procesních </w:t>
      </w:r>
      <w:r w:rsidR="005D0E3A" w:rsidRPr="00C727CA">
        <w:t>nuanc</w:t>
      </w:r>
      <w:r w:rsidR="003D36EF">
        <w:t xml:space="preserve">í, </w:t>
      </w:r>
      <w:r w:rsidR="002D0CC1" w:rsidRPr="00C727CA">
        <w:t>které se u tohoto zadávacího řízení objevují</w:t>
      </w:r>
      <w:r w:rsidR="00C924EE" w:rsidRPr="00C727CA">
        <w:t>:</w:t>
      </w:r>
    </w:p>
    <w:p w14:paraId="4A0547A1" w14:textId="77777777" w:rsidR="00C924EE" w:rsidRPr="00C727CA" w:rsidRDefault="001434BE" w:rsidP="001F02D1">
      <w:pPr>
        <w:pStyle w:val="ListParagraph"/>
        <w:numPr>
          <w:ilvl w:val="0"/>
          <w:numId w:val="44"/>
        </w:numPr>
        <w:spacing w:line="360" w:lineRule="auto"/>
        <w:jc w:val="both"/>
      </w:pPr>
      <w:r w:rsidRPr="00C727CA">
        <w:rPr>
          <w:b/>
        </w:rPr>
        <w:t>je naplněna podmínka odst. 1</w:t>
      </w:r>
      <w:r w:rsidR="00C924EE" w:rsidRPr="00C727CA">
        <w:rPr>
          <w:b/>
        </w:rPr>
        <w:t xml:space="preserve"> § 22 zákona</w:t>
      </w:r>
      <w:r w:rsidR="00C924EE" w:rsidRPr="00C727CA">
        <w:t>, tedy primárně</w:t>
      </w:r>
      <w:r w:rsidRPr="00C727CA">
        <w:t>,</w:t>
      </w:r>
      <w:r w:rsidR="00C924EE" w:rsidRPr="00C727CA">
        <w:t xml:space="preserve"> že zde bylo předchozí otevřené řízení, užší řízení, zjednodušené podlimitní řízení nebo soutěžní dialog, ale současně </w:t>
      </w:r>
      <w:r w:rsidR="00C924EE" w:rsidRPr="00C727CA">
        <w:rPr>
          <w:b/>
        </w:rPr>
        <w:t>není</w:t>
      </w:r>
      <w:r w:rsidR="00C924EE" w:rsidRPr="00C727CA">
        <w:t xml:space="preserve"> </w:t>
      </w:r>
      <w:r w:rsidR="00C924EE" w:rsidRPr="00C727CA">
        <w:rPr>
          <w:b/>
        </w:rPr>
        <w:t>naplněna</w:t>
      </w:r>
      <w:r w:rsidR="00C924EE" w:rsidRPr="00C727CA">
        <w:t xml:space="preserve"> dispozitivní </w:t>
      </w:r>
      <w:r w:rsidRPr="00C727CA">
        <w:rPr>
          <w:b/>
        </w:rPr>
        <w:t>podmínka odst. 2</w:t>
      </w:r>
      <w:r w:rsidR="00C924EE" w:rsidRPr="00C727CA">
        <w:rPr>
          <w:b/>
        </w:rPr>
        <w:t xml:space="preserve"> § 22 zákona</w:t>
      </w:r>
      <w:r w:rsidR="00C924EE" w:rsidRPr="00C727CA">
        <w:t xml:space="preserve"> o splně</w:t>
      </w:r>
      <w:r w:rsidRPr="00C727CA">
        <w:t>ní požadavků podle § 69 odst. 5</w:t>
      </w:r>
      <w:r w:rsidR="00C924EE" w:rsidRPr="00C727CA">
        <w:t xml:space="preserve"> zákona – v takovém případě bude veřejný či dotovaný zadavatel </w:t>
      </w:r>
      <w:r w:rsidR="00C924EE" w:rsidRPr="00C727CA">
        <w:rPr>
          <w:b/>
        </w:rPr>
        <w:t xml:space="preserve">postupovat dle ustanovení §§ 29 </w:t>
      </w:r>
      <w:r w:rsidR="009C5ADC" w:rsidRPr="00C727CA">
        <w:t>-</w:t>
      </w:r>
      <w:r w:rsidR="00C924EE" w:rsidRPr="00C727CA">
        <w:rPr>
          <w:b/>
        </w:rPr>
        <w:t xml:space="preserve"> 32 zákona</w:t>
      </w:r>
      <w:r w:rsidR="007243E7" w:rsidRPr="00C727CA">
        <w:t xml:space="preserve"> o jednacím řízení s</w:t>
      </w:r>
      <w:r w:rsidR="00AF3BC0">
        <w:t> </w:t>
      </w:r>
      <w:r w:rsidR="007243E7" w:rsidRPr="00C727CA">
        <w:t>uveřejněním</w:t>
      </w:r>
      <w:r w:rsidR="00C924EE" w:rsidRPr="00C727CA">
        <w:t>;</w:t>
      </w:r>
    </w:p>
    <w:p w14:paraId="4799CB66" w14:textId="77777777" w:rsidR="00C924EE" w:rsidRPr="00C727CA" w:rsidRDefault="001434BE" w:rsidP="001F02D1">
      <w:pPr>
        <w:pStyle w:val="ListParagraph"/>
        <w:numPr>
          <w:ilvl w:val="0"/>
          <w:numId w:val="44"/>
        </w:numPr>
        <w:spacing w:line="360" w:lineRule="auto"/>
        <w:jc w:val="both"/>
      </w:pPr>
      <w:r w:rsidRPr="00C727CA">
        <w:rPr>
          <w:b/>
        </w:rPr>
        <w:t>je naplněna podmínka odst. 1</w:t>
      </w:r>
      <w:r w:rsidR="00C924EE" w:rsidRPr="00C727CA">
        <w:rPr>
          <w:b/>
        </w:rPr>
        <w:t xml:space="preserve"> § 22 zákona</w:t>
      </w:r>
      <w:r w:rsidR="00C924EE" w:rsidRPr="00C727CA">
        <w:t>, tedy primárně</w:t>
      </w:r>
      <w:r w:rsidRPr="00C727CA">
        <w:t>,</w:t>
      </w:r>
      <w:r w:rsidR="00C924EE" w:rsidRPr="00C727CA">
        <w:t xml:space="preserve"> že zde bylo předchozí otevřené řízení, užší řízení, zjednodušené podlimitní řízení nebo soutěžní dialog,</w:t>
      </w:r>
      <w:r w:rsidR="007243E7" w:rsidRPr="00C727CA">
        <w:t xml:space="preserve"> a současně </w:t>
      </w:r>
      <w:r w:rsidR="007243E7" w:rsidRPr="00C727CA">
        <w:rPr>
          <w:b/>
        </w:rPr>
        <w:t>je</w:t>
      </w:r>
      <w:r w:rsidR="007243E7" w:rsidRPr="00C727CA">
        <w:t xml:space="preserve"> </w:t>
      </w:r>
      <w:r w:rsidR="007243E7" w:rsidRPr="00C727CA">
        <w:rPr>
          <w:b/>
        </w:rPr>
        <w:t>naplněna</w:t>
      </w:r>
      <w:r w:rsidR="007243E7" w:rsidRPr="00C727CA">
        <w:t xml:space="preserve"> dispozitivní </w:t>
      </w:r>
      <w:r w:rsidRPr="00C727CA">
        <w:rPr>
          <w:b/>
        </w:rPr>
        <w:t>podmínka odst. 2</w:t>
      </w:r>
      <w:r w:rsidR="007243E7" w:rsidRPr="00C727CA">
        <w:rPr>
          <w:b/>
        </w:rPr>
        <w:t xml:space="preserve"> § 22 zákona</w:t>
      </w:r>
      <w:r w:rsidR="007243E7" w:rsidRPr="00C727CA">
        <w:t xml:space="preserve"> o splně</w:t>
      </w:r>
      <w:r w:rsidRPr="00C727CA">
        <w:t>ní požadavků podle § 69 odst. 5</w:t>
      </w:r>
      <w:r w:rsidR="007243E7" w:rsidRPr="00C727CA">
        <w:t xml:space="preserve"> zákona – v takovém případě může veřejný či dotovaný zadavatel </w:t>
      </w:r>
      <w:r w:rsidR="007243E7" w:rsidRPr="00C727CA">
        <w:rPr>
          <w:b/>
        </w:rPr>
        <w:t xml:space="preserve">postupovat dle ustanovení § 34 odst. 1 </w:t>
      </w:r>
      <w:r w:rsidR="009C5ADC" w:rsidRPr="00C727CA">
        <w:t>-</w:t>
      </w:r>
      <w:r w:rsidR="007243E7" w:rsidRPr="00C727CA">
        <w:rPr>
          <w:b/>
        </w:rPr>
        <w:t xml:space="preserve"> 3 zákona</w:t>
      </w:r>
      <w:r w:rsidR="007243E7" w:rsidRPr="00C727CA">
        <w:t xml:space="preserve"> o jednacím řízení bez uveřej</w:t>
      </w:r>
      <w:r w:rsidR="009C5ADC">
        <w:t xml:space="preserve">nění obdobně. Ustanovení §§ 29 </w:t>
      </w:r>
      <w:r w:rsidR="009C5ADC" w:rsidRPr="00C727CA">
        <w:t>-</w:t>
      </w:r>
      <w:r w:rsidR="007243E7" w:rsidRPr="00C727CA">
        <w:t xml:space="preserve"> 32 zákona o jednacím řízení s uveřejněním se nepoužijí;</w:t>
      </w:r>
    </w:p>
    <w:p w14:paraId="721CDD18" w14:textId="77777777" w:rsidR="007243E7" w:rsidRPr="00C727CA" w:rsidRDefault="007243E7" w:rsidP="001F02D1">
      <w:pPr>
        <w:pStyle w:val="ListParagraph"/>
        <w:numPr>
          <w:ilvl w:val="0"/>
          <w:numId w:val="44"/>
        </w:numPr>
        <w:spacing w:line="360" w:lineRule="auto"/>
        <w:jc w:val="both"/>
      </w:pPr>
      <w:r w:rsidRPr="00C727CA">
        <w:rPr>
          <w:b/>
        </w:rPr>
        <w:t>je naplněna podmínka odst. 3 § 22 zákona</w:t>
      </w:r>
      <w:r w:rsidRPr="00C727CA">
        <w:t xml:space="preserve"> s tím, že zde nemuselo být předchozí zadávací řízení – v takovém případě bude veřejný či dotovaný zadavatel </w:t>
      </w:r>
      <w:r w:rsidRPr="00C727CA">
        <w:rPr>
          <w:b/>
        </w:rPr>
        <w:t xml:space="preserve">postupovat dle ustanovení §§ 29 </w:t>
      </w:r>
      <w:r w:rsidR="009C5ADC" w:rsidRPr="00C727CA">
        <w:t>-</w:t>
      </w:r>
      <w:r w:rsidRPr="00C727CA">
        <w:rPr>
          <w:b/>
        </w:rPr>
        <w:t xml:space="preserve"> 32 zákona</w:t>
      </w:r>
      <w:r w:rsidRPr="00C727CA">
        <w:t xml:space="preserve"> o jednacím řízení s uveřejněním;</w:t>
      </w:r>
    </w:p>
    <w:p w14:paraId="585AE824" w14:textId="77777777" w:rsidR="000B32AF" w:rsidRPr="00C727CA" w:rsidRDefault="000B32AF" w:rsidP="001F02D1">
      <w:pPr>
        <w:pStyle w:val="ListParagraph"/>
        <w:numPr>
          <w:ilvl w:val="0"/>
          <w:numId w:val="44"/>
        </w:numPr>
        <w:spacing w:line="360" w:lineRule="auto"/>
        <w:jc w:val="both"/>
      </w:pPr>
      <w:r w:rsidRPr="00C727CA">
        <w:rPr>
          <w:b/>
        </w:rPr>
        <w:t>je naplněna výjimka odst. 5 § 22 zákona</w:t>
      </w:r>
      <w:r w:rsidR="009C5ADC">
        <w:t xml:space="preserve"> </w:t>
      </w:r>
      <w:r w:rsidR="009C5ADC" w:rsidRPr="009C5ADC">
        <w:t>–</w:t>
      </w:r>
      <w:r w:rsidRPr="00C727CA">
        <w:t xml:space="preserve"> v takovém případě bude veřejný zadavatel </w:t>
      </w:r>
      <w:r w:rsidRPr="00C727CA">
        <w:rPr>
          <w:b/>
        </w:rPr>
        <w:t xml:space="preserve">postupovat dle ustanovení §§ 29 </w:t>
      </w:r>
      <w:r w:rsidR="009C5ADC" w:rsidRPr="009C5ADC">
        <w:rPr>
          <w:b/>
        </w:rPr>
        <w:t>-</w:t>
      </w:r>
      <w:r w:rsidRPr="00C727CA">
        <w:rPr>
          <w:b/>
        </w:rPr>
        <w:t xml:space="preserve"> 32 zákona</w:t>
      </w:r>
      <w:r w:rsidRPr="00C727CA">
        <w:t xml:space="preserve"> o jednacím řízení s uveřejněním;</w:t>
      </w:r>
    </w:p>
    <w:p w14:paraId="328881D3" w14:textId="77777777" w:rsidR="000B32AF" w:rsidRPr="00C727CA" w:rsidRDefault="000B32AF" w:rsidP="001F02D1">
      <w:pPr>
        <w:pStyle w:val="ListParagraph"/>
        <w:numPr>
          <w:ilvl w:val="0"/>
          <w:numId w:val="44"/>
        </w:numPr>
        <w:spacing w:line="360" w:lineRule="auto"/>
        <w:jc w:val="both"/>
      </w:pPr>
      <w:r w:rsidRPr="00C727CA">
        <w:rPr>
          <w:b/>
        </w:rPr>
        <w:t>je naplněna negativní podmínka odst. 4 § 22 zákona</w:t>
      </w:r>
      <w:r w:rsidR="009C5ADC">
        <w:t xml:space="preserve"> </w:t>
      </w:r>
      <w:r w:rsidR="009C5ADC" w:rsidRPr="009C5ADC">
        <w:t>–</w:t>
      </w:r>
      <w:r w:rsidRPr="00C727CA">
        <w:t xml:space="preserve"> v takovém případě bude sektorový zadavatel </w:t>
      </w:r>
      <w:r w:rsidRPr="00C727CA">
        <w:rPr>
          <w:b/>
        </w:rPr>
        <w:t xml:space="preserve">postupovat dle ustanovení §§ 29 </w:t>
      </w:r>
      <w:r w:rsidR="009C5ADC" w:rsidRPr="00C727CA">
        <w:t>-</w:t>
      </w:r>
      <w:r w:rsidRPr="00C727CA">
        <w:rPr>
          <w:b/>
        </w:rPr>
        <w:t xml:space="preserve"> 32 zákona</w:t>
      </w:r>
      <w:r w:rsidRPr="00C727CA">
        <w:t xml:space="preserve"> o jednacím řízení s uveřejněním;</w:t>
      </w:r>
    </w:p>
    <w:p w14:paraId="39E93FD6" w14:textId="77777777" w:rsidR="000B32AF" w:rsidRPr="00C727CA" w:rsidRDefault="000B32AF" w:rsidP="008E571E">
      <w:pPr>
        <w:pStyle w:val="ListParagraph"/>
        <w:numPr>
          <w:ilvl w:val="0"/>
          <w:numId w:val="44"/>
        </w:numPr>
        <w:spacing w:after="0" w:line="360" w:lineRule="auto"/>
        <w:jc w:val="both"/>
      </w:pPr>
      <w:r w:rsidRPr="003D36EF">
        <w:rPr>
          <w:b/>
        </w:rPr>
        <w:t>zvláštní postup sektorového zadavatele</w:t>
      </w:r>
      <w:r w:rsidR="00F75BE9" w:rsidRPr="00C727CA">
        <w:t xml:space="preserve"> před podáním nabídek v jednacím řízení s uveřejněním při zadávaní VZ se zvláště složitým předmětem plnění dle </w:t>
      </w:r>
      <w:r w:rsidR="00F75BE9" w:rsidRPr="00C727CA">
        <w:rPr>
          <w:b/>
        </w:rPr>
        <w:t>§ 33 zákona</w:t>
      </w:r>
      <w:r w:rsidR="00F75BE9" w:rsidRPr="00C727CA">
        <w:t>.</w:t>
      </w:r>
    </w:p>
    <w:p w14:paraId="4442D9D2" w14:textId="77777777" w:rsidR="00A32262" w:rsidRPr="00C727CA" w:rsidRDefault="00F75BE9" w:rsidP="008E571E">
      <w:r w:rsidRPr="00C727CA">
        <w:t>Jak tedy můžeme vidět, v rámci jednacího řízení s uveřejněním se musíme vypořádat nejen s </w:t>
      </w:r>
      <w:r w:rsidR="005D0E3A" w:rsidRPr="00C727CA">
        <w:t>postupem dle</w:t>
      </w:r>
      <w:r w:rsidR="009C5ADC">
        <w:t xml:space="preserve"> §§ 29 </w:t>
      </w:r>
      <w:r w:rsidR="009C5ADC" w:rsidRPr="00C727CA">
        <w:t>-</w:t>
      </w:r>
      <w:r w:rsidRPr="00C727CA">
        <w:t xml:space="preserve"> 32 z</w:t>
      </w:r>
      <w:r w:rsidR="005D0E3A">
        <w:t>ákona, ale i s obdobným postupem</w:t>
      </w:r>
      <w:r w:rsidR="009C5ADC">
        <w:t xml:space="preserve"> zadavatele dle § 34 odst. 1 </w:t>
      </w:r>
      <w:r w:rsidR="009C5ADC" w:rsidRPr="00C727CA">
        <w:t>-</w:t>
      </w:r>
      <w:r w:rsidRPr="00C727CA">
        <w:t xml:space="preserve"> 3 zákona a se zvláštním postupem </w:t>
      </w:r>
      <w:r w:rsidR="00CD6605" w:rsidRPr="00C727CA">
        <w:t xml:space="preserve">sektorového zadavatele </w:t>
      </w:r>
      <w:r w:rsidRPr="00C727CA">
        <w:t>dle § 33.</w:t>
      </w:r>
    </w:p>
    <w:p w14:paraId="53AB2867" w14:textId="77777777" w:rsidR="008E571E" w:rsidRPr="00C727CA" w:rsidRDefault="008E571E" w:rsidP="001F02D1"/>
    <w:p w14:paraId="6839CC76" w14:textId="77777777" w:rsidR="001F02D1" w:rsidRPr="00C727CA" w:rsidRDefault="00702089" w:rsidP="00246C6F">
      <w:r w:rsidRPr="005D0E3A">
        <w:t>Nejdříve provedeme analýzu</w:t>
      </w:r>
      <w:r w:rsidR="00A32262" w:rsidRPr="005D0E3A">
        <w:t xml:space="preserve"> postupu zadavatel</w:t>
      </w:r>
      <w:r w:rsidR="003D36EF">
        <w:t xml:space="preserve">e </w:t>
      </w:r>
      <w:r w:rsidR="009C5ADC">
        <w:t xml:space="preserve">dle §§ 29 </w:t>
      </w:r>
      <w:r w:rsidR="009C5ADC" w:rsidRPr="00C727CA">
        <w:t>-</w:t>
      </w:r>
      <w:r w:rsidR="009C5ADC">
        <w:t xml:space="preserve"> 32 zákona</w:t>
      </w:r>
      <w:r w:rsidRPr="005D0E3A">
        <w:t xml:space="preserve"> jakožto primárního postupu zadavatele v jednacím řízení s uveřejněním.</w:t>
      </w:r>
      <w:r w:rsidRPr="00C727CA">
        <w:t xml:space="preserve"> Již od samotného počátku </w:t>
      </w:r>
      <w:r w:rsidR="00C13C10" w:rsidRPr="00C727CA">
        <w:t>zpracování zdrojů pro diplomantovu analýzu tohoto postupu jsou patrné určité procesní</w:t>
      </w:r>
      <w:r w:rsidRPr="00C727CA">
        <w:t xml:space="preserve"> shod</w:t>
      </w:r>
      <w:r w:rsidR="00C13C10" w:rsidRPr="00C727CA">
        <w:t xml:space="preserve">y </w:t>
      </w:r>
      <w:r w:rsidR="008D7F15" w:rsidRPr="00C727CA">
        <w:t xml:space="preserve">mezi tímto a užším </w:t>
      </w:r>
      <w:r w:rsidRPr="00C727CA">
        <w:t>řízení</w:t>
      </w:r>
      <w:r w:rsidR="008D7F15" w:rsidRPr="00C727CA">
        <w:t>m</w:t>
      </w:r>
      <w:r w:rsidR="00481F6D">
        <w:t>. Daná totožnost se vysky</w:t>
      </w:r>
      <w:r w:rsidRPr="00C727CA">
        <w:t>tuje v </w:t>
      </w:r>
      <w:r w:rsidR="008D7F15" w:rsidRPr="00C727CA">
        <w:t>procesních</w:t>
      </w:r>
      <w:r w:rsidRPr="00C727CA">
        <w:t xml:space="preserve"> krocích</w:t>
      </w:r>
      <w:r w:rsidR="008D7F15" w:rsidRPr="00C727CA">
        <w:t xml:space="preserve">, které byly výše, v rámci </w:t>
      </w:r>
      <w:r w:rsidR="0003160A" w:rsidRPr="00C727CA">
        <w:t xml:space="preserve">užšího řízení, </w:t>
      </w:r>
      <w:r w:rsidR="00FD6E29" w:rsidRPr="00C727CA">
        <w:t xml:space="preserve">rozebrány a </w:t>
      </w:r>
      <w:r w:rsidR="0003160A" w:rsidRPr="00C727CA">
        <w:t>klasifikovány ja</w:t>
      </w:r>
      <w:r w:rsidR="00C30EF7" w:rsidRPr="00C727CA">
        <w:t>ko krok</w:t>
      </w:r>
      <w:r w:rsidR="00FD6E29" w:rsidRPr="00C727CA">
        <w:t>y</w:t>
      </w:r>
      <w:r w:rsidR="009C5ADC">
        <w:t xml:space="preserve"> 1.1. </w:t>
      </w:r>
      <w:r w:rsidR="009C5ADC" w:rsidRPr="009C5ADC">
        <w:t>–</w:t>
      </w:r>
      <w:r w:rsidR="008D7F15" w:rsidRPr="00C727CA">
        <w:t xml:space="preserve"> </w:t>
      </w:r>
      <w:r w:rsidR="009C5ADC">
        <w:t>a</w:t>
      </w:r>
      <w:r w:rsidR="001F02D1" w:rsidRPr="00C727CA">
        <w:t xml:space="preserve">) předběžné oznámení </w:t>
      </w:r>
      <w:r w:rsidR="008D7F15" w:rsidRPr="00C727CA">
        <w:t xml:space="preserve">a </w:t>
      </w:r>
      <w:r w:rsidR="009C5ADC">
        <w:t>b</w:t>
      </w:r>
      <w:r w:rsidR="001F02D1" w:rsidRPr="00C727CA">
        <w:t>)</w:t>
      </w:r>
      <w:r w:rsidR="008D7F15" w:rsidRPr="00C727CA">
        <w:t xml:space="preserve"> pravide</w:t>
      </w:r>
      <w:r w:rsidR="009C5ADC">
        <w:t xml:space="preserve">lné předběžné oznámení až 2.7. </w:t>
      </w:r>
      <w:r w:rsidR="009C5ADC" w:rsidRPr="009C5ADC">
        <w:t>–</w:t>
      </w:r>
      <w:r w:rsidR="008D7F15" w:rsidRPr="00C727CA">
        <w:t xml:space="preserve"> </w:t>
      </w:r>
      <w:r w:rsidR="001F02D1" w:rsidRPr="00C727CA">
        <w:t>posouzení a hodnocení nabídek</w:t>
      </w:r>
      <w:r w:rsidR="00DA4324" w:rsidRPr="00C727CA">
        <w:rPr>
          <w:rStyle w:val="FootnoteReference"/>
        </w:rPr>
        <w:footnoteReference w:id="148"/>
      </w:r>
      <w:r w:rsidR="008D7F15" w:rsidRPr="00C727CA">
        <w:t>. Z tohoto</w:t>
      </w:r>
      <w:r w:rsidR="002A10E2">
        <w:t xml:space="preserve"> důvodu tedy čtenáře </w:t>
      </w:r>
      <w:r w:rsidR="00481F6D">
        <w:t>odkážu, viz</w:t>
      </w:r>
      <w:r w:rsidR="008D7F15" w:rsidRPr="00C727CA">
        <w:t xml:space="preserve"> výše. </w:t>
      </w:r>
      <w:r w:rsidR="00246C6F" w:rsidRPr="00C727CA">
        <w:t xml:space="preserve">Protože </w:t>
      </w:r>
      <w:r w:rsidR="00C30EF7" w:rsidRPr="00C727CA">
        <w:t>však</w:t>
      </w:r>
      <w:r w:rsidR="00246C6F" w:rsidRPr="00C727CA">
        <w:t xml:space="preserve"> u </w:t>
      </w:r>
      <w:r w:rsidR="00183A22" w:rsidRPr="00C727CA">
        <w:t xml:space="preserve">našeho </w:t>
      </w:r>
      <w:r w:rsidR="00246C6F" w:rsidRPr="00C727CA">
        <w:t xml:space="preserve">jednacího řízení s uveřejněním ještě nejde o finální hodnocení nabídek, jak si uvedeme níže, nazývejme bod </w:t>
      </w:r>
      <w:r w:rsidR="00481F6D" w:rsidRPr="00C727CA">
        <w:t>2.7, v tomto</w:t>
      </w:r>
      <w:r w:rsidR="00FE13CF" w:rsidRPr="00C727CA">
        <w:t xml:space="preserve"> řízení, </w:t>
      </w:r>
      <w:r w:rsidR="00246C6F" w:rsidRPr="00C727CA">
        <w:t xml:space="preserve">jako „posouzení a předběžné hodnocení nabídek“. </w:t>
      </w:r>
      <w:r w:rsidR="008D7F15" w:rsidRPr="00C727CA">
        <w:t xml:space="preserve">Nutné je </w:t>
      </w:r>
      <w:r w:rsidR="00C30EF7" w:rsidRPr="00C727CA">
        <w:t>také</w:t>
      </w:r>
      <w:r w:rsidR="008D7F15" w:rsidRPr="00C727CA">
        <w:t xml:space="preserve"> dodat</w:t>
      </w:r>
      <w:r w:rsidR="003D4681" w:rsidRPr="00C727CA">
        <w:t>, že zadavatel může, na rozdíl od užšího říz</w:t>
      </w:r>
      <w:r w:rsidR="00481F6D">
        <w:t>ení, vedle omezení počtu zájemců</w:t>
      </w:r>
      <w:r w:rsidR="003D4681" w:rsidRPr="00C727CA">
        <w:t xml:space="preserve"> k podání nabídky</w:t>
      </w:r>
      <w:r w:rsidR="00246C6F" w:rsidRPr="00C727CA">
        <w:t xml:space="preserve"> podle </w:t>
      </w:r>
      <w:r w:rsidR="00745884" w:rsidRPr="00C727CA">
        <w:t xml:space="preserve">bodu </w:t>
      </w:r>
      <w:r w:rsidR="00481F6D" w:rsidRPr="00C727CA">
        <w:t>1.7</w:t>
      </w:r>
      <w:r w:rsidR="00481F6D">
        <w:t>,</w:t>
      </w:r>
      <w:r w:rsidR="00481F6D" w:rsidRPr="00C727CA">
        <w:t xml:space="preserve"> viz</w:t>
      </w:r>
      <w:r w:rsidR="00246C6F" w:rsidRPr="00C727CA">
        <w:t xml:space="preserve"> výše</w:t>
      </w:r>
      <w:r w:rsidR="000E2FF3" w:rsidRPr="00C727CA">
        <w:t>,</w:t>
      </w:r>
      <w:r w:rsidR="003D4681" w:rsidRPr="00C727CA">
        <w:t xml:space="preserve"> </w:t>
      </w:r>
      <w:r w:rsidR="000E2FF3" w:rsidRPr="00C727CA">
        <w:t xml:space="preserve">počet </w:t>
      </w:r>
      <w:r w:rsidR="00C71114" w:rsidRPr="00C727CA">
        <w:t xml:space="preserve">zájemců </w:t>
      </w:r>
      <w:r w:rsidR="000E2FF3" w:rsidRPr="00C727CA">
        <w:t>dále omezit v souvislosti s počtem uchazečů, se</w:t>
      </w:r>
      <w:r w:rsidR="00AF3BC0">
        <w:t> </w:t>
      </w:r>
      <w:r w:rsidR="000E2FF3" w:rsidRPr="00C727CA">
        <w:t>kterými zahájí</w:t>
      </w:r>
      <w:r w:rsidR="00FE13CF" w:rsidRPr="00C727CA">
        <w:t>,</w:t>
      </w:r>
      <w:r w:rsidR="000E2FF3" w:rsidRPr="00C727CA">
        <w:t xml:space="preserve"> po </w:t>
      </w:r>
      <w:r w:rsidR="00246C6F" w:rsidRPr="00C727CA">
        <w:t>předběžné</w:t>
      </w:r>
      <w:r w:rsidR="00C30EF7" w:rsidRPr="00C727CA">
        <w:t>m</w:t>
      </w:r>
      <w:r w:rsidR="00246C6F" w:rsidRPr="00C727CA">
        <w:t xml:space="preserve"> </w:t>
      </w:r>
      <w:r w:rsidR="000E2FF3" w:rsidRPr="00C727CA">
        <w:t>hodnocení nabídek</w:t>
      </w:r>
      <w:r w:rsidR="00745884" w:rsidRPr="00C727CA">
        <w:t xml:space="preserve"> dle bodu </w:t>
      </w:r>
      <w:r w:rsidR="00481F6D" w:rsidRPr="00C727CA">
        <w:t>2.7, následné</w:t>
      </w:r>
      <w:r w:rsidR="00246C6F" w:rsidRPr="00C727CA">
        <w:t xml:space="preserve"> jednání o</w:t>
      </w:r>
      <w:r w:rsidR="00AF3BC0">
        <w:t> </w:t>
      </w:r>
      <w:r w:rsidR="00246C6F" w:rsidRPr="00C727CA">
        <w:t xml:space="preserve">nabídkách dle </w:t>
      </w:r>
      <w:r w:rsidR="00745884" w:rsidRPr="00C727CA">
        <w:t>§ 29 odst. 4 písm. f)</w:t>
      </w:r>
      <w:r w:rsidR="00246C6F" w:rsidRPr="00C727CA">
        <w:t xml:space="preserve"> zákona</w:t>
      </w:r>
      <w:r w:rsidR="009C5ADC">
        <w:t>,</w:t>
      </w:r>
      <w:r w:rsidR="00745884" w:rsidRPr="00C727CA">
        <w:t xml:space="preserve"> dále </w:t>
      </w:r>
      <w:r w:rsidR="00C30EF7" w:rsidRPr="00C727CA">
        <w:t xml:space="preserve">také </w:t>
      </w:r>
      <w:r w:rsidR="00745884" w:rsidRPr="00C727CA">
        <w:t xml:space="preserve">vymezit kritéria pro výběr uchazečů v dalších fázích jednání a tím </w:t>
      </w:r>
      <w:r w:rsidR="00C30EF7" w:rsidRPr="00C727CA">
        <w:t xml:space="preserve">tedy </w:t>
      </w:r>
      <w:r w:rsidR="00246C6F" w:rsidRPr="00C727CA">
        <w:t>potřetí</w:t>
      </w:r>
      <w:r w:rsidR="00745884" w:rsidRPr="00C727CA">
        <w:t xml:space="preserve"> omezovat počet uchazečů dle </w:t>
      </w:r>
      <w:r w:rsidR="00FE13CF" w:rsidRPr="00C727CA">
        <w:t>písm. h) odst. 4</w:t>
      </w:r>
      <w:r w:rsidR="00246C6F" w:rsidRPr="00C727CA">
        <w:t xml:space="preserve"> § 29 zákona.</w:t>
      </w:r>
      <w:r w:rsidR="00B35A87" w:rsidRPr="00C727CA">
        <w:t xml:space="preserve"> </w:t>
      </w:r>
      <w:r w:rsidR="00714A0F" w:rsidRPr="00C727CA">
        <w:t xml:space="preserve">O těchto omezeních </w:t>
      </w:r>
      <w:r w:rsidR="008E571E" w:rsidRPr="00C727CA">
        <w:t>musel</w:t>
      </w:r>
      <w:r w:rsidR="00714A0F" w:rsidRPr="00C727CA">
        <w:t xml:space="preserve"> být každý zájemce informován prostřednictvím výzvy k podání nabídek, která </w:t>
      </w:r>
      <w:r w:rsidR="008E571E" w:rsidRPr="00C727CA">
        <w:t>musela</w:t>
      </w:r>
      <w:r w:rsidR="00714A0F" w:rsidRPr="00C727CA">
        <w:t xml:space="preserve"> splňovat požadavky dané právě § 29 odst. 4 zákona.</w:t>
      </w:r>
    </w:p>
    <w:p w14:paraId="0C65AAEE" w14:textId="77777777" w:rsidR="00C906A7" w:rsidRPr="00C727CA" w:rsidRDefault="00553663" w:rsidP="00F75BE9">
      <w:r w:rsidRPr="00C727CA">
        <w:t>Zadavatel</w:t>
      </w:r>
      <w:r w:rsidR="00FE13CF" w:rsidRPr="00C727CA">
        <w:t>,</w:t>
      </w:r>
      <w:r w:rsidRPr="00C727CA">
        <w:t xml:space="preserve"> p</w:t>
      </w:r>
      <w:r w:rsidR="00B2385D" w:rsidRPr="00C727CA">
        <w:t>o předběžném hodno</w:t>
      </w:r>
      <w:r w:rsidRPr="00C727CA">
        <w:t>cení nabídek</w:t>
      </w:r>
      <w:r w:rsidR="00FE13CF" w:rsidRPr="00C727CA">
        <w:t>,</w:t>
      </w:r>
      <w:r w:rsidRPr="00C727CA">
        <w:t xml:space="preserve"> </w:t>
      </w:r>
      <w:r w:rsidR="00B2385D" w:rsidRPr="00C727CA">
        <w:t>informuje všechny hodnocené uchazeče o předběžném výsledku hodnocení a současně s </w:t>
      </w:r>
      <w:r w:rsidR="00FE13CF" w:rsidRPr="00C727CA">
        <w:t>ním</w:t>
      </w:r>
      <w:r w:rsidR="00B2385D" w:rsidRPr="00C727CA">
        <w:t xml:space="preserve"> je písemně vyzve k prvnímu jednání o</w:t>
      </w:r>
      <w:r w:rsidR="00AF3BC0">
        <w:t> </w:t>
      </w:r>
      <w:r w:rsidR="00B2385D" w:rsidRPr="00C727CA">
        <w:t>nabídkách. Tato výzva musí obsahovat dobu, místo a jazyk jednání dle § 30 odst. 1 zákona s tím, že</w:t>
      </w:r>
      <w:r w:rsidRPr="00C727CA">
        <w:t xml:space="preserve"> pokud zadavatel využil svého práva k omezení počtu uchazečů, s nimiž plánoval </w:t>
      </w:r>
      <w:r w:rsidR="00FE13CF" w:rsidRPr="00C727CA">
        <w:t>zahájit toto</w:t>
      </w:r>
      <w:r w:rsidRPr="00C727CA">
        <w:t xml:space="preserve"> jednání, vyzve jen daný omezený počet dle pořadí, v jakém se v rámci předběžného ho</w:t>
      </w:r>
      <w:r w:rsidR="00481F6D">
        <w:t>d</w:t>
      </w:r>
      <w:r w:rsidRPr="00C727CA">
        <w:t>nocení umístili.</w:t>
      </w:r>
      <w:r w:rsidRPr="00C727CA">
        <w:rPr>
          <w:rStyle w:val="FootnoteReference"/>
        </w:rPr>
        <w:footnoteReference w:id="149"/>
      </w:r>
    </w:p>
    <w:p w14:paraId="335B1AB1" w14:textId="77777777" w:rsidR="00AB37DB" w:rsidRPr="00C727CA" w:rsidRDefault="000A19F3" w:rsidP="00F75BE9">
      <w:r w:rsidRPr="00C727CA">
        <w:t xml:space="preserve">Následné jednání může proběhnout celkově v jedné fázi nebo </w:t>
      </w:r>
      <w:r w:rsidR="00904BC3" w:rsidRPr="00C727CA">
        <w:t xml:space="preserve">i </w:t>
      </w:r>
      <w:r w:rsidRPr="00C727CA">
        <w:t xml:space="preserve">ve více fázích s výše uvedeným postupným omezováním </w:t>
      </w:r>
      <w:r w:rsidR="00904BC3" w:rsidRPr="00C727CA">
        <w:t xml:space="preserve">počtu </w:t>
      </w:r>
      <w:r w:rsidRPr="00C727CA">
        <w:t>uchazečů</w:t>
      </w:r>
      <w:r w:rsidR="009C5ADC">
        <w:t>,</w:t>
      </w:r>
      <w:r w:rsidRPr="00C727CA">
        <w:t xml:space="preserve"> </w:t>
      </w:r>
      <w:r w:rsidR="00904BC3" w:rsidRPr="00C727CA">
        <w:t>či</w:t>
      </w:r>
      <w:r w:rsidRPr="00C727CA">
        <w:t xml:space="preserve"> i bez </w:t>
      </w:r>
      <w:r w:rsidR="00904BC3" w:rsidRPr="00C727CA">
        <w:t>něho</w:t>
      </w:r>
      <w:r w:rsidRPr="00C727CA">
        <w:t>. Pokud by ale jednání mělo proběhnout jen v jedné fázi, pak je logicky dle § 30 odst</w:t>
      </w:r>
      <w:r w:rsidR="00481F6D">
        <w:t>.</w:t>
      </w:r>
      <w:r w:rsidRPr="00C727CA">
        <w:t xml:space="preserve"> 2 zákona vyloučeno, aby zadavatel použil postupného</w:t>
      </w:r>
      <w:r w:rsidR="00904BC3" w:rsidRPr="00C727CA">
        <w:t xml:space="preserve"> omezování počtu</w:t>
      </w:r>
      <w:r w:rsidRPr="00C727CA">
        <w:t xml:space="preserve"> uchazečů dle § 29 odst. 4 písm. h) zákona pro další</w:t>
      </w:r>
      <w:r w:rsidR="00FE13CF" w:rsidRPr="00C727CA">
        <w:t>,</w:t>
      </w:r>
      <w:r w:rsidRPr="00C727CA">
        <w:t xml:space="preserve"> fakticky neuskutečněné</w:t>
      </w:r>
      <w:r w:rsidR="00FE13CF" w:rsidRPr="00C727CA">
        <w:t>,</w:t>
      </w:r>
      <w:r w:rsidRPr="00C727CA">
        <w:t xml:space="preserve"> fáze jednání</w:t>
      </w:r>
      <w:r w:rsidR="00904BC3" w:rsidRPr="00C727CA">
        <w:t xml:space="preserve">. Počet fází </w:t>
      </w:r>
      <w:r w:rsidR="00FE13CF" w:rsidRPr="00C727CA">
        <w:t xml:space="preserve">jednání </w:t>
      </w:r>
      <w:r w:rsidR="00904BC3" w:rsidRPr="00C727CA">
        <w:t xml:space="preserve">je však </w:t>
      </w:r>
      <w:r w:rsidR="00FE13CF" w:rsidRPr="00C727CA">
        <w:t>prakticky</w:t>
      </w:r>
      <w:r w:rsidR="00904BC3" w:rsidRPr="00C727CA">
        <w:t xml:space="preserve"> neomezen a záleží jen na zadavateli, jaký počet stanoví. Pokud se ale rozhodne, že určitá fáze bude tou poslední, musí o tom, po skončení takové fáze, všechny jednající obeznámit dle § 31 odst. 5 </w:t>
      </w:r>
      <w:r w:rsidR="00AE3DB5" w:rsidRPr="00C727CA">
        <w:t>ve spojení s odst. 7 zákona</w:t>
      </w:r>
      <w:r w:rsidR="00904BC3" w:rsidRPr="00C727CA">
        <w:t>.</w:t>
      </w:r>
      <w:r w:rsidR="00C9639B" w:rsidRPr="00C727CA">
        <w:rPr>
          <w:rStyle w:val="FootnoteReference"/>
        </w:rPr>
        <w:footnoteReference w:id="150"/>
      </w:r>
    </w:p>
    <w:p w14:paraId="491BD4E9" w14:textId="77777777" w:rsidR="00C9639B" w:rsidRPr="00C727CA" w:rsidRDefault="00004CF9" w:rsidP="00F75BE9">
      <w:r w:rsidRPr="00C727CA">
        <w:t xml:space="preserve">Pokud jde o samotné jednání zadavatele s uchazečem v rámci konkrétní fáze, mohou spolu jednat o veškerých podmínkách </w:t>
      </w:r>
      <w:r w:rsidR="00197D53" w:rsidRPr="00C727CA">
        <w:t xml:space="preserve">plnění </w:t>
      </w:r>
      <w:r w:rsidRPr="00C727CA">
        <w:t>stanovených v uchazečově nabídce, které jsou předmětem hodnocení</w:t>
      </w:r>
      <w:r w:rsidR="00197D53" w:rsidRPr="00C727CA">
        <w:t xml:space="preserve">, nebo např. i o nabídkové ceně. </w:t>
      </w:r>
      <w:r w:rsidRPr="00C727CA">
        <w:t>Naopak se nesmí jednat o kvalifikaci, která musí být již posouzena.</w:t>
      </w:r>
      <w:r w:rsidR="00197D53" w:rsidRPr="00C727CA">
        <w:t xml:space="preserve"> Zadavatel také v této fázi </w:t>
      </w:r>
      <w:r w:rsidR="00FE13CF" w:rsidRPr="00C727CA">
        <w:t xml:space="preserve">již </w:t>
      </w:r>
      <w:r w:rsidR="00197D53" w:rsidRPr="00C727CA">
        <w:t>nesmí měnit zadávací dokumentaci. Jednání může provádět zadavatel sám</w:t>
      </w:r>
      <w:r w:rsidR="00FE13CF" w:rsidRPr="00C727CA">
        <w:t>,</w:t>
      </w:r>
      <w:r w:rsidR="00197D53" w:rsidRPr="00C727CA">
        <w:t xml:space="preserve"> </w:t>
      </w:r>
      <w:r w:rsidR="00B90BF2" w:rsidRPr="00C727CA">
        <w:t>prostře</w:t>
      </w:r>
      <w:r w:rsidR="00481F6D">
        <w:t>d</w:t>
      </w:r>
      <w:r w:rsidR="00B90BF2" w:rsidRPr="00C727CA">
        <w:t>nictvím</w:t>
      </w:r>
      <w:r w:rsidR="00197D53" w:rsidRPr="00C727CA">
        <w:t xml:space="preserve"> jím pověř</w:t>
      </w:r>
      <w:r w:rsidR="00B90BF2" w:rsidRPr="00C727CA">
        <w:t>ené osoby nebo</w:t>
      </w:r>
      <w:r w:rsidR="00197D53" w:rsidRPr="00C727CA">
        <w:t xml:space="preserve"> i hodnotící komise dle § 30 odst. 5 zákona s tím, že</w:t>
      </w:r>
      <w:r w:rsidR="00B90BF2" w:rsidRPr="00C727CA">
        <w:t xml:space="preserve"> jednání může probíhat se všemi uchazeči současně či odděleně a kromě momentální nabídkové ceny nesmí zadavatel sdělovat ostatním uchazečům takové údaje, kter</w:t>
      </w:r>
      <w:r w:rsidR="00481F6D">
        <w:t>é se týkají nabídky jiného uchaz</w:t>
      </w:r>
      <w:r w:rsidR="00B90BF2" w:rsidRPr="00C727CA">
        <w:t>eče, pokud k takovému jednání nedostal předchozí souhlas.</w:t>
      </w:r>
      <w:r w:rsidR="00B90BF2" w:rsidRPr="00C727CA">
        <w:rPr>
          <w:rStyle w:val="FootnoteReference"/>
        </w:rPr>
        <w:footnoteReference w:id="151"/>
      </w:r>
    </w:p>
    <w:p w14:paraId="4BC3DBF7" w14:textId="77777777" w:rsidR="0027102D" w:rsidRPr="00C727CA" w:rsidRDefault="0027102D" w:rsidP="00F75BE9">
      <w:r w:rsidRPr="00C727CA">
        <w:t xml:space="preserve">V rámci každé fáze jednání o nabídkách je zadavatelem vyhotovován písemný </w:t>
      </w:r>
      <w:r w:rsidR="00FE13CF" w:rsidRPr="00C727CA">
        <w:t>„</w:t>
      </w:r>
      <w:r w:rsidRPr="00C727CA">
        <w:t>protokol z</w:t>
      </w:r>
      <w:r w:rsidR="00FE13CF" w:rsidRPr="00C727CA">
        <w:t> </w:t>
      </w:r>
      <w:r w:rsidRPr="00C727CA">
        <w:t>jednání</w:t>
      </w:r>
      <w:r w:rsidR="00FE13CF" w:rsidRPr="00C727CA">
        <w:t>“</w:t>
      </w:r>
      <w:r w:rsidRPr="00C727CA">
        <w:t xml:space="preserve"> dle § 31 odst. 2 zákona, který musí primárně obsahovat informace o</w:t>
      </w:r>
      <w:r w:rsidR="00AF3BC0">
        <w:t> </w:t>
      </w:r>
      <w:r w:rsidRPr="00C727CA">
        <w:t>takových ujednáních, která mohou vést ke změně finální nabídky nebo smlouvy s tím, že tento protokol musí vždy podepsat zadavatel a zúčastnění uchazeči. Tímto podpisem také uchazeči stvrzují, že dané údaje jsou pro ně závazné.</w:t>
      </w:r>
      <w:r w:rsidR="003E4AAF" w:rsidRPr="00C727CA">
        <w:t xml:space="preserve"> Po skončení ka</w:t>
      </w:r>
      <w:r w:rsidRPr="00C727CA">
        <w:t>ždé fáze</w:t>
      </w:r>
      <w:r w:rsidR="003E4AAF" w:rsidRPr="00C727CA">
        <w:t xml:space="preserve"> je povinností zadavatele stanovit průběžné pořadí uchazečů dle výsledků v dané fázi. Kritériem pro takové pořadí </w:t>
      </w:r>
      <w:r w:rsidR="00AE3DB5" w:rsidRPr="00C727CA">
        <w:t xml:space="preserve">jsou </w:t>
      </w:r>
      <w:r w:rsidR="00481F6D">
        <w:t>ale stále hodnotící kri</w:t>
      </w:r>
      <w:r w:rsidR="003E4AAF" w:rsidRPr="00C727CA">
        <w:t>téria stanovená zadavatelem</w:t>
      </w:r>
      <w:r w:rsidR="00AE3DB5" w:rsidRPr="00C727CA">
        <w:t xml:space="preserve"> ve výzvě k podání nabídek dle § 29 odst. 4 písm. e) zákona s tím, že zadavatel vedle protokolu z jednání vyhotovuje také </w:t>
      </w:r>
      <w:r w:rsidR="00FE13CF" w:rsidRPr="00C727CA">
        <w:t>„</w:t>
      </w:r>
      <w:r w:rsidR="00AE3DB5" w:rsidRPr="00C727CA">
        <w:t>protokol o konečném výsledku hodnocení</w:t>
      </w:r>
      <w:r w:rsidR="00FE13CF" w:rsidRPr="00C727CA">
        <w:t>“</w:t>
      </w:r>
      <w:r w:rsidR="00AE3DB5" w:rsidRPr="00C727CA">
        <w:t xml:space="preserve">. V něm musí </w:t>
      </w:r>
      <w:r w:rsidR="00A65683" w:rsidRPr="00C727CA">
        <w:t xml:space="preserve">být </w:t>
      </w:r>
      <w:r w:rsidR="00AE3DB5" w:rsidRPr="00C727CA">
        <w:t xml:space="preserve">případně uvedeno, zdali bude následovat další fáze jednání případně s jakými uchazeči. Pokud další fáze </w:t>
      </w:r>
      <w:r w:rsidR="00481F6D">
        <w:t>již následovat nebudou, vyhotoví</w:t>
      </w:r>
      <w:r w:rsidR="00AE3DB5" w:rsidRPr="00C727CA">
        <w:t xml:space="preserve"> zadavatel finální </w:t>
      </w:r>
      <w:r w:rsidR="00002AA8" w:rsidRPr="00C727CA">
        <w:t>„</w:t>
      </w:r>
      <w:r w:rsidR="00AE3DB5" w:rsidRPr="00C727CA">
        <w:t>zprávu o posouzení a hodnoc</w:t>
      </w:r>
      <w:r w:rsidR="00481F6D">
        <w:t>e</w:t>
      </w:r>
      <w:r w:rsidR="00AE3DB5" w:rsidRPr="00C727CA">
        <w:t>ní nabídek</w:t>
      </w:r>
      <w:r w:rsidR="00002AA8" w:rsidRPr="00C727CA">
        <w:t>“</w:t>
      </w:r>
      <w:r w:rsidR="00AE3DB5" w:rsidRPr="00C727CA">
        <w:t xml:space="preserve"> dle § 80 zákona.</w:t>
      </w:r>
      <w:r w:rsidR="00A65683" w:rsidRPr="00C727CA">
        <w:rPr>
          <w:rStyle w:val="FootnoteReference"/>
        </w:rPr>
        <w:footnoteReference w:id="152"/>
      </w:r>
    </w:p>
    <w:p w14:paraId="33DA6D18" w14:textId="77777777" w:rsidR="009861F7" w:rsidRPr="00C727CA" w:rsidRDefault="009861F7" w:rsidP="000B693E">
      <w:r w:rsidRPr="00C727CA">
        <w:t xml:space="preserve">Posledním krokem je případně úprava návrhu smlouvy dle § 32 zákona. Jde o jediný případ, vyjma elektronické aukce, kdy lze </w:t>
      </w:r>
      <w:r w:rsidR="00CB0937" w:rsidRPr="00C727CA">
        <w:rPr>
          <w:i/>
        </w:rPr>
        <w:t>ex post</w:t>
      </w:r>
      <w:r w:rsidR="00CB0937" w:rsidRPr="00C727CA">
        <w:t xml:space="preserve"> </w:t>
      </w:r>
      <w:r w:rsidRPr="00C727CA">
        <w:t>upravit</w:t>
      </w:r>
      <w:r w:rsidR="00CB0937" w:rsidRPr="00C727CA">
        <w:t xml:space="preserve"> návrh smlouvy obsažený v uchazečově nabídce.</w:t>
      </w:r>
      <w:r w:rsidR="00EC671B" w:rsidRPr="00C727CA">
        <w:t xml:space="preserve"> Uchazeč</w:t>
      </w:r>
      <w:r w:rsidR="00481F6D">
        <w:t>, který se dle finální zprávy</w:t>
      </w:r>
      <w:r w:rsidR="001B59D9" w:rsidRPr="00C727CA">
        <w:t xml:space="preserve"> o posouzení a hodnoc</w:t>
      </w:r>
      <w:r w:rsidR="00481F6D">
        <w:t>e</w:t>
      </w:r>
      <w:r w:rsidR="001B59D9" w:rsidRPr="00C727CA">
        <w:t>ní nabídek</w:t>
      </w:r>
      <w:r w:rsidR="00EC671B" w:rsidRPr="00C727CA">
        <w:t xml:space="preserve"> umístil na prvním místě, </w:t>
      </w:r>
      <w:r w:rsidR="001B59D9" w:rsidRPr="00C727CA">
        <w:t xml:space="preserve">je </w:t>
      </w:r>
      <w:r w:rsidR="00EC671B" w:rsidRPr="00C727CA">
        <w:t>povi</w:t>
      </w:r>
      <w:r w:rsidR="001B59D9" w:rsidRPr="00C727CA">
        <w:t>nen doruč</w:t>
      </w:r>
      <w:r w:rsidR="00EC671B" w:rsidRPr="00C727CA">
        <w:t>it zadavateli do sedmi dnů od doručení dané finální zprávy upravený návrh smlouvy dle § 32 odst. 1 zákona</w:t>
      </w:r>
      <w:r w:rsidR="00472CDD" w:rsidRPr="00C727CA">
        <w:t xml:space="preserve"> tak, jak bylo se zadavatelem v jednotlivých fázích jednání dohodnuto</w:t>
      </w:r>
      <w:r w:rsidR="00EC671B" w:rsidRPr="00C727CA">
        <w:t>.</w:t>
      </w:r>
      <w:r w:rsidR="008C4F17" w:rsidRPr="00C727CA">
        <w:t xml:space="preserve"> Upravený návrh smlouvy pak nahrazuje smlouvu původní. Pokud však takto vybraný uchazeč nový návrh smlouvy zadavateli ve stanovené lhůtě nedoručí, může se takový zadavatel obrátit na uchazeče umístěného na druhém</w:t>
      </w:r>
      <w:r w:rsidR="00002AA8" w:rsidRPr="00C727CA">
        <w:t>,</w:t>
      </w:r>
      <w:r w:rsidR="008C4F17" w:rsidRPr="00C727CA">
        <w:t xml:space="preserve"> případně třetím místě.</w:t>
      </w:r>
      <w:r w:rsidR="00D33273" w:rsidRPr="00C727CA">
        <w:t xml:space="preserve"> Samotný </w:t>
      </w:r>
      <w:r w:rsidR="00002AA8" w:rsidRPr="00C727CA">
        <w:t>následný postup</w:t>
      </w:r>
      <w:r w:rsidR="00D33273" w:rsidRPr="00C727CA">
        <w:t xml:space="preserve"> </w:t>
      </w:r>
      <w:r w:rsidR="00002AA8" w:rsidRPr="00C727CA">
        <w:t xml:space="preserve">v rámci tohoto zadávacího řízení </w:t>
      </w:r>
      <w:r w:rsidR="00D33273" w:rsidRPr="00C727CA">
        <w:t>je pak opět</w:t>
      </w:r>
      <w:r w:rsidR="00481F6D">
        <w:t xml:space="preserve"> shodný s výše uvedeným postupem</w:t>
      </w:r>
      <w:r w:rsidR="00D33273" w:rsidRPr="00C727CA">
        <w:t xml:space="preserve"> zadavatel</w:t>
      </w:r>
      <w:r w:rsidR="00AC4ADC">
        <w:t xml:space="preserve">e v užším řízení dle bodů 2.9. </w:t>
      </w:r>
      <w:r w:rsidR="00AC4ADC" w:rsidRPr="009C5ADC">
        <w:t>–</w:t>
      </w:r>
      <w:r w:rsidR="00AC4ADC">
        <w:t xml:space="preserve"> uzavření smlouvy až 2.12. </w:t>
      </w:r>
      <w:r w:rsidR="00AC4ADC" w:rsidRPr="009C5ADC">
        <w:t>–</w:t>
      </w:r>
      <w:r w:rsidR="00D33273" w:rsidRPr="00C727CA">
        <w:t xml:space="preserve"> uveřejnění smlouvy, výše skutečně uhrazené ceny a seznam subdodavatelů.</w:t>
      </w:r>
      <w:r w:rsidR="00D33273" w:rsidRPr="00C727CA">
        <w:rPr>
          <w:rStyle w:val="FootnoteReference"/>
        </w:rPr>
        <w:footnoteReference w:id="153"/>
      </w:r>
    </w:p>
    <w:p w14:paraId="5D980DCE" w14:textId="77777777" w:rsidR="000B693E" w:rsidRPr="00C727CA" w:rsidRDefault="000B693E" w:rsidP="000B693E"/>
    <w:p w14:paraId="2D567ABE" w14:textId="77777777" w:rsidR="000B693E" w:rsidRPr="00C727CA" w:rsidRDefault="000B693E" w:rsidP="000B693E">
      <w:r w:rsidRPr="00C727CA">
        <w:t>Určitými odchylkami se o</w:t>
      </w:r>
      <w:r w:rsidR="00AC4ADC">
        <w:t>d postupu zadavatele dle §§ 29 -</w:t>
      </w:r>
      <w:r w:rsidRPr="00C727CA">
        <w:t xml:space="preserve"> 32 zákona vyznačuje </w:t>
      </w:r>
      <w:r w:rsidRPr="00481F6D">
        <w:t>zvláštní postup sektorového zadavatele dle § 33 zákona.</w:t>
      </w:r>
      <w:r w:rsidRPr="00C727CA">
        <w:rPr>
          <w:b/>
        </w:rPr>
        <w:t xml:space="preserve"> </w:t>
      </w:r>
      <w:r w:rsidR="00D909A8" w:rsidRPr="00C727CA">
        <w:t xml:space="preserve">Tento postup může využít </w:t>
      </w:r>
      <w:r w:rsidR="00002AA8" w:rsidRPr="00C727CA">
        <w:t xml:space="preserve">pouze </w:t>
      </w:r>
      <w:r w:rsidR="00D909A8" w:rsidRPr="00C727CA">
        <w:t>sektorový zadavatel u nadlimitní VZ se zvláště složitým předmětem plnění s tím, že se uplatní ve stádiu mezi posouzením kvalifikace a výzvou uchazečům k podání nabídek. Tento prostor totiž může sektorový zadavatel využít obdobně, jako zadavatel v rámci soutěžního dialogu, k</w:t>
      </w:r>
      <w:r w:rsidR="00AF3BC0">
        <w:t> </w:t>
      </w:r>
      <w:r w:rsidR="00D909A8" w:rsidRPr="00C727CA">
        <w:t>„nalezení vhodného řešení pro naplnění svých potřeb a cílů.“</w:t>
      </w:r>
      <w:r w:rsidR="00D909A8" w:rsidRPr="00C727CA">
        <w:rPr>
          <w:rStyle w:val="FootnoteReference"/>
        </w:rPr>
        <w:footnoteReference w:id="154"/>
      </w:r>
      <w:r w:rsidR="00825A25" w:rsidRPr="00C727CA">
        <w:t xml:space="preserve"> I zde může zadavatel poskytnout takto jednajícím zájemcům případnou finanční kompenzaci za pomoc při hledání určitého vhodného řešení. Fakticky tedy můžeme uzavřít, že v rámci tohoto postupu dochází ke kombinaci jednacího řízení s uveřejněním s obdobným postupem dle § 36 zákona </w:t>
      </w:r>
      <w:r w:rsidR="00002AA8" w:rsidRPr="00C727CA">
        <w:t>(</w:t>
      </w:r>
      <w:r w:rsidR="00825A25" w:rsidRPr="00C727CA">
        <w:t>o</w:t>
      </w:r>
      <w:r w:rsidR="00AF3BC0">
        <w:t> </w:t>
      </w:r>
      <w:r w:rsidR="00825A25" w:rsidRPr="00C727CA">
        <w:t>průběhu soutěžního dialogu</w:t>
      </w:r>
      <w:r w:rsidR="00002AA8" w:rsidRPr="00C727CA">
        <w:t>),</w:t>
      </w:r>
      <w:r w:rsidR="00825A25" w:rsidRPr="00C727CA">
        <w:t xml:space="preserve"> ve výše uvedeném stádiu.</w:t>
      </w:r>
      <w:r w:rsidR="00CB0239" w:rsidRPr="00C727CA">
        <w:rPr>
          <w:rStyle w:val="FootnoteReference"/>
        </w:rPr>
        <w:footnoteReference w:id="155"/>
      </w:r>
    </w:p>
    <w:p w14:paraId="69AF9BDE" w14:textId="77777777" w:rsidR="00197F79" w:rsidRPr="00C727CA" w:rsidRDefault="00197F79" w:rsidP="000B693E"/>
    <w:p w14:paraId="10FB937B" w14:textId="77777777" w:rsidR="00197F79" w:rsidRPr="00C727CA" w:rsidRDefault="00197F79" w:rsidP="000B693E">
      <w:r w:rsidRPr="00481F6D">
        <w:t xml:space="preserve">Pokud jde o </w:t>
      </w:r>
      <w:r w:rsidR="00481F6D">
        <w:t>obdobný postu</w:t>
      </w:r>
      <w:r w:rsidR="00BB68AA">
        <w:t>p z</w:t>
      </w:r>
      <w:r w:rsidR="00AC4ADC">
        <w:t>adavatele dle § 34 odst. 1 -</w:t>
      </w:r>
      <w:r w:rsidRPr="00481F6D">
        <w:t xml:space="preserve"> 3 zákona,</w:t>
      </w:r>
      <w:r w:rsidRPr="00C727CA">
        <w:t xml:space="preserve"> tedy </w:t>
      </w:r>
      <w:r w:rsidR="007C4F8B" w:rsidRPr="00C727CA">
        <w:t xml:space="preserve">fakticky </w:t>
      </w:r>
      <w:r w:rsidRPr="00C727CA">
        <w:t>o</w:t>
      </w:r>
      <w:r w:rsidR="00AF3BC0">
        <w:t> </w:t>
      </w:r>
      <w:r w:rsidRPr="00C727CA">
        <w:t xml:space="preserve">obdobný postup podle jednacího řízení bez uveřejnění, </w:t>
      </w:r>
      <w:r w:rsidR="00481F6D" w:rsidRPr="00C727CA">
        <w:t>odkážu</w:t>
      </w:r>
      <w:r w:rsidRPr="00C727CA">
        <w:t xml:space="preserve"> tímto čtenáře na níže provedenou analýzu</w:t>
      </w:r>
      <w:r w:rsidR="00223100" w:rsidRPr="00C727CA">
        <w:t xml:space="preserve"> právě jednacího řízení bez uveřejnění</w:t>
      </w:r>
      <w:r w:rsidRPr="00C727CA">
        <w:t>.</w:t>
      </w:r>
    </w:p>
    <w:p w14:paraId="1E558484" w14:textId="77777777" w:rsidR="00197F79" w:rsidRPr="00C727CA" w:rsidRDefault="00197F79" w:rsidP="00197F79">
      <w:pPr>
        <w:pStyle w:val="Heading2"/>
      </w:pPr>
      <w:bookmarkStart w:id="20" w:name="_Toc472859449"/>
      <w:r w:rsidRPr="00C727CA">
        <w:t>Jednací řízení bez uveřejnění</w:t>
      </w:r>
      <w:bookmarkEnd w:id="20"/>
    </w:p>
    <w:p w14:paraId="51C98395" w14:textId="77777777" w:rsidR="00197F79" w:rsidRPr="00C727CA" w:rsidRDefault="007C4F8B" w:rsidP="00A9664F">
      <w:pPr>
        <w:ind w:firstLine="0"/>
      </w:pPr>
      <w:r w:rsidRPr="00C727CA">
        <w:t xml:space="preserve">Toto zadávací řízení je </w:t>
      </w:r>
      <w:r w:rsidR="000A1652" w:rsidRPr="00C727CA">
        <w:t>kvůli své</w:t>
      </w:r>
      <w:r w:rsidR="00481F6D">
        <w:t xml:space="preserve"> povaze spíše výjimečným řízením</w:t>
      </w:r>
      <w:r w:rsidR="000A1652" w:rsidRPr="00C727CA">
        <w:t>, a to především proto, že v rámci tohoto řízení dochází k podstatnému omezení hospodářské soutěže</w:t>
      </w:r>
      <w:r w:rsidR="00806802" w:rsidRPr="00C727CA">
        <w:t>. D</w:t>
      </w:r>
      <w:r w:rsidR="000A1652" w:rsidRPr="00C727CA">
        <w:t>aná zakázka je fakticky zadána t</w:t>
      </w:r>
      <w:r w:rsidR="00806802" w:rsidRPr="00C727CA">
        <w:t>zv. z ruky adresnému zájemci</w:t>
      </w:r>
      <w:r w:rsidR="000A1652" w:rsidRPr="00C727CA">
        <w:t xml:space="preserve">. Prakticky tedy jde o nejméně formální a </w:t>
      </w:r>
      <w:r w:rsidR="00481F6D" w:rsidRPr="00C727CA">
        <w:t>nejjednodušší</w:t>
      </w:r>
      <w:r w:rsidR="000F4D1A" w:rsidRPr="00C727CA">
        <w:t xml:space="preserve"> zadávací řízení, o čemž také svědčí i délka právní úpravy </w:t>
      </w:r>
      <w:r w:rsidR="00E40313" w:rsidRPr="00C727CA">
        <w:t>tohoto řízení</w:t>
      </w:r>
      <w:r w:rsidR="000F4D1A" w:rsidRPr="00C727CA">
        <w:t>.</w:t>
      </w:r>
      <w:r w:rsidR="000F4D1A" w:rsidRPr="00C727CA">
        <w:rPr>
          <w:rStyle w:val="FootnoteReference"/>
        </w:rPr>
        <w:footnoteReference w:id="156"/>
      </w:r>
    </w:p>
    <w:p w14:paraId="3AC9DDD8" w14:textId="77777777" w:rsidR="00463CC3" w:rsidRPr="00C727CA" w:rsidRDefault="00463CC3" w:rsidP="00197F79">
      <w:r w:rsidRPr="00C727CA">
        <w:t xml:space="preserve">Před podrobnější analýzou problematiky </w:t>
      </w:r>
      <w:r w:rsidR="00E40313" w:rsidRPr="00C727CA">
        <w:t>tohoto</w:t>
      </w:r>
      <w:r w:rsidRPr="00C727CA">
        <w:t xml:space="preserve"> řízení </w:t>
      </w:r>
      <w:r w:rsidR="00E40313" w:rsidRPr="00C727CA">
        <w:t>si</w:t>
      </w:r>
      <w:r w:rsidRPr="00C727CA">
        <w:t xml:space="preserve"> ale musíme uvědomit, že i</w:t>
      </w:r>
      <w:r w:rsidR="00AF3BC0">
        <w:t> </w:t>
      </w:r>
      <w:r w:rsidRPr="00C727CA">
        <w:t>v tomto jednacím řízení musí být nejdříve naplněna některá z podmínek použití jednacího řízení bez uveřejnění stanovená § 23 zákona s tím, že následné použití tohoto řízení je pouze právem zadavatele, nikoliv jeho povinností.</w:t>
      </w:r>
      <w:r w:rsidRPr="00C727CA">
        <w:rPr>
          <w:rStyle w:val="FootnoteReference"/>
        </w:rPr>
        <w:footnoteReference w:id="157"/>
      </w:r>
    </w:p>
    <w:p w14:paraId="6D5084D4" w14:textId="77777777" w:rsidR="00EB0BDA" w:rsidRPr="00C727CA" w:rsidRDefault="005638C0" w:rsidP="00A75EE7">
      <w:r w:rsidRPr="00C727CA">
        <w:t>Podmínky stanov</w:t>
      </w:r>
      <w:r w:rsidR="007A6194" w:rsidRPr="00C727CA">
        <w:t xml:space="preserve">ené § 23 jsou </w:t>
      </w:r>
      <w:r w:rsidR="00D14A42" w:rsidRPr="00C727CA">
        <w:t xml:space="preserve">v tomto případě </w:t>
      </w:r>
      <w:r w:rsidR="007A6194" w:rsidRPr="00C727CA">
        <w:t xml:space="preserve">velmi technické, metodické a precizní </w:t>
      </w:r>
      <w:r w:rsidRPr="00C727CA">
        <w:t>v tom smyslu, že zadavateli by mělo stačit, aby se řídil dikcí zákona</w:t>
      </w:r>
      <w:r w:rsidR="00E40313" w:rsidRPr="00C727CA">
        <w:t>,</w:t>
      </w:r>
      <w:r w:rsidRPr="00C727CA">
        <w:t xml:space="preserve"> na základě čehož by měl být schopen dovodit, zdali některou z podmínek splňuje. Můžeme ale obecně říci, že jednací řízení bez uveřejnění může být použito buď po předchozím neúspěšném zadání VZ v rámci jiného zadávacího řízení nebo při splnění některé </w:t>
      </w:r>
      <w:r w:rsidR="00E40313" w:rsidRPr="00C727CA">
        <w:t>z dalších podmínek</w:t>
      </w:r>
      <w:r w:rsidRPr="00C727CA">
        <w:t xml:space="preserve"> § 23 zákona. Vhodné je také dodat, že dané podmínky </w:t>
      </w:r>
      <w:r w:rsidR="00EE0335" w:rsidRPr="00C727CA">
        <w:t>jsou platné pro všechny kategorie zadavatelů, pokud není výslovně stanoveno jinak.</w:t>
      </w:r>
      <w:r w:rsidR="007A6194" w:rsidRPr="00C727CA">
        <w:rPr>
          <w:rStyle w:val="FootnoteReference"/>
        </w:rPr>
        <w:footnoteReference w:id="158"/>
      </w:r>
    </w:p>
    <w:p w14:paraId="45049F4B" w14:textId="77777777" w:rsidR="007A6194" w:rsidRPr="00C727CA" w:rsidRDefault="007A6194" w:rsidP="00A75EE7">
      <w:r w:rsidRPr="00C727CA">
        <w:t>Nyní k samotné analýze postupu zadavatele:</w:t>
      </w:r>
    </w:p>
    <w:p w14:paraId="5D5FD7D6" w14:textId="77777777" w:rsidR="006B2919" w:rsidRPr="00C727CA" w:rsidRDefault="006B2919" w:rsidP="00A75EE7">
      <w:pPr>
        <w:pStyle w:val="ListParagraph"/>
        <w:numPr>
          <w:ilvl w:val="0"/>
          <w:numId w:val="45"/>
        </w:numPr>
        <w:spacing w:line="360" w:lineRule="auto"/>
        <w:jc w:val="both"/>
      </w:pPr>
      <w:r w:rsidRPr="00C727CA">
        <w:t xml:space="preserve">zveřejnění záměru uzavřít smlouvu – dle § 146 odst. 2 zákona může zadavatel </w:t>
      </w:r>
      <w:r w:rsidR="00E40313" w:rsidRPr="00C727CA">
        <w:t xml:space="preserve">dobrovolně </w:t>
      </w:r>
      <w:r w:rsidRPr="00C727CA">
        <w:t xml:space="preserve">zveřejnit </w:t>
      </w:r>
      <w:r w:rsidR="00A75EE7" w:rsidRPr="00C727CA">
        <w:t xml:space="preserve">svůj záměr </w:t>
      </w:r>
      <w:r w:rsidR="009E6DB8">
        <w:t>uzavřít smlouvu v tomto řízení i</w:t>
      </w:r>
      <w:r w:rsidR="00E40313" w:rsidRPr="00C727CA">
        <w:t xml:space="preserve"> navzdory tomu, že </w:t>
      </w:r>
      <w:r w:rsidR="00A75EE7" w:rsidRPr="00C727CA">
        <w:t>nemá povinnost zveřejnit oznámení o zahájení jednacího řízení bez uveřejnění;</w:t>
      </w:r>
      <w:r w:rsidR="00B35847" w:rsidRPr="00C727CA">
        <w:rPr>
          <w:rStyle w:val="FootnoteReference"/>
        </w:rPr>
        <w:footnoteReference w:id="159"/>
      </w:r>
    </w:p>
    <w:p w14:paraId="40E8138B" w14:textId="77777777" w:rsidR="00A75EE7" w:rsidRPr="00C727CA" w:rsidRDefault="00A75EE7" w:rsidP="00A75EE7">
      <w:pPr>
        <w:pStyle w:val="ListParagraph"/>
        <w:numPr>
          <w:ilvl w:val="0"/>
          <w:numId w:val="45"/>
        </w:numPr>
        <w:spacing w:line="360" w:lineRule="auto"/>
        <w:jc w:val="both"/>
      </w:pPr>
      <w:r w:rsidRPr="00C727CA">
        <w:t>předběžné oznámení veřejného zadavatele – v tomto případě je právní analýza shodná s analýzou provedenou výše u otevřeného řízení</w:t>
      </w:r>
      <w:r w:rsidR="002A10E2">
        <w:t xml:space="preserve">. Proto tedy čtenáře </w:t>
      </w:r>
      <w:r w:rsidR="00481F6D">
        <w:t>odkážu, viz</w:t>
      </w:r>
      <w:r w:rsidRPr="00C727CA">
        <w:t xml:space="preserve"> výše. Nutné je ale dodat, že dle § 86 odst. 3 písm. c) tuto povinnost zadavatel nemá, pokud je VZ zadávána v jednacím řízení bez uveřejnění </w:t>
      </w:r>
      <w:r w:rsidR="001F12C6" w:rsidRPr="00C727CA">
        <w:t xml:space="preserve">po splnění podmínek v </w:t>
      </w:r>
      <w:r w:rsidRPr="00C727CA">
        <w:t>§ 23 odst. 1, § 23 odst. 4 písm. b), § 23 odst. 5 písm. c) až e), § 23 odst. 6 až 9, § 23 odst. 10 písm. a) a c) nebo § 23 odst. 11;</w:t>
      </w:r>
      <w:r w:rsidR="00B35847" w:rsidRPr="00C727CA">
        <w:rPr>
          <w:rStyle w:val="FootnoteReference"/>
        </w:rPr>
        <w:footnoteReference w:id="160"/>
      </w:r>
    </w:p>
    <w:p w14:paraId="22429D6E" w14:textId="77777777" w:rsidR="00A75EE7" w:rsidRPr="00C727CA" w:rsidRDefault="00B35847" w:rsidP="00A75EE7">
      <w:pPr>
        <w:pStyle w:val="ListParagraph"/>
        <w:numPr>
          <w:ilvl w:val="0"/>
          <w:numId w:val="45"/>
        </w:numPr>
        <w:spacing w:line="360" w:lineRule="auto"/>
        <w:jc w:val="both"/>
      </w:pPr>
      <w:r w:rsidRPr="00C727CA">
        <w:t xml:space="preserve">písemná výzva k jednání – tato výzva zadavatele je adresována konkrétnímu dodavateli nebo omezenému </w:t>
      </w:r>
      <w:r w:rsidR="001F12C6" w:rsidRPr="00C727CA">
        <w:t>okruhu</w:t>
      </w:r>
      <w:r w:rsidRPr="00C727CA">
        <w:t xml:space="preserve"> dodavatelů za účelem jednání, dohodnutí</w:t>
      </w:r>
      <w:r w:rsidR="001F12C6" w:rsidRPr="00C727CA">
        <w:t xml:space="preserve"> smluvních </w:t>
      </w:r>
      <w:r w:rsidR="00481F6D" w:rsidRPr="00C727CA">
        <w:t>podmínek a následného</w:t>
      </w:r>
      <w:r w:rsidR="001F12C6" w:rsidRPr="00C727CA">
        <w:t xml:space="preserve"> uzavření</w:t>
      </w:r>
      <w:r w:rsidRPr="00C727CA">
        <w:t xml:space="preserve"> VZ s </w:t>
      </w:r>
      <w:r w:rsidR="001F12C6" w:rsidRPr="00C727CA">
        <w:t>konkrétním</w:t>
      </w:r>
      <w:r w:rsidRPr="00C727CA">
        <w:t xml:space="preserve"> dodavatelem. Současně je touto výzvou dle § 26 odst. 1 písm. b)</w:t>
      </w:r>
      <w:r w:rsidR="001F12C6" w:rsidRPr="00C727CA">
        <w:t>,</w:t>
      </w:r>
      <w:r w:rsidRPr="00C727CA">
        <w:t xml:space="preserve"> ve spojení s odst. 3 písm. a)</w:t>
      </w:r>
      <w:r w:rsidR="00CF0EAB" w:rsidRPr="00C727CA">
        <w:t xml:space="preserve"> </w:t>
      </w:r>
      <w:r w:rsidR="001F12C6" w:rsidRPr="00C727CA">
        <w:t xml:space="preserve">zákona, </w:t>
      </w:r>
      <w:r w:rsidR="00CF0EAB" w:rsidRPr="00C727CA">
        <w:t>dané zadávací řízení zahájeno</w:t>
      </w:r>
      <w:r w:rsidR="001F12C6" w:rsidRPr="00C727CA">
        <w:t xml:space="preserve"> </w:t>
      </w:r>
      <w:r w:rsidR="00CF0EAB" w:rsidRPr="00C727CA">
        <w:t xml:space="preserve">s tím, že dle § 34 odst. 2 zákona musí taková </w:t>
      </w:r>
      <w:r w:rsidR="00F20542">
        <w:t>výzva obsahovat taxativní údaje</w:t>
      </w:r>
      <w:r w:rsidR="00CF0EAB" w:rsidRPr="00C727CA">
        <w:t xml:space="preserve"> jako </w:t>
      </w:r>
      <w:r w:rsidR="001F12C6" w:rsidRPr="00C727CA">
        <w:t xml:space="preserve">je </w:t>
      </w:r>
      <w:r w:rsidR="00CF0EAB" w:rsidRPr="00C727CA">
        <w:t xml:space="preserve">např. předmět VZ, identifikaci zadavatele, zadávací dokumentaci </w:t>
      </w:r>
      <w:r w:rsidR="00481F6D" w:rsidRPr="00C727CA">
        <w:t>atd.</w:t>
      </w:r>
      <w:r w:rsidR="00CF0EAB" w:rsidRPr="00C727CA">
        <w:t>;</w:t>
      </w:r>
      <w:r w:rsidR="00CF0EAB" w:rsidRPr="00C727CA">
        <w:rPr>
          <w:rStyle w:val="FootnoteReference"/>
        </w:rPr>
        <w:footnoteReference w:id="161"/>
      </w:r>
    </w:p>
    <w:p w14:paraId="709E47F2" w14:textId="77777777" w:rsidR="00CF0EAB" w:rsidRPr="00C727CA" w:rsidRDefault="00F20542" w:rsidP="00A75EE7">
      <w:pPr>
        <w:pStyle w:val="ListParagraph"/>
        <w:numPr>
          <w:ilvl w:val="0"/>
          <w:numId w:val="45"/>
        </w:numPr>
        <w:spacing w:line="360" w:lineRule="auto"/>
        <w:jc w:val="both"/>
      </w:pPr>
      <w:r>
        <w:t xml:space="preserve">odůvodnění VZ </w:t>
      </w:r>
      <w:r w:rsidRPr="009C5ADC">
        <w:t>–</w:t>
      </w:r>
      <w:r w:rsidR="00890811" w:rsidRPr="00C727CA">
        <w:t xml:space="preserve"> v tomto případě je právní analýza opět shodná s analýzou provedenou výše u otevřeného řízení. Proto t</w:t>
      </w:r>
      <w:r w:rsidR="002A10E2">
        <w:t xml:space="preserve">edy čtenáře primárně </w:t>
      </w:r>
      <w:r w:rsidR="00481F6D">
        <w:t>odkážu, viz</w:t>
      </w:r>
      <w:r w:rsidR="00890811" w:rsidRPr="00C727CA">
        <w:t xml:space="preserve"> výše. Nutné je ale i zde dodat, že dle § 156 odst. 6 písm. c) tuto povinnost zadavatel nemá, pokud je VZ zadávána v jednacím řízení bez uveřejnění </w:t>
      </w:r>
      <w:r w:rsidR="001F12C6" w:rsidRPr="00C727CA">
        <w:t xml:space="preserve">po splnění podmínek v </w:t>
      </w:r>
      <w:r w:rsidR="00890811" w:rsidRPr="00C727CA">
        <w:t>§ 23 odst. 1, § 23 odst. 4 písm. b), § 23 odst. 5 písm. c) až e), § 23 odst. 6 až 9, § 23 odst. 10 písm. a) a c) nebo § 23 odst. 11;</w:t>
      </w:r>
      <w:r w:rsidR="00890811" w:rsidRPr="00C727CA">
        <w:rPr>
          <w:rStyle w:val="FootnoteReference"/>
        </w:rPr>
        <w:footnoteReference w:id="162"/>
      </w:r>
    </w:p>
    <w:p w14:paraId="033AF798" w14:textId="77777777" w:rsidR="00890811" w:rsidRPr="00C727CA" w:rsidRDefault="00890811" w:rsidP="00A75EE7">
      <w:pPr>
        <w:pStyle w:val="ListParagraph"/>
        <w:numPr>
          <w:ilvl w:val="0"/>
          <w:numId w:val="45"/>
        </w:numPr>
        <w:spacing w:line="360" w:lineRule="auto"/>
        <w:jc w:val="both"/>
      </w:pPr>
      <w:r w:rsidRPr="00C727CA">
        <w:t xml:space="preserve">jednání o podmínkách VZ </w:t>
      </w:r>
      <w:r w:rsidR="007F7F65" w:rsidRPr="00C727CA">
        <w:t>–</w:t>
      </w:r>
      <w:r w:rsidRPr="00C727CA">
        <w:t xml:space="preserve"> </w:t>
      </w:r>
      <w:r w:rsidR="007F7F65" w:rsidRPr="00C727CA">
        <w:t>v rámci tohoto jednání je zadavatel oprávněn dohodnout s jednajícími zájemci i jiné podmínky, než kt</w:t>
      </w:r>
      <w:r w:rsidR="001F12C6" w:rsidRPr="00C727CA">
        <w:t>eré byly uvedeny ve výzvě k jed</w:t>
      </w:r>
      <w:r w:rsidR="007F7F65" w:rsidRPr="00C727CA">
        <w:t xml:space="preserve">nání či </w:t>
      </w:r>
      <w:r w:rsidR="00D533F3">
        <w:t>v</w:t>
      </w:r>
      <w:r w:rsidR="00AF3BC0">
        <w:t> </w:t>
      </w:r>
      <w:r w:rsidR="007F7F65" w:rsidRPr="00C727CA">
        <w:t xml:space="preserve">zadávací dokumentaci. </w:t>
      </w:r>
      <w:r w:rsidR="00D533F3">
        <w:t>Jakmile</w:t>
      </w:r>
      <w:r w:rsidR="007F7F65" w:rsidRPr="00C727CA">
        <w:t xml:space="preserve"> je ale jednáno s více zájemci, zadavatel nesmí</w:t>
      </w:r>
      <w:r w:rsidR="00F61C10" w:rsidRPr="00C727CA">
        <w:t xml:space="preserve"> ostatním zájemcům sdělovat žádné </w:t>
      </w:r>
      <w:r w:rsidR="00D533F3">
        <w:t>skutečnosti</w:t>
      </w:r>
      <w:r w:rsidR="00F61C10" w:rsidRPr="00C727CA">
        <w:t>, které byly navrženy jiným</w:t>
      </w:r>
      <w:r w:rsidR="00D533F3">
        <w:t>i</w:t>
      </w:r>
      <w:r w:rsidR="00F61C10" w:rsidRPr="00C727CA">
        <w:t xml:space="preserve"> </w:t>
      </w:r>
      <w:r w:rsidR="00D533F3">
        <w:t>zájemci</w:t>
      </w:r>
      <w:r w:rsidR="00F61C10" w:rsidRPr="00C727CA">
        <w:t xml:space="preserve">, pokud k tomu </w:t>
      </w:r>
      <w:r w:rsidR="00481F6D">
        <w:t>nebyl</w:t>
      </w:r>
      <w:r w:rsidR="00BB68AA">
        <w:t xml:space="preserve"> dán</w:t>
      </w:r>
      <w:r w:rsidR="00F61C10" w:rsidRPr="00C727CA">
        <w:t xml:space="preserve"> předchozí souhlas;</w:t>
      </w:r>
      <w:r w:rsidR="00F61C10" w:rsidRPr="00C727CA">
        <w:rPr>
          <w:rStyle w:val="FootnoteReference"/>
        </w:rPr>
        <w:footnoteReference w:id="163"/>
      </w:r>
    </w:p>
    <w:p w14:paraId="08392C42" w14:textId="77777777" w:rsidR="00E90F97" w:rsidRPr="00C727CA" w:rsidRDefault="00E90F97" w:rsidP="00A75EE7">
      <w:pPr>
        <w:pStyle w:val="ListParagraph"/>
        <w:numPr>
          <w:ilvl w:val="0"/>
          <w:numId w:val="45"/>
        </w:numPr>
        <w:spacing w:line="360" w:lineRule="auto"/>
        <w:jc w:val="both"/>
      </w:pPr>
      <w:r w:rsidRPr="00C727CA">
        <w:t>hodnocení finálních nabídek – tato fáze</w:t>
      </w:r>
      <w:r w:rsidR="001F12C6" w:rsidRPr="00C727CA">
        <w:t>,</w:t>
      </w:r>
      <w:r w:rsidRPr="00C727CA">
        <w:t xml:space="preserve"> v tomto zadávacím řízení</w:t>
      </w:r>
      <w:r w:rsidR="001F12C6" w:rsidRPr="00C727CA">
        <w:t>,</w:t>
      </w:r>
      <w:r w:rsidRPr="00C727CA">
        <w:t xml:space="preserve"> probíhá pouze tehdy, pokud je jednáno s více zájemci s tím, že hodnotící kritéria mohou být dle § 78 odst. 1 zákona </w:t>
      </w:r>
      <w:r w:rsidR="00190BE5" w:rsidRPr="00C727CA">
        <w:t xml:space="preserve">opět </w:t>
      </w:r>
      <w:r w:rsidRPr="00C727CA">
        <w:t xml:space="preserve">buď ekonomická výhodnost </w:t>
      </w:r>
      <w:r w:rsidR="00481F6D" w:rsidRPr="00C727CA">
        <w:t>nabídky, nebo</w:t>
      </w:r>
      <w:r w:rsidRPr="00C727CA">
        <w:t xml:space="preserve"> nejnižší cena</w:t>
      </w:r>
      <w:r w:rsidR="00190BE5" w:rsidRPr="00C727CA">
        <w:t>;</w:t>
      </w:r>
      <w:r w:rsidR="00190BE5" w:rsidRPr="00C727CA">
        <w:rPr>
          <w:rStyle w:val="FootnoteReference"/>
        </w:rPr>
        <w:footnoteReference w:id="164"/>
      </w:r>
    </w:p>
    <w:p w14:paraId="14638FA3" w14:textId="77777777" w:rsidR="00190BE5" w:rsidRPr="00C727CA" w:rsidRDefault="006D4444" w:rsidP="006D4444">
      <w:r w:rsidRPr="00C727CA">
        <w:t xml:space="preserve">Další kroky zadavatele, tedy rozhodnutí o výběru nejvhodnější nabídky s následným uzavřením smlouvy, odeslání oznámení o výsledku řízení, vypracování písemné zprávy zadavatelem VZ a uveřejnění uzavřené </w:t>
      </w:r>
      <w:r w:rsidR="000E7D8D" w:rsidRPr="00C727CA">
        <w:t>smlouvy včetně</w:t>
      </w:r>
      <w:r w:rsidRPr="00C727CA">
        <w:t xml:space="preserve"> výše skutečně uhrazené ceny a seznam</w:t>
      </w:r>
      <w:r w:rsidR="000E7D8D" w:rsidRPr="00C727CA">
        <w:t>u</w:t>
      </w:r>
      <w:r w:rsidRPr="00C727CA">
        <w:t xml:space="preserve"> subdodavatelů</w:t>
      </w:r>
      <w:r w:rsidR="001F12C6" w:rsidRPr="00C727CA">
        <w:t>,</w:t>
      </w:r>
      <w:r w:rsidR="000E7D8D" w:rsidRPr="00C727CA">
        <w:t xml:space="preserve"> jsou obdobné s</w:t>
      </w:r>
      <w:r w:rsidR="005E7B50">
        <w:t xml:space="preserve"> takovými </w:t>
      </w:r>
      <w:r w:rsidR="000E7D8D" w:rsidRPr="00C727CA">
        <w:t>kroky zadavatele v otevřeném řízení. Z tohoto důvod</w:t>
      </w:r>
      <w:r w:rsidR="002A10E2">
        <w:t xml:space="preserve">u tedy čtenáře </w:t>
      </w:r>
      <w:r w:rsidR="00481F6D">
        <w:t>odkážu, viz</w:t>
      </w:r>
      <w:r w:rsidR="001F12C6" w:rsidRPr="00C727CA">
        <w:t xml:space="preserve"> výše</w:t>
      </w:r>
      <w:r w:rsidR="00481F6D">
        <w:t>.</w:t>
      </w:r>
      <w:r w:rsidR="000E7D8D" w:rsidRPr="00C727CA">
        <w:t xml:space="preserve"> </w:t>
      </w:r>
      <w:r w:rsidR="001F12C6" w:rsidRPr="00C727CA">
        <w:t>S</w:t>
      </w:r>
      <w:r w:rsidR="000E7D8D" w:rsidRPr="00C727CA">
        <w:t xml:space="preserve">oučasně si </w:t>
      </w:r>
      <w:r w:rsidR="001F12C6" w:rsidRPr="00C727CA">
        <w:t xml:space="preserve">ale </w:t>
      </w:r>
      <w:r w:rsidR="000E7D8D" w:rsidRPr="00C727CA">
        <w:t>dovolím čtenáře upozornit, že danou analýzu</w:t>
      </w:r>
      <w:r w:rsidR="001F12C6" w:rsidRPr="00C727CA">
        <w:t>, na kterou byl zde odkázán,</w:t>
      </w:r>
      <w:r w:rsidR="000E7D8D" w:rsidRPr="00C727CA">
        <w:t xml:space="preserve"> musí samozřejmě číst ve světle jednacího řízení bez</w:t>
      </w:r>
      <w:r w:rsidR="00AF3BC0">
        <w:t> </w:t>
      </w:r>
      <w:r w:rsidR="000E7D8D" w:rsidRPr="00C727CA">
        <w:t xml:space="preserve">uveřejnění, což se projevuje např. </w:t>
      </w:r>
      <w:r w:rsidR="001F12C6" w:rsidRPr="00C727CA">
        <w:t>v nepřítomnosti</w:t>
      </w:r>
      <w:r w:rsidR="000E7D8D" w:rsidRPr="00C727CA">
        <w:t xml:space="preserve"> hodnotící komise.</w:t>
      </w:r>
      <w:r w:rsidR="000E7D8D" w:rsidRPr="00C727CA">
        <w:rPr>
          <w:rStyle w:val="FootnoteReference"/>
        </w:rPr>
        <w:footnoteReference w:id="165"/>
      </w:r>
    </w:p>
    <w:p w14:paraId="4A8A1867" w14:textId="77777777" w:rsidR="00406B93" w:rsidRPr="00C727CA" w:rsidRDefault="00406B93" w:rsidP="00A75EE7"/>
    <w:p w14:paraId="2ED6FADA" w14:textId="77777777" w:rsidR="00AF3501" w:rsidRPr="00C727CA" w:rsidRDefault="00AF3501" w:rsidP="00A75EE7">
      <w:pPr>
        <w:ind w:firstLine="0"/>
      </w:pPr>
    </w:p>
    <w:p w14:paraId="08624DAC" w14:textId="77777777" w:rsidR="00AF3501" w:rsidRPr="00C727CA" w:rsidRDefault="00AF3501" w:rsidP="00FA2973">
      <w:pPr>
        <w:ind w:firstLine="0"/>
      </w:pPr>
    </w:p>
    <w:p w14:paraId="3E4A761C" w14:textId="77777777" w:rsidR="00AF3501" w:rsidRPr="00C727CA" w:rsidRDefault="00AF3501" w:rsidP="00FA2973">
      <w:pPr>
        <w:ind w:firstLine="0"/>
      </w:pPr>
    </w:p>
    <w:p w14:paraId="49A1D39B" w14:textId="77777777" w:rsidR="004F21A5" w:rsidRPr="00C727CA" w:rsidRDefault="004F21A5" w:rsidP="00FA2973">
      <w:pPr>
        <w:ind w:firstLine="0"/>
      </w:pPr>
    </w:p>
    <w:p w14:paraId="603FCD6E" w14:textId="77777777" w:rsidR="004F21A5" w:rsidRPr="00C727CA" w:rsidRDefault="004F21A5" w:rsidP="00FA2973">
      <w:pPr>
        <w:ind w:firstLine="0"/>
      </w:pPr>
    </w:p>
    <w:p w14:paraId="0AB8D2ED" w14:textId="77777777" w:rsidR="00B11FD4" w:rsidRPr="00C727CA" w:rsidRDefault="00B11FD4" w:rsidP="00FA2973">
      <w:pPr>
        <w:ind w:firstLine="0"/>
      </w:pPr>
    </w:p>
    <w:p w14:paraId="6F807907" w14:textId="77777777" w:rsidR="00B11FD4" w:rsidRPr="00C727CA" w:rsidRDefault="00B11FD4" w:rsidP="00FA2973">
      <w:pPr>
        <w:ind w:firstLine="0"/>
      </w:pPr>
    </w:p>
    <w:p w14:paraId="2EB004D2" w14:textId="77777777" w:rsidR="00B11FD4" w:rsidRPr="00C727CA" w:rsidRDefault="00B11FD4" w:rsidP="00FA2973">
      <w:pPr>
        <w:ind w:firstLine="0"/>
      </w:pPr>
    </w:p>
    <w:p w14:paraId="31B5A8C2" w14:textId="77777777" w:rsidR="00B11FD4" w:rsidRPr="00C727CA" w:rsidRDefault="00B11FD4" w:rsidP="00FA2973">
      <w:pPr>
        <w:ind w:firstLine="0"/>
      </w:pPr>
    </w:p>
    <w:p w14:paraId="2117E45C" w14:textId="77777777" w:rsidR="00B11FD4" w:rsidRPr="00C727CA" w:rsidRDefault="00B11FD4" w:rsidP="00FA2973">
      <w:pPr>
        <w:ind w:firstLine="0"/>
      </w:pPr>
    </w:p>
    <w:p w14:paraId="2CA054A5" w14:textId="77777777" w:rsidR="00B11FD4" w:rsidRPr="00C727CA" w:rsidRDefault="00B11FD4" w:rsidP="00FA2973">
      <w:pPr>
        <w:ind w:firstLine="0"/>
      </w:pPr>
    </w:p>
    <w:p w14:paraId="1DDC12C3" w14:textId="77777777" w:rsidR="00B11FD4" w:rsidRPr="00C727CA" w:rsidRDefault="00B11FD4" w:rsidP="00FA2973">
      <w:pPr>
        <w:ind w:firstLine="0"/>
      </w:pPr>
    </w:p>
    <w:p w14:paraId="1EC88DFF" w14:textId="77777777" w:rsidR="00B11FD4" w:rsidRPr="00C727CA" w:rsidRDefault="00B11FD4" w:rsidP="00FA2973">
      <w:pPr>
        <w:ind w:firstLine="0"/>
      </w:pPr>
    </w:p>
    <w:p w14:paraId="0EFC2A3C" w14:textId="77777777" w:rsidR="00B11FD4" w:rsidRPr="00C727CA" w:rsidRDefault="00B11FD4" w:rsidP="00FA2973">
      <w:pPr>
        <w:ind w:firstLine="0"/>
      </w:pPr>
    </w:p>
    <w:p w14:paraId="7AECF4EB" w14:textId="77777777" w:rsidR="00B11FD4" w:rsidRPr="00C727CA" w:rsidRDefault="00B11FD4" w:rsidP="00FA2973">
      <w:pPr>
        <w:ind w:firstLine="0"/>
      </w:pPr>
    </w:p>
    <w:p w14:paraId="6F7CD341" w14:textId="77777777" w:rsidR="00B11FD4" w:rsidRPr="00C727CA" w:rsidRDefault="00B11FD4" w:rsidP="00FA2973">
      <w:pPr>
        <w:ind w:firstLine="0"/>
      </w:pPr>
    </w:p>
    <w:p w14:paraId="22C1566E" w14:textId="77777777" w:rsidR="00B11FD4" w:rsidRPr="00C727CA" w:rsidRDefault="00B11FD4" w:rsidP="00FA2973">
      <w:pPr>
        <w:ind w:firstLine="0"/>
      </w:pPr>
    </w:p>
    <w:p w14:paraId="6E1D9080" w14:textId="77777777" w:rsidR="00B11FD4" w:rsidRPr="00C727CA" w:rsidRDefault="00B11FD4" w:rsidP="00FA2973">
      <w:pPr>
        <w:ind w:firstLine="0"/>
      </w:pPr>
    </w:p>
    <w:p w14:paraId="7F3D76D5" w14:textId="77777777" w:rsidR="000F2AA0" w:rsidRPr="00C727CA" w:rsidRDefault="002B5D92" w:rsidP="000F2AA0">
      <w:pPr>
        <w:pStyle w:val="Heading1"/>
      </w:pPr>
      <w:bookmarkStart w:id="21" w:name="_Toc472859450"/>
      <w:r w:rsidRPr="00C727CA">
        <w:t>Rekodifikace práva veřejných zakázek</w:t>
      </w:r>
      <w:bookmarkEnd w:id="21"/>
    </w:p>
    <w:p w14:paraId="7404BECA" w14:textId="77777777" w:rsidR="00475EBF" w:rsidRDefault="00475EBF" w:rsidP="00475EBF">
      <w:pPr>
        <w:ind w:firstLine="0"/>
      </w:pPr>
      <w:r>
        <w:t xml:space="preserve">Dne 29. dubna 2016 byl ve Sbírce zákonů České republiky vyhlášen nový zákon upravující oblast VZ. Konkrétně se jedná o zákon </w:t>
      </w:r>
      <w:r w:rsidRPr="00F222AD">
        <w:t>č. 134/2016 Sb., o zadávání veřejných zakázek</w:t>
      </w:r>
      <w:r>
        <w:t xml:space="preserve"> (dále jen „nový zákon o ZVZ“). Účinnosti však tento zákon </w:t>
      </w:r>
      <w:r w:rsidR="00AA66F9">
        <w:t>nabude</w:t>
      </w:r>
      <w:r>
        <w:t xml:space="preserve"> až 1. října 2016.</w:t>
      </w:r>
    </w:p>
    <w:p w14:paraId="75183D7F" w14:textId="77777777" w:rsidR="00475EBF" w:rsidRDefault="00475EBF" w:rsidP="00475EBF">
      <w:r>
        <w:t>Jedním z hlavních důvodů této změny je skutečnost, že dne 28. března 2014 byly v</w:t>
      </w:r>
      <w:r w:rsidR="00710DA5">
        <w:t> </w:t>
      </w:r>
      <w:r w:rsidRPr="005B2339">
        <w:t xml:space="preserve">Úředním věstníku Evropské unie publikovány </w:t>
      </w:r>
      <w:r>
        <w:t xml:space="preserve">nové tři </w:t>
      </w:r>
      <w:r w:rsidRPr="005B2339">
        <w:t>směrnice</w:t>
      </w:r>
      <w:r>
        <w:rPr>
          <w:rStyle w:val="FootnoteReference"/>
        </w:rPr>
        <w:footnoteReference w:id="166"/>
      </w:r>
      <w:r>
        <w:t>, které dopadají právě na</w:t>
      </w:r>
      <w:r w:rsidR="00710DA5">
        <w:t> </w:t>
      </w:r>
      <w:r>
        <w:t xml:space="preserve">oblast VZ a které nahrazují shora uvedené směrnice </w:t>
      </w:r>
      <w:r w:rsidRPr="005B2339">
        <w:t>2004/18/EC a 2004/17/EC</w:t>
      </w:r>
      <w:r>
        <w:t xml:space="preserve">. Dalšími důvody jsou pak určité problémy, které se v průběhu účinnosti stávající právní úpravy často objevovaly. Dle důvodové zprávy nového zákona o ZVZ jsou </w:t>
      </w:r>
      <w:r w:rsidR="00AA66F9">
        <w:t>jimi</w:t>
      </w:r>
      <w:r>
        <w:t xml:space="preserve"> především administrativní náročnost, komplikovaná a často se měnící právní úprava, pomalé rozhodování ÚOHS, redundantní dokládání dokumentů či absence dat potřebných pro případnou kontrolu. Dále pak jde i o důvody typu obcházení zákona nebo i morálka soutěžitelů vzhledem k neschopnosti uznat vítěze.</w:t>
      </w:r>
    </w:p>
    <w:p w14:paraId="3DFC238D" w14:textId="77777777" w:rsidR="00475EBF" w:rsidRDefault="00475EBF" w:rsidP="00475EBF">
      <w:r>
        <w:t xml:space="preserve">V souvislosti s těmito problémy si tedy zákonodárce v uvedené důvodové zprávě vytyčil konkrétní cíle pro nový zákon o ZVZ. Jde hlavně o celkové snížení délky zadávání VZ, snížení administrativní náročnosti, snížení počtu rušených zakázek, počtu námitek k zadavateli, počtu případů k řešení ÚOHS či </w:t>
      </w:r>
      <w:r w:rsidR="00AA66F9">
        <w:t>zvýšení</w:t>
      </w:r>
      <w:r>
        <w:t xml:space="preserve"> míry využití kritéria ekonomické výhodnosti nebo naopak snížení rozdílu mezi očekávanou a dosaženou cenou VZ. Proto je také logické, že nový zákon o ZVZ </w:t>
      </w:r>
      <w:r w:rsidR="00727A66">
        <w:t>obsahuje</w:t>
      </w:r>
      <w:r>
        <w:t xml:space="preserve"> velké </w:t>
      </w:r>
      <w:r w:rsidR="00AA66F9">
        <w:t>m</w:t>
      </w:r>
      <w:r>
        <w:t xml:space="preserve">nožství změn, které </w:t>
      </w:r>
      <w:r w:rsidR="00727A66">
        <w:t>jsou</w:t>
      </w:r>
      <w:r>
        <w:t xml:space="preserve"> často velmi odlišné od současné právní úpravy. Za všechny, </w:t>
      </w:r>
      <w:r w:rsidR="00727A66">
        <w:t>jde</w:t>
      </w:r>
      <w:r>
        <w:t xml:space="preserve"> např. o zavedení principu rozdělení VZ na více částí tak, aby taková VZ mohla být realizována malými a středními podniky, možnost prokazování kvalifikace subdodavateli a s tím spojená možnost přímých plateb subdodavatelům, nový způsob stanovení mimořádně nízké nabídkové ceny, odpadnutí povinnosti sestavovat hodnotící komisi, větší možnost doplnění podané nabídky či rozšíření možnosti zadavatele změnit uzavřenou smlouvu na VZ.</w:t>
      </w:r>
    </w:p>
    <w:p w14:paraId="0CECC027" w14:textId="2BD015FF" w:rsidR="00475EBF" w:rsidRDefault="00475EBF" w:rsidP="00475EBF">
      <w:r>
        <w:t>Velmi zajímavou změnou je pak i tzv. dvou</w:t>
      </w:r>
      <w:r w:rsidR="00AA66F9">
        <w:t>-</w:t>
      </w:r>
      <w:r>
        <w:t xml:space="preserve">obálkový systém. Dle důvodové zprávy by se tento systém měl využívat u těch VZ, u kterých je kladen důraz na kvalitu plnění a samotná cena je až druhotným aspektem. Nabídka by se pak mohla skládat fakticky ze dvou zapečetěných obálek. Hlavní obálka by obsahovala veškeré materiály stanovené zadavatelem nezbytné pro účast v zadávacím </w:t>
      </w:r>
      <w:r w:rsidR="00AA66F9">
        <w:t>řízení</w:t>
      </w:r>
      <w:r>
        <w:t xml:space="preserve"> s tím, že by dále obsahovala také druhou, zvlášť zapečetěnou obálku, obsahující pouze nabídkovou cenu. Toto by následně umožnilo hodnotící komisi zhodnotit veškeré takto podané nabídky ryze z pohledu kvality plnění, aniž by byla jakkoliv ovlivněna právě nabídkovou cenou. Můžeme tedy teoreticky </w:t>
      </w:r>
      <w:r w:rsidR="00AA66F9">
        <w:t>říci</w:t>
      </w:r>
      <w:r>
        <w:t>, že jde pouze o</w:t>
      </w:r>
      <w:r w:rsidR="00710DA5">
        <w:t> </w:t>
      </w:r>
      <w:r>
        <w:t xml:space="preserve">snahu kodifikovat určitou psychologickou stránku hodnocení nabídek, se kterou by se měli členové hodnotící komise být schopni vypořádat sami i bez takovéto úpravy. Na druhou stranu se ale </w:t>
      </w:r>
      <w:r w:rsidR="00890E9E">
        <w:t>diplomant domnívá</w:t>
      </w:r>
      <w:r>
        <w:t>, že jde o zajímavý přístup, který by v zamýšlených případech mohl skutečně fungova</w:t>
      </w:r>
      <w:r w:rsidR="00663802">
        <w:t>t.</w:t>
      </w:r>
      <w:r w:rsidR="00663802">
        <w:rPr>
          <w:rStyle w:val="FootnoteReference"/>
        </w:rPr>
        <w:footnoteReference w:id="167"/>
      </w:r>
    </w:p>
    <w:p w14:paraId="7194492B" w14:textId="77777777" w:rsidR="00475EBF" w:rsidRDefault="00475EBF" w:rsidP="00475EBF"/>
    <w:p w14:paraId="60C7EEE1" w14:textId="77777777" w:rsidR="000F2AA0" w:rsidRPr="00C727CA" w:rsidRDefault="000F2AA0" w:rsidP="00FA2973">
      <w:pPr>
        <w:ind w:firstLine="0"/>
      </w:pPr>
    </w:p>
    <w:p w14:paraId="71241C1B" w14:textId="77777777" w:rsidR="002B5D92" w:rsidRPr="00C727CA" w:rsidRDefault="002B5D92" w:rsidP="00FA2973">
      <w:pPr>
        <w:ind w:firstLine="0"/>
      </w:pPr>
    </w:p>
    <w:p w14:paraId="11572701" w14:textId="77777777" w:rsidR="002B5D92" w:rsidRPr="00C727CA" w:rsidRDefault="002B5D92" w:rsidP="00FA2973">
      <w:pPr>
        <w:ind w:firstLine="0"/>
      </w:pPr>
    </w:p>
    <w:p w14:paraId="57801A1E" w14:textId="77777777" w:rsidR="002B5D92" w:rsidRPr="00C727CA" w:rsidRDefault="002B5D92" w:rsidP="00FA2973">
      <w:pPr>
        <w:ind w:firstLine="0"/>
      </w:pPr>
    </w:p>
    <w:p w14:paraId="6876D90C" w14:textId="77777777" w:rsidR="002B5D92" w:rsidRPr="00C727CA" w:rsidRDefault="002B5D92" w:rsidP="00FA2973">
      <w:pPr>
        <w:ind w:firstLine="0"/>
      </w:pPr>
    </w:p>
    <w:p w14:paraId="32718DA2" w14:textId="77777777" w:rsidR="002B5D92" w:rsidRPr="00C727CA" w:rsidRDefault="002B5D92" w:rsidP="00FA2973">
      <w:pPr>
        <w:ind w:firstLine="0"/>
      </w:pPr>
    </w:p>
    <w:p w14:paraId="49534563" w14:textId="77777777" w:rsidR="002B5D92" w:rsidRPr="00C727CA" w:rsidRDefault="002B5D92" w:rsidP="00FA2973">
      <w:pPr>
        <w:ind w:firstLine="0"/>
      </w:pPr>
    </w:p>
    <w:p w14:paraId="1A99B006" w14:textId="77777777" w:rsidR="002B5D92" w:rsidRPr="00C727CA" w:rsidRDefault="002B5D92" w:rsidP="00FA2973">
      <w:pPr>
        <w:ind w:firstLine="0"/>
      </w:pPr>
    </w:p>
    <w:p w14:paraId="15028D7B" w14:textId="77777777" w:rsidR="002B5D92" w:rsidRPr="00C727CA" w:rsidRDefault="002B5D92" w:rsidP="00FA2973">
      <w:pPr>
        <w:ind w:firstLine="0"/>
      </w:pPr>
    </w:p>
    <w:p w14:paraId="1DFA5D1C" w14:textId="77777777" w:rsidR="002B5D92" w:rsidRPr="00C727CA" w:rsidRDefault="002B5D92" w:rsidP="00FA2973">
      <w:pPr>
        <w:ind w:firstLine="0"/>
      </w:pPr>
    </w:p>
    <w:p w14:paraId="28D2C235" w14:textId="77777777" w:rsidR="002B5D92" w:rsidRPr="00C727CA" w:rsidRDefault="002B5D92" w:rsidP="00FA2973">
      <w:pPr>
        <w:ind w:firstLine="0"/>
      </w:pPr>
    </w:p>
    <w:p w14:paraId="38712639" w14:textId="77777777" w:rsidR="002B5D92" w:rsidRPr="00C727CA" w:rsidRDefault="002B5D92" w:rsidP="00FA2973">
      <w:pPr>
        <w:ind w:firstLine="0"/>
      </w:pPr>
    </w:p>
    <w:p w14:paraId="67D430AC" w14:textId="77777777" w:rsidR="002B5D92" w:rsidRPr="00C727CA" w:rsidRDefault="002B5D92" w:rsidP="00FA2973">
      <w:pPr>
        <w:ind w:firstLine="0"/>
      </w:pPr>
    </w:p>
    <w:p w14:paraId="525C19C3" w14:textId="77777777" w:rsidR="002B5D92" w:rsidRPr="00C727CA" w:rsidRDefault="002B5D92" w:rsidP="00FA2973">
      <w:pPr>
        <w:ind w:firstLine="0"/>
      </w:pPr>
    </w:p>
    <w:p w14:paraId="32554188" w14:textId="77777777" w:rsidR="002B5D92" w:rsidRPr="00C727CA" w:rsidRDefault="002B5D92" w:rsidP="00FA2973">
      <w:pPr>
        <w:ind w:firstLine="0"/>
      </w:pPr>
    </w:p>
    <w:p w14:paraId="0BBFC345" w14:textId="77777777" w:rsidR="002B5D92" w:rsidRPr="00C727CA" w:rsidRDefault="002B5D92" w:rsidP="00FA2973">
      <w:pPr>
        <w:ind w:firstLine="0"/>
      </w:pPr>
    </w:p>
    <w:p w14:paraId="56B2DEC5" w14:textId="77777777" w:rsidR="002B5D92" w:rsidRPr="00C727CA" w:rsidRDefault="002B5D92" w:rsidP="00FA2973">
      <w:pPr>
        <w:ind w:firstLine="0"/>
      </w:pPr>
    </w:p>
    <w:p w14:paraId="271907F4" w14:textId="77777777" w:rsidR="002B5D92" w:rsidRPr="00C727CA" w:rsidRDefault="002B5D92" w:rsidP="00FA2973">
      <w:pPr>
        <w:ind w:firstLine="0"/>
      </w:pPr>
    </w:p>
    <w:p w14:paraId="0652F40F" w14:textId="77777777" w:rsidR="002B5D92" w:rsidRPr="00C727CA" w:rsidRDefault="002B5D92" w:rsidP="00FA2973">
      <w:pPr>
        <w:ind w:firstLine="0"/>
      </w:pPr>
    </w:p>
    <w:p w14:paraId="3769A3D0" w14:textId="77777777" w:rsidR="002B5D92" w:rsidRDefault="002B5D92" w:rsidP="00FA2973">
      <w:pPr>
        <w:ind w:firstLine="0"/>
      </w:pPr>
    </w:p>
    <w:p w14:paraId="6ABE3D86" w14:textId="77777777" w:rsidR="00475EBF" w:rsidRDefault="00475EBF" w:rsidP="00FA2973">
      <w:pPr>
        <w:ind w:firstLine="0"/>
      </w:pPr>
    </w:p>
    <w:p w14:paraId="1F4B2B27" w14:textId="77777777" w:rsidR="008C7D79" w:rsidRDefault="008C7D79" w:rsidP="00FA2973">
      <w:pPr>
        <w:ind w:firstLine="0"/>
      </w:pPr>
    </w:p>
    <w:p w14:paraId="21C3391B" w14:textId="77777777" w:rsidR="00475EBF" w:rsidRDefault="00475EBF" w:rsidP="00FA2973">
      <w:pPr>
        <w:ind w:firstLine="0"/>
      </w:pPr>
    </w:p>
    <w:p w14:paraId="597294A7" w14:textId="77777777" w:rsidR="00475EBF" w:rsidRPr="00C727CA" w:rsidRDefault="00475EBF" w:rsidP="00FA2973">
      <w:pPr>
        <w:ind w:firstLine="0"/>
      </w:pPr>
    </w:p>
    <w:p w14:paraId="1BBDAE53" w14:textId="77777777" w:rsidR="00350FC7" w:rsidRPr="00C727CA" w:rsidRDefault="00350FC7" w:rsidP="00350FC7">
      <w:pPr>
        <w:pStyle w:val="Heading1"/>
      </w:pPr>
      <w:bookmarkStart w:id="22" w:name="_Toc472859451"/>
      <w:r w:rsidRPr="00C727CA">
        <w:t>Závěr</w:t>
      </w:r>
      <w:bookmarkEnd w:id="22"/>
    </w:p>
    <w:p w14:paraId="56D56FF5" w14:textId="789A7BF2" w:rsidR="00AF3501" w:rsidRPr="00245677" w:rsidRDefault="00243347" w:rsidP="00A9664F">
      <w:pPr>
        <w:ind w:firstLine="0"/>
      </w:pPr>
      <w:r w:rsidRPr="00C727CA">
        <w:t xml:space="preserve">Cílem této práce bylo zodpovědět diplomantem </w:t>
      </w:r>
      <w:r w:rsidR="0092669C" w:rsidRPr="00C727CA">
        <w:t xml:space="preserve">v úvodu </w:t>
      </w:r>
      <w:r w:rsidRPr="00C727CA">
        <w:t>stanovené otázky</w:t>
      </w:r>
      <w:r w:rsidR="0092669C" w:rsidRPr="00C727CA">
        <w:t xml:space="preserve">. V souvislosti s tím </w:t>
      </w:r>
      <w:r w:rsidR="00E33166" w:rsidRPr="00C727CA">
        <w:t>byla</w:t>
      </w:r>
      <w:r w:rsidR="0092669C" w:rsidRPr="00C727CA">
        <w:t xml:space="preserve"> taktéž vypracována výše uvedená schémata postupu zadavatele v jednotlivých </w:t>
      </w:r>
      <w:r w:rsidR="00E33166" w:rsidRPr="00C727CA">
        <w:t xml:space="preserve">zadávacích </w:t>
      </w:r>
      <w:r w:rsidR="0092669C" w:rsidRPr="00C727CA">
        <w:t>řízeních, která</w:t>
      </w:r>
      <w:r w:rsidR="00E33166" w:rsidRPr="00C727CA">
        <w:t xml:space="preserve"> se snaží daný zadavatelův postup zanalyzovat v logické </w:t>
      </w:r>
      <w:r w:rsidR="00E33166" w:rsidRPr="00245677">
        <w:t>posloupnosti.</w:t>
      </w:r>
      <w:r w:rsidR="0092669C" w:rsidRPr="00245677">
        <w:t xml:space="preserve"> </w:t>
      </w:r>
      <w:r w:rsidR="00E33166" w:rsidRPr="00245677">
        <w:t xml:space="preserve">Pro maximální přehlednost </w:t>
      </w:r>
      <w:r w:rsidR="00ED414C" w:rsidRPr="00245677">
        <w:t xml:space="preserve">pak nyní </w:t>
      </w:r>
      <w:r w:rsidR="00D054E4" w:rsidRPr="00245677">
        <w:t>bude přistoupeno</w:t>
      </w:r>
      <w:r w:rsidR="00E33166" w:rsidRPr="00245677">
        <w:t xml:space="preserve"> k jasnému </w:t>
      </w:r>
      <w:r w:rsidR="00ED414C" w:rsidRPr="00245677">
        <w:t xml:space="preserve">zodpovězení daných otázek a </w:t>
      </w:r>
      <w:r w:rsidR="0016228D" w:rsidRPr="00245677">
        <w:t>tedy</w:t>
      </w:r>
      <w:r w:rsidR="00ED414C" w:rsidRPr="00245677">
        <w:t xml:space="preserve"> k</w:t>
      </w:r>
      <w:r w:rsidR="00295D33" w:rsidRPr="00245677">
        <w:t> určitému</w:t>
      </w:r>
      <w:r w:rsidR="00ED414C" w:rsidRPr="00245677">
        <w:t xml:space="preserve"> závěrečnému z</w:t>
      </w:r>
      <w:r w:rsidR="00495AD1" w:rsidRPr="00245677">
        <w:t>h</w:t>
      </w:r>
      <w:r w:rsidR="00ED414C" w:rsidRPr="00245677">
        <w:t>odnocení.</w:t>
      </w:r>
    </w:p>
    <w:p w14:paraId="5534E09F" w14:textId="7AEF1C5E" w:rsidR="007C12D0" w:rsidRPr="00C727CA" w:rsidRDefault="007C12D0" w:rsidP="00243347">
      <w:r w:rsidRPr="00245677">
        <w:t>Na otázku ohledně použití otevřeného řízení vzhledem k předmětu VZ ne</w:t>
      </w:r>
      <w:r w:rsidR="00011C63" w:rsidRPr="00245677">
        <w:t>ní</w:t>
      </w:r>
      <w:r w:rsidR="00E62654" w:rsidRPr="00245677">
        <w:t xml:space="preserve">, </w:t>
      </w:r>
      <w:r w:rsidR="00D054E4" w:rsidRPr="00245677">
        <w:t xml:space="preserve">prostřednictvím provedené </w:t>
      </w:r>
      <w:r w:rsidR="00011C63" w:rsidRPr="00245677">
        <w:t>analýzy</w:t>
      </w:r>
      <w:r w:rsidR="00E62654" w:rsidRPr="00245677">
        <w:t>,</w:t>
      </w:r>
      <w:r w:rsidR="00011C63" w:rsidRPr="00245677">
        <w:t xml:space="preserve"> </w:t>
      </w:r>
      <w:r w:rsidR="00D54C17" w:rsidRPr="00245677">
        <w:t>složité najít odpověď. V rámci tohoto řízení totiž může zadavatel zadat VZ s jak</w:t>
      </w:r>
      <w:r w:rsidR="00D054E4" w:rsidRPr="00245677">
        <w:t>ýmkoliv předmětem, nepočítaje</w:t>
      </w:r>
      <w:r w:rsidR="00D54C17" w:rsidRPr="00245677">
        <w:t xml:space="preserve"> výjimku v podobě zakázek v</w:t>
      </w:r>
      <w:r w:rsidR="00AF3BC0" w:rsidRPr="00245677">
        <w:t> </w:t>
      </w:r>
      <w:r w:rsidR="00D54C17" w:rsidRPr="00245677">
        <w:t>oblasti obrany a bezpečnosti, což je zakázka</w:t>
      </w:r>
      <w:r w:rsidR="00011C63" w:rsidRPr="00245677">
        <w:t xml:space="preserve"> s</w:t>
      </w:r>
      <w:r w:rsidR="00295D33" w:rsidRPr="00245677">
        <w:t>počívající v určité nestandardní</w:t>
      </w:r>
      <w:r w:rsidR="00D54C17" w:rsidRPr="00245677">
        <w:t xml:space="preserve"> specifikaci dodávek, služeb nebo stavebních prací. Taktéž</w:t>
      </w:r>
      <w:r w:rsidR="00D54C17" w:rsidRPr="00C727CA">
        <w:t xml:space="preserve"> výše předpokládané hodnoty VZ u otevřeného řízení nehraje roli. Dokonce i VZ malého rozsahu, které se obecně podle zákona o VZ nemusejí zadávat, lze prostřednictvím tohoto</w:t>
      </w:r>
      <w:r w:rsidR="003A3D90" w:rsidRPr="00C727CA">
        <w:t>, ale i dalších,</w:t>
      </w:r>
      <w:r w:rsidR="00D54C17" w:rsidRPr="00C727CA">
        <w:t xml:space="preserve"> řízení zadat. Samotné řízení pak </w:t>
      </w:r>
      <w:r w:rsidR="00011C63" w:rsidRPr="00C727CA">
        <w:t>může použít jakýkoliv zadavatel s tím, že postup veřejného a dotovaného zadavatele je shodný</w:t>
      </w:r>
      <w:r w:rsidR="008232F8">
        <w:t>. P</w:t>
      </w:r>
      <w:r w:rsidR="00011C63" w:rsidRPr="00C727CA">
        <w:t>ostup sektorového zadavatele obsahuje určité výše uvedené specifikace, jako je např. dobrovolnost sestavení hodnotící komise. Použití otevřeného řízení pak není nikterak podmíněno, což souvisí i s tím, že je záměrem zákonodárce, aby zadavatelé toto řízení upřednostňovali před všemi ostatními v případě možného pou</w:t>
      </w:r>
      <w:r w:rsidR="00B91C53">
        <w:t>žití i jiného zadávacího řízení</w:t>
      </w:r>
      <w:r w:rsidR="00011C63" w:rsidRPr="00C727CA">
        <w:t xml:space="preserve"> především proto, že umožňuje nejtransparentnější a nejhospodárnější zadávání VZ a </w:t>
      </w:r>
      <w:r w:rsidR="00E62654" w:rsidRPr="00C727CA">
        <w:t xml:space="preserve">tedy </w:t>
      </w:r>
      <w:r w:rsidR="00011C63" w:rsidRPr="00C727CA">
        <w:t xml:space="preserve">nejvíce naplňuje </w:t>
      </w:r>
      <w:r w:rsidR="00011C63" w:rsidRPr="00C727CA">
        <w:rPr>
          <w:i/>
        </w:rPr>
        <w:t>ideu</w:t>
      </w:r>
      <w:r w:rsidR="00011C63" w:rsidRPr="00C727CA">
        <w:t xml:space="preserve"> celého zákona.</w:t>
      </w:r>
    </w:p>
    <w:p w14:paraId="689A0CB3" w14:textId="35942E8A" w:rsidR="00E62654" w:rsidRPr="00C727CA" w:rsidRDefault="00E62654" w:rsidP="00243347">
      <w:r w:rsidRPr="00245677">
        <w:t>Pro užší řízení je naopak typická dvojstupňovost tohoto řízení v podobě prvotního zhodnocení kvalifikace</w:t>
      </w:r>
      <w:r w:rsidR="00C05F89" w:rsidRPr="00245677">
        <w:t xml:space="preserve"> </w:t>
      </w:r>
      <w:r w:rsidR="00D054E4" w:rsidRPr="00245677">
        <w:t>uchazečů</w:t>
      </w:r>
      <w:r w:rsidR="00B91C53" w:rsidRPr="00245677">
        <w:t xml:space="preserve"> </w:t>
      </w:r>
      <w:r w:rsidR="00D054E4" w:rsidRPr="00245677">
        <w:t>s případnou</w:t>
      </w:r>
      <w:r w:rsidR="00C05F89" w:rsidRPr="00245677">
        <w:t xml:space="preserve"> možnost</w:t>
      </w:r>
      <w:r w:rsidR="00D054E4" w:rsidRPr="00245677">
        <w:t>í</w:t>
      </w:r>
      <w:r w:rsidR="00C05F89" w:rsidRPr="00245677">
        <w:t xml:space="preserve"> </w:t>
      </w:r>
      <w:r w:rsidR="00245677" w:rsidRPr="00245677">
        <w:t xml:space="preserve">jejich </w:t>
      </w:r>
      <w:r w:rsidR="00C05F89" w:rsidRPr="00245677">
        <w:t>redukce</w:t>
      </w:r>
      <w:r w:rsidR="00245677" w:rsidRPr="00245677">
        <w:t>.</w:t>
      </w:r>
      <w:r w:rsidR="00C05F89" w:rsidRPr="00245677">
        <w:t xml:space="preserve"> </w:t>
      </w:r>
      <w:r w:rsidR="00245677" w:rsidRPr="00245677">
        <w:t xml:space="preserve">Ti </w:t>
      </w:r>
      <w:r w:rsidR="00C05F89" w:rsidRPr="00245677">
        <w:t xml:space="preserve">jsou </w:t>
      </w:r>
      <w:r w:rsidR="003A3D90" w:rsidRPr="00245677">
        <w:t xml:space="preserve">následně </w:t>
      </w:r>
      <w:r w:rsidR="00C05F89" w:rsidRPr="00245677">
        <w:t>vyzváni k podání nabídky</w:t>
      </w:r>
      <w:r w:rsidRPr="00245677">
        <w:t>. To</w:t>
      </w:r>
      <w:r w:rsidR="00245677" w:rsidRPr="00245677">
        <w:t>to</w:t>
      </w:r>
      <w:r w:rsidRPr="00C727CA">
        <w:t xml:space="preserve"> může být chápáno jako nevýhoda tohoto řízení, která </w:t>
      </w:r>
      <w:r w:rsidR="003A3D90" w:rsidRPr="00C727CA">
        <w:t>teoreticky</w:t>
      </w:r>
      <w:r w:rsidRPr="00C727CA">
        <w:t xml:space="preserve"> snižuje jeho transparentnost, na druhou stranu</w:t>
      </w:r>
      <w:r w:rsidR="003A3D90" w:rsidRPr="00C727CA">
        <w:t>,</w:t>
      </w:r>
      <w:r w:rsidRPr="00C727CA">
        <w:t xml:space="preserve"> tento postup umožňuje zadavateli ušetřit jeho čas a možnost koncent</w:t>
      </w:r>
      <w:r w:rsidR="00A63B07">
        <w:t xml:space="preserve">rovat se </w:t>
      </w:r>
      <w:r w:rsidRPr="00C727CA">
        <w:t xml:space="preserve">na nabídky, které jsou podány </w:t>
      </w:r>
      <w:r w:rsidR="00C05F89" w:rsidRPr="00C727CA">
        <w:t xml:space="preserve">maximálně </w:t>
      </w:r>
      <w:r w:rsidRPr="00C727CA">
        <w:t>kvalifikovanými zájemci. Platí, že toto řízení je rovnoce</w:t>
      </w:r>
      <w:r w:rsidR="00295D33">
        <w:t>n</w:t>
      </w:r>
      <w:r w:rsidRPr="00C727CA">
        <w:t xml:space="preserve">né otevřenému řízení. </w:t>
      </w:r>
      <w:r w:rsidR="00C05F89" w:rsidRPr="00C727CA">
        <w:t>I toto řízení může použít jakýkoliv zadavatel, pro jakoukoliv VZ s jakoukoliv předpokládanou hodnotou s tím, že ani použití tohoto zadávacího řízení není omezeno žádnými podmínka</w:t>
      </w:r>
      <w:r w:rsidR="00A63B07">
        <w:t>mi</w:t>
      </w:r>
      <w:r w:rsidR="00C05F89" w:rsidRPr="00C727CA">
        <w:t xml:space="preserve">. </w:t>
      </w:r>
      <w:r w:rsidR="00245677">
        <w:t>Diplomant</w:t>
      </w:r>
      <w:r w:rsidR="00C05F89" w:rsidRPr="00C727CA">
        <w:t xml:space="preserve"> si tedy myslí, že upřednostnění tohoto řízení před otevřeným je velmi praktické</w:t>
      </w:r>
      <w:r w:rsidR="00425D3B" w:rsidRPr="00C727CA">
        <w:t>.</w:t>
      </w:r>
    </w:p>
    <w:p w14:paraId="78E6202A" w14:textId="42204A5E" w:rsidR="00E33166" w:rsidRPr="00C727CA" w:rsidRDefault="00425D3B" w:rsidP="00425D3B">
      <w:r w:rsidRPr="00C727CA">
        <w:t xml:space="preserve">Soutěžní dialog je již zadávací řízení, které se od ostatních vcelku odlišuje. </w:t>
      </w:r>
      <w:r w:rsidR="00B57DFC">
        <w:t>M</w:t>
      </w:r>
      <w:r w:rsidR="0016408A" w:rsidRPr="00C727CA">
        <w:t xml:space="preserve">ůže být </w:t>
      </w:r>
      <w:r w:rsidR="00B57DFC">
        <w:t xml:space="preserve">sice </w:t>
      </w:r>
      <w:r w:rsidR="0016408A" w:rsidRPr="00C727CA">
        <w:t xml:space="preserve">použito na VZ s jakýmkoliv předmětem plnění, nicméně tento předmět musí být objektivně zvláště složitý. </w:t>
      </w:r>
      <w:r w:rsidR="00ED414C" w:rsidRPr="00C727CA">
        <w:t xml:space="preserve">Pro toto řízení je totiž typické jednání zadavatele s vyzvanými uchazeči, které má směřovat právě k nalezení nejlepší cesty, která povede k uspokojení zadavatelem obecně vytyčených cílů. </w:t>
      </w:r>
      <w:r w:rsidR="0016408A" w:rsidRPr="00C727CA">
        <w:t>Řízení může použít pouze veřejný či dotovaný zadavatel s tím, že samotná výše předpokládané hodnoty předmětu VZ není rozhodující. Pokud jde o podmínky použi</w:t>
      </w:r>
      <w:r w:rsidR="00A63B07">
        <w:t xml:space="preserve">tí tohoto zadávacího řízení, je jich </w:t>
      </w:r>
      <w:r w:rsidR="0016408A" w:rsidRPr="00C727CA">
        <w:t xml:space="preserve">několik. Vedle zvláště složitého předmětu plnění a </w:t>
      </w:r>
      <w:r w:rsidR="00B57DFC">
        <w:t xml:space="preserve">s tím spojené nemožnosti použít </w:t>
      </w:r>
      <w:r w:rsidR="00B57DFC" w:rsidRPr="00C727CA">
        <w:t>otevřené či užší řízení</w:t>
      </w:r>
      <w:r w:rsidR="008232F8">
        <w:t>,</w:t>
      </w:r>
      <w:r w:rsidR="00B57DFC" w:rsidRPr="00C727CA">
        <w:t xml:space="preserve"> </w:t>
      </w:r>
      <w:r w:rsidR="00B57DFC">
        <w:t xml:space="preserve">to je </w:t>
      </w:r>
      <w:r w:rsidR="00D054E4">
        <w:t xml:space="preserve">právě </w:t>
      </w:r>
      <w:r w:rsidR="00B57DFC">
        <w:t xml:space="preserve">i </w:t>
      </w:r>
      <w:r w:rsidR="0016408A" w:rsidRPr="00C727CA">
        <w:t>konkrétní kategorie zadavatele</w:t>
      </w:r>
      <w:r w:rsidR="0092669C" w:rsidRPr="00C727CA">
        <w:t xml:space="preserve">. </w:t>
      </w:r>
      <w:r w:rsidR="00245677">
        <w:t>Splnění těchto podmínek</w:t>
      </w:r>
      <w:r w:rsidR="0092669C" w:rsidRPr="00C727CA">
        <w:t xml:space="preserve"> je případný zadavatel samozře</w:t>
      </w:r>
      <w:r w:rsidR="00A74D67">
        <w:t>jmě povinen prokázat a doložit.</w:t>
      </w:r>
    </w:p>
    <w:p w14:paraId="2F6CF61A" w14:textId="5BF84586" w:rsidR="000330D2" w:rsidRPr="00C727CA" w:rsidRDefault="000330D2" w:rsidP="00425D3B">
      <w:r w:rsidRPr="00C727CA">
        <w:t>Pro zjednodušené podlim</w:t>
      </w:r>
      <w:r w:rsidR="001E0E8B" w:rsidRPr="00C727CA">
        <w:t>itní řízení je již předpokládaná</w:t>
      </w:r>
      <w:r w:rsidRPr="00C727CA">
        <w:t xml:space="preserve"> hodnota zakázky rozhodující. Vedle podmínky, že toto řízení může použít pouze veřejný či dotovaný zadavatel, ač obecně na jakýkoliv předmět plnění, </w:t>
      </w:r>
      <w:r w:rsidR="001E0E8B" w:rsidRPr="00C727CA">
        <w:t xml:space="preserve">dále platí, že </w:t>
      </w:r>
      <w:r w:rsidRPr="00C727CA">
        <w:t>výše tohoto plnění nesmí překročit limity pro</w:t>
      </w:r>
      <w:r w:rsidR="00AF3BC0">
        <w:t> </w:t>
      </w:r>
      <w:r w:rsidR="001E0E8B" w:rsidRPr="00C727CA">
        <w:t xml:space="preserve">podlimitní VZ na dodávky a služby, a v případě stavebních prací, její hodnota nesmí přesáhnout 10 mil. Kč bez DPH. Toto řízení má být tedy primárně využíváno na zakázky nižší hodnoty. Bohužel úprava tohoto řízení, umožňující zadavateli adresně vyzvat určité zájemce, byť takové, se kterými </w:t>
      </w:r>
      <w:r w:rsidR="00CF3B09" w:rsidRPr="00C727CA">
        <w:t xml:space="preserve">měl předešlou dobrou zkušenost, aby rovnou podali své nabídky, </w:t>
      </w:r>
      <w:r w:rsidR="001E0E8B" w:rsidRPr="00C727CA">
        <w:t xml:space="preserve">je vcelku netransparentní a </w:t>
      </w:r>
      <w:r w:rsidR="00245677">
        <w:t>tedy</w:t>
      </w:r>
      <w:r w:rsidR="001E0E8B" w:rsidRPr="00C727CA">
        <w:t xml:space="preserve"> neumožňuje smysluplné naplnění </w:t>
      </w:r>
      <w:r w:rsidR="00295D33" w:rsidRPr="00C727CA">
        <w:rPr>
          <w:i/>
        </w:rPr>
        <w:t>idey</w:t>
      </w:r>
      <w:r w:rsidR="001E0E8B" w:rsidRPr="00C727CA">
        <w:t xml:space="preserve"> zákona.</w:t>
      </w:r>
    </w:p>
    <w:p w14:paraId="022A0D41" w14:textId="43484792" w:rsidR="00CF3B09" w:rsidRPr="00C727CA" w:rsidRDefault="00CF3B09" w:rsidP="00425D3B">
      <w:r w:rsidRPr="00C727CA">
        <w:t xml:space="preserve">Naopak v případě jednacího řízení s uveřejněním si </w:t>
      </w:r>
      <w:r w:rsidR="00245677">
        <w:t>diplomant myslí</w:t>
      </w:r>
      <w:r w:rsidRPr="00C727CA">
        <w:t xml:space="preserve">, že k naplnění </w:t>
      </w:r>
      <w:r w:rsidR="00C40CAE" w:rsidRPr="00C727CA">
        <w:t>smyslu zákona dochází, o čemž</w:t>
      </w:r>
      <w:r w:rsidR="008232F8">
        <w:t xml:space="preserve"> </w:t>
      </w:r>
      <w:r w:rsidR="00C40CAE" w:rsidRPr="00C727CA">
        <w:t xml:space="preserve">svědčí i to, že postup zadavatele v tomto řízení ze značné části kopíruje postup dle užšího řízení. Toto jednací řízení může být použito zadavatelem každé kategorie s tím, že pro každého jsou stanoveny různé pozitivní či negativní podmínky. Předmět ani předpokládaná hodnota VZ pak v tomto řízení </w:t>
      </w:r>
      <w:r w:rsidR="008A53CE">
        <w:t>nejsou</w:t>
      </w:r>
      <w:r w:rsidR="00C40CAE" w:rsidRPr="00C727CA">
        <w:t xml:space="preserve"> </w:t>
      </w:r>
      <w:r w:rsidR="003A3D90" w:rsidRPr="00C727CA">
        <w:t>rozhodující</w:t>
      </w:r>
      <w:r w:rsidR="00C40CAE" w:rsidRPr="00C727CA">
        <w:t xml:space="preserve">. Hlavní smysl tohoto řízení </w:t>
      </w:r>
      <w:r w:rsidR="00245677">
        <w:t>je pak shledáván</w:t>
      </w:r>
      <w:r w:rsidR="00C40CAE" w:rsidRPr="00C727CA">
        <w:t xml:space="preserve"> v jeho snaze pomoci zadavateli, kterému se primárně v předešlém zadávacím řízení danou VZ nepodařilo zadat, aby tuto neuspokojivou situaci co možná nejlépe vyřešil a v závěru daného řízení zakázku zadal.</w:t>
      </w:r>
    </w:p>
    <w:p w14:paraId="224B26DF" w14:textId="48BDCCF6" w:rsidR="00367AAC" w:rsidRPr="00C727CA" w:rsidRDefault="00367AAC" w:rsidP="00425D3B">
      <w:r w:rsidRPr="00C727CA">
        <w:t>Závěrečné jednací řízení bez uveřejnění je pak řízení</w:t>
      </w:r>
      <w:r w:rsidR="003A3D90" w:rsidRPr="00C727CA">
        <w:t>, které stojí na určité</w:t>
      </w:r>
      <w:r w:rsidR="008232F8">
        <w:t xml:space="preserve"> </w:t>
      </w:r>
      <w:r w:rsidR="003A3D90" w:rsidRPr="00C727CA">
        <w:t>hraně</w:t>
      </w:r>
      <w:r w:rsidRPr="00C727CA">
        <w:t xml:space="preserve">  transparentnosti. Ta má být tomuto řízení zaručena především splněním podmínek, které opravňují zadavatele toto řízení zadat, nicméně jakmile se zadavatel dostane přes toto stádium, samotné řízení je již velmi neformální a v jeho rámci prakticky dochází k zadání zakázky tzv. z ruky. Toto řízení může být použito jakýmkoliv zadavatele</w:t>
      </w:r>
      <w:r w:rsidR="008A53CE">
        <w:t>m</w:t>
      </w:r>
      <w:r w:rsidRPr="00C727CA">
        <w:t xml:space="preserve"> s tím, že pro</w:t>
      </w:r>
      <w:r w:rsidR="00AF3BC0">
        <w:t> </w:t>
      </w:r>
      <w:r w:rsidRPr="00C727CA">
        <w:t xml:space="preserve">každého opět platí různé podmínky. </w:t>
      </w:r>
    </w:p>
    <w:p w14:paraId="381EEB97" w14:textId="31A34AE7" w:rsidR="003A3D90" w:rsidRPr="00C727CA" w:rsidRDefault="003A3D90" w:rsidP="00425D3B">
      <w:r w:rsidRPr="00C727CA">
        <w:t xml:space="preserve">Pokud jde o diplomantův názor na </w:t>
      </w:r>
      <w:r w:rsidR="00F95D6C" w:rsidRPr="00C727CA">
        <w:t>přehlednost či složitost zákona o VZ a s tím související reálná možnost tran</w:t>
      </w:r>
      <w:r w:rsidR="00D41D90">
        <w:t>sparentně zadat VZ, pak dochází</w:t>
      </w:r>
      <w:r w:rsidR="00F95D6C" w:rsidRPr="00C727CA">
        <w:t xml:space="preserve"> k závěru, že to </w:t>
      </w:r>
      <w:r w:rsidR="008A53CE" w:rsidRPr="00C727CA">
        <w:t xml:space="preserve">je </w:t>
      </w:r>
      <w:r w:rsidR="008A53CE">
        <w:t>velmi</w:t>
      </w:r>
      <w:r w:rsidR="00F95D6C" w:rsidRPr="00C727CA">
        <w:t xml:space="preserve"> diskutabilní. Práce s ustanoveními tohoto zákona byla opravdu složitá, někdy až nepřehledná, což je samozřejmě špatné znamení. </w:t>
      </w:r>
      <w:r w:rsidR="00651E54">
        <w:t xml:space="preserve">Diplomant </w:t>
      </w:r>
      <w:r w:rsidR="00F95D6C" w:rsidRPr="00C727CA">
        <w:t xml:space="preserve">si </w:t>
      </w:r>
      <w:r w:rsidR="00D41D90">
        <w:t>také myslí</w:t>
      </w:r>
      <w:r w:rsidR="00F95D6C" w:rsidRPr="00C727CA">
        <w:t>, že struk</w:t>
      </w:r>
      <w:r w:rsidR="00295D33">
        <w:t xml:space="preserve">tura zákona </w:t>
      </w:r>
      <w:r w:rsidR="00651E54">
        <w:t xml:space="preserve">bohužel </w:t>
      </w:r>
      <w:r w:rsidR="00295D33">
        <w:t>představuje pro jeho</w:t>
      </w:r>
      <w:r w:rsidR="00F95D6C" w:rsidRPr="00C727CA">
        <w:t xml:space="preserve"> uživatele spíše bariéru, a to i přesto, že určité postupy jsou pro většinu zadávacích řízení</w:t>
      </w:r>
      <w:r w:rsidR="00737FCB" w:rsidRPr="00C727CA">
        <w:t xml:space="preserve"> shodné</w:t>
      </w:r>
      <w:r w:rsidR="008A53CE">
        <w:t>. O</w:t>
      </w:r>
      <w:r w:rsidR="00737FCB" w:rsidRPr="00C727CA">
        <w:t xml:space="preserve"> výše uvedené rekodifikaci práva VZ si </w:t>
      </w:r>
      <w:r w:rsidR="008A53CE">
        <w:t xml:space="preserve">současně </w:t>
      </w:r>
      <w:r w:rsidR="00D41D90">
        <w:t>myslí</w:t>
      </w:r>
      <w:r w:rsidR="00737FCB" w:rsidRPr="00C727CA">
        <w:t xml:space="preserve">, že pro zákonodárce představuje velmi dobrou možnost, jak celé zadávání VZ více zprůhlednit a </w:t>
      </w:r>
      <w:r w:rsidR="008A53CE">
        <w:t>až praxe ukáže, zdali přišel</w:t>
      </w:r>
      <w:r w:rsidR="00737FCB" w:rsidRPr="00C727CA">
        <w:t xml:space="preserve"> s normou, se kterou </w:t>
      </w:r>
      <w:r w:rsidR="008A53CE">
        <w:t>je</w:t>
      </w:r>
      <w:r w:rsidR="00737FCB" w:rsidRPr="00C727CA">
        <w:t xml:space="preserve"> </w:t>
      </w:r>
      <w:r w:rsidR="008A53CE">
        <w:t>snadnější</w:t>
      </w:r>
      <w:r w:rsidR="00737FCB" w:rsidRPr="00C727CA">
        <w:t xml:space="preserve"> pracovat.</w:t>
      </w:r>
    </w:p>
    <w:p w14:paraId="1540E1A4" w14:textId="77777777" w:rsidR="00ED414C" w:rsidRPr="00C727CA" w:rsidRDefault="00ED414C" w:rsidP="00425D3B"/>
    <w:p w14:paraId="751D05A0" w14:textId="77777777" w:rsidR="00E33166" w:rsidRPr="00C727CA" w:rsidRDefault="00E33166" w:rsidP="00E33166">
      <w:pPr>
        <w:ind w:firstLine="0"/>
      </w:pPr>
    </w:p>
    <w:p w14:paraId="756DBC0A" w14:textId="77777777" w:rsidR="0092669C" w:rsidRPr="00C727CA" w:rsidRDefault="0092669C" w:rsidP="00425D3B"/>
    <w:p w14:paraId="0DD3C1A6" w14:textId="77777777" w:rsidR="00737FCB" w:rsidRPr="00C727CA" w:rsidRDefault="00737FCB" w:rsidP="00425D3B"/>
    <w:p w14:paraId="0FB8B415" w14:textId="77777777" w:rsidR="00737FCB" w:rsidRPr="00C727CA" w:rsidRDefault="00737FCB" w:rsidP="00425D3B"/>
    <w:p w14:paraId="3BE134A3" w14:textId="77777777" w:rsidR="00737FCB" w:rsidRPr="00C727CA" w:rsidRDefault="00737FCB" w:rsidP="00425D3B"/>
    <w:p w14:paraId="49AD3518" w14:textId="77777777" w:rsidR="00737FCB" w:rsidRPr="00C727CA" w:rsidRDefault="00737FCB" w:rsidP="00425D3B"/>
    <w:p w14:paraId="14DAB86E" w14:textId="77777777" w:rsidR="00737FCB" w:rsidRPr="00C727CA" w:rsidRDefault="00737FCB" w:rsidP="00425D3B"/>
    <w:p w14:paraId="25E21E37" w14:textId="77777777" w:rsidR="00737FCB" w:rsidRPr="00C727CA" w:rsidRDefault="00737FCB" w:rsidP="00425D3B"/>
    <w:p w14:paraId="6EADFE0B" w14:textId="77777777" w:rsidR="00737FCB" w:rsidRPr="00C727CA" w:rsidRDefault="00737FCB" w:rsidP="00425D3B"/>
    <w:p w14:paraId="23F7D293" w14:textId="77777777" w:rsidR="00737FCB" w:rsidRPr="00C727CA" w:rsidRDefault="00737FCB" w:rsidP="00425D3B"/>
    <w:p w14:paraId="75561E80" w14:textId="77777777" w:rsidR="00737FCB" w:rsidRPr="00C727CA" w:rsidRDefault="00737FCB" w:rsidP="00425D3B"/>
    <w:p w14:paraId="03DD112F" w14:textId="77777777" w:rsidR="00737FCB" w:rsidRPr="00C727CA" w:rsidRDefault="00737FCB" w:rsidP="00425D3B"/>
    <w:p w14:paraId="52E8F524" w14:textId="77777777" w:rsidR="00737FCB" w:rsidRPr="00C727CA" w:rsidRDefault="00737FCB" w:rsidP="00425D3B"/>
    <w:p w14:paraId="4E114157" w14:textId="77777777" w:rsidR="00737FCB" w:rsidRPr="00C727CA" w:rsidRDefault="00737FCB" w:rsidP="00425D3B"/>
    <w:p w14:paraId="07048997" w14:textId="77777777" w:rsidR="00737FCB" w:rsidRPr="00C727CA" w:rsidRDefault="00737FCB" w:rsidP="00425D3B"/>
    <w:p w14:paraId="541F174F" w14:textId="77777777" w:rsidR="00737FCB" w:rsidRPr="00C727CA" w:rsidRDefault="00737FCB" w:rsidP="00425D3B"/>
    <w:p w14:paraId="47CE070B" w14:textId="77777777" w:rsidR="00737FCB" w:rsidRPr="00C727CA" w:rsidRDefault="00737FCB" w:rsidP="00425D3B"/>
    <w:p w14:paraId="45F10690" w14:textId="77777777" w:rsidR="00737FCB" w:rsidRPr="00C727CA" w:rsidRDefault="00737FCB" w:rsidP="00425D3B"/>
    <w:p w14:paraId="4A95ACC9" w14:textId="77777777" w:rsidR="00737FCB" w:rsidRPr="00C727CA" w:rsidRDefault="00737FCB" w:rsidP="00425D3B"/>
    <w:p w14:paraId="6B127921" w14:textId="77777777" w:rsidR="00737FCB" w:rsidRPr="00C727CA" w:rsidRDefault="00737FCB" w:rsidP="00425D3B"/>
    <w:p w14:paraId="3EBDC639" w14:textId="77777777" w:rsidR="00737FCB" w:rsidRPr="00C727CA" w:rsidRDefault="00737FCB" w:rsidP="00425D3B"/>
    <w:p w14:paraId="116A4D74" w14:textId="77777777" w:rsidR="00737FCB" w:rsidRPr="00C727CA" w:rsidRDefault="00737FCB" w:rsidP="00425D3B"/>
    <w:p w14:paraId="362A1F54" w14:textId="77777777" w:rsidR="00737FCB" w:rsidRPr="00C727CA" w:rsidRDefault="00737FCB" w:rsidP="00425D3B"/>
    <w:p w14:paraId="0900983C" w14:textId="77777777" w:rsidR="00737FCB" w:rsidRPr="00C727CA" w:rsidRDefault="00737FCB" w:rsidP="00425D3B"/>
    <w:p w14:paraId="76DCEA8B" w14:textId="77777777" w:rsidR="00737FCB" w:rsidRPr="00C727CA" w:rsidRDefault="00737FCB" w:rsidP="00425D3B"/>
    <w:p w14:paraId="141ED1E8" w14:textId="77777777" w:rsidR="00737FCB" w:rsidRPr="00C727CA" w:rsidRDefault="00737FCB" w:rsidP="00425D3B"/>
    <w:p w14:paraId="7D676B0C" w14:textId="77777777" w:rsidR="00737FCB" w:rsidRDefault="00737FCB" w:rsidP="00425D3B"/>
    <w:p w14:paraId="0382AD4A" w14:textId="77777777" w:rsidR="008A53CE" w:rsidRPr="00C727CA" w:rsidRDefault="008A53CE" w:rsidP="00425D3B"/>
    <w:p w14:paraId="473EA229" w14:textId="77777777" w:rsidR="00350FC7" w:rsidRPr="00C727CA" w:rsidRDefault="00350FC7" w:rsidP="00FA2973">
      <w:pPr>
        <w:ind w:firstLine="0"/>
      </w:pPr>
    </w:p>
    <w:p w14:paraId="48DFD42A" w14:textId="77777777" w:rsidR="002E1DF3" w:rsidRPr="00C727CA" w:rsidRDefault="002E1DF3" w:rsidP="00350FC7">
      <w:pPr>
        <w:pStyle w:val="Heading1"/>
      </w:pPr>
      <w:bookmarkStart w:id="23" w:name="_Toc472859452"/>
      <w:r w:rsidRPr="00C727CA">
        <w:t>Seznam použitých zdrojů (</w:t>
      </w:r>
      <w:r w:rsidR="00350FC7" w:rsidRPr="00C727CA">
        <w:t>Bibliography</w:t>
      </w:r>
      <w:r w:rsidRPr="00C727CA">
        <w:t>)</w:t>
      </w:r>
      <w:bookmarkEnd w:id="23"/>
    </w:p>
    <w:p w14:paraId="4DDB1DDB" w14:textId="77777777" w:rsidR="002E1DF3" w:rsidRPr="00C727CA" w:rsidRDefault="002E1DF3" w:rsidP="00FA2973">
      <w:pPr>
        <w:ind w:firstLine="0"/>
      </w:pPr>
    </w:p>
    <w:p w14:paraId="6A154927" w14:textId="77777777" w:rsidR="003716DD" w:rsidRPr="00C727CA" w:rsidRDefault="002E1DF3" w:rsidP="00FA2973">
      <w:pPr>
        <w:ind w:left="1410" w:hanging="1410"/>
      </w:pPr>
      <w:r w:rsidRPr="00C727CA">
        <w:t>Monografie:</w:t>
      </w:r>
      <w:r w:rsidRPr="00C727CA">
        <w:tab/>
      </w:r>
    </w:p>
    <w:p w14:paraId="4DA43AE7" w14:textId="77777777" w:rsidR="002E1DF3" w:rsidRPr="00C727CA" w:rsidRDefault="002E1DF3" w:rsidP="00FA2973">
      <w:pPr>
        <w:ind w:left="1410" w:hanging="1410"/>
      </w:pPr>
      <w:r w:rsidRPr="00C727CA">
        <w:t xml:space="preserve">JURČÍK, Radek. </w:t>
      </w:r>
      <w:r w:rsidRPr="00C727CA">
        <w:rPr>
          <w:i/>
        </w:rPr>
        <w:t>Veřejné zakázky a koncese</w:t>
      </w:r>
      <w:r w:rsidRPr="00C727CA">
        <w:t>. 2. vydání. Praha: C. H. Beck, 2014. 1024 s.</w:t>
      </w:r>
    </w:p>
    <w:p w14:paraId="307492AD" w14:textId="77777777" w:rsidR="002E1DF3" w:rsidRPr="00C727CA" w:rsidRDefault="002E1DF3" w:rsidP="00FA2973">
      <w:pPr>
        <w:ind w:firstLine="0"/>
      </w:pPr>
      <w:r w:rsidRPr="00C727CA">
        <w:t xml:space="preserve">DVOŘÁK, David. </w:t>
      </w:r>
      <w:r w:rsidRPr="00C727CA">
        <w:rPr>
          <w:i/>
        </w:rPr>
        <w:t>Smluvní vztahy ve veřejných zakázkách a jejich změny</w:t>
      </w:r>
      <w:r w:rsidRPr="00C727CA">
        <w:t>. 1. vydání. Praha: C. H. Beck, 2014. 263 s.</w:t>
      </w:r>
    </w:p>
    <w:p w14:paraId="032BB9C3" w14:textId="77777777" w:rsidR="00C80616" w:rsidRPr="00C727CA" w:rsidRDefault="00A9596B" w:rsidP="00FA2973">
      <w:pPr>
        <w:ind w:firstLine="0"/>
      </w:pPr>
      <w:r w:rsidRPr="00C727CA">
        <w:rPr>
          <w:iCs/>
        </w:rPr>
        <w:t xml:space="preserve">BALÝOVÁ, </w:t>
      </w:r>
      <w:r w:rsidR="00C80616" w:rsidRPr="00C727CA">
        <w:rPr>
          <w:iCs/>
        </w:rPr>
        <w:t>L</w:t>
      </w:r>
      <w:r w:rsidR="00A27EEE" w:rsidRPr="00C727CA">
        <w:rPr>
          <w:iCs/>
        </w:rPr>
        <w:t>ucie</w:t>
      </w:r>
      <w:r w:rsidRPr="00C727CA">
        <w:rPr>
          <w:iCs/>
        </w:rPr>
        <w:t>.</w:t>
      </w:r>
      <w:r w:rsidR="00C80616" w:rsidRPr="00C727CA">
        <w:t xml:space="preserve"> </w:t>
      </w:r>
      <w:r w:rsidR="00C80616" w:rsidRPr="00C727CA">
        <w:rPr>
          <w:i/>
        </w:rPr>
        <w:t>Veřejné zakázky</w:t>
      </w:r>
      <w:r w:rsidR="00C80616" w:rsidRPr="00C727CA">
        <w:t>. 1. vydání. P</w:t>
      </w:r>
      <w:r w:rsidRPr="00C727CA">
        <w:t>raha: C. H. Beck, 2015.</w:t>
      </w:r>
      <w:r w:rsidR="00A27EEE" w:rsidRPr="00C727CA">
        <w:t xml:space="preserve"> </w:t>
      </w:r>
      <w:r w:rsidR="00C80616" w:rsidRPr="00C727CA">
        <w:t>250 s.</w:t>
      </w:r>
    </w:p>
    <w:p w14:paraId="3F82292F" w14:textId="77777777" w:rsidR="002E1DF3" w:rsidRPr="00C727CA" w:rsidRDefault="002E1DF3" w:rsidP="00FA2973">
      <w:pPr>
        <w:ind w:left="1410" w:hanging="1410"/>
      </w:pPr>
    </w:p>
    <w:p w14:paraId="7F72C484" w14:textId="77777777" w:rsidR="001F17B8" w:rsidRPr="00C727CA" w:rsidRDefault="001F17B8" w:rsidP="00FA2973">
      <w:pPr>
        <w:ind w:left="1410" w:hanging="1410"/>
      </w:pPr>
      <w:r w:rsidRPr="00C727CA">
        <w:t>Komentář:</w:t>
      </w:r>
    </w:p>
    <w:p w14:paraId="70EA07FE" w14:textId="77777777" w:rsidR="001F17B8" w:rsidRPr="00C727CA" w:rsidRDefault="001F17B8" w:rsidP="00FA2973">
      <w:pPr>
        <w:ind w:firstLine="0"/>
      </w:pPr>
      <w:r w:rsidRPr="00C727CA">
        <w:t xml:space="preserve">JURČÍK, Radek. </w:t>
      </w:r>
      <w:r w:rsidRPr="00C727CA">
        <w:rPr>
          <w:i/>
        </w:rPr>
        <w:t xml:space="preserve">Zákon o veřejných zakázkách. </w:t>
      </w:r>
      <w:r w:rsidRPr="00C727CA">
        <w:t>Komentář. 4. Vydání.</w:t>
      </w:r>
      <w:r w:rsidR="007A2D45" w:rsidRPr="00C727CA">
        <w:t xml:space="preserve"> Praha: </w:t>
      </w:r>
      <w:r w:rsidRPr="00C727CA">
        <w:t>C. H. Beck,</w:t>
      </w:r>
      <w:r w:rsidR="007A2D45" w:rsidRPr="00C727CA">
        <w:t xml:space="preserve"> </w:t>
      </w:r>
      <w:r w:rsidRPr="00C727CA">
        <w:t xml:space="preserve">2015, 1252 s. </w:t>
      </w:r>
    </w:p>
    <w:p w14:paraId="5D4187D8" w14:textId="77777777" w:rsidR="00810B25" w:rsidRPr="00C727CA" w:rsidRDefault="00810B25" w:rsidP="00FA2973">
      <w:pPr>
        <w:ind w:left="1410" w:hanging="1410"/>
      </w:pPr>
    </w:p>
    <w:p w14:paraId="36054AF4" w14:textId="77777777" w:rsidR="002E1DF3" w:rsidRPr="00C727CA" w:rsidRDefault="002E1DF3" w:rsidP="00FA2973">
      <w:pPr>
        <w:ind w:left="1410" w:hanging="1410"/>
      </w:pPr>
      <w:r w:rsidRPr="00C727CA">
        <w:t>Právní předpisy:</w:t>
      </w:r>
    </w:p>
    <w:p w14:paraId="0419322F" w14:textId="77777777" w:rsidR="002E1DF3" w:rsidRPr="00C727CA" w:rsidRDefault="003716DD" w:rsidP="00FA2973">
      <w:pPr>
        <w:ind w:firstLine="0"/>
      </w:pPr>
      <w:r w:rsidRPr="00C727CA">
        <w:t>- aktuální znění: zákon č. 137/2006 Sb., o veřejných zakázkách, ve znění pozdějších předpisů</w:t>
      </w:r>
    </w:p>
    <w:p w14:paraId="55A6E9BF" w14:textId="77777777" w:rsidR="00C329B5" w:rsidRPr="00C727CA" w:rsidRDefault="00C329B5" w:rsidP="00FA2973">
      <w:pPr>
        <w:ind w:firstLine="0"/>
      </w:pPr>
      <w:r w:rsidRPr="00C727CA">
        <w:t xml:space="preserve">- </w:t>
      </w:r>
      <w:r w:rsidR="00A9596B" w:rsidRPr="00C727CA">
        <w:t>Smlouva o fungování Evropské unie (konsolidované znění)</w:t>
      </w:r>
    </w:p>
    <w:p w14:paraId="7F6238D2" w14:textId="77777777" w:rsidR="00D130D8" w:rsidRPr="00C727CA" w:rsidRDefault="00D130D8" w:rsidP="00FA2973">
      <w:pPr>
        <w:ind w:firstLine="0"/>
      </w:pPr>
      <w:r w:rsidRPr="00C727CA">
        <w:t>- Směrnici Evropského parlamentu a Rady o koordinaci postupů zadávání veřejných zakázek na dodávky, služby a stavební práce, ze dne 10. května 2000, Brusel COM (2000) 275-2004/18/EC</w:t>
      </w:r>
    </w:p>
    <w:p w14:paraId="762ADAD4" w14:textId="77777777" w:rsidR="00D130D8" w:rsidRPr="00C727CA" w:rsidRDefault="00D130D8" w:rsidP="00FA2973">
      <w:pPr>
        <w:ind w:firstLine="0"/>
      </w:pPr>
      <w:r w:rsidRPr="00C727CA">
        <w:t>- Směrnici Evropského parlamentu a Rady o koordinaci postupů při zadávání veřejných zakázek v oblasti vodního hospodářství, energetiky a dopravy, ze dne 10. května 2000, Brusel COM (2000) 276-2004/17/EC</w:t>
      </w:r>
    </w:p>
    <w:p w14:paraId="6519F1AC" w14:textId="77777777" w:rsidR="002F7391" w:rsidRPr="00C727CA" w:rsidRDefault="002F7391" w:rsidP="00FA2973">
      <w:pPr>
        <w:ind w:firstLine="0"/>
      </w:pPr>
      <w:r w:rsidRPr="00C727CA">
        <w:t>- aktuální znění: zákon č. 273/1996 Sb., o působnosti Úřadu pro ochranu hospodářské soutěže, ve znění pozdějších předpisů</w:t>
      </w:r>
    </w:p>
    <w:p w14:paraId="2F593AA9" w14:textId="77777777" w:rsidR="00975658" w:rsidRPr="00C727CA" w:rsidRDefault="00975658" w:rsidP="00FA2973">
      <w:pPr>
        <w:ind w:firstLine="0"/>
      </w:pPr>
      <w:r w:rsidRPr="00C727CA">
        <w:t>- aktuální znění: zákon č. 183/2006 Sb., o územním plánování a stavebním řádu, ve znění pozdějších předpisů</w:t>
      </w:r>
    </w:p>
    <w:p w14:paraId="0D2C43CF" w14:textId="77777777" w:rsidR="002A5D99" w:rsidRPr="00C727CA" w:rsidRDefault="002A5D99" w:rsidP="00FA2973">
      <w:pPr>
        <w:ind w:firstLine="0"/>
      </w:pPr>
      <w:r w:rsidRPr="00C727CA">
        <w:t xml:space="preserve">- aktuální znění: zákon č. 500/2004 Sb., správní řád, ve </w:t>
      </w:r>
      <w:r w:rsidR="00295D33" w:rsidRPr="00C727CA">
        <w:t>znění</w:t>
      </w:r>
      <w:r w:rsidRPr="00C727CA">
        <w:t xml:space="preserve"> pozdějších předpisů</w:t>
      </w:r>
    </w:p>
    <w:p w14:paraId="76320A94" w14:textId="77777777" w:rsidR="002A5D99" w:rsidRPr="00C727CA" w:rsidRDefault="002A5D99" w:rsidP="00FA2973">
      <w:pPr>
        <w:ind w:firstLine="0"/>
      </w:pPr>
      <w:r w:rsidRPr="00C727CA">
        <w:t>- aktuální znění: zákon č. 99/1963 Sb., občanský soudní řád, ve znění pozdějších předpisů</w:t>
      </w:r>
    </w:p>
    <w:p w14:paraId="78CCBA4F" w14:textId="77777777" w:rsidR="004563A0" w:rsidRPr="00C727CA" w:rsidRDefault="004563A0" w:rsidP="00FA2973">
      <w:pPr>
        <w:ind w:firstLine="0"/>
      </w:pPr>
      <w:r w:rsidRPr="00C727CA">
        <w:t>- aktuální znění: zákon č. 89/2012 Sb., občanský zákon</w:t>
      </w:r>
      <w:r w:rsidR="007F2DBB" w:rsidRPr="00C727CA">
        <w:t>ík</w:t>
      </w:r>
    </w:p>
    <w:p w14:paraId="6114744A" w14:textId="77777777" w:rsidR="007D7243" w:rsidRPr="00C727CA" w:rsidRDefault="007D7243" w:rsidP="00FA2973">
      <w:pPr>
        <w:ind w:firstLine="0"/>
      </w:pPr>
      <w:r w:rsidRPr="00C727CA">
        <w:t>- nařízení vlády č. 77/2008 Sb., o stanovení finančních limitů pro účely zákona o veřejných zakázkách, o vymezení zboží pořizovaného Českou republikou – Ministerstvem obrany, pro které platí zvláštní finanční limit, a o přepočtech částek stanovených v zákoně o veřejných zakázkách v eurech na českou měnu</w:t>
      </w:r>
    </w:p>
    <w:p w14:paraId="68BE2401" w14:textId="77777777" w:rsidR="00F64DF5" w:rsidRPr="00C727CA" w:rsidRDefault="00F64DF5" w:rsidP="00FA2973">
      <w:pPr>
        <w:ind w:firstLine="0"/>
      </w:pPr>
      <w:r w:rsidRPr="00C727CA">
        <w:t>- vyhláška č. 232/2012 Sb., o podrobnostech rozsahu odůvodnění účelnosti veřejné zakázky a odůvodnění veřejné zakázky</w:t>
      </w:r>
    </w:p>
    <w:p w14:paraId="6178347F" w14:textId="77777777" w:rsidR="009431C5" w:rsidRPr="00C727CA" w:rsidRDefault="009431C5" w:rsidP="009431C5">
      <w:pPr>
        <w:ind w:firstLine="0"/>
      </w:pPr>
      <w:r w:rsidRPr="00C727CA">
        <w:t xml:space="preserve">- Metodika zadávání veřejných zakázek, právní stav k 1. lednu 2014, Ministerstvo pro místní rozvoj ČR - Odbor práva veřejných zakázek a koncesí </w:t>
      </w:r>
    </w:p>
    <w:p w14:paraId="5B82C8D2" w14:textId="77777777" w:rsidR="00D65540" w:rsidRPr="00C727CA" w:rsidRDefault="00D65540" w:rsidP="00D65540">
      <w:pPr>
        <w:ind w:firstLine="0"/>
      </w:pPr>
      <w:r w:rsidRPr="00C727CA">
        <w:t xml:space="preserve">- Směrnice Evropského parlamentu a Rady 2014/23/EU ze dne 26. února 2014 o udělování koncesí </w:t>
      </w:r>
    </w:p>
    <w:p w14:paraId="435F1494" w14:textId="77777777" w:rsidR="00D65540" w:rsidRPr="00C727CA" w:rsidRDefault="00D65540" w:rsidP="00D65540">
      <w:pPr>
        <w:ind w:firstLine="0"/>
      </w:pPr>
      <w:r w:rsidRPr="00C727CA">
        <w:t>- Směrnice Evropského parlamentu a Rady 2014/24/EU ze dne 26. února 2014 o zadávání veřejných zakázek a o zrušení směrnice 2004/18/ES</w:t>
      </w:r>
    </w:p>
    <w:p w14:paraId="31A54802" w14:textId="77777777" w:rsidR="00D65540" w:rsidRDefault="00D65540" w:rsidP="00D65540">
      <w:pPr>
        <w:ind w:firstLine="0"/>
      </w:pPr>
      <w:r w:rsidRPr="00C727CA">
        <w:t>- Směrnice Evropského parlamentu a Rady 2014/25/EU ze dne 26. února 2014 o zadávání zakázek subjekty působícími v odvětví vodního hospodářství, energetiky, dopravy a poštovních služeb a o zrušení směrnice 2004/17/ES</w:t>
      </w:r>
    </w:p>
    <w:p w14:paraId="2CC85131" w14:textId="77777777" w:rsidR="009C3453" w:rsidRPr="00C727CA" w:rsidRDefault="009C3453" w:rsidP="00D65540">
      <w:pPr>
        <w:ind w:firstLine="0"/>
      </w:pPr>
      <w:r>
        <w:t xml:space="preserve">- zákon </w:t>
      </w:r>
      <w:r w:rsidRPr="00F222AD">
        <w:t>č. 134/2016 Sb., o zadávání veřejných zakázek</w:t>
      </w:r>
      <w:r>
        <w:t>, včetně důvodové zprávy</w:t>
      </w:r>
    </w:p>
    <w:p w14:paraId="1BDF7DD3" w14:textId="77777777" w:rsidR="009431C5" w:rsidRPr="00C727CA" w:rsidRDefault="009431C5" w:rsidP="00FA2973">
      <w:pPr>
        <w:ind w:firstLine="0"/>
      </w:pPr>
    </w:p>
    <w:p w14:paraId="67EAC3E5" w14:textId="77777777" w:rsidR="00BE0928" w:rsidRPr="00C727CA" w:rsidRDefault="00BE0928" w:rsidP="00345E28">
      <w:pPr>
        <w:ind w:firstLine="0"/>
      </w:pPr>
      <w:r w:rsidRPr="00C727CA">
        <w:t>Judikáty:</w:t>
      </w:r>
    </w:p>
    <w:p w14:paraId="346A0388" w14:textId="77777777" w:rsidR="00BE0928" w:rsidRPr="00C727CA" w:rsidRDefault="005B6C5B" w:rsidP="00345E28">
      <w:pPr>
        <w:pStyle w:val="ListParagraph"/>
        <w:numPr>
          <w:ilvl w:val="0"/>
          <w:numId w:val="30"/>
        </w:numPr>
        <w:spacing w:after="0" w:line="360" w:lineRule="auto"/>
        <w:jc w:val="both"/>
      </w:pPr>
      <w:r w:rsidRPr="00C727CA">
        <w:t>rozsudek Krajského soudu v Brně ze dne 3. ledna 2013, sp. zn. 62 Af 75/2011</w:t>
      </w:r>
    </w:p>
    <w:p w14:paraId="62163BFD" w14:textId="77777777" w:rsidR="005B6C5B" w:rsidRPr="00C727CA" w:rsidRDefault="005B6C5B" w:rsidP="00345E28">
      <w:pPr>
        <w:pStyle w:val="ListParagraph"/>
        <w:numPr>
          <w:ilvl w:val="0"/>
          <w:numId w:val="30"/>
        </w:numPr>
        <w:spacing w:after="0" w:line="360" w:lineRule="auto"/>
        <w:jc w:val="both"/>
      </w:pPr>
      <w:r w:rsidRPr="00C727CA">
        <w:t>rozsudek Nejvyššího správního soudu ze dne 15. prosince 2010, sp. zn. 2 Afs 55/2010</w:t>
      </w:r>
    </w:p>
    <w:p w14:paraId="0A0852F9" w14:textId="77777777" w:rsidR="006309FE" w:rsidRPr="00C727CA" w:rsidRDefault="006309FE" w:rsidP="00345E28">
      <w:pPr>
        <w:pStyle w:val="ListParagraph"/>
        <w:numPr>
          <w:ilvl w:val="0"/>
          <w:numId w:val="30"/>
        </w:numPr>
        <w:spacing w:after="0" w:line="360" w:lineRule="auto"/>
        <w:jc w:val="both"/>
      </w:pPr>
      <w:r w:rsidRPr="00C727CA">
        <w:t>rozhodnutí Úřadu pro ochranu hospodářské soutěže ze dne 20. ledna 2009, č.j. S230/2008/VZ-856/2009/540/Zaj</w:t>
      </w:r>
    </w:p>
    <w:p w14:paraId="7C63C9CF" w14:textId="77777777" w:rsidR="00C33687" w:rsidRPr="00C727CA" w:rsidRDefault="00C33687" w:rsidP="00345E28">
      <w:pPr>
        <w:pStyle w:val="ListParagraph"/>
        <w:numPr>
          <w:ilvl w:val="0"/>
          <w:numId w:val="30"/>
        </w:numPr>
        <w:spacing w:after="0" w:line="360" w:lineRule="auto"/>
        <w:jc w:val="both"/>
      </w:pPr>
      <w:r w:rsidRPr="00C727CA">
        <w:t>rozsudek Nejvyššího správního soudu ze dne 12. května 2008, sp. zn. 5 Afs 131/2007</w:t>
      </w:r>
      <w:r w:rsidR="00560B02" w:rsidRPr="00C727CA">
        <w:t>,</w:t>
      </w:r>
    </w:p>
    <w:p w14:paraId="1B42029D" w14:textId="77777777" w:rsidR="008C72AD" w:rsidRPr="00C727CA" w:rsidRDefault="00560B02" w:rsidP="00EB7417">
      <w:pPr>
        <w:pStyle w:val="ListParagraph"/>
        <w:numPr>
          <w:ilvl w:val="0"/>
          <w:numId w:val="30"/>
        </w:numPr>
        <w:spacing w:after="0" w:line="360" w:lineRule="auto"/>
        <w:jc w:val="both"/>
      </w:pPr>
      <w:r w:rsidRPr="00C727CA">
        <w:t xml:space="preserve">rozhodnutí Úřadu pro ochranu hospodářské soutěže ze dne 9. května 2000, č.j.: S 38/2000-150/1440/2000-Hm </w:t>
      </w:r>
    </w:p>
    <w:p w14:paraId="4E6AF09D" w14:textId="77777777" w:rsidR="00EB7417" w:rsidRPr="00C727CA" w:rsidRDefault="00EB7417" w:rsidP="00EB7417">
      <w:pPr>
        <w:pStyle w:val="ListParagraph"/>
        <w:numPr>
          <w:ilvl w:val="0"/>
          <w:numId w:val="30"/>
        </w:numPr>
        <w:spacing w:after="0" w:line="360" w:lineRule="auto"/>
        <w:jc w:val="both"/>
      </w:pPr>
      <w:r w:rsidRPr="00C727CA">
        <w:t>rozsudek Nejvyššího správního soudu ze dne 24. června 2015, sp. zn. 8 As 32/2014</w:t>
      </w:r>
    </w:p>
    <w:p w14:paraId="779D9DFC" w14:textId="77777777" w:rsidR="00C0301B" w:rsidRPr="00C727CA" w:rsidRDefault="00C0301B" w:rsidP="00EB7417">
      <w:pPr>
        <w:pStyle w:val="ListParagraph"/>
        <w:numPr>
          <w:ilvl w:val="0"/>
          <w:numId w:val="30"/>
        </w:numPr>
        <w:spacing w:after="0" w:line="360" w:lineRule="auto"/>
        <w:jc w:val="both"/>
      </w:pPr>
      <w:r w:rsidRPr="00C727CA">
        <w:t>rozhodnutí  </w:t>
      </w:r>
      <w:r w:rsidR="00345E28" w:rsidRPr="00C727CA">
        <w:t xml:space="preserve">předsedy Úřadu pro ochranu hospodářské soutěže ze dne 12. dubna 2013, č.j.: </w:t>
      </w:r>
      <w:r w:rsidRPr="00C727CA">
        <w:t>ÚOHS-R271/2012/VZ-6505/2013/310/MMl</w:t>
      </w:r>
      <w:r w:rsidR="00345E28" w:rsidRPr="00C727CA">
        <w:t>, bod 12</w:t>
      </w:r>
    </w:p>
    <w:p w14:paraId="74C2BC69" w14:textId="77777777" w:rsidR="00EB7417" w:rsidRPr="00C727CA" w:rsidRDefault="00EB7417" w:rsidP="00EB7417">
      <w:pPr>
        <w:pStyle w:val="ListParagraph"/>
        <w:spacing w:after="0" w:line="360" w:lineRule="auto"/>
        <w:ind w:left="360"/>
        <w:jc w:val="both"/>
      </w:pPr>
    </w:p>
    <w:p w14:paraId="6DC30FB0" w14:textId="77777777" w:rsidR="00545424" w:rsidRPr="00C727CA" w:rsidRDefault="00545424" w:rsidP="00EB7417">
      <w:pPr>
        <w:ind w:firstLine="0"/>
      </w:pPr>
      <w:r w:rsidRPr="00C727CA">
        <w:t>Internetové stránky:</w:t>
      </w:r>
    </w:p>
    <w:p w14:paraId="6F3DC367" w14:textId="1A1E1BB4" w:rsidR="00545424" w:rsidRPr="00C727CA" w:rsidRDefault="00545424" w:rsidP="00FA2973">
      <w:pPr>
        <w:ind w:firstLine="0"/>
      </w:pPr>
      <w:r w:rsidRPr="00C727CA">
        <w:t xml:space="preserve">BARTUŠKOVÁ, Klára. </w:t>
      </w:r>
      <w:r w:rsidRPr="00C727CA">
        <w:rPr>
          <w:i/>
        </w:rPr>
        <w:t>K možnosti uzavřít smlouvu o nájmu nebytovýc</w:t>
      </w:r>
      <w:r w:rsidR="00663802">
        <w:rPr>
          <w:i/>
        </w:rPr>
        <w:t xml:space="preserve">h </w:t>
      </w:r>
      <w:r w:rsidRPr="00C727CA">
        <w:rPr>
          <w:i/>
        </w:rPr>
        <w:t>prostor státní příspěvkové organizace mimo režim zákona o veřejných zakázkách</w:t>
      </w:r>
      <w:r w:rsidR="00A923F6" w:rsidRPr="00C727CA">
        <w:t xml:space="preserve"> [online]. epravo.cz, 10. ledna 2013 [cit. 10. března 2016]. </w:t>
      </w:r>
      <w:r w:rsidR="00A923F6" w:rsidRPr="005C71CC">
        <w:t>Dostupné na &lt;</w:t>
      </w:r>
      <w:hyperlink r:id="rId10" w:history="1">
        <w:r w:rsidR="00A923F6" w:rsidRPr="005C71CC">
          <w:rPr>
            <w:rStyle w:val="Hyperlink"/>
            <w:color w:val="auto"/>
          </w:rPr>
          <w:t>http://www.epravo.cz/top/clanky/k-moznosti-uzavrit-smlouvu-o-najmu-nebytovych-prostor-statni-prispevkove-organizace-mimo-rezim-zakona-o-verejnych-zakazkach-88296.html</w:t>
        </w:r>
      </w:hyperlink>
      <w:r w:rsidR="00A923F6" w:rsidRPr="005C71CC">
        <w:t>&gt;</w:t>
      </w:r>
      <w:r w:rsidR="007665F6" w:rsidRPr="005C71CC">
        <w:t>.</w:t>
      </w:r>
    </w:p>
    <w:p w14:paraId="2F7E38FC" w14:textId="77777777" w:rsidR="00974C0B" w:rsidRPr="00C727CA" w:rsidRDefault="00974C0B" w:rsidP="00FA2973">
      <w:pPr>
        <w:ind w:firstLine="0"/>
      </w:pPr>
    </w:p>
    <w:p w14:paraId="185CEB0C" w14:textId="77777777" w:rsidR="007665F6" w:rsidRPr="00C727CA" w:rsidRDefault="00613829" w:rsidP="00FA2973">
      <w:pPr>
        <w:ind w:firstLine="0"/>
      </w:pPr>
      <w:r w:rsidRPr="00C727CA">
        <w:t xml:space="preserve">KOLMAN, Petr. </w:t>
      </w:r>
      <w:r w:rsidR="007665F6" w:rsidRPr="00C727CA">
        <w:rPr>
          <w:i/>
        </w:rPr>
        <w:t>Veřejné zakázky – k jednomu aktuálnímu problému souvisejícího s poskytováním zadávací dokumentace dodavatelům</w:t>
      </w:r>
      <w:r w:rsidR="007665F6" w:rsidRPr="00C727CA">
        <w:t xml:space="preserve"> [online]. epravo.cz, 24. dubna 2014 [cit. 20. března 2016]. </w:t>
      </w:r>
      <w:r w:rsidR="007665F6" w:rsidRPr="005C71CC">
        <w:t>Dostupné na &lt;</w:t>
      </w:r>
      <w:hyperlink r:id="rId11" w:history="1">
        <w:r w:rsidR="007665F6" w:rsidRPr="005C71CC">
          <w:rPr>
            <w:rStyle w:val="Hyperlink"/>
            <w:color w:val="auto"/>
          </w:rPr>
          <w:t>http://www.epravo.cz/top/clanky/verejne-zakazky-k-jednomu-aktualnimu-problemu-souvisejiciho-s-poskytovanim-zadavaci-dokumentace-dodavatelum-94085.html</w:t>
        </w:r>
      </w:hyperlink>
      <w:r w:rsidR="007665F6" w:rsidRPr="005C71CC">
        <w:t>&gt;.</w:t>
      </w:r>
    </w:p>
    <w:p w14:paraId="3FB1FA7C" w14:textId="77777777" w:rsidR="007665F6" w:rsidRPr="00C727CA" w:rsidRDefault="007665F6" w:rsidP="00FA2973">
      <w:pPr>
        <w:ind w:firstLine="0"/>
      </w:pPr>
    </w:p>
    <w:p w14:paraId="29E339B2" w14:textId="77777777" w:rsidR="00613829" w:rsidRPr="00C727CA" w:rsidRDefault="00613829" w:rsidP="00FA2973">
      <w:pPr>
        <w:ind w:firstLine="0"/>
      </w:pPr>
      <w:r w:rsidRPr="00C727CA">
        <w:t xml:space="preserve">KOŠŤÁL, Karel, HLAVSA, Jan. </w:t>
      </w:r>
      <w:r w:rsidRPr="00C727CA">
        <w:rPr>
          <w:i/>
        </w:rPr>
        <w:t xml:space="preserve">Otevírání obálek – pojem „ihned“ v rozhodovací praxi </w:t>
      </w:r>
      <w:r w:rsidRPr="00C727CA">
        <w:t xml:space="preserve">[online]. </w:t>
      </w:r>
      <w:r w:rsidRPr="005C71CC">
        <w:t>e</w:t>
      </w:r>
      <w:r w:rsidR="00C719FA" w:rsidRPr="005C71CC">
        <w:t>pravo.cz, 19. září 2014 [cit. 25</w:t>
      </w:r>
      <w:r w:rsidRPr="005C71CC">
        <w:t>. března 2016]. Dostupné na &lt;</w:t>
      </w:r>
      <w:hyperlink r:id="rId12" w:history="1">
        <w:r w:rsidRPr="005C71CC">
          <w:rPr>
            <w:rStyle w:val="Hyperlink"/>
            <w:color w:val="auto"/>
          </w:rPr>
          <w:t>http://www.epravo.cz/top/clanky/otevirani-obalek-pojem-ihned-v-rozhodovaci-praxi-95333.html</w:t>
        </w:r>
      </w:hyperlink>
      <w:r w:rsidRPr="005C71CC">
        <w:t>&gt;.</w:t>
      </w:r>
    </w:p>
    <w:p w14:paraId="0D29228E" w14:textId="77777777" w:rsidR="00613829" w:rsidRPr="00C727CA" w:rsidRDefault="00613829" w:rsidP="00FA2973">
      <w:pPr>
        <w:ind w:firstLine="0"/>
      </w:pPr>
    </w:p>
    <w:p w14:paraId="7E1F6099" w14:textId="77777777" w:rsidR="00AD438A" w:rsidRPr="00C727CA" w:rsidRDefault="00CC5513" w:rsidP="00FA2973">
      <w:pPr>
        <w:ind w:firstLine="0"/>
      </w:pPr>
      <w:r w:rsidRPr="00C727CA">
        <w:t xml:space="preserve">LOJDOVÁ, Evelyna, JAREŠ, Jan. </w:t>
      </w:r>
      <w:r w:rsidRPr="00C727CA">
        <w:rPr>
          <w:i/>
        </w:rPr>
        <w:t>Důsledky nevydání rozhodnutí o výběru nejvhodnější nabídky zadavatelem dle zákona o veřejných zakázkách</w:t>
      </w:r>
      <w:r w:rsidRPr="00C727CA">
        <w:t xml:space="preserve"> [online]. epravo.cz, 25. října 2012 </w:t>
      </w:r>
      <w:r w:rsidR="00C719FA" w:rsidRPr="00C727CA">
        <w:t>[cit. 25</w:t>
      </w:r>
      <w:r w:rsidRPr="00C727CA">
        <w:t xml:space="preserve">. </w:t>
      </w:r>
      <w:r w:rsidRPr="005C71CC">
        <w:t>března 2016]. Dostupné na &lt;</w:t>
      </w:r>
      <w:hyperlink r:id="rId13" w:history="1">
        <w:r w:rsidR="00AD438A" w:rsidRPr="005C71CC">
          <w:rPr>
            <w:rStyle w:val="Hyperlink"/>
            <w:color w:val="auto"/>
          </w:rPr>
          <w:t>http://www.epravo.cz/top/clanky/dusledky-nevydani-rozhodnuti-o-vyberu-nejvhodnejsi-nabidky-zadavatelem-dle-zakona-o-verejnych-zakazkach-86531.html</w:t>
        </w:r>
      </w:hyperlink>
      <w:r w:rsidRPr="005C71CC">
        <w:t>&gt;.</w:t>
      </w:r>
    </w:p>
    <w:p w14:paraId="14C9C492" w14:textId="77777777" w:rsidR="00974C0B" w:rsidRPr="00C727CA" w:rsidRDefault="00974C0B" w:rsidP="00FA2973">
      <w:pPr>
        <w:ind w:firstLine="0"/>
      </w:pPr>
    </w:p>
    <w:p w14:paraId="1B86D99A" w14:textId="77777777" w:rsidR="00A923F6" w:rsidRPr="00C727CA" w:rsidRDefault="00A923F6" w:rsidP="00FA2973">
      <w:pPr>
        <w:ind w:firstLine="0"/>
      </w:pPr>
    </w:p>
    <w:p w14:paraId="1F56A424" w14:textId="77777777" w:rsidR="00350FC7" w:rsidRPr="00C727CA" w:rsidRDefault="00350FC7" w:rsidP="00FA2973">
      <w:pPr>
        <w:ind w:firstLine="0"/>
      </w:pPr>
    </w:p>
    <w:p w14:paraId="59E3BF96" w14:textId="77777777" w:rsidR="00350FC7" w:rsidRPr="00C727CA" w:rsidRDefault="00350FC7" w:rsidP="00FA2973">
      <w:pPr>
        <w:ind w:firstLine="0"/>
      </w:pPr>
    </w:p>
    <w:p w14:paraId="1139B46A" w14:textId="77777777" w:rsidR="00350FC7" w:rsidRPr="00C727CA" w:rsidRDefault="00350FC7" w:rsidP="00FA2973">
      <w:pPr>
        <w:ind w:firstLine="0"/>
      </w:pPr>
    </w:p>
    <w:p w14:paraId="6DCAEE98" w14:textId="77777777" w:rsidR="00350FC7" w:rsidRPr="00C727CA" w:rsidRDefault="00350FC7" w:rsidP="00FA2973"/>
    <w:p w14:paraId="1D301DE1" w14:textId="77777777" w:rsidR="00350FC7" w:rsidRPr="00C727CA" w:rsidRDefault="00350FC7" w:rsidP="00FA2973"/>
    <w:p w14:paraId="59F70080" w14:textId="77777777" w:rsidR="00350FC7" w:rsidRPr="00C727CA" w:rsidRDefault="00350FC7" w:rsidP="00FA2973"/>
    <w:p w14:paraId="73DB1E71" w14:textId="77777777" w:rsidR="00350FC7" w:rsidRPr="00C727CA" w:rsidRDefault="00350FC7" w:rsidP="00FA2973"/>
    <w:p w14:paraId="382BBD21" w14:textId="77777777" w:rsidR="000F2AA0" w:rsidRPr="00C727CA" w:rsidRDefault="000F2AA0" w:rsidP="00FA2973"/>
    <w:p w14:paraId="01035A02" w14:textId="77777777" w:rsidR="000F2AA0" w:rsidRPr="00C727CA" w:rsidRDefault="000F2AA0" w:rsidP="00FA2973"/>
    <w:p w14:paraId="78A0A8FC" w14:textId="77777777" w:rsidR="006F4C67" w:rsidRPr="00C727CA" w:rsidRDefault="006F4C67" w:rsidP="00FA2973"/>
    <w:p w14:paraId="467FB678" w14:textId="77777777" w:rsidR="006F4C67" w:rsidRPr="00C727CA" w:rsidRDefault="006F4C67" w:rsidP="00FA2973"/>
    <w:p w14:paraId="2C8806C4" w14:textId="77777777" w:rsidR="006F4C67" w:rsidRPr="00C727CA" w:rsidRDefault="006F4C67" w:rsidP="00FA2973"/>
    <w:p w14:paraId="797859A0" w14:textId="77777777" w:rsidR="006F4C67" w:rsidRPr="00C727CA" w:rsidRDefault="006F4C67" w:rsidP="00FA2973"/>
    <w:p w14:paraId="191359D2" w14:textId="77777777" w:rsidR="006F4C67" w:rsidRPr="00C727CA" w:rsidRDefault="006F4C67" w:rsidP="00FA2973"/>
    <w:p w14:paraId="16698929" w14:textId="77777777" w:rsidR="006F4C67" w:rsidRPr="00C727CA" w:rsidRDefault="006F4C67" w:rsidP="00FA2973"/>
    <w:p w14:paraId="69BFA263" w14:textId="77777777" w:rsidR="006F4C67" w:rsidRPr="00C727CA" w:rsidRDefault="006F4C67" w:rsidP="00FA2973"/>
    <w:p w14:paraId="77C5AE84" w14:textId="77777777" w:rsidR="000F2AA0" w:rsidRPr="00C727CA" w:rsidRDefault="000F2AA0" w:rsidP="00FA2973"/>
    <w:p w14:paraId="75C4F623" w14:textId="77777777" w:rsidR="002E1DF3" w:rsidRPr="00C727CA" w:rsidRDefault="002E1DF3" w:rsidP="00350FC7">
      <w:pPr>
        <w:pStyle w:val="Heading1"/>
      </w:pPr>
      <w:bookmarkStart w:id="24" w:name="_Toc472859453"/>
      <w:r w:rsidRPr="00C727CA">
        <w:t>S</w:t>
      </w:r>
      <w:r w:rsidR="00350FC7" w:rsidRPr="00C727CA">
        <w:t xml:space="preserve">hrnutí práce </w:t>
      </w:r>
      <w:r w:rsidRPr="00C727CA">
        <w:t xml:space="preserve">v českém </w:t>
      </w:r>
      <w:r w:rsidR="00350FC7" w:rsidRPr="00C727CA">
        <w:t>a anglickém jazyce (Abstract)</w:t>
      </w:r>
      <w:bookmarkEnd w:id="24"/>
    </w:p>
    <w:p w14:paraId="2023840B" w14:textId="77777777" w:rsidR="003716DD" w:rsidRPr="00C727CA" w:rsidRDefault="003716DD" w:rsidP="00204149">
      <w:pPr>
        <w:ind w:firstLine="0"/>
      </w:pPr>
    </w:p>
    <w:p w14:paraId="0D8D600F" w14:textId="77777777" w:rsidR="00204149" w:rsidRPr="00C727CA" w:rsidRDefault="00204149" w:rsidP="00204149">
      <w:pPr>
        <w:ind w:firstLine="0"/>
        <w:rPr>
          <w:b/>
        </w:rPr>
      </w:pPr>
      <w:r w:rsidRPr="00C727CA">
        <w:rPr>
          <w:b/>
        </w:rPr>
        <w:t>Shrnutí</w:t>
      </w:r>
    </w:p>
    <w:p w14:paraId="03AACC8F" w14:textId="77777777" w:rsidR="00D8386D" w:rsidRPr="00C727CA" w:rsidRDefault="00ED144C" w:rsidP="00204149">
      <w:pPr>
        <w:ind w:firstLine="0"/>
      </w:pPr>
      <w:r w:rsidRPr="00C727CA">
        <w:t xml:space="preserve">Práce se zabývá problematikou zadávacích </w:t>
      </w:r>
      <w:r w:rsidR="00295D33" w:rsidRPr="00C727CA">
        <w:t>řízení</w:t>
      </w:r>
      <w:r w:rsidRPr="00C727CA">
        <w:t xml:space="preserve"> zadávaných podle zákona č. 137/2006 Sb., o veřejných zakázkách. Jejím cílem je odpovědět na diplomantem stanovené otázky, konkrétně použití jednotlivých druhů zadávacích řízeních vzhledem k předmětu VZ, vzhledem k výši předpokládané hodnoty VZ či vzhledem k samotnému zadavateli, který zakázku zadává a dále především otázky samotného postupu zadavatele v konkrétním zadávacím řízení či otázky podmínek použití konkrétních zadávacích řízení. Na závěr celé práce dochází diplomant </w:t>
      </w:r>
      <w:r w:rsidR="00D8386D" w:rsidRPr="00C727CA">
        <w:t xml:space="preserve">také k obecnějšímu </w:t>
      </w:r>
      <w:r w:rsidR="00D65999" w:rsidRPr="00C727CA">
        <w:t>názoru</w:t>
      </w:r>
      <w:r w:rsidR="00D8386D" w:rsidRPr="00C727CA">
        <w:t xml:space="preserve"> na zadávání veřejných zakázek v tom smyslu</w:t>
      </w:r>
      <w:r w:rsidR="00D34F0A" w:rsidRPr="00C727CA">
        <w:t xml:space="preserve">, zdali současná právní úprava není pro zadavatele příliš složitá a kontraproduktivní. </w:t>
      </w:r>
      <w:r w:rsidR="00D8386D" w:rsidRPr="00C727CA">
        <w:t xml:space="preserve">Metody použité pro vypracování této práce jsou metody analýzy a popisu. První kapitoly jsou </w:t>
      </w:r>
      <w:r w:rsidR="00D34F0A" w:rsidRPr="00C727CA">
        <w:t>spíše</w:t>
      </w:r>
      <w:r w:rsidR="00D8386D" w:rsidRPr="00C727CA">
        <w:t xml:space="preserve"> popisného charakteru a zaměřují se na prameny práva veřejných zakázek, znaky veřejných zakázek, jejich dělení a také na zásady, které se při jejich zadávání </w:t>
      </w:r>
      <w:r w:rsidR="00D34F0A" w:rsidRPr="00C727CA">
        <w:t>uplatňují</w:t>
      </w:r>
      <w:r w:rsidR="00D8386D" w:rsidRPr="00C727CA">
        <w:t xml:space="preserve">. Dále následuje samotné </w:t>
      </w:r>
      <w:r w:rsidR="00D8386D" w:rsidRPr="00295D33">
        <w:rPr>
          <w:i/>
        </w:rPr>
        <w:t>gró</w:t>
      </w:r>
      <w:r w:rsidR="00D8386D" w:rsidRPr="00C727CA">
        <w:t xml:space="preserve"> práce v podobě analýzy samotných zadávacích řízení směřující k zodpovězení </w:t>
      </w:r>
      <w:r w:rsidR="00D34F0A" w:rsidRPr="00C727CA">
        <w:t>stanovených</w:t>
      </w:r>
      <w:r w:rsidR="00D8386D" w:rsidRPr="00C727CA">
        <w:t xml:space="preserve"> otázek. K tomu diplo</w:t>
      </w:r>
      <w:r w:rsidR="00295D33">
        <w:t>mantovi napomáhají jím vytvoře</w:t>
      </w:r>
      <w:r w:rsidR="00D8386D" w:rsidRPr="00C727CA">
        <w:t xml:space="preserve">ná schémata, která </w:t>
      </w:r>
      <w:r w:rsidR="001650A5" w:rsidRPr="00C727CA">
        <w:t xml:space="preserve">současně </w:t>
      </w:r>
      <w:r w:rsidR="00D8386D" w:rsidRPr="00C727CA">
        <w:t>vytyčují postup v jednotlivých zadávacích řízeních.</w:t>
      </w:r>
    </w:p>
    <w:p w14:paraId="4A764AC3" w14:textId="77777777" w:rsidR="00204149" w:rsidRPr="00C727CA" w:rsidRDefault="00204149" w:rsidP="00204149">
      <w:pPr>
        <w:ind w:firstLine="0"/>
        <w:rPr>
          <w:b/>
        </w:rPr>
      </w:pPr>
    </w:p>
    <w:p w14:paraId="371EF940" w14:textId="77777777" w:rsidR="00204149" w:rsidRPr="00C727CA" w:rsidRDefault="00204149" w:rsidP="00204149">
      <w:pPr>
        <w:ind w:firstLine="0"/>
        <w:rPr>
          <w:b/>
        </w:rPr>
      </w:pPr>
      <w:r w:rsidRPr="00C727CA">
        <w:rPr>
          <w:b/>
        </w:rPr>
        <w:t>Abstract</w:t>
      </w:r>
    </w:p>
    <w:p w14:paraId="3A4CE0FF" w14:textId="77777777" w:rsidR="00B42DCF" w:rsidRPr="00C727CA" w:rsidRDefault="00B42DCF" w:rsidP="00A9664F">
      <w:pPr>
        <w:ind w:firstLine="0"/>
      </w:pPr>
      <w:bookmarkStart w:id="25" w:name="OLE_LINK1"/>
      <w:bookmarkStart w:id="26" w:name="OLE_LINK2"/>
      <w:r w:rsidRPr="00B42DCF">
        <w:t>This thesis is focused on issues of Procurement Procedures based on Public Procurement Act n. 137/2006. The goal is to answer the thesis writers questions such as an application of different types of procurement procedure, taking into consideration object of the public contract, expected value or contracting authority and then questions such as advancement of the contracting authority within the various procurement procedure or conditions for application of a various procurement procedure. In conclusion, the thesis writer comes into his opinion about the procurement procedures in the meaning whether the current legal situation is too complicated and unproductive or not. The techniques used in this thesis are techniques of analysis and description. First parts are rather descriptive and they are focused on sources of a public contracts law, characteristics of a public contracts law, their classification and principles. Then the main part of the thesis follows with the analysis of the different types of procurement procedure aiming at the answer of the thesis writers questions declared above. For this, the thesis writer creates the schemes which also mark out the advancement of the contracting authority within the various procurement procedure.</w:t>
      </w:r>
    </w:p>
    <w:p w14:paraId="32605AD3" w14:textId="77777777" w:rsidR="0026587F" w:rsidRPr="00C727CA" w:rsidRDefault="002E1DF3" w:rsidP="0026587F">
      <w:pPr>
        <w:pStyle w:val="Heading1"/>
        <w:spacing w:line="360" w:lineRule="auto"/>
      </w:pPr>
      <w:bookmarkStart w:id="27" w:name="_Toc472859454"/>
      <w:bookmarkEnd w:id="25"/>
      <w:bookmarkEnd w:id="26"/>
      <w:r w:rsidRPr="00C727CA">
        <w:t>Seznam klíčových slov v českém a anglickém jazyce</w:t>
      </w:r>
      <w:r w:rsidR="00350FC7" w:rsidRPr="00C727CA">
        <w:t xml:space="preserve"> (Key words)</w:t>
      </w:r>
      <w:bookmarkEnd w:id="27"/>
    </w:p>
    <w:p w14:paraId="35890F5E" w14:textId="77777777" w:rsidR="0026587F" w:rsidRPr="00C727CA" w:rsidRDefault="0026587F" w:rsidP="0026587F">
      <w:pPr>
        <w:ind w:firstLine="0"/>
      </w:pPr>
    </w:p>
    <w:p w14:paraId="661F6442" w14:textId="77777777" w:rsidR="0026587F" w:rsidRPr="00C727CA" w:rsidRDefault="0026587F" w:rsidP="0026587F">
      <w:pPr>
        <w:ind w:firstLine="0"/>
        <w:rPr>
          <w:b/>
        </w:rPr>
      </w:pPr>
      <w:r w:rsidRPr="00C727CA">
        <w:rPr>
          <w:b/>
        </w:rPr>
        <w:t>Klíčová slova</w:t>
      </w:r>
    </w:p>
    <w:p w14:paraId="5D563362" w14:textId="77777777" w:rsidR="009E1FE7" w:rsidRPr="00C727CA" w:rsidRDefault="003E3020" w:rsidP="00A9664F">
      <w:pPr>
        <w:ind w:firstLine="0"/>
      </w:pPr>
      <w:r w:rsidRPr="00C727CA">
        <w:t>Veřejná zakázka</w:t>
      </w:r>
      <w:r w:rsidR="009E1FE7" w:rsidRPr="00C727CA">
        <w:t xml:space="preserve">, zadavatel, uchazeč, zákon o veřejných zakázkách, </w:t>
      </w:r>
      <w:r w:rsidR="00295D33" w:rsidRPr="00C727CA">
        <w:t>nabídka, zadávání</w:t>
      </w:r>
      <w:r w:rsidRPr="00C727CA">
        <w:t xml:space="preserve"> </w:t>
      </w:r>
      <w:r w:rsidR="005364FD" w:rsidRPr="00C727CA">
        <w:t>zakázky</w:t>
      </w:r>
      <w:r w:rsidR="00D66D94" w:rsidRPr="00C727CA">
        <w:t>, druhy zadávacích řízení</w:t>
      </w:r>
    </w:p>
    <w:p w14:paraId="4EFE16A9" w14:textId="77777777" w:rsidR="009E1FE7" w:rsidRPr="00C727CA" w:rsidRDefault="009E1FE7" w:rsidP="009E1FE7">
      <w:pPr>
        <w:ind w:firstLine="0"/>
      </w:pPr>
    </w:p>
    <w:p w14:paraId="04B825FE" w14:textId="77777777" w:rsidR="0026587F" w:rsidRPr="00C727CA" w:rsidRDefault="0026587F" w:rsidP="009E1FE7">
      <w:pPr>
        <w:ind w:firstLine="0"/>
        <w:rPr>
          <w:b/>
        </w:rPr>
      </w:pPr>
      <w:r w:rsidRPr="00C727CA">
        <w:rPr>
          <w:b/>
        </w:rPr>
        <w:t>Key words</w:t>
      </w:r>
    </w:p>
    <w:p w14:paraId="27963786" w14:textId="77777777" w:rsidR="009E1FE7" w:rsidRPr="00C727CA" w:rsidRDefault="003E3020" w:rsidP="00A9664F">
      <w:pPr>
        <w:ind w:firstLine="0"/>
      </w:pPr>
      <w:r w:rsidRPr="00C727CA">
        <w:t>Public Contract</w:t>
      </w:r>
      <w:r w:rsidR="0026587F" w:rsidRPr="00C727CA">
        <w:t xml:space="preserve">, </w:t>
      </w:r>
      <w:r w:rsidRPr="00C727CA">
        <w:t>Contracting Aut</w:t>
      </w:r>
      <w:r w:rsidR="001650A5" w:rsidRPr="00C727CA">
        <w:t>h</w:t>
      </w:r>
      <w:r w:rsidRPr="00C727CA">
        <w:t>ority, Tenderer</w:t>
      </w:r>
      <w:r w:rsidR="0026587F" w:rsidRPr="00C727CA">
        <w:t xml:space="preserve">, </w:t>
      </w:r>
      <w:r w:rsidRPr="00C727CA">
        <w:t>Public Procurement Act</w:t>
      </w:r>
      <w:r w:rsidR="0026587F" w:rsidRPr="00C727CA">
        <w:t xml:space="preserve">, </w:t>
      </w:r>
      <w:r w:rsidRPr="00C727CA">
        <w:t>Tender, Award Procedure</w:t>
      </w:r>
      <w:r w:rsidR="00D66D94" w:rsidRPr="00C727CA">
        <w:t>, Types of Procurement Procedure</w:t>
      </w:r>
    </w:p>
    <w:p w14:paraId="48DCD6A3" w14:textId="77777777" w:rsidR="003E3020" w:rsidRPr="00C727CA" w:rsidRDefault="003E3020" w:rsidP="003E3020">
      <w:pPr>
        <w:ind w:firstLine="0"/>
      </w:pPr>
    </w:p>
    <w:sectPr w:rsidR="003E3020" w:rsidRPr="00C727CA" w:rsidSect="00B37DA9">
      <w:pgSz w:w="11906" w:h="16838" w:code="9"/>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99DADA" w15:done="0"/>
  <w15:commentEx w15:paraId="4E6DC01A" w15:done="0"/>
  <w15:commentEx w15:paraId="636F764B" w15:done="0"/>
  <w15:commentEx w15:paraId="4619F4B6" w15:done="0"/>
  <w15:commentEx w15:paraId="6CCDBF4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7CB113" w14:textId="77777777" w:rsidR="001025BB" w:rsidRDefault="001025BB" w:rsidP="00193933">
      <w:pPr>
        <w:spacing w:line="240" w:lineRule="auto"/>
      </w:pPr>
      <w:r>
        <w:separator/>
      </w:r>
    </w:p>
  </w:endnote>
  <w:endnote w:type="continuationSeparator" w:id="0">
    <w:p w14:paraId="14A37049" w14:textId="77777777" w:rsidR="001025BB" w:rsidRDefault="001025BB" w:rsidP="001939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2405218"/>
      <w:docPartObj>
        <w:docPartGallery w:val="Page Numbers (Bottom of Page)"/>
        <w:docPartUnique/>
      </w:docPartObj>
    </w:sdtPr>
    <w:sdtEndPr>
      <w:rPr>
        <w:noProof/>
      </w:rPr>
    </w:sdtEndPr>
    <w:sdtContent>
      <w:p w14:paraId="423C2B41" w14:textId="54E97FC7" w:rsidR="001214F7" w:rsidRDefault="001214F7">
        <w:pPr>
          <w:pStyle w:val="Footer"/>
          <w:jc w:val="center"/>
        </w:pPr>
        <w:r>
          <w:fldChar w:fldCharType="begin"/>
        </w:r>
        <w:r>
          <w:instrText xml:space="preserve"> PAGE   \* MERGEFORMAT </w:instrText>
        </w:r>
        <w:r>
          <w:fldChar w:fldCharType="separate"/>
        </w:r>
        <w:r w:rsidR="009B29AB">
          <w:rPr>
            <w:noProof/>
          </w:rPr>
          <w:t>5</w:t>
        </w:r>
        <w:r>
          <w:rPr>
            <w:noProof/>
          </w:rPr>
          <w:fldChar w:fldCharType="end"/>
        </w:r>
      </w:p>
    </w:sdtContent>
  </w:sdt>
  <w:p w14:paraId="19542CF0" w14:textId="77777777" w:rsidR="001214F7" w:rsidRDefault="001214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CEC60B" w14:textId="77777777" w:rsidR="001025BB" w:rsidRDefault="001025BB" w:rsidP="00193933">
      <w:pPr>
        <w:spacing w:line="240" w:lineRule="auto"/>
      </w:pPr>
      <w:r>
        <w:separator/>
      </w:r>
    </w:p>
  </w:footnote>
  <w:footnote w:type="continuationSeparator" w:id="0">
    <w:p w14:paraId="5A85B974" w14:textId="77777777" w:rsidR="001025BB" w:rsidRDefault="001025BB" w:rsidP="00193933">
      <w:pPr>
        <w:spacing w:line="240" w:lineRule="auto"/>
      </w:pPr>
      <w:r>
        <w:continuationSeparator/>
      </w:r>
    </w:p>
  </w:footnote>
  <w:footnote w:id="1">
    <w:p w14:paraId="4E1D221D" w14:textId="77777777" w:rsidR="001214F7" w:rsidRPr="00A6430D" w:rsidRDefault="001214F7" w:rsidP="00311FC4">
      <w:pPr>
        <w:pStyle w:val="FootnoteText"/>
        <w:jc w:val="both"/>
      </w:pPr>
      <w:r w:rsidRPr="00A6430D">
        <w:rPr>
          <w:rStyle w:val="FootnoteReference"/>
        </w:rPr>
        <w:footnoteRef/>
      </w:r>
      <w:r w:rsidRPr="00A6430D">
        <w:t xml:space="preserve"> čl. 18 SFEU: V rámci použití Smluv, aniž jsou dotčena jejich zvláštní ustanovení, je zakázána jakákoliv diskriminace na základě státní příslušnosti. Atd.</w:t>
      </w:r>
    </w:p>
  </w:footnote>
  <w:footnote w:id="2">
    <w:p w14:paraId="4EB2978A" w14:textId="77777777" w:rsidR="001214F7" w:rsidRPr="00A6430D" w:rsidRDefault="001214F7" w:rsidP="00311FC4">
      <w:pPr>
        <w:pStyle w:val="FootnoteText"/>
        <w:jc w:val="both"/>
      </w:pPr>
      <w:r w:rsidRPr="00A6430D">
        <w:rPr>
          <w:rStyle w:val="FootnoteReference"/>
        </w:rPr>
        <w:footnoteRef/>
      </w:r>
      <w:r w:rsidRPr="00A6430D">
        <w:t xml:space="preserve"> čl. 28 SFEU: 1. Unie zahrnuje celní unii, která pokrývá veškerý obchod zbožím a která zahrnuje jak zákaz vývozních a dovozních cel a všech poplatků s rovnocenným účinkem mezi členskými státy, tak i přijetí společného celního sazebníku ve vztahu ke třetím zemím. Atd.</w:t>
      </w:r>
    </w:p>
  </w:footnote>
  <w:footnote w:id="3">
    <w:p w14:paraId="346C5D47" w14:textId="77777777" w:rsidR="001214F7" w:rsidRPr="00A6430D" w:rsidRDefault="001214F7" w:rsidP="00311FC4">
      <w:pPr>
        <w:pStyle w:val="FootnoteText"/>
        <w:jc w:val="both"/>
      </w:pPr>
      <w:r w:rsidRPr="00A6430D">
        <w:rPr>
          <w:rStyle w:val="FootnoteReference"/>
        </w:rPr>
        <w:footnoteRef/>
      </w:r>
      <w:r w:rsidRPr="00A6430D">
        <w:t xml:space="preserve"> čl. 45 SFEU: 1. Je zajištěn volný pohyb pracovníků v Unii. </w:t>
      </w:r>
    </w:p>
    <w:p w14:paraId="3C4345F5" w14:textId="77777777" w:rsidR="001214F7" w:rsidRPr="00A6430D" w:rsidRDefault="001214F7" w:rsidP="00311FC4">
      <w:pPr>
        <w:pStyle w:val="FootnoteText"/>
        <w:ind w:firstLine="708"/>
        <w:jc w:val="both"/>
      </w:pPr>
      <w:r w:rsidRPr="00A6430D">
        <w:t xml:space="preserve">           2. Volný pohyb pracovníků zahrnuje odstranění jakékoli diskriminace mezi pracovníky členských států na základě státní příslušnosti, pokud jde o zaměstnávání, odměnu za práci a jiné pracovní podmínky. Atd.</w:t>
      </w:r>
    </w:p>
    <w:p w14:paraId="7BDFA7AF" w14:textId="77777777" w:rsidR="001214F7" w:rsidRPr="00A6430D" w:rsidRDefault="001214F7" w:rsidP="00311FC4">
      <w:pPr>
        <w:pStyle w:val="FootnoteText"/>
        <w:jc w:val="both"/>
      </w:pPr>
      <w:r w:rsidRPr="00A6430D">
        <w:t xml:space="preserve">   čl. 49 SFEU: V rámci níže uvedených ustanovení jsou zakázána omezení svobody usazování pro státní příslušníky jednoho členského státu na území jiného členského státu. Stejn</w:t>
      </w:r>
      <w:r>
        <w:t>ě tak jsou zakázána omezení při </w:t>
      </w:r>
      <w:r w:rsidRPr="00A6430D">
        <w:t xml:space="preserve">zřizování zastoupení, poboček nebo dceřiných společností státními příslušníky jednoho členského státu usazenými na území jiného členského státu. </w:t>
      </w:r>
    </w:p>
    <w:p w14:paraId="4E30E30D" w14:textId="77777777" w:rsidR="001214F7" w:rsidRPr="00A6430D" w:rsidRDefault="001214F7" w:rsidP="00311FC4">
      <w:pPr>
        <w:pStyle w:val="FootnoteText"/>
        <w:jc w:val="both"/>
      </w:pPr>
      <w:r w:rsidRPr="00A6430D">
        <w:t>Svoboda usazování zahrnuje přístup k samostatně výdělečným činnostem a jejich výkon, jakož i zřizování a řízení podniků, zejména společností ve smyslu čl. 54 druhého pododstavce, za podmínek stanovených pro vlastní státní příslušníky právem země usazení, nestanoví-li kapitola o pohybu kapitálu jinak.</w:t>
      </w:r>
    </w:p>
  </w:footnote>
  <w:footnote w:id="4">
    <w:p w14:paraId="44835AF0" w14:textId="77777777" w:rsidR="001214F7" w:rsidRPr="00A6430D" w:rsidRDefault="001214F7" w:rsidP="00311FC4">
      <w:pPr>
        <w:pStyle w:val="FootnoteText"/>
        <w:jc w:val="both"/>
      </w:pPr>
      <w:r w:rsidRPr="00A6430D">
        <w:rPr>
          <w:rStyle w:val="FootnoteReference"/>
        </w:rPr>
        <w:footnoteRef/>
      </w:r>
      <w:r w:rsidRPr="00A6430D">
        <w:t xml:space="preserve"> čl. 56 SFEU: Podle následujících ustanovení jsou zakázána omezení volného pohybu služeb uvnitř Unie pro</w:t>
      </w:r>
      <w:r>
        <w:t> </w:t>
      </w:r>
      <w:r w:rsidRPr="00A6430D">
        <w:t>státní příslušníky členských států, kteří jsou usazeni v jiném členském státě, než se nachází příjemce služeb</w:t>
      </w:r>
      <w:r>
        <w:t>,</w:t>
      </w:r>
      <w:r w:rsidRPr="00A6430D">
        <w:t xml:space="preserve"> </w:t>
      </w:r>
      <w:r>
        <w:t>a</w:t>
      </w:r>
      <w:r w:rsidRPr="00A6430D">
        <w:t>td.</w:t>
      </w:r>
    </w:p>
  </w:footnote>
  <w:footnote w:id="5">
    <w:p w14:paraId="7E4494A2" w14:textId="77777777" w:rsidR="001214F7" w:rsidRPr="00A6430D" w:rsidRDefault="001214F7" w:rsidP="00311FC4">
      <w:pPr>
        <w:pStyle w:val="FootnoteText"/>
        <w:jc w:val="both"/>
      </w:pPr>
      <w:r w:rsidRPr="00A6430D">
        <w:rPr>
          <w:rStyle w:val="FootnoteReference"/>
        </w:rPr>
        <w:footnoteRef/>
      </w:r>
      <w:r w:rsidRPr="00A6430D">
        <w:t xml:space="preserve"> JURČÍK, Radek. </w:t>
      </w:r>
      <w:r w:rsidRPr="00A6430D">
        <w:rPr>
          <w:i/>
        </w:rPr>
        <w:t>Veřejné zakázky a koncese</w:t>
      </w:r>
      <w:r w:rsidRPr="00A6430D">
        <w:t>. 2. vydání. Praha: C. H. Beck, 2014, s. 66 – 67.</w:t>
      </w:r>
    </w:p>
  </w:footnote>
  <w:footnote w:id="6">
    <w:p w14:paraId="2806F6D3" w14:textId="77777777" w:rsidR="001214F7" w:rsidRPr="00A6430D" w:rsidRDefault="001214F7" w:rsidP="00311FC4">
      <w:pPr>
        <w:pStyle w:val="FootnoteText"/>
        <w:jc w:val="both"/>
      </w:pPr>
      <w:r w:rsidRPr="00A6430D">
        <w:rPr>
          <w:rStyle w:val="FootnoteReference"/>
        </w:rPr>
        <w:footnoteRef/>
      </w:r>
      <w:r w:rsidRPr="00A6430D">
        <w:t xml:space="preserve"> Tamtéž, s. 68 – 72.</w:t>
      </w:r>
    </w:p>
  </w:footnote>
  <w:footnote w:id="7">
    <w:p w14:paraId="2E37CCC1" w14:textId="77777777" w:rsidR="001214F7" w:rsidRPr="00A6430D" w:rsidRDefault="001214F7" w:rsidP="00311FC4">
      <w:pPr>
        <w:pStyle w:val="FootnoteText"/>
        <w:jc w:val="both"/>
      </w:pPr>
      <w:r w:rsidRPr="00A6430D">
        <w:rPr>
          <w:rStyle w:val="FootnoteReference"/>
        </w:rPr>
        <w:footnoteRef/>
      </w:r>
      <w:r w:rsidRPr="00A6430D">
        <w:t xml:space="preserve"> Tamtéž, s. 73 – 74.</w:t>
      </w:r>
    </w:p>
  </w:footnote>
  <w:footnote w:id="8">
    <w:p w14:paraId="2DB6C242" w14:textId="77777777" w:rsidR="001214F7" w:rsidRPr="00A6430D" w:rsidRDefault="001214F7" w:rsidP="00311FC4">
      <w:pPr>
        <w:pStyle w:val="FootnoteText"/>
        <w:jc w:val="both"/>
      </w:pPr>
      <w:r w:rsidRPr="00A6430D">
        <w:rPr>
          <w:rStyle w:val="FootnoteReference"/>
        </w:rPr>
        <w:footnoteRef/>
      </w:r>
      <w:r w:rsidRPr="00A6430D">
        <w:t xml:space="preserve"> Tamtéž, s. 83 – 86.</w:t>
      </w:r>
    </w:p>
  </w:footnote>
  <w:footnote w:id="9">
    <w:p w14:paraId="57473604" w14:textId="4A60AEC2" w:rsidR="001214F7" w:rsidRPr="00A6430D" w:rsidRDefault="001214F7" w:rsidP="00311FC4">
      <w:pPr>
        <w:pStyle w:val="FootnoteText"/>
        <w:jc w:val="both"/>
        <w:rPr>
          <w:color w:val="FF0000"/>
        </w:rPr>
      </w:pPr>
      <w:r w:rsidRPr="00A6430D">
        <w:rPr>
          <w:rStyle w:val="FootnoteReference"/>
        </w:rPr>
        <w:footnoteRef/>
      </w:r>
      <w:r w:rsidRPr="00A6430D">
        <w:t xml:space="preserve"> zamyš</w:t>
      </w:r>
      <w:r>
        <w:t>lení diplomanta: Takováto situace však nemůže nastat</w:t>
      </w:r>
      <w:r w:rsidRPr="00A6430D">
        <w:t>, pokud by nemělo dojít k</w:t>
      </w:r>
      <w:r>
        <w:t> </w:t>
      </w:r>
      <w:r w:rsidRPr="00A6430D">
        <w:t>porušení zákona o VZ. VZ je totiž zakázka, která je</w:t>
      </w:r>
      <w:r>
        <w:t xml:space="preserve"> realizovaná na základě smlouvy. </w:t>
      </w:r>
      <w:r w:rsidRPr="00A6430D">
        <w:t xml:space="preserve">V takovém případě proběhlo zadávací řízení, jehož součástí bylo taktéž </w:t>
      </w:r>
      <w:r>
        <w:t>hodnocení</w:t>
      </w:r>
      <w:r w:rsidRPr="00A6430D">
        <w:t xml:space="preserve"> nabídkové ceny</w:t>
      </w:r>
      <w:r>
        <w:t xml:space="preserve">. </w:t>
      </w:r>
      <w:r w:rsidRPr="00A6430D">
        <w:t>Pokud by uchazeč tuto nabídkovou cenu neuvedl během zadávacího řízení, byl by ze zadávacího řízení vyloučen. To tedy reálně znamená, že VZ, která byla mezi zadavatelem a uchazečem uzavřena, obsahovala ustanovení o ceně a zadavatel je v takovém případě povinen následně poskytnout dohodnutou cenu. Skutečnost, že by v této fázi uchazeč odmítl přijmout dohodnutou cenu</w:t>
      </w:r>
      <w:r>
        <w:t>,</w:t>
      </w:r>
      <w:r w:rsidRPr="00A6430D">
        <w:t xml:space="preserve"> nic nemění na povinnosti zadavatele cenu zaplatit či jinak poskytnout. </w:t>
      </w:r>
    </w:p>
  </w:footnote>
  <w:footnote w:id="10">
    <w:p w14:paraId="61F021B3" w14:textId="77777777" w:rsidR="001214F7" w:rsidRPr="00A6430D" w:rsidRDefault="001214F7" w:rsidP="00311FC4">
      <w:pPr>
        <w:pStyle w:val="FootnoteText"/>
        <w:jc w:val="both"/>
      </w:pPr>
      <w:r w:rsidRPr="00A6430D">
        <w:rPr>
          <w:rStyle w:val="FootnoteReference"/>
        </w:rPr>
        <w:footnoteRef/>
      </w:r>
      <w:r>
        <w:t xml:space="preserve"> </w:t>
      </w:r>
      <w:r w:rsidRPr="00A6430D">
        <w:t>rozsudek Krajského soudu v Brně ze dne 3. ledna 2013, sp. zn. 62 Af 75/2011</w:t>
      </w:r>
    </w:p>
  </w:footnote>
  <w:footnote w:id="11">
    <w:p w14:paraId="5449BF98" w14:textId="77777777" w:rsidR="001214F7" w:rsidRDefault="001214F7">
      <w:pPr>
        <w:pStyle w:val="FootnoteText"/>
      </w:pPr>
      <w:r>
        <w:rPr>
          <w:rStyle w:val="FootnoteReference"/>
        </w:rPr>
        <w:footnoteRef/>
      </w:r>
      <w:r>
        <w:t xml:space="preserve"> </w:t>
      </w:r>
      <w:r w:rsidRPr="00A6430D">
        <w:t>rozsudek Nejvyššího správního soudu ze dne 15. prosince 2010, sp. zn. 2 Afs 55/2010</w:t>
      </w:r>
    </w:p>
  </w:footnote>
  <w:footnote w:id="12">
    <w:p w14:paraId="2C4815D1" w14:textId="77777777" w:rsidR="001214F7" w:rsidRPr="00A6430D" w:rsidRDefault="001214F7" w:rsidP="00311FC4">
      <w:pPr>
        <w:pStyle w:val="FootnoteText"/>
        <w:jc w:val="both"/>
      </w:pPr>
      <w:r w:rsidRPr="00A6430D">
        <w:rPr>
          <w:rStyle w:val="FootnoteReference"/>
        </w:rPr>
        <w:footnoteRef/>
      </w:r>
      <w:r w:rsidRPr="00A6430D">
        <w:t xml:space="preserve"> Výjimky z působnosti zákona o VZ jsou stanoveny v §§ 18 a 19 s tím, že nejzásadnější výjimka je stanovena právě v § 18 odst. 5, která se vztahuje na VZ malého rozsahu (viz níže „VZ malého rozsahu“).</w:t>
      </w:r>
    </w:p>
  </w:footnote>
  <w:footnote w:id="13">
    <w:p w14:paraId="6479C678" w14:textId="77777777" w:rsidR="001214F7" w:rsidRPr="00A6430D" w:rsidRDefault="001214F7" w:rsidP="00311FC4">
      <w:pPr>
        <w:pStyle w:val="FootnoteText"/>
        <w:jc w:val="both"/>
      </w:pPr>
      <w:r w:rsidRPr="00A6430D">
        <w:rPr>
          <w:rStyle w:val="FootnoteReference"/>
        </w:rPr>
        <w:footnoteRef/>
      </w:r>
      <w:r w:rsidRPr="00A6430D">
        <w:t xml:space="preserve"> BARTUŠKOVÁ, Klára. </w:t>
      </w:r>
      <w:r w:rsidRPr="00A6430D">
        <w:rPr>
          <w:i/>
        </w:rPr>
        <w:t>K možnosti uzavřít smlouvu o nájmu nebytových prostor státní příspěvkové organizace mimo režim zákona o veřejných zakázkách</w:t>
      </w:r>
      <w:r w:rsidRPr="00A6430D">
        <w:t xml:space="preserve"> [online]. epravo.cz, 10. ledna 2013 [cit. 10. března 2016]. Dostupné na &lt;</w:t>
      </w:r>
      <w:hyperlink r:id="rId1" w:history="1">
        <w:r w:rsidRPr="00A6430D">
          <w:rPr>
            <w:rStyle w:val="Hyperlink"/>
            <w:color w:val="auto"/>
          </w:rPr>
          <w:t>http://www.epravo.cz/top/clanky/k-moznosti-uzavrit-smlouvu-o-najmu-nebytovych-prostor-statni-prispevkove-organizace-mimo-rezim-zakona-o-verejnych-zakazkach-88296.html</w:t>
        </w:r>
      </w:hyperlink>
      <w:r w:rsidRPr="00A6430D">
        <w:t>&gt;.</w:t>
      </w:r>
    </w:p>
  </w:footnote>
  <w:footnote w:id="14">
    <w:p w14:paraId="2EBFD7BD" w14:textId="77777777" w:rsidR="001214F7" w:rsidRPr="00A6430D" w:rsidRDefault="001214F7" w:rsidP="00311FC4">
      <w:pPr>
        <w:pStyle w:val="FootnoteText"/>
        <w:jc w:val="both"/>
      </w:pPr>
      <w:r w:rsidRPr="00A6430D">
        <w:rPr>
          <w:rStyle w:val="FootnoteReference"/>
        </w:rPr>
        <w:footnoteRef/>
      </w:r>
      <w:r w:rsidRPr="00A6430D">
        <w:t xml:space="preserve"> JURČÍK, Radek. </w:t>
      </w:r>
      <w:r w:rsidRPr="00A6430D">
        <w:rPr>
          <w:i/>
        </w:rPr>
        <w:t>Zákon o veřejných zakázkách.</w:t>
      </w:r>
      <w:r w:rsidRPr="00A6430D">
        <w:t xml:space="preserve"> Komentář. 4. Vydání. Praha: C. H. Beck, 2015, s. 107 – 110.</w:t>
      </w:r>
    </w:p>
  </w:footnote>
  <w:footnote w:id="15">
    <w:p w14:paraId="10C447F4" w14:textId="77777777" w:rsidR="001214F7" w:rsidRPr="00A6430D" w:rsidRDefault="001214F7" w:rsidP="00311FC4">
      <w:pPr>
        <w:pStyle w:val="FootnoteText"/>
        <w:jc w:val="both"/>
      </w:pPr>
      <w:r w:rsidRPr="00A6430D">
        <w:rPr>
          <w:rStyle w:val="FootnoteReference"/>
        </w:rPr>
        <w:footnoteRef/>
      </w:r>
      <w:r w:rsidRPr="00A6430D">
        <w:t xml:space="preserve"> § 7 odst. 2 zákona č. 137/2006 Sb., ve znění pozdějších předpisů.</w:t>
      </w:r>
    </w:p>
  </w:footnote>
  <w:footnote w:id="16">
    <w:p w14:paraId="55090A65" w14:textId="77777777" w:rsidR="001214F7" w:rsidRPr="00A6430D" w:rsidRDefault="001214F7" w:rsidP="00311FC4">
      <w:pPr>
        <w:pStyle w:val="FootnoteText"/>
        <w:jc w:val="both"/>
      </w:pPr>
      <w:r w:rsidRPr="00A6430D">
        <w:rPr>
          <w:rStyle w:val="FootnoteReference"/>
        </w:rPr>
        <w:footnoteRef/>
      </w:r>
      <w:r w:rsidRPr="00A6430D">
        <w:t xml:space="preserve"> § 7 odst. 3 zákona č. 137/2006 Sb., ve znění pozdějších předpisů.</w:t>
      </w:r>
    </w:p>
  </w:footnote>
  <w:footnote w:id="17">
    <w:p w14:paraId="56E0ABB7" w14:textId="77777777" w:rsidR="001214F7" w:rsidRPr="00A6430D" w:rsidRDefault="001214F7" w:rsidP="00311FC4">
      <w:pPr>
        <w:pStyle w:val="FootnoteText"/>
        <w:jc w:val="both"/>
      </w:pPr>
      <w:r w:rsidRPr="00A6430D">
        <w:rPr>
          <w:rStyle w:val="FootnoteReference"/>
        </w:rPr>
        <w:footnoteRef/>
      </w:r>
      <w:r w:rsidRPr="00A6430D">
        <w:t xml:space="preserve"> JURČÍK, Radek. </w:t>
      </w:r>
      <w:r w:rsidRPr="00A6430D">
        <w:rPr>
          <w:i/>
        </w:rPr>
        <w:t>Veřejné zakázky a koncese</w:t>
      </w:r>
      <w:r w:rsidRPr="00A6430D">
        <w:t>. 2. vydání. Praha: C. H. Beck, 2014, s. 127.</w:t>
      </w:r>
    </w:p>
  </w:footnote>
  <w:footnote w:id="18">
    <w:p w14:paraId="04288252" w14:textId="77777777" w:rsidR="001214F7" w:rsidRPr="00A6430D" w:rsidRDefault="001214F7" w:rsidP="00311FC4">
      <w:pPr>
        <w:pStyle w:val="FootnoteText"/>
        <w:jc w:val="both"/>
      </w:pPr>
      <w:r w:rsidRPr="00A6430D">
        <w:rPr>
          <w:rStyle w:val="FootnoteReference"/>
        </w:rPr>
        <w:footnoteRef/>
      </w:r>
      <w:r w:rsidRPr="00A6430D">
        <w:t xml:space="preserve"> Metodika zadávání veřejných zakázek, právní stav k 1. lednu 2014, Ministerstvo pro místní rozvoj ČR - Odbor práva veřejných zakázek a koncesí</w:t>
      </w:r>
    </w:p>
  </w:footnote>
  <w:footnote w:id="19">
    <w:p w14:paraId="211C3A6A" w14:textId="77777777" w:rsidR="001214F7" w:rsidRPr="00A6430D" w:rsidRDefault="001214F7" w:rsidP="00311FC4">
      <w:pPr>
        <w:pStyle w:val="FootnoteText"/>
        <w:jc w:val="both"/>
      </w:pPr>
      <w:r w:rsidRPr="00A6430D">
        <w:rPr>
          <w:rStyle w:val="FootnoteReference"/>
        </w:rPr>
        <w:footnoteRef/>
      </w:r>
      <w:r w:rsidRPr="00A6430D">
        <w:t xml:space="preserve"> JURČÍK, Radek. </w:t>
      </w:r>
      <w:r w:rsidRPr="00A6430D">
        <w:rPr>
          <w:i/>
        </w:rPr>
        <w:t>Veřejné zakázky a koncese</w:t>
      </w:r>
      <w:r w:rsidRPr="00A6430D">
        <w:t>. 2. vydání. Praha: C. H. Beck, 2014, s. 137 – 138.</w:t>
      </w:r>
    </w:p>
  </w:footnote>
  <w:footnote w:id="20">
    <w:p w14:paraId="52F9B7F1" w14:textId="77777777" w:rsidR="001214F7" w:rsidRPr="00A6430D" w:rsidRDefault="001214F7" w:rsidP="00311FC4">
      <w:pPr>
        <w:pStyle w:val="FootnoteText"/>
        <w:jc w:val="both"/>
      </w:pPr>
      <w:r w:rsidRPr="00A6430D">
        <w:rPr>
          <w:rStyle w:val="FootnoteReference"/>
        </w:rPr>
        <w:footnoteRef/>
      </w:r>
      <w:r w:rsidRPr="00A6430D">
        <w:t xml:space="preserve"> Především věci hmotného charakteru, ale i ovladatelné přírodní síly, věci movité, věci nemovité (v takovém případě ovšem nemusí zadavatel postupovat podle zákona o VZ - § 18 odst. 1d) zákona), věci individuálně či hromadně určené (výjimku tvoří nabývání závodu dle § 18 odst. 1g) zákona, kdy zadavatel opět nemusí postupovat podle zákona) - JURČÍK, Radek. </w:t>
      </w:r>
      <w:r w:rsidRPr="00A6430D">
        <w:rPr>
          <w:i/>
        </w:rPr>
        <w:t>Zákon o veřejných zakázkách.</w:t>
      </w:r>
      <w:r w:rsidRPr="00A6430D">
        <w:t xml:space="preserve"> Komentář. 4. Vydání. Praha: C. H. Beck, 2015, s. 124 – 125.</w:t>
      </w:r>
    </w:p>
  </w:footnote>
  <w:footnote w:id="21">
    <w:p w14:paraId="511284AC" w14:textId="77777777" w:rsidR="001214F7" w:rsidRPr="00A6430D" w:rsidRDefault="001214F7" w:rsidP="00311FC4">
      <w:pPr>
        <w:pStyle w:val="FootnoteText"/>
        <w:jc w:val="both"/>
      </w:pPr>
      <w:r w:rsidRPr="00A6430D">
        <w:rPr>
          <w:rStyle w:val="FootnoteReference"/>
        </w:rPr>
        <w:footnoteRef/>
      </w:r>
      <w:r w:rsidRPr="00A6430D">
        <w:t xml:space="preserve"> JURČÍK, Radek. </w:t>
      </w:r>
      <w:r w:rsidRPr="00A6430D">
        <w:rPr>
          <w:i/>
        </w:rPr>
        <w:t>Veřejné zakázky a koncese</w:t>
      </w:r>
      <w:r w:rsidRPr="00A6430D">
        <w:t>. 2. vydání. Praha: C. H. Beck, 2014, s. 138 – 139.</w:t>
      </w:r>
    </w:p>
  </w:footnote>
  <w:footnote w:id="22">
    <w:p w14:paraId="4E789872" w14:textId="77777777" w:rsidR="001214F7" w:rsidRPr="00A6430D" w:rsidRDefault="001214F7" w:rsidP="00311FC4">
      <w:pPr>
        <w:pStyle w:val="FootnoteText"/>
        <w:jc w:val="both"/>
      </w:pPr>
      <w:r w:rsidRPr="00A6430D">
        <w:rPr>
          <w:rStyle w:val="FootnoteReference"/>
        </w:rPr>
        <w:footnoteRef/>
      </w:r>
      <w:r w:rsidRPr="00A6430D">
        <w:t xml:space="preserve"> rozhodnutí Úřadu pro ochranu hospodářské soutěže č. j. S230/2008/VZ-856/2009/540/Zaj ze dne 20. ledna 2009</w:t>
      </w:r>
    </w:p>
  </w:footnote>
  <w:footnote w:id="23">
    <w:p w14:paraId="037D1EB7" w14:textId="77777777" w:rsidR="001214F7" w:rsidRPr="00A6430D" w:rsidRDefault="001214F7" w:rsidP="00311FC4">
      <w:pPr>
        <w:pStyle w:val="FootnoteText"/>
        <w:jc w:val="both"/>
      </w:pPr>
      <w:r w:rsidRPr="00A6430D">
        <w:rPr>
          <w:rStyle w:val="FootnoteReference"/>
        </w:rPr>
        <w:footnoteRef/>
      </w:r>
      <w:r w:rsidRPr="00A6430D">
        <w:t xml:space="preserve"> „V případě, že by tato projektová činnost byla od příslušných </w:t>
      </w:r>
      <w:bookmarkStart w:id="9" w:name="highlightHit_18"/>
      <w:bookmarkEnd w:id="9"/>
      <w:r w:rsidRPr="00A6430D">
        <w:rPr>
          <w:rStyle w:val="highlight"/>
        </w:rPr>
        <w:t>stavebních</w:t>
      </w:r>
      <w:r w:rsidRPr="00A6430D">
        <w:t xml:space="preserve"> činností oddělena, nebylo by možné takovou činnost považovat za zakázku na </w:t>
      </w:r>
      <w:bookmarkStart w:id="10" w:name="highlightHit_19"/>
      <w:bookmarkEnd w:id="10"/>
      <w:r w:rsidRPr="00A6430D">
        <w:rPr>
          <w:rStyle w:val="highlight"/>
        </w:rPr>
        <w:t>stavební</w:t>
      </w:r>
      <w:r w:rsidRPr="00A6430D">
        <w:t xml:space="preserve"> práce, ale jednalo by se o veřejnou zakázku na služby.“ - JURČÍK, Radek. </w:t>
      </w:r>
      <w:r w:rsidRPr="00A6430D">
        <w:rPr>
          <w:i/>
        </w:rPr>
        <w:t>Zákon o veřejných zakázkách.</w:t>
      </w:r>
      <w:r w:rsidRPr="00A6430D">
        <w:t xml:space="preserve"> Komentář. 4. Vydání. Praha: C. H. Beck, 2015, s. 127.</w:t>
      </w:r>
    </w:p>
  </w:footnote>
  <w:footnote w:id="24">
    <w:p w14:paraId="72100907" w14:textId="77777777" w:rsidR="001214F7" w:rsidRPr="00A6430D" w:rsidRDefault="001214F7" w:rsidP="00311FC4">
      <w:pPr>
        <w:pStyle w:val="FootnoteText"/>
        <w:jc w:val="both"/>
      </w:pPr>
      <w:r w:rsidRPr="00A6430D">
        <w:rPr>
          <w:rStyle w:val="FootnoteReference"/>
        </w:rPr>
        <w:footnoteRef/>
      </w:r>
      <w:r w:rsidRPr="00A6430D">
        <w:t xml:space="preserve"> JURČÍK, Radek. </w:t>
      </w:r>
      <w:r w:rsidRPr="00A6430D">
        <w:rPr>
          <w:i/>
        </w:rPr>
        <w:t>Veřejné zakázky a koncese</w:t>
      </w:r>
      <w:r w:rsidRPr="00A6430D">
        <w:t>. 2. vydání. Praha: C. H. Beck, 2014, s. 140.</w:t>
      </w:r>
    </w:p>
  </w:footnote>
  <w:footnote w:id="25">
    <w:p w14:paraId="6C37345F" w14:textId="77777777" w:rsidR="001214F7" w:rsidRPr="00A6430D" w:rsidRDefault="001214F7" w:rsidP="00311FC4">
      <w:pPr>
        <w:pStyle w:val="FootnoteText"/>
        <w:jc w:val="both"/>
      </w:pPr>
      <w:r w:rsidRPr="00A6430D">
        <w:rPr>
          <w:rStyle w:val="FootnoteReference"/>
        </w:rPr>
        <w:footnoteRef/>
      </w:r>
      <w:r w:rsidRPr="00A6430D">
        <w:t xml:space="preserve"> JURČÍK, Radek. </w:t>
      </w:r>
      <w:r w:rsidRPr="00A6430D">
        <w:rPr>
          <w:i/>
        </w:rPr>
        <w:t>Zákon o veřejných zakázkách.</w:t>
      </w:r>
      <w:r w:rsidRPr="00A6430D">
        <w:t xml:space="preserve"> Komentář. 4. Vydání. Praha: C. H. Beck, 2015, s. 128</w:t>
      </w:r>
    </w:p>
  </w:footnote>
  <w:footnote w:id="26">
    <w:p w14:paraId="1CE110D5" w14:textId="77777777" w:rsidR="001214F7" w:rsidRPr="00A6430D" w:rsidRDefault="001214F7" w:rsidP="00311FC4">
      <w:pPr>
        <w:pStyle w:val="FootnoteText"/>
        <w:jc w:val="both"/>
      </w:pPr>
      <w:r w:rsidRPr="00A6430D">
        <w:rPr>
          <w:rStyle w:val="FootnoteReference"/>
        </w:rPr>
        <w:footnoteRef/>
      </w:r>
      <w:r w:rsidRPr="00A6430D">
        <w:t xml:space="preserve"> JURČÍK, Radek. </w:t>
      </w:r>
      <w:r w:rsidRPr="00A6430D">
        <w:rPr>
          <w:i/>
        </w:rPr>
        <w:t>Veřejné zakázky a koncese</w:t>
      </w:r>
      <w:r w:rsidRPr="00A6430D">
        <w:t>. 2. vydání. Praha: C. H. Beck, 2014, s. 141.</w:t>
      </w:r>
    </w:p>
  </w:footnote>
  <w:footnote w:id="27">
    <w:p w14:paraId="014F79A6" w14:textId="77777777" w:rsidR="001214F7" w:rsidRPr="00A6430D" w:rsidRDefault="001214F7" w:rsidP="00311FC4">
      <w:pPr>
        <w:pStyle w:val="FootnoteText"/>
        <w:jc w:val="both"/>
      </w:pPr>
      <w:r w:rsidRPr="00A6430D">
        <w:rPr>
          <w:rStyle w:val="FootnoteReference"/>
        </w:rPr>
        <w:footnoteRef/>
      </w:r>
      <w:r w:rsidRPr="00A6430D">
        <w:t xml:space="preserve"> Tamtéž.</w:t>
      </w:r>
    </w:p>
  </w:footnote>
  <w:footnote w:id="28">
    <w:p w14:paraId="60FA869B" w14:textId="77777777" w:rsidR="001214F7" w:rsidRPr="00A6430D" w:rsidRDefault="001214F7" w:rsidP="00311FC4">
      <w:pPr>
        <w:pStyle w:val="FootnoteText"/>
        <w:jc w:val="both"/>
      </w:pPr>
      <w:r w:rsidRPr="00A6430D">
        <w:rPr>
          <w:rStyle w:val="FootnoteReference"/>
        </w:rPr>
        <w:footnoteRef/>
      </w:r>
      <w:r w:rsidRPr="00A6430D">
        <w:t xml:space="preserve"> Pro případnou demonstraci si můžeme představit, že celý proces je zahájen soutěží o návrh dle §§ 102 – 109 zákona o VZ, na což navazuje VZ na služby v podobě vypracování samostatných projektových a inženýrských pracích a na toto vše navazuje poslední VZ v podobě vlastních stavebních prací. - JURČÍK, Radek. </w:t>
      </w:r>
      <w:r w:rsidRPr="00A6430D">
        <w:rPr>
          <w:i/>
        </w:rPr>
        <w:t>Zákon o veřejných zakázkách.</w:t>
      </w:r>
      <w:r w:rsidRPr="00A6430D">
        <w:t xml:space="preserve"> Komentář. 4. Vydání. Praha: C. H. Beck, 2015, s. 128.</w:t>
      </w:r>
    </w:p>
  </w:footnote>
  <w:footnote w:id="29">
    <w:p w14:paraId="060AD615" w14:textId="77777777" w:rsidR="001214F7" w:rsidRPr="00A6430D" w:rsidRDefault="001214F7" w:rsidP="00311FC4">
      <w:pPr>
        <w:pStyle w:val="FootnoteText"/>
        <w:jc w:val="both"/>
      </w:pPr>
      <w:r w:rsidRPr="00A6430D">
        <w:rPr>
          <w:rStyle w:val="FootnoteReference"/>
        </w:rPr>
        <w:footnoteRef/>
      </w:r>
      <w:r w:rsidRPr="00A6430D">
        <w:t xml:space="preserve"> JURČÍK, Radek. </w:t>
      </w:r>
      <w:r w:rsidRPr="00A6430D">
        <w:rPr>
          <w:i/>
        </w:rPr>
        <w:t>Zákon o veřejných zakázkách.</w:t>
      </w:r>
      <w:r w:rsidRPr="00A6430D">
        <w:t xml:space="preserve"> Komentář. 4. Vydání. Praha: C. H. Beck, 2015, s. 128.</w:t>
      </w:r>
    </w:p>
  </w:footnote>
  <w:footnote w:id="30">
    <w:p w14:paraId="68C3A68A" w14:textId="77777777" w:rsidR="001214F7" w:rsidRPr="00A6430D" w:rsidRDefault="001214F7" w:rsidP="00311FC4">
      <w:pPr>
        <w:pStyle w:val="FootnoteText"/>
        <w:jc w:val="both"/>
      </w:pPr>
      <w:r w:rsidRPr="00A6430D">
        <w:rPr>
          <w:rStyle w:val="FootnoteReference"/>
        </w:rPr>
        <w:footnoteRef/>
      </w:r>
      <w:r w:rsidRPr="00A6430D">
        <w:t xml:space="preserve"> Jde např. o údržbářské a opravářské služby, letecká přeprava cestujících i nákladu s výjimkou pošty, pozemní a letecká přeprava pošty, telekomunikační služby, účetnictví a audit atd.</w:t>
      </w:r>
    </w:p>
  </w:footnote>
  <w:footnote w:id="31">
    <w:p w14:paraId="34D8DDD7" w14:textId="77777777" w:rsidR="001214F7" w:rsidRPr="00A6430D" w:rsidRDefault="001214F7" w:rsidP="00311FC4">
      <w:pPr>
        <w:pStyle w:val="FootnoteText"/>
        <w:jc w:val="both"/>
      </w:pPr>
      <w:r w:rsidRPr="00A6430D">
        <w:rPr>
          <w:rStyle w:val="FootnoteReference"/>
        </w:rPr>
        <w:footnoteRef/>
      </w:r>
      <w:r w:rsidRPr="00A6430D">
        <w:t xml:space="preserve"> JURČÍK, Radek. </w:t>
      </w:r>
      <w:r w:rsidRPr="00A6430D">
        <w:rPr>
          <w:i/>
        </w:rPr>
        <w:t>Zákon o veřejných zakázkách.</w:t>
      </w:r>
      <w:r w:rsidRPr="00A6430D">
        <w:t xml:space="preserve"> Komentář. 4. Vydání. Praha: C. H. Beck, 2015, s. 141.</w:t>
      </w:r>
    </w:p>
  </w:footnote>
  <w:footnote w:id="32">
    <w:p w14:paraId="7EC3558C" w14:textId="77777777" w:rsidR="001214F7" w:rsidRPr="00A6430D" w:rsidRDefault="001214F7" w:rsidP="00311FC4">
      <w:pPr>
        <w:pStyle w:val="FootnoteText"/>
        <w:jc w:val="both"/>
      </w:pPr>
      <w:r w:rsidRPr="00A6430D">
        <w:rPr>
          <w:rStyle w:val="FootnoteReference"/>
        </w:rPr>
        <w:footnoteRef/>
      </w:r>
      <w:r w:rsidRPr="00A6430D">
        <w:t xml:space="preserve"> Jde např. o hotelové a restaurační služby, služby železniční a vodní dopravy, právní služby, zdravotní a sociální služby atd.</w:t>
      </w:r>
    </w:p>
  </w:footnote>
  <w:footnote w:id="33">
    <w:p w14:paraId="26B5D0E6" w14:textId="77777777" w:rsidR="001214F7" w:rsidRPr="00A6430D" w:rsidRDefault="001214F7" w:rsidP="00311FC4">
      <w:pPr>
        <w:pStyle w:val="FootnoteText"/>
        <w:jc w:val="both"/>
      </w:pPr>
      <w:r w:rsidRPr="00A6430D">
        <w:rPr>
          <w:rStyle w:val="FootnoteReference"/>
        </w:rPr>
        <w:footnoteRef/>
      </w:r>
      <w:r w:rsidRPr="00A6430D">
        <w:t xml:space="preserve"> JURČÍK, Radek. </w:t>
      </w:r>
      <w:r w:rsidRPr="00A6430D">
        <w:rPr>
          <w:i/>
        </w:rPr>
        <w:t>Zákon o veřejných zakázkách.</w:t>
      </w:r>
      <w:r w:rsidRPr="00A6430D">
        <w:t xml:space="preserve"> Komentář. 4. Vydání. Praha: C. H. Beck, 2015, s. 142.</w:t>
      </w:r>
    </w:p>
  </w:footnote>
  <w:footnote w:id="34">
    <w:p w14:paraId="281BD6E8" w14:textId="77777777" w:rsidR="001214F7" w:rsidRPr="00A6430D" w:rsidRDefault="001214F7" w:rsidP="00311FC4">
      <w:pPr>
        <w:pStyle w:val="FootnoteText"/>
        <w:jc w:val="both"/>
      </w:pPr>
      <w:r w:rsidRPr="00A6430D">
        <w:rPr>
          <w:rStyle w:val="FootnoteReference"/>
        </w:rPr>
        <w:footnoteRef/>
      </w:r>
      <w:r w:rsidRPr="00A6430D">
        <w:t xml:space="preserve"> JURČÍK, Radek. </w:t>
      </w:r>
      <w:r w:rsidRPr="00A6430D">
        <w:rPr>
          <w:i/>
        </w:rPr>
        <w:t>Veřejné zakázky a koncese</w:t>
      </w:r>
      <w:r w:rsidRPr="00A6430D">
        <w:t>. 2. vydání. Praha: C. H. Beck, 2014, s. 143 – 144.</w:t>
      </w:r>
    </w:p>
  </w:footnote>
  <w:footnote w:id="35">
    <w:p w14:paraId="4F104378" w14:textId="77777777" w:rsidR="001214F7" w:rsidRPr="00A6430D" w:rsidRDefault="001214F7" w:rsidP="00311FC4">
      <w:pPr>
        <w:pStyle w:val="FootnoteText"/>
        <w:jc w:val="both"/>
      </w:pPr>
      <w:r w:rsidRPr="00A6430D">
        <w:rPr>
          <w:rStyle w:val="FootnoteReference"/>
        </w:rPr>
        <w:footnoteRef/>
      </w:r>
      <w:r w:rsidRPr="00A6430D">
        <w:t xml:space="preserve"> JURČÍK, Radek. </w:t>
      </w:r>
      <w:r w:rsidRPr="00A6430D">
        <w:rPr>
          <w:i/>
        </w:rPr>
        <w:t>Zákon o veřejných zakázkách.</w:t>
      </w:r>
      <w:r w:rsidRPr="00A6430D">
        <w:t xml:space="preserve"> Komentář. 4. Vydání. Praha: C. H. Beck, 2015, s. 141 – 142.</w:t>
      </w:r>
    </w:p>
  </w:footnote>
  <w:footnote w:id="36">
    <w:p w14:paraId="3DF92D7B" w14:textId="77777777" w:rsidR="001214F7" w:rsidRPr="00A6430D" w:rsidRDefault="001214F7" w:rsidP="00311FC4">
      <w:pPr>
        <w:pStyle w:val="FootnoteText"/>
        <w:jc w:val="both"/>
      </w:pPr>
      <w:r w:rsidRPr="00A6430D">
        <w:rPr>
          <w:rStyle w:val="FootnoteReference"/>
        </w:rPr>
        <w:footnoteRef/>
      </w:r>
      <w:r w:rsidRPr="00A6430D">
        <w:t xml:space="preserve"> Zadavatel bude postupovat v takovýchto případech zřejmě podle ustanovení o závazcích dle zákona č. 89/2012 Sb., občanský zákoník</w:t>
      </w:r>
    </w:p>
  </w:footnote>
  <w:footnote w:id="37">
    <w:p w14:paraId="1B52AE30" w14:textId="12B4FF7A" w:rsidR="001214F7" w:rsidRPr="00A6430D" w:rsidRDefault="001214F7" w:rsidP="00311FC4">
      <w:pPr>
        <w:pStyle w:val="FootnoteText"/>
        <w:jc w:val="both"/>
      </w:pPr>
      <w:r w:rsidRPr="00A6430D">
        <w:rPr>
          <w:rStyle w:val="FootnoteReference"/>
        </w:rPr>
        <w:footnoteRef/>
      </w:r>
      <w:r>
        <w:t xml:space="preserve"> Příkladem může být  s</w:t>
      </w:r>
      <w:r w:rsidRPr="00A6430D">
        <w:t xml:space="preserve">měrnice, kterou se stanoví </w:t>
      </w:r>
      <w:r>
        <w:t>„Z</w:t>
      </w:r>
      <w:r w:rsidRPr="00A6430D">
        <w:t>působ zadávání veřejných zakázek malého rozsahu na 3. l</w:t>
      </w:r>
      <w:r>
        <w:t>ékařské fakultě UK“.</w:t>
      </w:r>
    </w:p>
  </w:footnote>
  <w:footnote w:id="38">
    <w:p w14:paraId="4DF12D7F" w14:textId="77777777" w:rsidR="001214F7" w:rsidRPr="00A6430D" w:rsidRDefault="001214F7" w:rsidP="00311FC4">
      <w:pPr>
        <w:pStyle w:val="FootnoteText"/>
        <w:jc w:val="both"/>
      </w:pPr>
      <w:r w:rsidRPr="00A6430D">
        <w:rPr>
          <w:rStyle w:val="FootnoteReference"/>
        </w:rPr>
        <w:footnoteRef/>
      </w:r>
      <w:r w:rsidRPr="00A6430D">
        <w:t xml:space="preserve"> ÚOHS vykonává dohled nad zadáním VZ na základě § 2 písm. b) zákona č. 273/1996 Sb., o působnosti Úřadu pro ochranu hospodářské soutěže, ve znění pozdějších předpisů: Úřad vykonává dohled při zadávání veřejných zakázek. Obsahem této dohledové činnosti je především posuzování souladnosti postupu zadavatele se</w:t>
      </w:r>
      <w:r>
        <w:t> </w:t>
      </w:r>
      <w:r w:rsidRPr="00A6430D">
        <w:t>zákonem s tím, že se zde subsidiárně používá zákon č. 500/2004 Sb., o správním řízení, ve znění pozdějších předpisů po zahájení řízení, a to vzhledem k správní povaze tohoto dohledového řízení.</w:t>
      </w:r>
    </w:p>
  </w:footnote>
  <w:footnote w:id="39">
    <w:p w14:paraId="386B349C" w14:textId="77777777" w:rsidR="001214F7" w:rsidRPr="00A6430D" w:rsidRDefault="001214F7">
      <w:pPr>
        <w:pStyle w:val="FootnoteText"/>
      </w:pPr>
      <w:r w:rsidRPr="00A6430D">
        <w:rPr>
          <w:rStyle w:val="FootnoteReference"/>
        </w:rPr>
        <w:footnoteRef/>
      </w:r>
      <w:r w:rsidRPr="00A6430D">
        <w:t xml:space="preserve"> rozhodnutí Úřadu pro ochranu hospodářské soutěže ze dne 9. května 2000, č. j.: S 38/2000-150/1440/2000-Hm</w:t>
      </w:r>
    </w:p>
  </w:footnote>
  <w:footnote w:id="40">
    <w:p w14:paraId="03CE057D" w14:textId="77777777" w:rsidR="001214F7" w:rsidRPr="00A6430D" w:rsidRDefault="001214F7">
      <w:pPr>
        <w:pStyle w:val="FootnoteText"/>
      </w:pPr>
      <w:r w:rsidRPr="00A6430D">
        <w:rPr>
          <w:rStyle w:val="FootnoteReference"/>
        </w:rPr>
        <w:footnoteRef/>
      </w:r>
      <w:r w:rsidRPr="00A6430D">
        <w:t xml:space="preserve"> Předpokládaná hodnota VZ je „zadavatelem předpokládaná výše peněžitého závazku vyplývajícího z plnění veřejné zakázky.“ - JURČÍK, Radek. </w:t>
      </w:r>
      <w:r w:rsidRPr="00A6430D">
        <w:rPr>
          <w:i/>
        </w:rPr>
        <w:t>Veřejné zakázky a koncese</w:t>
      </w:r>
      <w:r w:rsidRPr="00A6430D">
        <w:t>. 2. vydání. Praha: C. H. Beck, 2014, s. 182.</w:t>
      </w:r>
    </w:p>
  </w:footnote>
  <w:footnote w:id="41">
    <w:p w14:paraId="11B54476" w14:textId="77777777" w:rsidR="001214F7" w:rsidRPr="00A6430D" w:rsidRDefault="001214F7" w:rsidP="00311FC4">
      <w:pPr>
        <w:pStyle w:val="FootnoteText"/>
        <w:jc w:val="both"/>
      </w:pPr>
      <w:r w:rsidRPr="00A6430D">
        <w:rPr>
          <w:rStyle w:val="FootnoteReference"/>
        </w:rPr>
        <w:footnoteRef/>
      </w:r>
      <w:r w:rsidRPr="00A6430D">
        <w:t xml:space="preserve"> JURČÍK, Radek. </w:t>
      </w:r>
      <w:r w:rsidRPr="00A6430D">
        <w:rPr>
          <w:i/>
        </w:rPr>
        <w:t>Veřejné zakázky a koncese</w:t>
      </w:r>
      <w:r w:rsidRPr="00A6430D">
        <w:t>. 2. vydání. Praha: C. H. Beck, 2014, s. 128 – 132.</w:t>
      </w:r>
    </w:p>
  </w:footnote>
  <w:footnote w:id="42">
    <w:p w14:paraId="7210113F" w14:textId="77777777" w:rsidR="001214F7" w:rsidRPr="00A6430D" w:rsidRDefault="001214F7" w:rsidP="00311FC4">
      <w:pPr>
        <w:pStyle w:val="FootnoteText"/>
        <w:jc w:val="both"/>
      </w:pPr>
      <w:r w:rsidRPr="00A6430D">
        <w:rPr>
          <w:rStyle w:val="FootnoteReference"/>
        </w:rPr>
        <w:footnoteRef/>
      </w:r>
      <w:r w:rsidRPr="00A6430D">
        <w:t xml:space="preserve"> JURČÍK, Radek. </w:t>
      </w:r>
      <w:r w:rsidRPr="00A6430D">
        <w:rPr>
          <w:i/>
        </w:rPr>
        <w:t>Zákon o veřejných zakázkách.</w:t>
      </w:r>
      <w:r w:rsidRPr="00A6430D">
        <w:t xml:space="preserve"> Komentář. 4. Vydání. Praha: C. H. Beck, 2015, s. 159.</w:t>
      </w:r>
    </w:p>
  </w:footnote>
  <w:footnote w:id="43">
    <w:p w14:paraId="6D72886F" w14:textId="77777777" w:rsidR="001214F7" w:rsidRPr="00A6430D" w:rsidRDefault="001214F7" w:rsidP="00311FC4">
      <w:pPr>
        <w:pStyle w:val="FootnoteText"/>
        <w:jc w:val="both"/>
      </w:pPr>
      <w:r w:rsidRPr="00A6430D">
        <w:rPr>
          <w:rStyle w:val="FootnoteReference"/>
        </w:rPr>
        <w:footnoteRef/>
      </w:r>
      <w:r w:rsidRPr="00A6430D">
        <w:t xml:space="preserve"> Tamtéž, s. 155 – 159.</w:t>
      </w:r>
    </w:p>
  </w:footnote>
  <w:footnote w:id="44">
    <w:p w14:paraId="5DE8EF8D" w14:textId="77777777" w:rsidR="001214F7" w:rsidRPr="00A6430D" w:rsidRDefault="001214F7" w:rsidP="00311FC4">
      <w:pPr>
        <w:pStyle w:val="FootnoteText"/>
        <w:jc w:val="both"/>
      </w:pPr>
      <w:r w:rsidRPr="00A6430D">
        <w:rPr>
          <w:rStyle w:val="FootnoteReference"/>
        </w:rPr>
        <w:footnoteRef/>
      </w:r>
      <w:r w:rsidRPr="00A6430D">
        <w:t xml:space="preserve"> JURČÍK, Radek. </w:t>
      </w:r>
      <w:r w:rsidRPr="00A6430D">
        <w:rPr>
          <w:i/>
        </w:rPr>
        <w:t>Veřejné zakázky a koncese</w:t>
      </w:r>
      <w:r w:rsidRPr="00A6430D">
        <w:t>. 2. vydání. Praha: C. H. Beck, 2014, s. 137.</w:t>
      </w:r>
    </w:p>
  </w:footnote>
  <w:footnote w:id="45">
    <w:p w14:paraId="4C3ADD59" w14:textId="77777777" w:rsidR="001214F7" w:rsidRPr="00A6430D" w:rsidRDefault="001214F7">
      <w:pPr>
        <w:pStyle w:val="FootnoteText"/>
      </w:pPr>
      <w:r w:rsidRPr="00A6430D">
        <w:rPr>
          <w:rStyle w:val="FootnoteReference"/>
        </w:rPr>
        <w:footnoteRef/>
      </w:r>
      <w:r w:rsidRPr="00A6430D">
        <w:t xml:space="preserve"> JURČÍK, Radek. </w:t>
      </w:r>
      <w:r w:rsidRPr="00A6430D">
        <w:rPr>
          <w:i/>
        </w:rPr>
        <w:t>Zákon o veřejných zakázkách.</w:t>
      </w:r>
      <w:r w:rsidRPr="00A6430D">
        <w:t xml:space="preserve"> Komentář. 4. Vydání. Praha: C. H. Beck, 2015, s. 221.</w:t>
      </w:r>
    </w:p>
  </w:footnote>
  <w:footnote w:id="46">
    <w:p w14:paraId="094A731B" w14:textId="77777777" w:rsidR="001214F7" w:rsidRPr="00A6430D" w:rsidRDefault="001214F7">
      <w:pPr>
        <w:pStyle w:val="FootnoteText"/>
      </w:pPr>
      <w:r w:rsidRPr="00A6430D">
        <w:rPr>
          <w:rStyle w:val="FootnoteReference"/>
        </w:rPr>
        <w:footnoteRef/>
      </w:r>
      <w:r w:rsidRPr="00A6430D">
        <w:t xml:space="preserve"> JURČÍK, Radek. </w:t>
      </w:r>
      <w:r w:rsidRPr="00A6430D">
        <w:rPr>
          <w:i/>
        </w:rPr>
        <w:t>Veřejné zakázky a koncese</w:t>
      </w:r>
      <w:r w:rsidRPr="00A6430D">
        <w:t>. 2. vydání. Praha: C. H. Beck, 2014, s. 146.</w:t>
      </w:r>
    </w:p>
  </w:footnote>
  <w:footnote w:id="47">
    <w:p w14:paraId="082E8923" w14:textId="77777777" w:rsidR="001214F7" w:rsidRDefault="001214F7">
      <w:pPr>
        <w:pStyle w:val="FootnoteText"/>
      </w:pPr>
      <w:r>
        <w:rPr>
          <w:rStyle w:val="FootnoteReference"/>
        </w:rPr>
        <w:footnoteRef/>
      </w:r>
      <w:r>
        <w:t xml:space="preserve"> Tamtéž.</w:t>
      </w:r>
    </w:p>
  </w:footnote>
  <w:footnote w:id="48">
    <w:p w14:paraId="7C4FAB46" w14:textId="77777777" w:rsidR="001214F7" w:rsidRPr="00A6430D" w:rsidRDefault="001214F7">
      <w:pPr>
        <w:pStyle w:val="FootnoteText"/>
      </w:pPr>
      <w:r w:rsidRPr="00A6430D">
        <w:rPr>
          <w:rStyle w:val="FootnoteReference"/>
        </w:rPr>
        <w:footnoteRef/>
      </w:r>
      <w:r w:rsidRPr="00A6430D">
        <w:t xml:space="preserve"> Tamtéž.</w:t>
      </w:r>
    </w:p>
  </w:footnote>
  <w:footnote w:id="49">
    <w:p w14:paraId="176A990A" w14:textId="77777777" w:rsidR="001214F7" w:rsidRPr="00A6430D" w:rsidRDefault="001214F7">
      <w:pPr>
        <w:pStyle w:val="FootnoteText"/>
      </w:pPr>
      <w:r w:rsidRPr="00A6430D">
        <w:rPr>
          <w:rStyle w:val="FootnoteReference"/>
        </w:rPr>
        <w:footnoteRef/>
      </w:r>
      <w:r w:rsidRPr="00A6430D">
        <w:t xml:space="preserve"> Tamtéž, s. 159 – 170.</w:t>
      </w:r>
    </w:p>
  </w:footnote>
  <w:footnote w:id="50">
    <w:p w14:paraId="6F7DCACE" w14:textId="77777777" w:rsidR="001214F7" w:rsidRPr="00A6430D" w:rsidRDefault="001214F7" w:rsidP="00311FC4">
      <w:pPr>
        <w:pStyle w:val="FootnoteText"/>
        <w:jc w:val="both"/>
      </w:pPr>
      <w:r w:rsidRPr="00A6430D">
        <w:rPr>
          <w:rStyle w:val="FootnoteReference"/>
        </w:rPr>
        <w:footnoteRef/>
      </w:r>
      <w:r w:rsidRPr="00A6430D">
        <w:t xml:space="preserve"> </w:t>
      </w:r>
      <w:r w:rsidRPr="00A6430D">
        <w:rPr>
          <w:iCs/>
        </w:rPr>
        <w:t>BALÝOVÁ, Lucie.</w:t>
      </w:r>
      <w:r w:rsidRPr="00A6430D">
        <w:t xml:space="preserve"> </w:t>
      </w:r>
      <w:r w:rsidRPr="00A6430D">
        <w:rPr>
          <w:i/>
        </w:rPr>
        <w:t>Veřejné zakázky</w:t>
      </w:r>
      <w:r w:rsidRPr="00A6430D">
        <w:t>. 1. vydání. Praha: C. H. Beck, 2015, s. 48 – 49.</w:t>
      </w:r>
    </w:p>
  </w:footnote>
  <w:footnote w:id="51">
    <w:p w14:paraId="47DA2730" w14:textId="77777777" w:rsidR="001214F7" w:rsidRPr="00A6430D" w:rsidRDefault="001214F7" w:rsidP="00311FC4">
      <w:pPr>
        <w:pStyle w:val="FootnoteText"/>
        <w:jc w:val="both"/>
      </w:pPr>
      <w:r w:rsidRPr="00A6430D">
        <w:rPr>
          <w:rStyle w:val="FootnoteReference"/>
        </w:rPr>
        <w:footnoteRef/>
      </w:r>
      <w:r w:rsidRPr="00A6430D">
        <w:t xml:space="preserve"> JURČÍK, Radek. </w:t>
      </w:r>
      <w:r w:rsidRPr="00A6430D">
        <w:rPr>
          <w:i/>
        </w:rPr>
        <w:t>Veřejné zakázky a koncese</w:t>
      </w:r>
      <w:r w:rsidRPr="00A6430D">
        <w:t>. 2. vydání. Praha: C. H. Beck, 2014, s. 692.</w:t>
      </w:r>
    </w:p>
  </w:footnote>
  <w:footnote w:id="52">
    <w:p w14:paraId="171E3B13" w14:textId="77777777" w:rsidR="001214F7" w:rsidRPr="00A6430D" w:rsidRDefault="001214F7" w:rsidP="00311FC4">
      <w:pPr>
        <w:pStyle w:val="FootnoteText"/>
        <w:jc w:val="both"/>
      </w:pPr>
      <w:r w:rsidRPr="00A6430D">
        <w:rPr>
          <w:rStyle w:val="FootnoteReference"/>
        </w:rPr>
        <w:footnoteRef/>
      </w:r>
      <w:r w:rsidRPr="00A6430D">
        <w:t xml:space="preserve"> Viz § 18 (především odst. 5 – VZ malého rozsahu) Obecné výjimky z působnosti zákona a § 19 Výjimky z působnosti zákona pro sektorové zadavatele zákona o VZ.</w:t>
      </w:r>
    </w:p>
  </w:footnote>
  <w:footnote w:id="53">
    <w:p w14:paraId="7DCD0B2F" w14:textId="77777777" w:rsidR="001214F7" w:rsidRPr="00A6430D" w:rsidRDefault="001214F7" w:rsidP="00311FC4">
      <w:pPr>
        <w:pStyle w:val="FootnoteText"/>
        <w:jc w:val="both"/>
      </w:pPr>
      <w:r w:rsidRPr="00A6430D">
        <w:rPr>
          <w:rStyle w:val="FootnoteReference"/>
        </w:rPr>
        <w:footnoteRef/>
      </w:r>
      <w:r w:rsidRPr="00A6430D">
        <w:t xml:space="preserve"> Viz § 2 zákona – veřejný, dotovaný a sektorový zadavatel.</w:t>
      </w:r>
    </w:p>
  </w:footnote>
  <w:footnote w:id="54">
    <w:p w14:paraId="3E330E9F" w14:textId="77777777" w:rsidR="001214F7" w:rsidRPr="00A6430D" w:rsidRDefault="001214F7" w:rsidP="00311FC4">
      <w:pPr>
        <w:pStyle w:val="FootnoteText"/>
        <w:jc w:val="both"/>
      </w:pPr>
      <w:r w:rsidRPr="00A6430D">
        <w:rPr>
          <w:rStyle w:val="FootnoteReference"/>
        </w:rPr>
        <w:footnoteRef/>
      </w:r>
      <w:r w:rsidRPr="00A6430D">
        <w:t xml:space="preserve"> Viz § 12 a § 13 zákona – nadlimitní, podlimitní a VZ malého rozsahu.</w:t>
      </w:r>
    </w:p>
  </w:footnote>
  <w:footnote w:id="55">
    <w:p w14:paraId="47C4D00A" w14:textId="77777777" w:rsidR="001214F7" w:rsidRPr="00A6430D" w:rsidRDefault="001214F7" w:rsidP="00311FC4">
      <w:pPr>
        <w:pStyle w:val="FootnoteText"/>
        <w:jc w:val="both"/>
      </w:pPr>
      <w:r w:rsidRPr="00A6430D">
        <w:rPr>
          <w:rStyle w:val="FootnoteReference"/>
        </w:rPr>
        <w:footnoteRef/>
      </w:r>
      <w:r w:rsidRPr="00A6430D">
        <w:t xml:space="preserve"> JURČÍK, Radek. </w:t>
      </w:r>
      <w:r w:rsidRPr="00A6430D">
        <w:rPr>
          <w:i/>
        </w:rPr>
        <w:t>Veřejné zakázky a koncese</w:t>
      </w:r>
      <w:r w:rsidRPr="00A6430D">
        <w:t>. 2. vydání. Praha: C. H. Beck, 2014, s. 692 – 694.</w:t>
      </w:r>
    </w:p>
  </w:footnote>
  <w:footnote w:id="56">
    <w:p w14:paraId="646DE726" w14:textId="77777777" w:rsidR="001214F7" w:rsidRPr="00A6430D" w:rsidRDefault="001214F7" w:rsidP="00311FC4">
      <w:pPr>
        <w:pStyle w:val="FootnoteText"/>
        <w:jc w:val="both"/>
      </w:pPr>
      <w:r w:rsidRPr="00A6430D">
        <w:rPr>
          <w:rStyle w:val="FootnoteReference"/>
        </w:rPr>
        <w:footnoteRef/>
      </w:r>
      <w:r w:rsidRPr="00A6430D">
        <w:t xml:space="preserve"> Tamtéž, s. 694 – 695.</w:t>
      </w:r>
    </w:p>
  </w:footnote>
  <w:footnote w:id="57">
    <w:p w14:paraId="67497CA3" w14:textId="77777777" w:rsidR="001214F7" w:rsidRPr="00A6430D" w:rsidRDefault="001214F7" w:rsidP="002C4094">
      <w:pPr>
        <w:pStyle w:val="FootnoteText"/>
        <w:jc w:val="both"/>
      </w:pPr>
      <w:r w:rsidRPr="00A6430D">
        <w:rPr>
          <w:rStyle w:val="FootnoteReference"/>
        </w:rPr>
        <w:footnoteRef/>
      </w:r>
      <w:r w:rsidRPr="00A6430D">
        <w:t xml:space="preserve"> „Zadávací dokumentace je dokument, který obsahuje údaje nezbytné pro vypracování nabídky (obchodní a technické podmínky), vztahující se k předmětu a rozsahu veřejné zakázky, rozvíjející, konkretizující a rozšiřující informace publikované v oznámení o zahájení zadávacího řízení a současně i obsahující další informace o způsobu hodnocení nabídek, formě podání nabídek apod.“ - JURČÍK, Radek. </w:t>
      </w:r>
      <w:r w:rsidRPr="00A6430D">
        <w:rPr>
          <w:i/>
        </w:rPr>
        <w:t>Veřejné zakázky a koncese</w:t>
      </w:r>
      <w:r w:rsidRPr="00A6430D">
        <w:t>. 2. vydání. Praha: C. H. Beck, 2014, s. 516.</w:t>
      </w:r>
    </w:p>
  </w:footnote>
  <w:footnote w:id="58">
    <w:p w14:paraId="093F5F45" w14:textId="77777777" w:rsidR="001214F7" w:rsidRPr="00A6430D" w:rsidRDefault="001214F7" w:rsidP="002C4094">
      <w:pPr>
        <w:pStyle w:val="FootnoteText"/>
        <w:jc w:val="both"/>
      </w:pPr>
      <w:r w:rsidRPr="00A6430D">
        <w:rPr>
          <w:rStyle w:val="FootnoteReference"/>
        </w:rPr>
        <w:footnoteRef/>
      </w:r>
      <w:r w:rsidRPr="00A6430D">
        <w:t xml:space="preserve"> Podrobněji viz Kapitola XVI. Zadávací řízení, 1 Příprava zadávacího řízení - JURČÍK, Radek. </w:t>
      </w:r>
      <w:r w:rsidRPr="00A6430D">
        <w:rPr>
          <w:i/>
        </w:rPr>
        <w:t>Veřejné zakázky a koncese</w:t>
      </w:r>
      <w:r w:rsidRPr="00A6430D">
        <w:t xml:space="preserve">. 2. vydání. Praha: C. H. Beck, 2014, </w:t>
      </w:r>
    </w:p>
  </w:footnote>
  <w:footnote w:id="59">
    <w:p w14:paraId="5F369CAD" w14:textId="77777777" w:rsidR="001214F7" w:rsidRPr="00A6430D" w:rsidRDefault="001214F7">
      <w:pPr>
        <w:pStyle w:val="FootnoteText"/>
      </w:pPr>
      <w:r w:rsidRPr="00A6430D">
        <w:rPr>
          <w:rStyle w:val="FootnoteReference"/>
        </w:rPr>
        <w:footnoteRef/>
      </w:r>
      <w:r w:rsidRPr="00A6430D">
        <w:t xml:space="preserve"> Možná výjimka v rámci soutěžního dialogu a jednacího řízení s uveřejněním viz níže.</w:t>
      </w:r>
    </w:p>
  </w:footnote>
  <w:footnote w:id="60">
    <w:p w14:paraId="4D25850B" w14:textId="77777777" w:rsidR="001214F7" w:rsidRPr="00A6430D" w:rsidRDefault="001214F7" w:rsidP="002C4094">
      <w:pPr>
        <w:pStyle w:val="FootnoteText"/>
        <w:jc w:val="both"/>
      </w:pPr>
      <w:r w:rsidRPr="00A6430D">
        <w:rPr>
          <w:rStyle w:val="FootnoteReference"/>
        </w:rPr>
        <w:footnoteRef/>
      </w:r>
      <w:r w:rsidRPr="00A6430D">
        <w:t xml:space="preserve"> JURČÍK, Radek. </w:t>
      </w:r>
      <w:r w:rsidRPr="00A6430D">
        <w:rPr>
          <w:i/>
        </w:rPr>
        <w:t>Veřejné zakázky a koncese</w:t>
      </w:r>
      <w:r w:rsidRPr="00A6430D">
        <w:t>. 2. vydání. Praha: C. H. Beck, 2014, s. 696 – 699.</w:t>
      </w:r>
    </w:p>
  </w:footnote>
  <w:footnote w:id="61">
    <w:p w14:paraId="336DDBED" w14:textId="77777777" w:rsidR="001214F7" w:rsidRPr="00A6430D" w:rsidRDefault="001214F7" w:rsidP="002C4094">
      <w:pPr>
        <w:pStyle w:val="FootnoteText"/>
        <w:jc w:val="both"/>
      </w:pPr>
      <w:r w:rsidRPr="00A6430D">
        <w:rPr>
          <w:rStyle w:val="FootnoteReference"/>
        </w:rPr>
        <w:footnoteRef/>
      </w:r>
      <w:r w:rsidRPr="00A6430D">
        <w:t xml:space="preserve"> Dle § 2 zákona rozlišujeme tři typy zadavatelů: „</w:t>
      </w:r>
      <w:r w:rsidRPr="00A6430D">
        <w:rPr>
          <w:b/>
        </w:rPr>
        <w:t>A. veřejný zadavatel</w:t>
      </w:r>
      <w:r w:rsidRPr="00A6430D">
        <w:t xml:space="preserve"> – jde o „klasického zadavatele“, kterým jsou subjekty či vykonavatelé veřejné správy ve formálním či materiálním pojetí; </w:t>
      </w:r>
      <w:r w:rsidRPr="00A6430D">
        <w:rPr>
          <w:b/>
        </w:rPr>
        <w:t>B. dotovaný zadavatel</w:t>
      </w:r>
      <w:r w:rsidRPr="00A6430D">
        <w:t xml:space="preserve"> – fyzická či právnická osoba je dotovaným zadavatelem, pokud vynakládá na předmět veřejné zakázky veřejné prostředky a pokud splní další, v tomto ustanovení vymezené podmínky. […].; </w:t>
      </w:r>
      <w:r w:rsidRPr="00A6430D">
        <w:rPr>
          <w:b/>
        </w:rPr>
        <w:t>C. sektorový zadavatel</w:t>
      </w:r>
      <w:r w:rsidRPr="00A6430D">
        <w:t xml:space="preserve"> – jde o podnikatele, kteří podnikají na základě zvláštního či výhradního oprávnění a současně vykonávají některou z relevantních činností podle § 4 ZVZ.“ - JURČÍK, Radek. </w:t>
      </w:r>
      <w:r w:rsidRPr="00A6430D">
        <w:rPr>
          <w:i/>
        </w:rPr>
        <w:t>Veřejné zakázky a koncese</w:t>
      </w:r>
      <w:r w:rsidRPr="00A6430D">
        <w:t>. 2. vydání. Praha: C. H. Beck, 2014, s. 212.</w:t>
      </w:r>
    </w:p>
  </w:footnote>
  <w:footnote w:id="62">
    <w:p w14:paraId="189AE047" w14:textId="77777777" w:rsidR="001214F7" w:rsidRPr="00A6430D" w:rsidRDefault="001214F7" w:rsidP="00311FC4">
      <w:pPr>
        <w:pStyle w:val="FootnoteText"/>
        <w:jc w:val="both"/>
      </w:pPr>
      <w:r w:rsidRPr="00A6430D">
        <w:rPr>
          <w:rStyle w:val="FootnoteReference"/>
        </w:rPr>
        <w:footnoteRef/>
      </w:r>
      <w:r w:rsidRPr="00A6430D">
        <w:t xml:space="preserve"> Kvalifikací „zadavatel zjišťuje, zda je nabídka právně a ekonomicky podložena, tedy zda je dodavatel způsobilý splnit předmět veřejné zakázky.“ - JURČÍK, Radek. </w:t>
      </w:r>
      <w:r w:rsidRPr="00A6430D">
        <w:rPr>
          <w:i/>
        </w:rPr>
        <w:t>Veřejné zakázky a koncese</w:t>
      </w:r>
      <w:r w:rsidRPr="00A6430D">
        <w:t>. 2. vydání. Praha: C. H. Beck, 2014, s. 446. Pokud je řízení zahájeno sektorovým zadavatelem, kvalifikace se prokazuje, pouze pokud to sektorový zadavatel požaduje, jak stanovuje § 63 zákona</w:t>
      </w:r>
    </w:p>
  </w:footnote>
  <w:footnote w:id="63">
    <w:p w14:paraId="089ABAB8" w14:textId="77777777" w:rsidR="001214F7" w:rsidRPr="00A6430D" w:rsidRDefault="001214F7" w:rsidP="00311FC4">
      <w:pPr>
        <w:pStyle w:val="FootnoteText"/>
        <w:jc w:val="both"/>
      </w:pPr>
      <w:r w:rsidRPr="00A6430D">
        <w:rPr>
          <w:rStyle w:val="FootnoteReference"/>
        </w:rPr>
        <w:footnoteRef/>
      </w:r>
      <w:r w:rsidRPr="00A6430D">
        <w:t xml:space="preserve"> viz § 1772 zákona č. 89/2012 Sb., občanský zákoník</w:t>
      </w:r>
    </w:p>
  </w:footnote>
  <w:footnote w:id="64">
    <w:p w14:paraId="32F9DDCA" w14:textId="77777777" w:rsidR="001214F7" w:rsidRPr="00A6430D" w:rsidRDefault="001214F7" w:rsidP="00311FC4">
      <w:pPr>
        <w:pStyle w:val="FootnoteText"/>
        <w:jc w:val="both"/>
      </w:pPr>
      <w:r w:rsidRPr="00A6430D">
        <w:rPr>
          <w:rStyle w:val="FootnoteReference"/>
        </w:rPr>
        <w:footnoteRef/>
      </w:r>
      <w:r w:rsidRPr="00A6430D">
        <w:t xml:space="preserve"> JURČÍK, Radek. </w:t>
      </w:r>
      <w:r w:rsidRPr="00A6430D">
        <w:rPr>
          <w:i/>
        </w:rPr>
        <w:t>Veřejné zakázky a koncese</w:t>
      </w:r>
      <w:r w:rsidRPr="00A6430D">
        <w:t>. 2. vydání. Praha: C. H. Beck, 2014, s. 700 – 703.</w:t>
      </w:r>
    </w:p>
  </w:footnote>
  <w:footnote w:id="65">
    <w:p w14:paraId="36BE6A05" w14:textId="77777777" w:rsidR="001214F7" w:rsidRPr="00A6430D" w:rsidRDefault="001214F7" w:rsidP="00311FC4">
      <w:pPr>
        <w:pStyle w:val="FootnoteText"/>
        <w:jc w:val="both"/>
      </w:pPr>
      <w:r w:rsidRPr="00A6430D">
        <w:rPr>
          <w:rStyle w:val="FootnoteReference"/>
        </w:rPr>
        <w:footnoteRef/>
      </w:r>
      <w:r w:rsidRPr="00A6430D">
        <w:t xml:space="preserve"> JURČÍK, Radek. </w:t>
      </w:r>
      <w:r w:rsidRPr="00A6430D">
        <w:rPr>
          <w:i/>
        </w:rPr>
        <w:t>Zákon o veřejných zakázkách.</w:t>
      </w:r>
      <w:r w:rsidRPr="00A6430D">
        <w:t xml:space="preserve"> Komentář. 4. Vydání. Praha: C. H. Beck, 2015, s. 1174 – 1175.</w:t>
      </w:r>
    </w:p>
  </w:footnote>
  <w:footnote w:id="66">
    <w:p w14:paraId="41F62146" w14:textId="77777777" w:rsidR="001214F7" w:rsidRPr="00A6430D" w:rsidRDefault="001214F7">
      <w:pPr>
        <w:pStyle w:val="FootnoteText"/>
      </w:pPr>
      <w:r w:rsidRPr="00A6430D">
        <w:rPr>
          <w:rStyle w:val="FootnoteReference"/>
        </w:rPr>
        <w:footnoteRef/>
      </w:r>
      <w:r w:rsidRPr="00A6430D">
        <w:t xml:space="preserve"> JURČÍK, Radek. </w:t>
      </w:r>
      <w:r w:rsidRPr="00A6430D">
        <w:rPr>
          <w:i/>
        </w:rPr>
        <w:t>Veřejné zakázky a koncese</w:t>
      </w:r>
      <w:r w:rsidRPr="00A6430D">
        <w:t>. 2. vydání. Praha: C. H. Beck, 2014, s. 702.</w:t>
      </w:r>
    </w:p>
  </w:footnote>
  <w:footnote w:id="67">
    <w:p w14:paraId="1A676402" w14:textId="77777777" w:rsidR="001214F7" w:rsidRPr="00A6430D" w:rsidRDefault="001214F7">
      <w:pPr>
        <w:pStyle w:val="FootnoteText"/>
      </w:pPr>
      <w:r w:rsidRPr="00A6430D">
        <w:rPr>
          <w:rStyle w:val="FootnoteReference"/>
        </w:rPr>
        <w:footnoteRef/>
      </w:r>
      <w:r w:rsidRPr="00A6430D">
        <w:t xml:space="preserve"> JURČÍK, Radek. </w:t>
      </w:r>
      <w:r w:rsidRPr="00A6430D">
        <w:rPr>
          <w:i/>
        </w:rPr>
        <w:t>Zákon o veřejných zakázkách.</w:t>
      </w:r>
      <w:r w:rsidRPr="00A6430D">
        <w:t xml:space="preserve"> Komentář. 4. Vydání. Praha: C. H. Beck, 2015, s. 864 – 866.</w:t>
      </w:r>
    </w:p>
  </w:footnote>
  <w:footnote w:id="68">
    <w:p w14:paraId="0B745195" w14:textId="77777777" w:rsidR="001214F7" w:rsidRPr="00A6430D" w:rsidRDefault="001214F7" w:rsidP="00311FC4">
      <w:pPr>
        <w:pStyle w:val="FootnoteText"/>
        <w:jc w:val="both"/>
      </w:pPr>
      <w:r w:rsidRPr="00A6430D">
        <w:rPr>
          <w:rStyle w:val="FootnoteReference"/>
        </w:rPr>
        <w:footnoteRef/>
      </w:r>
      <w:r w:rsidRPr="00A6430D">
        <w:t xml:space="preserve"> Pozor na Přílohu č. 2 k zákonu pro VZ na služby</w:t>
      </w:r>
    </w:p>
  </w:footnote>
  <w:footnote w:id="69">
    <w:p w14:paraId="086A8518" w14:textId="77777777" w:rsidR="001214F7" w:rsidRPr="00A6430D" w:rsidRDefault="001214F7" w:rsidP="00311FC4">
      <w:pPr>
        <w:pStyle w:val="FootnoteText"/>
        <w:jc w:val="both"/>
      </w:pPr>
      <w:r w:rsidRPr="00A6430D">
        <w:rPr>
          <w:rStyle w:val="FootnoteReference"/>
        </w:rPr>
        <w:footnoteRef/>
      </w:r>
      <w:r w:rsidRPr="00A6430D">
        <w:t xml:space="preserve"> JURČÍK, Radek. </w:t>
      </w:r>
      <w:r w:rsidRPr="00A6430D">
        <w:rPr>
          <w:i/>
        </w:rPr>
        <w:t>Zákon o veřejných zakázkách.</w:t>
      </w:r>
      <w:r w:rsidRPr="00A6430D">
        <w:t xml:space="preserve"> Komentář. 4. Vydání. Praha: C. H. Beck, 2015, s. 357 – 359.</w:t>
      </w:r>
    </w:p>
  </w:footnote>
  <w:footnote w:id="70">
    <w:p w14:paraId="79809387" w14:textId="77777777" w:rsidR="001214F7" w:rsidRPr="00A6430D" w:rsidRDefault="001214F7" w:rsidP="00311FC4">
      <w:pPr>
        <w:pStyle w:val="FootnoteText"/>
        <w:jc w:val="both"/>
      </w:pPr>
      <w:r w:rsidRPr="00A6430D">
        <w:rPr>
          <w:rStyle w:val="FootnoteReference"/>
        </w:rPr>
        <w:footnoteRef/>
      </w:r>
      <w:r w:rsidRPr="00A6430D">
        <w:t xml:space="preserve"> „Textová část zadávací dokumentace zahrnuje informace o identifikaci dodavatele, podrobnější specifikaci kv</w:t>
      </w:r>
      <w:r>
        <w:t>alifikace a hodnocení, uvedení</w:t>
      </w:r>
      <w:r w:rsidRPr="00A6430D">
        <w:t xml:space="preserve"> kontaktních osob a konkretizace vyřizování dodatečných informací, podmínky, za nichž je možné překročit nabídkovou cenu, apod. U veřejných zakázek na stavební práce je součástí textové dokumentace technická zpráva.“ - JURČÍK, Radek. </w:t>
      </w:r>
      <w:r w:rsidRPr="00A6430D">
        <w:rPr>
          <w:i/>
        </w:rPr>
        <w:t>Zákon o veřejných zakázkách.</w:t>
      </w:r>
      <w:r w:rsidRPr="00A6430D">
        <w:t xml:space="preserve"> Komentář. 4. Vydání. Praha: C. H. Beck, 2015, s. 526</w:t>
      </w:r>
    </w:p>
  </w:footnote>
  <w:footnote w:id="71">
    <w:p w14:paraId="54A88985" w14:textId="77777777" w:rsidR="001214F7" w:rsidRPr="00A6430D" w:rsidRDefault="001214F7">
      <w:pPr>
        <w:pStyle w:val="FootnoteText"/>
      </w:pPr>
      <w:r w:rsidRPr="00A6430D">
        <w:rPr>
          <w:rStyle w:val="FootnoteReference"/>
        </w:rPr>
        <w:footnoteRef/>
      </w:r>
      <w:r w:rsidRPr="00A6430D">
        <w:t xml:space="preserve"> Profil zadavatele je definován § 17 písm. w) zákona.</w:t>
      </w:r>
    </w:p>
  </w:footnote>
  <w:footnote w:id="72">
    <w:p w14:paraId="60B0874F" w14:textId="77777777" w:rsidR="001214F7" w:rsidRPr="00A6430D" w:rsidRDefault="001214F7">
      <w:pPr>
        <w:pStyle w:val="FootnoteText"/>
      </w:pPr>
      <w:r w:rsidRPr="00A6430D">
        <w:rPr>
          <w:rStyle w:val="FootnoteReference"/>
        </w:rPr>
        <w:footnoteRef/>
      </w:r>
      <w:r w:rsidRPr="00A6430D">
        <w:t xml:space="preserve"> JURČÍK, Radek. </w:t>
      </w:r>
      <w:r w:rsidRPr="00A6430D">
        <w:rPr>
          <w:i/>
        </w:rPr>
        <w:t>Veřejné zakázky a koncese</w:t>
      </w:r>
      <w:r w:rsidRPr="00A6430D">
        <w:t>. 2. vydání. Praha: C. H. Beck, 2014, s. 702.</w:t>
      </w:r>
    </w:p>
  </w:footnote>
  <w:footnote w:id="73">
    <w:p w14:paraId="6F43D34A" w14:textId="77777777" w:rsidR="001214F7" w:rsidRPr="00A6430D" w:rsidRDefault="001214F7" w:rsidP="00757807">
      <w:pPr>
        <w:spacing w:line="240" w:lineRule="auto"/>
        <w:ind w:firstLine="0"/>
        <w:rPr>
          <w:sz w:val="20"/>
          <w:szCs w:val="20"/>
        </w:rPr>
      </w:pPr>
      <w:r w:rsidRPr="00A6430D">
        <w:rPr>
          <w:rStyle w:val="FootnoteReference"/>
        </w:rPr>
        <w:footnoteRef/>
      </w:r>
      <w:r w:rsidRPr="00A6430D">
        <w:rPr>
          <w:color w:val="FF0000"/>
          <w:sz w:val="20"/>
          <w:szCs w:val="20"/>
        </w:rPr>
        <w:t xml:space="preserve"> </w:t>
      </w:r>
      <w:r w:rsidRPr="00A6430D">
        <w:rPr>
          <w:sz w:val="20"/>
          <w:szCs w:val="20"/>
        </w:rPr>
        <w:t xml:space="preserve">KOLMAN, Petr. </w:t>
      </w:r>
      <w:r w:rsidRPr="00A6430D">
        <w:rPr>
          <w:i/>
          <w:sz w:val="20"/>
          <w:szCs w:val="20"/>
        </w:rPr>
        <w:t>Veřejné zakázky – k jednomu aktuálnímu problému souvisejícího s poskytováním zadávací dokumentace dodavatelům</w:t>
      </w:r>
      <w:r w:rsidRPr="00A6430D">
        <w:rPr>
          <w:sz w:val="20"/>
          <w:szCs w:val="20"/>
        </w:rPr>
        <w:t xml:space="preserve"> [online]. epravo.cz, 24. dubna 2014 [cit. 20. března 2016]. Dostupné na</w:t>
      </w:r>
      <w:r>
        <w:rPr>
          <w:sz w:val="20"/>
          <w:szCs w:val="20"/>
        </w:rPr>
        <w:t> </w:t>
      </w:r>
      <w:r w:rsidRPr="00A6430D">
        <w:rPr>
          <w:sz w:val="20"/>
          <w:szCs w:val="20"/>
        </w:rPr>
        <w:t>&lt;</w:t>
      </w:r>
      <w:hyperlink r:id="rId2" w:history="1">
        <w:r w:rsidRPr="00A6430D">
          <w:rPr>
            <w:rStyle w:val="Hyperlink"/>
            <w:color w:val="auto"/>
            <w:sz w:val="20"/>
            <w:szCs w:val="20"/>
          </w:rPr>
          <w:t>http://www.epravo.cz/top/clanky/verejne-zakazky-k-jednomu-aktualnimu-problemu-souvisejiciho-s-poskytovanim-zadavaci-dokumentace-dodavatelum-94085.html</w:t>
        </w:r>
      </w:hyperlink>
      <w:r w:rsidRPr="00A6430D">
        <w:rPr>
          <w:sz w:val="20"/>
          <w:szCs w:val="20"/>
        </w:rPr>
        <w:t>&gt;.</w:t>
      </w:r>
    </w:p>
  </w:footnote>
  <w:footnote w:id="74">
    <w:p w14:paraId="180DA5D0" w14:textId="77777777" w:rsidR="001214F7" w:rsidRPr="00A6430D" w:rsidRDefault="001214F7">
      <w:pPr>
        <w:pStyle w:val="FootnoteText"/>
      </w:pPr>
      <w:r w:rsidRPr="00A6430D">
        <w:rPr>
          <w:rStyle w:val="FootnoteReference"/>
        </w:rPr>
        <w:footnoteRef/>
      </w:r>
      <w:r w:rsidRPr="00A6430D">
        <w:t xml:space="preserve"> JURČÍK, Radek. </w:t>
      </w:r>
      <w:r w:rsidRPr="00A6430D">
        <w:rPr>
          <w:i/>
        </w:rPr>
        <w:t>Zákon o veřejných zakázkách.</w:t>
      </w:r>
      <w:r w:rsidRPr="00A6430D">
        <w:t xml:space="preserve"> Komentář. 4. Vydání. Praha: C. H. Beck, 2015, s. 359, 1174 – 1178.</w:t>
      </w:r>
    </w:p>
  </w:footnote>
  <w:footnote w:id="75">
    <w:p w14:paraId="5E9ECDA4" w14:textId="77777777" w:rsidR="001214F7" w:rsidRPr="00A6430D" w:rsidRDefault="001214F7" w:rsidP="00311FC4">
      <w:pPr>
        <w:pStyle w:val="FootnoteText"/>
        <w:jc w:val="both"/>
      </w:pPr>
      <w:r w:rsidRPr="00A6430D">
        <w:rPr>
          <w:rStyle w:val="FootnoteReference"/>
        </w:rPr>
        <w:footnoteRef/>
      </w:r>
      <w:r w:rsidRPr="00A6430D">
        <w:t xml:space="preserve"> rozsudek Nejvyššího správního soudu ze dne 12. května 2008, sp. zn. 5 Afs 131/2007</w:t>
      </w:r>
    </w:p>
  </w:footnote>
  <w:footnote w:id="76">
    <w:p w14:paraId="0D43E572" w14:textId="77777777" w:rsidR="001214F7" w:rsidRPr="00A6430D" w:rsidRDefault="001214F7" w:rsidP="00311FC4">
      <w:pPr>
        <w:pStyle w:val="FootnoteText"/>
        <w:jc w:val="both"/>
      </w:pPr>
      <w:r w:rsidRPr="00A6430D">
        <w:rPr>
          <w:rStyle w:val="FootnoteReference"/>
        </w:rPr>
        <w:footnoteRef/>
      </w:r>
      <w:r w:rsidRPr="00A6430D">
        <w:t xml:space="preserve"> JURČÍK, Radek. </w:t>
      </w:r>
      <w:r w:rsidRPr="00A6430D">
        <w:rPr>
          <w:i/>
        </w:rPr>
        <w:t>Zákon o veřejných zakázkách.</w:t>
      </w:r>
      <w:r w:rsidRPr="00A6430D">
        <w:t xml:space="preserve"> Komentář. 4. Vydání. Praha: C. H. Beck, 2015, s. 532 – 535.</w:t>
      </w:r>
    </w:p>
  </w:footnote>
  <w:footnote w:id="77">
    <w:p w14:paraId="00C60A3A" w14:textId="77777777" w:rsidR="001214F7" w:rsidRPr="00A6430D" w:rsidRDefault="001214F7" w:rsidP="00311FC4">
      <w:pPr>
        <w:pStyle w:val="FootnoteText"/>
        <w:jc w:val="both"/>
      </w:pPr>
      <w:r w:rsidRPr="00A6430D">
        <w:rPr>
          <w:rStyle w:val="FootnoteReference"/>
        </w:rPr>
        <w:footnoteRef/>
      </w:r>
      <w:r w:rsidRPr="00A6430D">
        <w:t xml:space="preserve"> Tamtéž, s. 671 – 673.</w:t>
      </w:r>
    </w:p>
  </w:footnote>
  <w:footnote w:id="78">
    <w:p w14:paraId="4883154F" w14:textId="77777777" w:rsidR="001214F7" w:rsidRPr="00A6430D" w:rsidRDefault="001214F7" w:rsidP="00613829">
      <w:pPr>
        <w:pStyle w:val="FootnoteText"/>
        <w:jc w:val="both"/>
      </w:pPr>
      <w:r w:rsidRPr="00A6430D">
        <w:rPr>
          <w:rStyle w:val="FootnoteReference"/>
        </w:rPr>
        <w:footnoteRef/>
      </w:r>
      <w:r w:rsidRPr="00A6430D">
        <w:t xml:space="preserve"> „Ačkoli časový interval vyjádřený termínem „ihned“ není v zákoně blíže specifikován, Úřad s ohledem na zásadu transparentnosti vyjádřenou v ust. § 6 odst. 1 zákona konstatuje, že zahájení otevírání obálek musí být realizován</w:t>
      </w:r>
      <w:r>
        <w:t>o v nejkratším možném čase, tak</w:t>
      </w:r>
      <w:r w:rsidRPr="00A6430D">
        <w:t xml:space="preserve"> aby nebylo možné jakkoliv manipulovat s nabídkami nebo učinit jiné úkony, které by do procesu otevírání obálek, resp. celého zadávacího řízení vnesly jakékoliv pochybnosti o regulérnosti jednotlivých kroků zadavatele.“ - KOŠŤÁL, Karel, HLAVSA, Jan. </w:t>
      </w:r>
      <w:r w:rsidRPr="00A6430D">
        <w:rPr>
          <w:i/>
        </w:rPr>
        <w:t>Otevírání obálek – pojem „ihned“ v rozhodovací praxi</w:t>
      </w:r>
      <w:r w:rsidRPr="00A6430D">
        <w:t xml:space="preserve"> [online]. epravo.cz, 19. září 2014 [cit. 30. března 2016]. Dostupné na</w:t>
      </w:r>
      <w:r>
        <w:t> </w:t>
      </w:r>
      <w:r w:rsidRPr="00A6430D">
        <w:t>&lt;</w:t>
      </w:r>
      <w:hyperlink r:id="rId3" w:history="1">
        <w:r w:rsidRPr="00A6430D">
          <w:rPr>
            <w:rStyle w:val="Hyperlink"/>
            <w:color w:val="auto"/>
          </w:rPr>
          <w:t>http://www.epravo.cz/top/clanky/otevirani-obalek-pojem-ihned-v-rozhodovaci-praxi-95333.html</w:t>
        </w:r>
      </w:hyperlink>
      <w:r w:rsidRPr="00A6430D">
        <w:t>&gt;.</w:t>
      </w:r>
    </w:p>
  </w:footnote>
  <w:footnote w:id="79">
    <w:p w14:paraId="67D5410E" w14:textId="77777777" w:rsidR="001214F7" w:rsidRPr="00A6430D" w:rsidRDefault="001214F7">
      <w:pPr>
        <w:pStyle w:val="FootnoteText"/>
      </w:pPr>
      <w:r w:rsidRPr="00A6430D">
        <w:rPr>
          <w:rStyle w:val="FootnoteReference"/>
        </w:rPr>
        <w:footnoteRef/>
      </w:r>
      <w:r w:rsidRPr="00A6430D">
        <w:t xml:space="preserve"> blížeji k problematice otevírání obálek - rozsudek Nejvyššího správního soudu ze dne 24. června 2015, sp. zn. 8 As 32/2014</w:t>
      </w:r>
    </w:p>
  </w:footnote>
  <w:footnote w:id="80">
    <w:p w14:paraId="7B2D94B8" w14:textId="77777777" w:rsidR="001214F7" w:rsidRPr="00A6430D" w:rsidRDefault="001214F7" w:rsidP="00311FC4">
      <w:pPr>
        <w:pStyle w:val="FootnoteText"/>
        <w:jc w:val="both"/>
      </w:pPr>
      <w:r w:rsidRPr="00A6430D">
        <w:rPr>
          <w:rStyle w:val="FootnoteReference"/>
        </w:rPr>
        <w:footnoteRef/>
      </w:r>
      <w:r w:rsidRPr="00A6430D">
        <w:t xml:space="preserve"> JURČÍK, Radek. </w:t>
      </w:r>
      <w:r w:rsidRPr="00A6430D">
        <w:rPr>
          <w:i/>
        </w:rPr>
        <w:t>Zákon o veřejných zakázkách.</w:t>
      </w:r>
      <w:r w:rsidRPr="00A6430D">
        <w:t xml:space="preserve"> Komentář. 4. Vydání. Praha: C. H. Beck, 2015, s. 678 – 690.</w:t>
      </w:r>
    </w:p>
  </w:footnote>
  <w:footnote w:id="81">
    <w:p w14:paraId="1EAF407F" w14:textId="77777777" w:rsidR="001214F7" w:rsidRPr="00A6430D" w:rsidRDefault="001214F7" w:rsidP="00866FF3">
      <w:pPr>
        <w:pStyle w:val="FootnoteText"/>
        <w:jc w:val="both"/>
      </w:pPr>
      <w:r w:rsidRPr="00A6430D">
        <w:rPr>
          <w:rStyle w:val="FootnoteReference"/>
        </w:rPr>
        <w:footnoteRef/>
      </w:r>
      <w:r w:rsidRPr="00A6430D">
        <w:t xml:space="preserve"> Pro jasnější představu si můžeme uvést příklad, kdy budou hodnoceny nabídky v rámci zadávacího řízení, kde dílčími kritérii budou lhůta k plnění s váhou 30 %</w:t>
      </w:r>
      <w:r>
        <w:t>,</w:t>
      </w:r>
      <w:r w:rsidRPr="00A6430D">
        <w:t xml:space="preserve"> nabídk</w:t>
      </w:r>
      <w:r>
        <w:t>ová cena s váhou hodnocení 50 %</w:t>
      </w:r>
      <w:r w:rsidRPr="00A6430D">
        <w:t xml:space="preserve"> a záruční doba s váhou 20 %, dohromady tedy 100 %.</w:t>
      </w:r>
    </w:p>
  </w:footnote>
  <w:footnote w:id="82">
    <w:p w14:paraId="444A001C" w14:textId="77777777" w:rsidR="001214F7" w:rsidRPr="00A6430D" w:rsidRDefault="001214F7" w:rsidP="00866FF3">
      <w:pPr>
        <w:pStyle w:val="FootnoteText"/>
        <w:jc w:val="both"/>
      </w:pPr>
      <w:r w:rsidRPr="00A6430D">
        <w:rPr>
          <w:rStyle w:val="FootnoteReference"/>
        </w:rPr>
        <w:footnoteRef/>
      </w:r>
      <w:r w:rsidRPr="00A6430D">
        <w:t xml:space="preserve"> JURČÍK, Radek. </w:t>
      </w:r>
      <w:r w:rsidRPr="00A6430D">
        <w:rPr>
          <w:i/>
        </w:rPr>
        <w:t>Zákon o veřejných zakázkách.</w:t>
      </w:r>
      <w:r w:rsidRPr="00A6430D">
        <w:t xml:space="preserve"> Komentář. 4. Vydání. Praha: C. H. Beck, 2015, s.  691 – 802.</w:t>
      </w:r>
    </w:p>
  </w:footnote>
  <w:footnote w:id="83">
    <w:p w14:paraId="65F2FFF2" w14:textId="77777777" w:rsidR="001214F7" w:rsidRPr="00A6430D" w:rsidRDefault="001214F7" w:rsidP="00866FF3">
      <w:pPr>
        <w:pStyle w:val="FootnoteText"/>
        <w:jc w:val="both"/>
      </w:pPr>
      <w:r w:rsidRPr="00A6430D">
        <w:rPr>
          <w:rStyle w:val="FootnoteReference"/>
        </w:rPr>
        <w:footnoteRef/>
      </w:r>
      <w:r w:rsidRPr="00A6430D">
        <w:t xml:space="preserve"> „Zákon tedy nepamatuje na faktickou nečinnost zadavatele po výběru nejvhodnější nabídky hodnotící komisí a tuto nečinnost ani explicitně neupravuje a nepostihuje […]. Poškozenému uchazeči tak ve většině případů nezbude nic jiného, než se pokusit závadný stav vyřešit prostřednictvím jiných právních prostředků, zejména těch z oblasti civilního práva.“ – LOJDOVÁ, Evelyna, JAREŠ, Jan. </w:t>
      </w:r>
      <w:r w:rsidRPr="00A6430D">
        <w:rPr>
          <w:i/>
        </w:rPr>
        <w:t>Důsledky nevydání rozhodnutí o výběru nejvhodnější nabídky zadavatelem dle zákona o veřejných zakázkách</w:t>
      </w:r>
      <w:r w:rsidRPr="00A6430D">
        <w:t xml:space="preserve"> [online]. epravo.cz, 25. října 2012 [cit. 30. března 2016]. Dostupné na &lt;</w:t>
      </w:r>
      <w:hyperlink r:id="rId4" w:history="1">
        <w:r w:rsidRPr="00A6430D">
          <w:rPr>
            <w:rStyle w:val="Hyperlink"/>
            <w:color w:val="auto"/>
          </w:rPr>
          <w:t>http://www.epravo.cz/top/clanky/dusledky-nevydani-rozhodnuti-o-vyberu-nejvhodnejsi-nabidky-zadavatelem-dle-zakona-o-verejnych-zakazkach-86531.html</w:t>
        </w:r>
      </w:hyperlink>
      <w:r w:rsidRPr="00A6430D">
        <w:t>&gt;.</w:t>
      </w:r>
    </w:p>
  </w:footnote>
  <w:footnote w:id="84">
    <w:p w14:paraId="3651D596" w14:textId="77777777" w:rsidR="001214F7" w:rsidRPr="00A6430D" w:rsidRDefault="001214F7" w:rsidP="00311FC4">
      <w:pPr>
        <w:pStyle w:val="FootnoteText"/>
        <w:jc w:val="both"/>
      </w:pPr>
      <w:r w:rsidRPr="00A6430D">
        <w:rPr>
          <w:rStyle w:val="FootnoteReference"/>
        </w:rPr>
        <w:footnoteRef/>
      </w:r>
      <w:r w:rsidRPr="00A6430D">
        <w:t xml:space="preserve"> JURČÍK, Radek. </w:t>
      </w:r>
      <w:r w:rsidRPr="00A6430D">
        <w:rPr>
          <w:i/>
        </w:rPr>
        <w:t>Zákon o veřejných zakázkách.</w:t>
      </w:r>
      <w:r w:rsidRPr="00A6430D">
        <w:t xml:space="preserve"> Komentář. 4. Vydání. Praha: C. H. Beck, 2015, s.  812 – 814.</w:t>
      </w:r>
    </w:p>
  </w:footnote>
  <w:footnote w:id="85">
    <w:p w14:paraId="7C7B99D4" w14:textId="77777777" w:rsidR="001214F7" w:rsidRPr="00A6430D" w:rsidRDefault="001214F7">
      <w:pPr>
        <w:pStyle w:val="FootnoteText"/>
      </w:pPr>
      <w:r w:rsidRPr="00A6430D">
        <w:rPr>
          <w:rStyle w:val="FootnoteReference"/>
        </w:rPr>
        <w:footnoteRef/>
      </w:r>
      <w:r w:rsidRPr="00A6430D">
        <w:t xml:space="preserve"> DVOŘÁK, David. Smluvní vztahy ve veřejných zakázkách a jejich změny. 1. vydání. Praha: C. H. Beck, 2014, s. 73 – 74.</w:t>
      </w:r>
    </w:p>
  </w:footnote>
  <w:footnote w:id="86">
    <w:p w14:paraId="2CC95F04" w14:textId="77777777" w:rsidR="001214F7" w:rsidRPr="00A6430D" w:rsidRDefault="001214F7" w:rsidP="00311FC4">
      <w:pPr>
        <w:pStyle w:val="FootnoteText"/>
        <w:jc w:val="both"/>
      </w:pPr>
      <w:r w:rsidRPr="00A6430D">
        <w:rPr>
          <w:rStyle w:val="FootnoteReference"/>
        </w:rPr>
        <w:footnoteRef/>
      </w:r>
      <w:r>
        <w:t xml:space="preserve"> nesmíme</w:t>
      </w:r>
      <w:r w:rsidRPr="00A6430D">
        <w:t xml:space="preserve"> ale zapomenout na nedílné následující kroky, kterým se budeme věnovat níže</w:t>
      </w:r>
    </w:p>
  </w:footnote>
  <w:footnote w:id="87">
    <w:p w14:paraId="444EDFD0" w14:textId="77777777" w:rsidR="001214F7" w:rsidRPr="00A6430D" w:rsidRDefault="001214F7" w:rsidP="00311FC4">
      <w:pPr>
        <w:pStyle w:val="FootnoteText"/>
        <w:jc w:val="both"/>
      </w:pPr>
      <w:r w:rsidRPr="00A6430D">
        <w:rPr>
          <w:rStyle w:val="FootnoteReference"/>
        </w:rPr>
        <w:footnoteRef/>
      </w:r>
      <w:r w:rsidRPr="00A6430D">
        <w:t xml:space="preserve"> nesmíme zapomenout, že uzavřením smlouvy mezi zadavatelem a vybraným uchazečem se dostáváme z režimu VZ do klasického soukromoprávního vztahu regulovaného NOZ</w:t>
      </w:r>
    </w:p>
  </w:footnote>
  <w:footnote w:id="88">
    <w:p w14:paraId="20ED13B8" w14:textId="77777777" w:rsidR="001214F7" w:rsidRPr="00A6430D" w:rsidRDefault="001214F7" w:rsidP="00311FC4">
      <w:pPr>
        <w:pStyle w:val="FootnoteText"/>
        <w:jc w:val="both"/>
      </w:pPr>
      <w:r w:rsidRPr="00A6430D">
        <w:rPr>
          <w:rStyle w:val="FootnoteReference"/>
        </w:rPr>
        <w:footnoteRef/>
      </w:r>
      <w:r w:rsidRPr="00A6430D">
        <w:t xml:space="preserve"> JURČÍK, Radek. </w:t>
      </w:r>
      <w:r w:rsidRPr="00A6430D">
        <w:rPr>
          <w:i/>
        </w:rPr>
        <w:t>Zákon o veřejných zakázkách.</w:t>
      </w:r>
      <w:r w:rsidRPr="00A6430D">
        <w:t xml:space="preserve"> Komentář. 4. Vydání. Praha: C. H. Beck, 2015, s.  816 – 819.</w:t>
      </w:r>
    </w:p>
  </w:footnote>
  <w:footnote w:id="89">
    <w:p w14:paraId="421A3590" w14:textId="77777777" w:rsidR="001214F7" w:rsidRPr="00A6430D" w:rsidRDefault="001214F7">
      <w:pPr>
        <w:pStyle w:val="FootnoteText"/>
      </w:pPr>
      <w:r w:rsidRPr="00A6430D">
        <w:rPr>
          <w:rStyle w:val="FootnoteReference"/>
        </w:rPr>
        <w:footnoteRef/>
      </w:r>
      <w:r w:rsidRPr="00A6430D">
        <w:t xml:space="preserve"> DVOŘÁK, David. Smluvní vztahy ve veřejných zakázkách a jejich změny. 1. vydání. Praha: C. H. Beck, 2014, s. 73 – 74.</w:t>
      </w:r>
    </w:p>
  </w:footnote>
  <w:footnote w:id="90">
    <w:p w14:paraId="0285A63D" w14:textId="77777777" w:rsidR="001214F7" w:rsidRPr="00A6430D" w:rsidRDefault="001214F7" w:rsidP="00311FC4">
      <w:pPr>
        <w:pStyle w:val="FootnoteText"/>
        <w:jc w:val="both"/>
      </w:pPr>
      <w:r w:rsidRPr="00A6430D">
        <w:rPr>
          <w:rStyle w:val="FootnoteReference"/>
        </w:rPr>
        <w:footnoteRef/>
      </w:r>
      <w:r w:rsidRPr="00A6430D">
        <w:t xml:space="preserve"> JURČÍK, Radek. </w:t>
      </w:r>
      <w:r w:rsidRPr="00A6430D">
        <w:rPr>
          <w:i/>
        </w:rPr>
        <w:t>Zákon o veřejných zakázkách.</w:t>
      </w:r>
      <w:r w:rsidRPr="00A6430D">
        <w:t xml:space="preserve"> Komentář. 4. Vydání. Praha: C. H. Beck, 2015, s. 837 – 838.</w:t>
      </w:r>
    </w:p>
  </w:footnote>
  <w:footnote w:id="91">
    <w:p w14:paraId="5C472C3A" w14:textId="77777777" w:rsidR="001214F7" w:rsidRPr="00A6430D" w:rsidRDefault="001214F7" w:rsidP="00311FC4">
      <w:pPr>
        <w:pStyle w:val="FootnoteText"/>
        <w:jc w:val="both"/>
      </w:pPr>
      <w:r w:rsidRPr="00A6430D">
        <w:rPr>
          <w:rStyle w:val="FootnoteReference"/>
        </w:rPr>
        <w:footnoteRef/>
      </w:r>
      <w:r w:rsidRPr="00A6430D">
        <w:t xml:space="preserve"> Tamtéž, s. 857 – 859.</w:t>
      </w:r>
    </w:p>
  </w:footnote>
  <w:footnote w:id="92">
    <w:p w14:paraId="3178A482" w14:textId="77777777" w:rsidR="001214F7" w:rsidRPr="00A6430D" w:rsidRDefault="001214F7">
      <w:pPr>
        <w:pStyle w:val="FootnoteText"/>
      </w:pPr>
      <w:r w:rsidRPr="00A6430D">
        <w:rPr>
          <w:rStyle w:val="FootnoteReference"/>
        </w:rPr>
        <w:footnoteRef/>
      </w:r>
      <w:r w:rsidRPr="00A6430D">
        <w:t xml:space="preserve"> Tamtéž, s. 360.</w:t>
      </w:r>
    </w:p>
  </w:footnote>
  <w:footnote w:id="93">
    <w:p w14:paraId="7C4BEE3B" w14:textId="77777777" w:rsidR="001214F7" w:rsidRPr="00A6430D" w:rsidRDefault="001214F7" w:rsidP="00311FC4">
      <w:pPr>
        <w:pStyle w:val="FootnoteText"/>
        <w:jc w:val="both"/>
      </w:pPr>
      <w:r w:rsidRPr="00A6430D">
        <w:rPr>
          <w:rStyle w:val="FootnoteReference"/>
        </w:rPr>
        <w:footnoteRef/>
      </w:r>
      <w:r w:rsidRPr="00A6430D">
        <w:t xml:space="preserve"> JURČÍK, Radek. </w:t>
      </w:r>
      <w:r w:rsidRPr="00A6430D">
        <w:rPr>
          <w:i/>
        </w:rPr>
        <w:t>Zákon o veřejných zakázkách.</w:t>
      </w:r>
      <w:r w:rsidRPr="00A6430D">
        <w:t xml:space="preserve"> Komentář. 4. Vydání. Praha: C. H. Beck, 2015, s. 867 – 868.</w:t>
      </w:r>
    </w:p>
  </w:footnote>
  <w:footnote w:id="94">
    <w:p w14:paraId="07FF59EE" w14:textId="77777777" w:rsidR="001214F7" w:rsidRPr="00A6430D" w:rsidRDefault="001214F7" w:rsidP="00311FC4">
      <w:pPr>
        <w:pStyle w:val="FootnoteText"/>
        <w:jc w:val="both"/>
      </w:pPr>
      <w:r w:rsidRPr="00A6430D">
        <w:rPr>
          <w:rStyle w:val="FootnoteReference"/>
        </w:rPr>
        <w:footnoteRef/>
      </w:r>
      <w:r w:rsidRPr="00A6430D">
        <w:t xml:space="preserve"> JURČÍK, Radek. </w:t>
      </w:r>
      <w:r w:rsidRPr="00A6430D">
        <w:rPr>
          <w:i/>
        </w:rPr>
        <w:t>Veřejné zakázky a koncese</w:t>
      </w:r>
      <w:r w:rsidRPr="00A6430D">
        <w:t>. 2. vydání. Praha: C. H. Beck, 2014, s. 704, 709.</w:t>
      </w:r>
    </w:p>
  </w:footnote>
  <w:footnote w:id="95">
    <w:p w14:paraId="6A29A2C0" w14:textId="77777777" w:rsidR="001214F7" w:rsidRPr="00A6430D" w:rsidRDefault="001214F7" w:rsidP="00311FC4">
      <w:pPr>
        <w:pStyle w:val="FootnoteText"/>
        <w:jc w:val="both"/>
      </w:pPr>
      <w:r w:rsidRPr="00A6430D">
        <w:rPr>
          <w:rStyle w:val="FootnoteReference"/>
        </w:rPr>
        <w:footnoteRef/>
      </w:r>
      <w:r w:rsidRPr="00A6430D">
        <w:t xml:space="preserve"> JURČÍK, Radek. </w:t>
      </w:r>
      <w:r w:rsidRPr="00A6430D">
        <w:rPr>
          <w:i/>
        </w:rPr>
        <w:t>Zákon o veřejných zakázkách.</w:t>
      </w:r>
      <w:r w:rsidRPr="00A6430D">
        <w:t xml:space="preserve"> Komentář. 4. Vydání. Praha: C. H. Beck, 2015, s. 868.</w:t>
      </w:r>
    </w:p>
  </w:footnote>
  <w:footnote w:id="96">
    <w:p w14:paraId="5A558ECB" w14:textId="77777777" w:rsidR="001214F7" w:rsidRPr="00A6430D" w:rsidRDefault="001214F7" w:rsidP="00311FC4">
      <w:pPr>
        <w:pStyle w:val="FootnoteText"/>
        <w:jc w:val="both"/>
      </w:pPr>
      <w:r w:rsidRPr="00A6430D">
        <w:rPr>
          <w:rStyle w:val="FootnoteReference"/>
        </w:rPr>
        <w:footnoteRef/>
      </w:r>
      <w:r w:rsidRPr="00A6430D">
        <w:t xml:space="preserve"> JURČÍK, Radek. </w:t>
      </w:r>
      <w:r w:rsidRPr="00A6430D">
        <w:rPr>
          <w:i/>
        </w:rPr>
        <w:t>Veřejné zakázky a koncese</w:t>
      </w:r>
      <w:r w:rsidRPr="00A6430D">
        <w:t>. 2. vydání. Praha: C. H. Beck, 2014, s. 707.</w:t>
      </w:r>
    </w:p>
  </w:footnote>
  <w:footnote w:id="97">
    <w:p w14:paraId="1F53E2EE" w14:textId="77777777" w:rsidR="001214F7" w:rsidRPr="00A6430D" w:rsidRDefault="001214F7" w:rsidP="00311FC4">
      <w:pPr>
        <w:pStyle w:val="FootnoteText"/>
        <w:jc w:val="both"/>
      </w:pPr>
      <w:r w:rsidRPr="00A6430D">
        <w:rPr>
          <w:rStyle w:val="FootnoteReference"/>
        </w:rPr>
        <w:footnoteRef/>
      </w:r>
      <w:r w:rsidRPr="00A6430D">
        <w:t xml:space="preserve"> JURČÍK, Radek. </w:t>
      </w:r>
      <w:r w:rsidRPr="00A6430D">
        <w:rPr>
          <w:i/>
        </w:rPr>
        <w:t>Zákon o veřejných zakázkách.</w:t>
      </w:r>
      <w:r w:rsidRPr="00A6430D">
        <w:t xml:space="preserve"> Komentář. 4. Vydání. Praha: C. H. Beck, 2015, s. 366.</w:t>
      </w:r>
    </w:p>
  </w:footnote>
  <w:footnote w:id="98">
    <w:p w14:paraId="70358E7D" w14:textId="77777777" w:rsidR="001214F7" w:rsidRPr="00A6430D" w:rsidRDefault="001214F7" w:rsidP="00311FC4">
      <w:pPr>
        <w:pStyle w:val="FootnoteText"/>
        <w:jc w:val="both"/>
      </w:pPr>
      <w:r w:rsidRPr="00A6430D">
        <w:rPr>
          <w:rStyle w:val="FootnoteReference"/>
        </w:rPr>
        <w:footnoteRef/>
      </w:r>
      <w:r w:rsidRPr="00A6430D">
        <w:t xml:space="preserve"> Tamtéž.</w:t>
      </w:r>
    </w:p>
  </w:footnote>
  <w:footnote w:id="99">
    <w:p w14:paraId="51A83CEE" w14:textId="77777777" w:rsidR="001214F7" w:rsidRPr="00A6430D" w:rsidRDefault="001214F7" w:rsidP="00311FC4">
      <w:pPr>
        <w:pStyle w:val="FootnoteText"/>
        <w:jc w:val="both"/>
      </w:pPr>
      <w:r w:rsidRPr="00A6430D">
        <w:rPr>
          <w:rStyle w:val="FootnoteReference"/>
        </w:rPr>
        <w:footnoteRef/>
      </w:r>
      <w:r w:rsidRPr="00A6430D">
        <w:t xml:space="preserve"> JURČÍK, Radek. </w:t>
      </w:r>
      <w:r w:rsidRPr="00A6430D">
        <w:rPr>
          <w:i/>
        </w:rPr>
        <w:t>Veřejné zakázky a koncese</w:t>
      </w:r>
      <w:r w:rsidRPr="00A6430D">
        <w:t>. 2. vydání. Praha: C. H. Beck, 2014, s. 711.</w:t>
      </w:r>
    </w:p>
  </w:footnote>
  <w:footnote w:id="100">
    <w:p w14:paraId="3E36697A" w14:textId="77777777" w:rsidR="001214F7" w:rsidRPr="00A6430D" w:rsidRDefault="001214F7" w:rsidP="00311FC4">
      <w:pPr>
        <w:pStyle w:val="FootnoteText"/>
        <w:jc w:val="both"/>
      </w:pPr>
      <w:r w:rsidRPr="00A6430D">
        <w:rPr>
          <w:rStyle w:val="FootnoteReference"/>
        </w:rPr>
        <w:footnoteRef/>
      </w:r>
      <w:r w:rsidRPr="00A6430D">
        <w:t xml:space="preserve"> JURČÍK, Radek. </w:t>
      </w:r>
      <w:r w:rsidRPr="00A6430D">
        <w:rPr>
          <w:i/>
        </w:rPr>
        <w:t>Zákon o veřejných zakázkách.</w:t>
      </w:r>
      <w:r w:rsidRPr="00A6430D">
        <w:t xml:space="preserve"> Komentář. 4. Vydání. Praha: C. H. Beck, 2015, s. 631 – 633. </w:t>
      </w:r>
    </w:p>
  </w:footnote>
  <w:footnote w:id="101">
    <w:p w14:paraId="48794031" w14:textId="77777777" w:rsidR="001214F7" w:rsidRPr="00A6430D" w:rsidRDefault="001214F7" w:rsidP="00311FC4">
      <w:pPr>
        <w:pStyle w:val="FootnoteText"/>
        <w:jc w:val="both"/>
      </w:pPr>
      <w:r w:rsidRPr="00A6430D">
        <w:rPr>
          <w:rStyle w:val="FootnoteReference"/>
        </w:rPr>
        <w:footnoteRef/>
      </w:r>
      <w:r w:rsidRPr="00A6430D">
        <w:t xml:space="preserve"> Tamtéž, s. 651, 652.</w:t>
      </w:r>
    </w:p>
  </w:footnote>
  <w:footnote w:id="102">
    <w:p w14:paraId="6EA06D97" w14:textId="77777777" w:rsidR="001214F7" w:rsidRPr="00A6430D" w:rsidRDefault="001214F7" w:rsidP="00311FC4">
      <w:pPr>
        <w:pStyle w:val="FootnoteText"/>
        <w:jc w:val="both"/>
      </w:pPr>
      <w:r w:rsidRPr="00A6430D">
        <w:rPr>
          <w:rStyle w:val="FootnoteReference"/>
        </w:rPr>
        <w:footnoteRef/>
      </w:r>
      <w:r w:rsidRPr="00A6430D">
        <w:t xml:space="preserve"> JURČÍK, Radek. </w:t>
      </w:r>
      <w:r w:rsidRPr="00A6430D">
        <w:rPr>
          <w:i/>
        </w:rPr>
        <w:t>Veřejné zakázky a koncese</w:t>
      </w:r>
      <w:r w:rsidRPr="00A6430D">
        <w:t>. 2. vydání. Praha: C. H. Beck, 2014, s. 711.</w:t>
      </w:r>
    </w:p>
  </w:footnote>
  <w:footnote w:id="103">
    <w:p w14:paraId="1B99393C" w14:textId="77777777" w:rsidR="001214F7" w:rsidRPr="00A6430D" w:rsidRDefault="001214F7" w:rsidP="00311FC4">
      <w:pPr>
        <w:pStyle w:val="FootnoteText"/>
        <w:jc w:val="both"/>
      </w:pPr>
      <w:r w:rsidRPr="00A6430D">
        <w:rPr>
          <w:rStyle w:val="FootnoteReference"/>
        </w:rPr>
        <w:footnoteRef/>
      </w:r>
      <w:r w:rsidRPr="00A6430D">
        <w:t xml:space="preserve"> Tamtéž.</w:t>
      </w:r>
    </w:p>
  </w:footnote>
  <w:footnote w:id="104">
    <w:p w14:paraId="6035848B" w14:textId="77777777" w:rsidR="001214F7" w:rsidRPr="00A6430D" w:rsidRDefault="001214F7" w:rsidP="00311FC4">
      <w:pPr>
        <w:pStyle w:val="FootnoteText"/>
        <w:jc w:val="both"/>
      </w:pPr>
      <w:r w:rsidRPr="00A6430D">
        <w:rPr>
          <w:rStyle w:val="FootnoteReference"/>
        </w:rPr>
        <w:footnoteRef/>
      </w:r>
      <w:r w:rsidRPr="00A6430D">
        <w:t xml:space="preserve"> JURČÍK, Radek. </w:t>
      </w:r>
      <w:r w:rsidRPr="00A6430D">
        <w:rPr>
          <w:i/>
        </w:rPr>
        <w:t>Zákon o veřejných zakázkách.</w:t>
      </w:r>
      <w:r w:rsidRPr="00A6430D">
        <w:t xml:space="preserve"> Komentář. 4. Vydání. Praha: C. H. Beck, 2015, s. 367.</w:t>
      </w:r>
    </w:p>
  </w:footnote>
  <w:footnote w:id="105">
    <w:p w14:paraId="002AA8DC" w14:textId="77777777" w:rsidR="001214F7" w:rsidRPr="00A6430D" w:rsidRDefault="001214F7" w:rsidP="00311FC4">
      <w:pPr>
        <w:pStyle w:val="FootnoteText"/>
        <w:jc w:val="both"/>
      </w:pPr>
      <w:r w:rsidRPr="00A6430D">
        <w:rPr>
          <w:rStyle w:val="FootnoteReference"/>
        </w:rPr>
        <w:footnoteRef/>
      </w:r>
      <w:r w:rsidRPr="00A6430D">
        <w:t xml:space="preserve"> JURČÍK, Radek. </w:t>
      </w:r>
      <w:r w:rsidRPr="00A6430D">
        <w:rPr>
          <w:i/>
        </w:rPr>
        <w:t>Veřejné zakázky a koncese</w:t>
      </w:r>
      <w:r w:rsidRPr="00A6430D">
        <w:t>. 2. vydání. Praha: C. H. Beck, 2014, s. 707.</w:t>
      </w:r>
    </w:p>
  </w:footnote>
  <w:footnote w:id="106">
    <w:p w14:paraId="7F9CA3A9" w14:textId="77777777" w:rsidR="001214F7" w:rsidRPr="00A6430D" w:rsidRDefault="001214F7" w:rsidP="00311FC4">
      <w:pPr>
        <w:pStyle w:val="FootnoteText"/>
        <w:jc w:val="both"/>
      </w:pPr>
      <w:r w:rsidRPr="00A6430D">
        <w:rPr>
          <w:rStyle w:val="FootnoteReference"/>
        </w:rPr>
        <w:footnoteRef/>
      </w:r>
      <w:r w:rsidRPr="00A6430D">
        <w:t xml:space="preserve"> Tamtéž.</w:t>
      </w:r>
    </w:p>
  </w:footnote>
  <w:footnote w:id="107">
    <w:p w14:paraId="373F7CE3" w14:textId="77777777" w:rsidR="001214F7" w:rsidRPr="00A6430D" w:rsidRDefault="001214F7" w:rsidP="00311FC4">
      <w:pPr>
        <w:pStyle w:val="FootnoteText"/>
        <w:jc w:val="both"/>
      </w:pPr>
      <w:r w:rsidRPr="00A6430D">
        <w:rPr>
          <w:rStyle w:val="FootnoteReference"/>
        </w:rPr>
        <w:footnoteRef/>
      </w:r>
      <w:r w:rsidRPr="00A6430D">
        <w:t xml:space="preserve"> Tamtéž, s. 711.</w:t>
      </w:r>
    </w:p>
  </w:footnote>
  <w:footnote w:id="108">
    <w:p w14:paraId="19A6E74F" w14:textId="77777777" w:rsidR="001214F7" w:rsidRPr="00A6430D" w:rsidRDefault="001214F7" w:rsidP="00311FC4">
      <w:pPr>
        <w:pStyle w:val="FootnoteText"/>
        <w:jc w:val="both"/>
      </w:pPr>
      <w:r w:rsidRPr="00A6430D">
        <w:rPr>
          <w:rStyle w:val="FootnoteReference"/>
        </w:rPr>
        <w:footnoteRef/>
      </w:r>
      <w:r w:rsidRPr="00A6430D">
        <w:t xml:space="preserve"> Tamtéž.</w:t>
      </w:r>
    </w:p>
  </w:footnote>
  <w:footnote w:id="109">
    <w:p w14:paraId="3304892F" w14:textId="77777777" w:rsidR="001214F7" w:rsidRPr="00A6430D" w:rsidRDefault="001214F7">
      <w:pPr>
        <w:pStyle w:val="FootnoteText"/>
      </w:pPr>
      <w:r w:rsidRPr="00A6430D">
        <w:rPr>
          <w:rStyle w:val="FootnoteReference"/>
        </w:rPr>
        <w:footnoteRef/>
      </w:r>
      <w:r w:rsidRPr="00A6430D">
        <w:t xml:space="preserve"> JURČÍK, Radek. </w:t>
      </w:r>
      <w:r w:rsidRPr="00A6430D">
        <w:rPr>
          <w:i/>
        </w:rPr>
        <w:t>Zákon o veřejných zakázkách.</w:t>
      </w:r>
      <w:r w:rsidRPr="00A6430D">
        <w:t xml:space="preserve"> Komentář. 4. Vydání. Praha: C. H. Beck, 2015, s. 365.</w:t>
      </w:r>
    </w:p>
  </w:footnote>
  <w:footnote w:id="110">
    <w:p w14:paraId="500F8E7D" w14:textId="77777777" w:rsidR="001214F7" w:rsidRPr="00A6430D" w:rsidRDefault="001214F7" w:rsidP="00311FC4">
      <w:pPr>
        <w:pStyle w:val="FootnoteText"/>
        <w:jc w:val="both"/>
      </w:pPr>
      <w:r w:rsidRPr="00A6430D">
        <w:rPr>
          <w:rStyle w:val="FootnoteReference"/>
        </w:rPr>
        <w:footnoteRef/>
      </w:r>
      <w:r w:rsidRPr="00A6430D">
        <w:t xml:space="preserve"> JURČÍK, Radek. </w:t>
      </w:r>
      <w:r w:rsidRPr="00A6430D">
        <w:rPr>
          <w:i/>
        </w:rPr>
        <w:t>Veřejné zakázky a koncese</w:t>
      </w:r>
      <w:r w:rsidRPr="00A6430D">
        <w:t>. 2. vydání. Praha: C. H. Beck, 2014, s. 758.</w:t>
      </w:r>
    </w:p>
  </w:footnote>
  <w:footnote w:id="111">
    <w:p w14:paraId="7FDA3702" w14:textId="77777777" w:rsidR="001214F7" w:rsidRPr="00A6430D" w:rsidRDefault="001214F7" w:rsidP="00311FC4">
      <w:pPr>
        <w:pStyle w:val="FootnoteText"/>
        <w:jc w:val="both"/>
      </w:pPr>
      <w:r w:rsidRPr="00A6430D">
        <w:rPr>
          <w:rStyle w:val="FootnoteReference"/>
        </w:rPr>
        <w:footnoteRef/>
      </w:r>
      <w:r w:rsidRPr="00A6430D">
        <w:t xml:space="preserve"> Sektorový zadavatel v obdobných případech postupuje dle § 33 zákona v rámci jednacího řízení bez uveřejnění.</w:t>
      </w:r>
    </w:p>
  </w:footnote>
  <w:footnote w:id="112">
    <w:p w14:paraId="717D539D" w14:textId="77777777" w:rsidR="001214F7" w:rsidRPr="00A6430D" w:rsidRDefault="001214F7" w:rsidP="00311FC4">
      <w:pPr>
        <w:pStyle w:val="FootnoteText"/>
        <w:jc w:val="both"/>
      </w:pPr>
      <w:r w:rsidRPr="00A6430D">
        <w:rPr>
          <w:rStyle w:val="FootnoteReference"/>
        </w:rPr>
        <w:footnoteRef/>
      </w:r>
      <w:r w:rsidRPr="00A6430D">
        <w:t xml:space="preserve"> JURČÍK, Radek. </w:t>
      </w:r>
      <w:r w:rsidRPr="00A6430D">
        <w:rPr>
          <w:i/>
        </w:rPr>
        <w:t>Zákon o veřejných zakázkách.</w:t>
      </w:r>
      <w:r w:rsidRPr="00A6430D">
        <w:t xml:space="preserve"> Komentář. 4. Vydání. Praha: C. H. Beck, 2015, s. 338 – 339.</w:t>
      </w:r>
    </w:p>
  </w:footnote>
  <w:footnote w:id="113">
    <w:p w14:paraId="6FFDB308" w14:textId="77777777" w:rsidR="001214F7" w:rsidRPr="00A6430D" w:rsidRDefault="001214F7" w:rsidP="00311FC4">
      <w:pPr>
        <w:pStyle w:val="FootnoteText"/>
        <w:jc w:val="both"/>
      </w:pPr>
      <w:r w:rsidRPr="00A6430D">
        <w:rPr>
          <w:rStyle w:val="FootnoteReference"/>
        </w:rPr>
        <w:footnoteRef/>
      </w:r>
      <w:r w:rsidRPr="00A6430D">
        <w:t xml:space="preserve"> Především jde o malé obce s omezeným aparátem pro zadávání VZ, vzhledem k jeho početnosti.</w:t>
      </w:r>
    </w:p>
  </w:footnote>
  <w:footnote w:id="114">
    <w:p w14:paraId="72CA23A1" w14:textId="77777777" w:rsidR="001214F7" w:rsidRPr="00A6430D" w:rsidRDefault="001214F7" w:rsidP="00311FC4">
      <w:pPr>
        <w:pStyle w:val="FootnoteText"/>
        <w:jc w:val="both"/>
      </w:pPr>
      <w:r w:rsidRPr="00A6430D">
        <w:rPr>
          <w:rStyle w:val="FootnoteReference"/>
        </w:rPr>
        <w:footnoteRef/>
      </w:r>
      <w:r w:rsidRPr="00A6430D">
        <w:t xml:space="preserve"> JURČÍK, Radek. </w:t>
      </w:r>
      <w:r w:rsidRPr="00A6430D">
        <w:rPr>
          <w:i/>
        </w:rPr>
        <w:t>Veřejné zakázky a koncese</w:t>
      </w:r>
      <w:r w:rsidRPr="00A6430D">
        <w:t>. 2. vydání. Praha: C. H. Beck, 2014, s. 766 – 767.</w:t>
      </w:r>
    </w:p>
  </w:footnote>
  <w:footnote w:id="115">
    <w:p w14:paraId="4FC5BCB7" w14:textId="77777777" w:rsidR="001214F7" w:rsidRPr="00A6430D" w:rsidRDefault="001214F7" w:rsidP="00311FC4">
      <w:pPr>
        <w:pStyle w:val="FootnoteText"/>
        <w:jc w:val="both"/>
      </w:pPr>
      <w:r w:rsidRPr="00A6430D">
        <w:rPr>
          <w:rStyle w:val="FootnoteReference"/>
        </w:rPr>
        <w:footnoteRef/>
      </w:r>
      <w:r w:rsidRPr="00A6430D">
        <w:t xml:space="preserve"> Tamtéž, 2014, s. 767.</w:t>
      </w:r>
    </w:p>
  </w:footnote>
  <w:footnote w:id="116">
    <w:p w14:paraId="6FE5A19A" w14:textId="77777777" w:rsidR="001214F7" w:rsidRPr="00A6430D" w:rsidRDefault="001214F7" w:rsidP="00311FC4">
      <w:pPr>
        <w:pStyle w:val="FootnoteText"/>
        <w:jc w:val="both"/>
      </w:pPr>
      <w:r w:rsidRPr="00A6430D">
        <w:rPr>
          <w:rStyle w:val="FootnoteReference"/>
        </w:rPr>
        <w:footnoteRef/>
      </w:r>
      <w:r w:rsidRPr="00A6430D">
        <w:t xml:space="preserve"> Tamtéž, s. 767 – 768.</w:t>
      </w:r>
    </w:p>
  </w:footnote>
  <w:footnote w:id="117">
    <w:p w14:paraId="57758B14" w14:textId="77777777" w:rsidR="001214F7" w:rsidRPr="00A6430D" w:rsidRDefault="001214F7" w:rsidP="00311FC4">
      <w:pPr>
        <w:pStyle w:val="FootnoteText"/>
        <w:jc w:val="both"/>
      </w:pPr>
      <w:r w:rsidRPr="00A6430D">
        <w:rPr>
          <w:rStyle w:val="FootnoteReference"/>
        </w:rPr>
        <w:footnoteRef/>
      </w:r>
      <w:r w:rsidRPr="00A6430D">
        <w:t xml:space="preserve"> Tamtéž, s. 768.</w:t>
      </w:r>
    </w:p>
  </w:footnote>
  <w:footnote w:id="118">
    <w:p w14:paraId="53655B1A" w14:textId="77777777" w:rsidR="001214F7" w:rsidRPr="00A6430D" w:rsidRDefault="001214F7" w:rsidP="00311FC4">
      <w:pPr>
        <w:pStyle w:val="FootnoteText"/>
        <w:jc w:val="both"/>
      </w:pPr>
      <w:r w:rsidRPr="00A6430D">
        <w:rPr>
          <w:rStyle w:val="FootnoteReference"/>
        </w:rPr>
        <w:footnoteRef/>
      </w:r>
      <w:r w:rsidRPr="00A6430D">
        <w:t xml:space="preserve"> JURČÍK, Radek. </w:t>
      </w:r>
      <w:r w:rsidRPr="00A6430D">
        <w:rPr>
          <w:i/>
        </w:rPr>
        <w:t>Zákon o veřejných zakázkách.</w:t>
      </w:r>
      <w:r w:rsidRPr="00A6430D">
        <w:t xml:space="preserve"> Komentář. 4. Vydání. Praha: C. H. Beck, 2015, s. 398.</w:t>
      </w:r>
    </w:p>
  </w:footnote>
  <w:footnote w:id="119">
    <w:p w14:paraId="7264D04E" w14:textId="77777777" w:rsidR="001214F7" w:rsidRPr="00A6430D" w:rsidRDefault="001214F7" w:rsidP="00311FC4">
      <w:pPr>
        <w:pStyle w:val="FootnoteText"/>
        <w:jc w:val="both"/>
      </w:pPr>
      <w:r w:rsidRPr="00A6430D">
        <w:rPr>
          <w:rStyle w:val="FootnoteReference"/>
        </w:rPr>
        <w:footnoteRef/>
      </w:r>
      <w:r w:rsidRPr="00A6430D">
        <w:t xml:space="preserve"> Tamtéž, s. 399 – 400.</w:t>
      </w:r>
    </w:p>
  </w:footnote>
  <w:footnote w:id="120">
    <w:p w14:paraId="209834B4" w14:textId="77777777" w:rsidR="001214F7" w:rsidRPr="00A6430D" w:rsidRDefault="001214F7" w:rsidP="00311FC4">
      <w:pPr>
        <w:pStyle w:val="FootnoteText"/>
        <w:jc w:val="both"/>
      </w:pPr>
      <w:r w:rsidRPr="00A6430D">
        <w:rPr>
          <w:rStyle w:val="FootnoteReference"/>
        </w:rPr>
        <w:footnoteRef/>
      </w:r>
      <w:r w:rsidRPr="00A6430D">
        <w:t xml:space="preserve"> JURČÍK, Radek. </w:t>
      </w:r>
      <w:r w:rsidRPr="00A6430D">
        <w:rPr>
          <w:i/>
        </w:rPr>
        <w:t>Veřejné zakázky a koncese</w:t>
      </w:r>
      <w:r w:rsidRPr="00A6430D">
        <w:t>. 2. vydání. Praha: C. H. Beck, 2014, s. 762 – 763.</w:t>
      </w:r>
    </w:p>
  </w:footnote>
  <w:footnote w:id="121">
    <w:p w14:paraId="0A2A9451" w14:textId="77777777" w:rsidR="001214F7" w:rsidRPr="00A6430D" w:rsidRDefault="001214F7" w:rsidP="00311FC4">
      <w:pPr>
        <w:pStyle w:val="FootnoteText"/>
        <w:jc w:val="both"/>
      </w:pPr>
      <w:r w:rsidRPr="00A6430D">
        <w:rPr>
          <w:rStyle w:val="FootnoteReference"/>
        </w:rPr>
        <w:footnoteRef/>
      </w:r>
      <w:r w:rsidRPr="00A6430D">
        <w:t xml:space="preserve"> Tamtéž, s. 759.</w:t>
      </w:r>
    </w:p>
  </w:footnote>
  <w:footnote w:id="122">
    <w:p w14:paraId="1E88A060" w14:textId="77777777" w:rsidR="001214F7" w:rsidRPr="00A6430D" w:rsidRDefault="001214F7" w:rsidP="00311FC4">
      <w:pPr>
        <w:pStyle w:val="FootnoteText"/>
        <w:jc w:val="both"/>
      </w:pPr>
      <w:r w:rsidRPr="00A6430D">
        <w:rPr>
          <w:rStyle w:val="FootnoteReference"/>
        </w:rPr>
        <w:footnoteRef/>
      </w:r>
      <w:r w:rsidRPr="00A6430D">
        <w:t xml:space="preserve"> JURČÍK, Radek. </w:t>
      </w:r>
      <w:r w:rsidRPr="00A6430D">
        <w:rPr>
          <w:i/>
        </w:rPr>
        <w:t>Zákon o veřejných zakázkách.</w:t>
      </w:r>
      <w:r w:rsidRPr="00A6430D">
        <w:t xml:space="preserve"> Komentář. 4. Vydání. Praha: C. H. Beck, 2015, s. 398.</w:t>
      </w:r>
    </w:p>
  </w:footnote>
  <w:footnote w:id="123">
    <w:p w14:paraId="7A7D3825" w14:textId="77777777" w:rsidR="001214F7" w:rsidRPr="00A6430D" w:rsidRDefault="001214F7" w:rsidP="00311FC4">
      <w:pPr>
        <w:pStyle w:val="FootnoteText"/>
        <w:jc w:val="both"/>
      </w:pPr>
      <w:r w:rsidRPr="00A6430D">
        <w:rPr>
          <w:rStyle w:val="FootnoteReference"/>
        </w:rPr>
        <w:footnoteRef/>
      </w:r>
      <w:r w:rsidRPr="00A6430D">
        <w:t xml:space="preserve"> JURČÍK, Radek. </w:t>
      </w:r>
      <w:r w:rsidRPr="00A6430D">
        <w:rPr>
          <w:i/>
        </w:rPr>
        <w:t>Veřejné zakázky a koncese</w:t>
      </w:r>
      <w:r w:rsidRPr="00A6430D">
        <w:t>. 2. vydání. Praha: C. H. Beck, 2014, s. 761, 759.</w:t>
      </w:r>
    </w:p>
  </w:footnote>
  <w:footnote w:id="124">
    <w:p w14:paraId="30DFE944" w14:textId="77777777" w:rsidR="001214F7" w:rsidRPr="00A6430D" w:rsidRDefault="001214F7" w:rsidP="00311FC4">
      <w:pPr>
        <w:pStyle w:val="FootnoteText"/>
        <w:jc w:val="both"/>
      </w:pPr>
      <w:r w:rsidRPr="00A6430D">
        <w:rPr>
          <w:rStyle w:val="FootnoteReference"/>
        </w:rPr>
        <w:footnoteRef/>
      </w:r>
      <w:r w:rsidRPr="00A6430D">
        <w:t xml:space="preserve"> Tamtéž, s. 759, 762.</w:t>
      </w:r>
    </w:p>
  </w:footnote>
  <w:footnote w:id="125">
    <w:p w14:paraId="19049911" w14:textId="77777777" w:rsidR="001214F7" w:rsidRPr="00A6430D" w:rsidRDefault="001214F7" w:rsidP="00311FC4">
      <w:pPr>
        <w:pStyle w:val="FootnoteText"/>
        <w:jc w:val="both"/>
      </w:pPr>
      <w:r w:rsidRPr="00A6430D">
        <w:rPr>
          <w:rStyle w:val="FootnoteReference"/>
        </w:rPr>
        <w:footnoteRef/>
      </w:r>
      <w:r w:rsidRPr="00A6430D">
        <w:t xml:space="preserve"> „Více řešení“ musíme chápat jako možnost pro dodavatele následně podat nabídku obsahující více variant nabídky dle § 70 zákona.</w:t>
      </w:r>
    </w:p>
  </w:footnote>
  <w:footnote w:id="126">
    <w:p w14:paraId="6070DFF7" w14:textId="77777777" w:rsidR="001214F7" w:rsidRPr="00A6430D" w:rsidRDefault="001214F7" w:rsidP="00311FC4">
      <w:pPr>
        <w:pStyle w:val="FootnoteText"/>
        <w:jc w:val="both"/>
      </w:pPr>
      <w:r w:rsidRPr="00A6430D">
        <w:rPr>
          <w:rStyle w:val="FootnoteReference"/>
        </w:rPr>
        <w:footnoteRef/>
      </w:r>
      <w:r w:rsidRPr="00A6430D">
        <w:t xml:space="preserve"> JURČÍK, Radek. </w:t>
      </w:r>
      <w:r w:rsidRPr="00A6430D">
        <w:rPr>
          <w:i/>
        </w:rPr>
        <w:t>Veřejné zakázky a koncese</w:t>
      </w:r>
      <w:r w:rsidRPr="00A6430D">
        <w:t>. 2. vydání. Praha: C. H. Beck, 2014, s. 760.</w:t>
      </w:r>
    </w:p>
  </w:footnote>
  <w:footnote w:id="127">
    <w:p w14:paraId="654CE8CF" w14:textId="77777777" w:rsidR="001214F7" w:rsidRPr="00A6430D" w:rsidRDefault="001214F7" w:rsidP="00311FC4">
      <w:pPr>
        <w:pStyle w:val="FootnoteText"/>
        <w:jc w:val="both"/>
      </w:pPr>
      <w:r w:rsidRPr="00A6430D">
        <w:rPr>
          <w:rStyle w:val="FootnoteReference"/>
        </w:rPr>
        <w:footnoteRef/>
      </w:r>
      <w:r w:rsidRPr="00A6430D">
        <w:t xml:space="preserve"> Tamtéž, s. 760, 761, 763 – 765.</w:t>
      </w:r>
    </w:p>
  </w:footnote>
  <w:footnote w:id="128">
    <w:p w14:paraId="528C447C" w14:textId="77777777" w:rsidR="001214F7" w:rsidRPr="00A6430D" w:rsidRDefault="001214F7" w:rsidP="00311FC4">
      <w:pPr>
        <w:pStyle w:val="FootnoteText"/>
        <w:jc w:val="both"/>
      </w:pPr>
      <w:r w:rsidRPr="00A6430D">
        <w:rPr>
          <w:rStyle w:val="FootnoteReference"/>
        </w:rPr>
        <w:footnoteRef/>
      </w:r>
      <w:r w:rsidRPr="00A6430D">
        <w:t xml:space="preserve"> JURČÍK, Radek. </w:t>
      </w:r>
      <w:r w:rsidRPr="00A6430D">
        <w:rPr>
          <w:i/>
        </w:rPr>
        <w:t>Zákon o veřejných zakázkách.</w:t>
      </w:r>
      <w:r w:rsidRPr="00A6430D">
        <w:t xml:space="preserve"> Komentář. 4. Vydání. Praha: C. H. Beck, 2015, s. 406.</w:t>
      </w:r>
    </w:p>
  </w:footnote>
  <w:footnote w:id="129">
    <w:p w14:paraId="6A2C297A" w14:textId="77777777" w:rsidR="001214F7" w:rsidRPr="00A6430D" w:rsidRDefault="001214F7" w:rsidP="00311FC4">
      <w:pPr>
        <w:pStyle w:val="FootnoteText"/>
        <w:jc w:val="both"/>
      </w:pPr>
      <w:r w:rsidRPr="00A6430D">
        <w:rPr>
          <w:rStyle w:val="FootnoteReference"/>
        </w:rPr>
        <w:footnoteRef/>
      </w:r>
      <w:r w:rsidRPr="00A6430D">
        <w:t xml:space="preserve"> JURČÍK, Radek. </w:t>
      </w:r>
      <w:r w:rsidRPr="00A6430D">
        <w:rPr>
          <w:i/>
        </w:rPr>
        <w:t>Veřejné zakázky a koncese</w:t>
      </w:r>
      <w:r w:rsidRPr="00A6430D">
        <w:t>. 2. vydání. Praha: C. H. Beck, 2014, s. 769.</w:t>
      </w:r>
    </w:p>
  </w:footnote>
  <w:footnote w:id="130">
    <w:p w14:paraId="3B4024C2" w14:textId="77777777" w:rsidR="001214F7" w:rsidRPr="00A6430D" w:rsidRDefault="001214F7" w:rsidP="00311FC4">
      <w:pPr>
        <w:pStyle w:val="FootnoteText"/>
        <w:jc w:val="both"/>
      </w:pPr>
      <w:r w:rsidRPr="00A6430D">
        <w:rPr>
          <w:rStyle w:val="FootnoteReference"/>
        </w:rPr>
        <w:footnoteRef/>
      </w:r>
      <w:r w:rsidRPr="00A6430D">
        <w:t xml:space="preserve"> Tamtéž.</w:t>
      </w:r>
    </w:p>
  </w:footnote>
  <w:footnote w:id="131">
    <w:p w14:paraId="26CEEE7C" w14:textId="77777777" w:rsidR="001214F7" w:rsidRPr="00A6430D" w:rsidRDefault="001214F7" w:rsidP="00311FC4">
      <w:pPr>
        <w:pStyle w:val="FootnoteText"/>
        <w:jc w:val="both"/>
      </w:pPr>
      <w:r w:rsidRPr="00A6430D">
        <w:rPr>
          <w:rStyle w:val="FootnoteReference"/>
        </w:rPr>
        <w:footnoteRef/>
      </w:r>
      <w:r w:rsidRPr="00A6430D">
        <w:t xml:space="preserve"> Včetně dotovaného zadavatele.</w:t>
      </w:r>
    </w:p>
  </w:footnote>
  <w:footnote w:id="132">
    <w:p w14:paraId="6B9FD3E0" w14:textId="77777777" w:rsidR="001214F7" w:rsidRPr="00A6430D" w:rsidRDefault="001214F7" w:rsidP="00311FC4">
      <w:pPr>
        <w:pStyle w:val="FootnoteText"/>
        <w:jc w:val="both"/>
      </w:pPr>
      <w:r w:rsidRPr="00A6430D">
        <w:rPr>
          <w:rStyle w:val="FootnoteReference"/>
        </w:rPr>
        <w:footnoteRef/>
      </w:r>
      <w:r w:rsidRPr="00A6430D">
        <w:t xml:space="preserve"> JURČÍK, Radek. </w:t>
      </w:r>
      <w:r w:rsidRPr="00A6430D">
        <w:rPr>
          <w:i/>
        </w:rPr>
        <w:t>Zákon o veřejných zakázkách.</w:t>
      </w:r>
      <w:r w:rsidRPr="00A6430D">
        <w:t xml:space="preserve"> Komentář. 4. Vydání. Praha: C. H. Beck, 2015, s. 349.</w:t>
      </w:r>
    </w:p>
  </w:footnote>
  <w:footnote w:id="133">
    <w:p w14:paraId="6D90277E" w14:textId="77777777" w:rsidR="001214F7" w:rsidRPr="00A6430D" w:rsidRDefault="001214F7" w:rsidP="00311FC4">
      <w:pPr>
        <w:pStyle w:val="FootnoteText"/>
        <w:jc w:val="both"/>
      </w:pPr>
      <w:r w:rsidRPr="00A6430D">
        <w:rPr>
          <w:rStyle w:val="FootnoteReference"/>
        </w:rPr>
        <w:footnoteRef/>
      </w:r>
      <w:r w:rsidRPr="00A6430D">
        <w:t xml:space="preserve"> JURČÍK, Radek. </w:t>
      </w:r>
      <w:r w:rsidRPr="00A6430D">
        <w:rPr>
          <w:i/>
        </w:rPr>
        <w:t>Veřejné zakázky a koncese</w:t>
      </w:r>
      <w:r w:rsidRPr="00A6430D">
        <w:t>. 2. vydání. Praha: C. H. Beck, 2014, s. 770.</w:t>
      </w:r>
    </w:p>
  </w:footnote>
  <w:footnote w:id="134">
    <w:p w14:paraId="4E47F500" w14:textId="77777777" w:rsidR="001214F7" w:rsidRPr="00A6430D" w:rsidRDefault="001214F7" w:rsidP="00311FC4">
      <w:pPr>
        <w:pStyle w:val="FootnoteText"/>
        <w:jc w:val="both"/>
      </w:pPr>
      <w:r w:rsidRPr="00A6430D">
        <w:rPr>
          <w:rStyle w:val="FootnoteReference"/>
        </w:rPr>
        <w:footnoteRef/>
      </w:r>
      <w:r w:rsidRPr="00A6430D">
        <w:t xml:space="preserve"> Rozhodnutí předsedy Úřadu pro ochranu hospodářské soutěže ze dne 12. dubna 2013, č. j.: ÚOHS-R271/2012/VZ-6505/2013/310/MMl, bod 12</w:t>
      </w:r>
    </w:p>
  </w:footnote>
  <w:footnote w:id="135">
    <w:p w14:paraId="398ECDF4" w14:textId="77777777" w:rsidR="001214F7" w:rsidRPr="00A6430D" w:rsidRDefault="001214F7" w:rsidP="00311FC4">
      <w:pPr>
        <w:pStyle w:val="FootnoteText"/>
        <w:jc w:val="both"/>
      </w:pPr>
      <w:r w:rsidRPr="00A6430D">
        <w:rPr>
          <w:rStyle w:val="FootnoteReference"/>
        </w:rPr>
        <w:footnoteRef/>
      </w:r>
      <w:r w:rsidRPr="00A6430D">
        <w:t xml:space="preserve"> Toto čestné prohlášení však musí obsahovat více než jen strohé konstatování, že uchazeč je kvalifikován pro</w:t>
      </w:r>
      <w:r>
        <w:t> plnění dané VZ, tedy</w:t>
      </w:r>
      <w:r w:rsidRPr="00A6430D">
        <w:t xml:space="preserve"> alespoň odkaz na reference, kterými svou kvalifikovanost odůvodňuje tak, aby byl zadavatel schopen vyplnit protokol o posouzení kvalifikace dle § 59 odst. 5 zákona - JURČÍK, Radek. </w:t>
      </w:r>
      <w:r w:rsidRPr="00A6430D">
        <w:rPr>
          <w:i/>
        </w:rPr>
        <w:t>Veřejné zakázky a koncese</w:t>
      </w:r>
      <w:r w:rsidRPr="00A6430D">
        <w:t>. 2. vydání. Praha: C. H. Beck, 2014, s. 775.</w:t>
      </w:r>
    </w:p>
  </w:footnote>
  <w:footnote w:id="136">
    <w:p w14:paraId="367FD206" w14:textId="77777777" w:rsidR="001214F7" w:rsidRPr="00A6430D" w:rsidRDefault="001214F7" w:rsidP="00311FC4">
      <w:pPr>
        <w:pStyle w:val="FootnoteText"/>
        <w:jc w:val="both"/>
      </w:pPr>
      <w:r w:rsidRPr="00A6430D">
        <w:rPr>
          <w:rStyle w:val="FootnoteReference"/>
        </w:rPr>
        <w:footnoteRef/>
      </w:r>
      <w:r w:rsidRPr="00A6430D">
        <w:t xml:space="preserve"> JURČÍK, Radek. </w:t>
      </w:r>
      <w:r w:rsidRPr="00A6430D">
        <w:rPr>
          <w:i/>
        </w:rPr>
        <w:t>Veřejné zakázky a koncese</w:t>
      </w:r>
      <w:r w:rsidRPr="00A6430D">
        <w:t>. 2. vydání. Praha: C. H. Beck, 2014, s. 772, 775.</w:t>
      </w:r>
    </w:p>
  </w:footnote>
  <w:footnote w:id="137">
    <w:p w14:paraId="60A8F57D" w14:textId="77777777" w:rsidR="001214F7" w:rsidRPr="00A6430D" w:rsidRDefault="001214F7" w:rsidP="00311FC4">
      <w:pPr>
        <w:pStyle w:val="FootnoteText"/>
        <w:jc w:val="both"/>
      </w:pPr>
      <w:r w:rsidRPr="00A6430D">
        <w:rPr>
          <w:rStyle w:val="FootnoteReference"/>
        </w:rPr>
        <w:footnoteRef/>
      </w:r>
      <w:r w:rsidRPr="00A6430D">
        <w:t xml:space="preserve"> JURČÍK, Radek. </w:t>
      </w:r>
      <w:r w:rsidRPr="00A6430D">
        <w:rPr>
          <w:i/>
        </w:rPr>
        <w:t>Zákon o veřejných zakázkách.</w:t>
      </w:r>
      <w:r w:rsidRPr="00A6430D">
        <w:t xml:space="preserve"> Komentář. 4. Vydání. Praha: C. H. Beck, 2015, s. 412, 413.</w:t>
      </w:r>
    </w:p>
  </w:footnote>
  <w:footnote w:id="138">
    <w:p w14:paraId="4CDE96EC" w14:textId="77777777" w:rsidR="001214F7" w:rsidRPr="00A6430D" w:rsidRDefault="001214F7">
      <w:pPr>
        <w:pStyle w:val="FootnoteText"/>
      </w:pPr>
      <w:r w:rsidRPr="00A6430D">
        <w:rPr>
          <w:rStyle w:val="FootnoteReference"/>
        </w:rPr>
        <w:footnoteRef/>
      </w:r>
      <w:r w:rsidRPr="00A6430D">
        <w:t xml:space="preserve"> JURČÍK, Radek. </w:t>
      </w:r>
      <w:r w:rsidRPr="00A6430D">
        <w:rPr>
          <w:i/>
        </w:rPr>
        <w:t>Veřejné zakázky a koncese</w:t>
      </w:r>
      <w:r w:rsidRPr="00A6430D">
        <w:t>. 2. vydání. Praha: C. H. Beck, 2014, s. 772.</w:t>
      </w:r>
    </w:p>
  </w:footnote>
  <w:footnote w:id="139">
    <w:p w14:paraId="1250C5C3" w14:textId="77777777" w:rsidR="001214F7" w:rsidRPr="00A6430D" w:rsidRDefault="001214F7">
      <w:pPr>
        <w:pStyle w:val="FootnoteText"/>
      </w:pPr>
      <w:r w:rsidRPr="00A6430D">
        <w:rPr>
          <w:rStyle w:val="FootnoteReference"/>
        </w:rPr>
        <w:footnoteRef/>
      </w:r>
      <w:r w:rsidRPr="00A6430D">
        <w:t xml:space="preserve"> Tamtéž.</w:t>
      </w:r>
    </w:p>
  </w:footnote>
  <w:footnote w:id="140">
    <w:p w14:paraId="3FBF7E24" w14:textId="77777777" w:rsidR="001214F7" w:rsidRPr="00A6430D" w:rsidRDefault="001214F7">
      <w:pPr>
        <w:pStyle w:val="FootnoteText"/>
      </w:pPr>
      <w:r w:rsidRPr="00A6430D">
        <w:rPr>
          <w:rStyle w:val="FootnoteReference"/>
        </w:rPr>
        <w:footnoteRef/>
      </w:r>
      <w:r w:rsidRPr="00A6430D">
        <w:t xml:space="preserve"> Tamtéž.</w:t>
      </w:r>
    </w:p>
  </w:footnote>
  <w:footnote w:id="141">
    <w:p w14:paraId="3056FCAD" w14:textId="77777777" w:rsidR="001214F7" w:rsidRPr="00A6430D" w:rsidRDefault="001214F7">
      <w:pPr>
        <w:pStyle w:val="FootnoteText"/>
      </w:pPr>
      <w:r w:rsidRPr="00A6430D">
        <w:rPr>
          <w:rStyle w:val="FootnoteReference"/>
        </w:rPr>
        <w:footnoteRef/>
      </w:r>
      <w:r w:rsidRPr="00A6430D">
        <w:t xml:space="preserve"> JURČÍK, Radek. </w:t>
      </w:r>
      <w:r w:rsidRPr="00A6430D">
        <w:rPr>
          <w:i/>
        </w:rPr>
        <w:t>Veřejné zakázky a koncese</w:t>
      </w:r>
      <w:r w:rsidRPr="00A6430D">
        <w:t>. 2. vydání. Praha: C. H. Beck, 2014, s. 773 - 775</w:t>
      </w:r>
    </w:p>
  </w:footnote>
  <w:footnote w:id="142">
    <w:p w14:paraId="14284B46" w14:textId="77777777" w:rsidR="001214F7" w:rsidRPr="00A6430D" w:rsidRDefault="001214F7">
      <w:pPr>
        <w:pStyle w:val="FootnoteText"/>
      </w:pPr>
      <w:r w:rsidRPr="00A6430D">
        <w:rPr>
          <w:rStyle w:val="FootnoteReference"/>
        </w:rPr>
        <w:footnoteRef/>
      </w:r>
      <w:r w:rsidRPr="00A6430D">
        <w:t xml:space="preserve"> JURČÍK, Radek. </w:t>
      </w:r>
      <w:r w:rsidRPr="00A6430D">
        <w:rPr>
          <w:i/>
        </w:rPr>
        <w:t>Zákon o veřejných zakázkách.</w:t>
      </w:r>
      <w:r w:rsidRPr="00A6430D">
        <w:t xml:space="preserve"> Komentář. 4. Vydání. Praha: C. H. Beck, 2015, s. 410, 413.</w:t>
      </w:r>
    </w:p>
  </w:footnote>
  <w:footnote w:id="143">
    <w:p w14:paraId="68DC6869" w14:textId="77777777" w:rsidR="001214F7" w:rsidRPr="00A6430D" w:rsidRDefault="001214F7">
      <w:pPr>
        <w:pStyle w:val="FootnoteText"/>
      </w:pPr>
      <w:r w:rsidRPr="00A6430D">
        <w:rPr>
          <w:rStyle w:val="FootnoteReference"/>
        </w:rPr>
        <w:footnoteRef/>
      </w:r>
      <w:r w:rsidRPr="00A6430D">
        <w:t xml:space="preserve"> Tamtéž, s. 371 – 376.</w:t>
      </w:r>
    </w:p>
  </w:footnote>
  <w:footnote w:id="144">
    <w:p w14:paraId="6A9E75E2" w14:textId="77777777" w:rsidR="001214F7" w:rsidRPr="00A6430D" w:rsidRDefault="001214F7" w:rsidP="00311FC4">
      <w:pPr>
        <w:pStyle w:val="FootnoteText"/>
        <w:jc w:val="both"/>
      </w:pPr>
      <w:r w:rsidRPr="00A6430D">
        <w:rPr>
          <w:rStyle w:val="FootnoteReference"/>
        </w:rPr>
        <w:footnoteRef/>
      </w:r>
      <w:r w:rsidRPr="00A6430D">
        <w:t xml:space="preserve"> Tamtéž, s. 294, 296.</w:t>
      </w:r>
    </w:p>
  </w:footnote>
  <w:footnote w:id="145">
    <w:p w14:paraId="5C1D54F6" w14:textId="77777777" w:rsidR="001214F7" w:rsidRPr="00A6430D" w:rsidRDefault="001214F7" w:rsidP="00311FC4">
      <w:pPr>
        <w:pStyle w:val="FootnoteText"/>
        <w:jc w:val="both"/>
      </w:pPr>
      <w:r w:rsidRPr="00A6430D">
        <w:rPr>
          <w:rStyle w:val="FootnoteReference"/>
        </w:rPr>
        <w:footnoteRef/>
      </w:r>
      <w:r w:rsidRPr="00A6430D">
        <w:t xml:space="preserve"> Tamtéž, s. 294, 295.</w:t>
      </w:r>
    </w:p>
  </w:footnote>
  <w:footnote w:id="146">
    <w:p w14:paraId="6C5156DA" w14:textId="77777777" w:rsidR="001214F7" w:rsidRPr="00A6430D" w:rsidRDefault="001214F7" w:rsidP="00311FC4">
      <w:pPr>
        <w:pStyle w:val="FootnoteText"/>
        <w:jc w:val="both"/>
      </w:pPr>
      <w:r w:rsidRPr="00A6430D">
        <w:rPr>
          <w:rStyle w:val="FootnoteReference"/>
        </w:rPr>
        <w:footnoteRef/>
      </w:r>
      <w:r w:rsidRPr="00A6430D">
        <w:t xml:space="preserve"> JURČÍK, Radek. </w:t>
      </w:r>
      <w:r w:rsidRPr="00A6430D">
        <w:rPr>
          <w:i/>
        </w:rPr>
        <w:t>Veřejné zakázky a koncese</w:t>
      </w:r>
      <w:r w:rsidRPr="00A6430D">
        <w:t>. 2. vydání. Praha: C. H. Beck, 2014, s. 727, 728.</w:t>
      </w:r>
    </w:p>
  </w:footnote>
  <w:footnote w:id="147">
    <w:p w14:paraId="077DE235" w14:textId="77777777" w:rsidR="001214F7" w:rsidRPr="00A6430D" w:rsidRDefault="001214F7" w:rsidP="00311FC4">
      <w:pPr>
        <w:pStyle w:val="FootnoteText"/>
        <w:jc w:val="both"/>
      </w:pPr>
      <w:r w:rsidRPr="00A6430D">
        <w:rPr>
          <w:rStyle w:val="FootnoteReference"/>
        </w:rPr>
        <w:footnoteRef/>
      </w:r>
      <w:r w:rsidRPr="00A6430D">
        <w:t xml:space="preserve"> JURČÍK, Radek. </w:t>
      </w:r>
      <w:r w:rsidRPr="00A6430D">
        <w:rPr>
          <w:i/>
        </w:rPr>
        <w:t>Zákon o veřejných zakázkách.</w:t>
      </w:r>
      <w:r w:rsidRPr="00A6430D">
        <w:t xml:space="preserve"> Komentář. 4. Vydání. Praha: C. H. Beck, 2015, s. 296.</w:t>
      </w:r>
    </w:p>
  </w:footnote>
  <w:footnote w:id="148">
    <w:p w14:paraId="035BCC39" w14:textId="77777777" w:rsidR="001214F7" w:rsidRPr="00A6430D" w:rsidRDefault="001214F7" w:rsidP="00311FC4">
      <w:pPr>
        <w:pStyle w:val="FootnoteText"/>
        <w:jc w:val="both"/>
      </w:pPr>
      <w:r w:rsidRPr="00A6430D">
        <w:rPr>
          <w:rStyle w:val="FootnoteReference"/>
        </w:rPr>
        <w:footnoteRef/>
      </w:r>
      <w:r w:rsidRPr="00A6430D">
        <w:t xml:space="preserve"> Pro předběžné oznámení veřejného zadavatele dle § 86 odst. 3 zákona ovšem platí, že ho není třeba, pokud je VZ zadávána v jednacím řízení s uveřejněním podle § 22 odst. 1 a 2 zákona. Obdobně v rámci odůvodnění VZ a jeho publikace platí, že takového kroku není dle § 156 odst. 6 písm. b) třeba, pokud je VZ zadávána také v jednacím řízení s uveřejněním podle § 22 odst. 1 a 2 zákona.</w:t>
      </w:r>
    </w:p>
  </w:footnote>
  <w:footnote w:id="149">
    <w:p w14:paraId="73B64653" w14:textId="77777777" w:rsidR="001214F7" w:rsidRPr="00A6430D" w:rsidRDefault="001214F7" w:rsidP="00311FC4">
      <w:pPr>
        <w:pStyle w:val="FootnoteText"/>
        <w:jc w:val="both"/>
      </w:pPr>
      <w:r w:rsidRPr="00A6430D">
        <w:rPr>
          <w:rStyle w:val="FootnoteReference"/>
        </w:rPr>
        <w:footnoteRef/>
      </w:r>
      <w:r w:rsidRPr="00A6430D">
        <w:t xml:space="preserve"> JURČÍK, Radek. </w:t>
      </w:r>
      <w:r w:rsidRPr="00A6430D">
        <w:rPr>
          <w:i/>
        </w:rPr>
        <w:t>Zákon o veřejných zakázkách.</w:t>
      </w:r>
      <w:r w:rsidRPr="00A6430D">
        <w:t xml:space="preserve"> Komentář. 4. Vydání. Praha: C. H. Beck, 2015, s. 377 – 378.</w:t>
      </w:r>
    </w:p>
  </w:footnote>
  <w:footnote w:id="150">
    <w:p w14:paraId="32B4D105" w14:textId="77777777" w:rsidR="001214F7" w:rsidRPr="00A6430D" w:rsidRDefault="001214F7" w:rsidP="00311FC4">
      <w:pPr>
        <w:pStyle w:val="FootnoteText"/>
        <w:jc w:val="both"/>
      </w:pPr>
      <w:r w:rsidRPr="00A6430D">
        <w:rPr>
          <w:rStyle w:val="FootnoteReference"/>
        </w:rPr>
        <w:footnoteRef/>
      </w:r>
      <w:r w:rsidRPr="00A6430D">
        <w:t xml:space="preserve"> Tamtéž, s. 378 – 380.</w:t>
      </w:r>
    </w:p>
  </w:footnote>
  <w:footnote w:id="151">
    <w:p w14:paraId="5DC371D3" w14:textId="77777777" w:rsidR="001214F7" w:rsidRPr="00A6430D" w:rsidRDefault="001214F7" w:rsidP="00311FC4">
      <w:pPr>
        <w:pStyle w:val="FootnoteText"/>
        <w:jc w:val="both"/>
      </w:pPr>
      <w:r w:rsidRPr="00A6430D">
        <w:rPr>
          <w:rStyle w:val="FootnoteReference"/>
        </w:rPr>
        <w:footnoteRef/>
      </w:r>
      <w:r w:rsidRPr="00A6430D">
        <w:t xml:space="preserve"> Tamtéž, s. 380 – 382.</w:t>
      </w:r>
    </w:p>
  </w:footnote>
  <w:footnote w:id="152">
    <w:p w14:paraId="2DF290A8" w14:textId="77777777" w:rsidR="001214F7" w:rsidRPr="00A6430D" w:rsidRDefault="001214F7" w:rsidP="00311FC4">
      <w:pPr>
        <w:pStyle w:val="FootnoteText"/>
        <w:jc w:val="both"/>
      </w:pPr>
      <w:r w:rsidRPr="00A6430D">
        <w:rPr>
          <w:rStyle w:val="FootnoteReference"/>
        </w:rPr>
        <w:footnoteRef/>
      </w:r>
      <w:r w:rsidRPr="00A6430D">
        <w:t xml:space="preserve"> Tamtéž, s. 384 – 386.</w:t>
      </w:r>
    </w:p>
  </w:footnote>
  <w:footnote w:id="153">
    <w:p w14:paraId="4DA4512D" w14:textId="77777777" w:rsidR="001214F7" w:rsidRPr="00A6430D" w:rsidRDefault="001214F7" w:rsidP="00311FC4">
      <w:pPr>
        <w:pStyle w:val="FootnoteText"/>
        <w:jc w:val="both"/>
      </w:pPr>
      <w:r w:rsidRPr="00A6430D">
        <w:rPr>
          <w:rStyle w:val="FootnoteReference"/>
        </w:rPr>
        <w:footnoteRef/>
      </w:r>
      <w:r>
        <w:t xml:space="preserve"> </w:t>
      </w:r>
      <w:r w:rsidRPr="00A6430D">
        <w:t>Tamtéž, s. 388 – 390.</w:t>
      </w:r>
    </w:p>
  </w:footnote>
  <w:footnote w:id="154">
    <w:p w14:paraId="33CB0483" w14:textId="77777777" w:rsidR="001214F7" w:rsidRPr="00A6430D" w:rsidRDefault="001214F7" w:rsidP="00311FC4">
      <w:pPr>
        <w:pStyle w:val="FootnoteText"/>
        <w:jc w:val="both"/>
      </w:pPr>
      <w:r w:rsidRPr="00A6430D">
        <w:rPr>
          <w:rStyle w:val="FootnoteReference"/>
        </w:rPr>
        <w:footnoteRef/>
      </w:r>
      <w:r w:rsidRPr="00A6430D">
        <w:t xml:space="preserve"> JURČÍK, Radek. </w:t>
      </w:r>
      <w:r w:rsidRPr="00A6430D">
        <w:rPr>
          <w:i/>
        </w:rPr>
        <w:t>Veřejné zakázky a koncese</w:t>
      </w:r>
      <w:r w:rsidRPr="00A6430D">
        <w:t>. 2. vydání. Praha: C. H. Beck, 2014, s. 730.</w:t>
      </w:r>
    </w:p>
  </w:footnote>
  <w:footnote w:id="155">
    <w:p w14:paraId="0E78F547" w14:textId="77777777" w:rsidR="001214F7" w:rsidRPr="00A6430D" w:rsidRDefault="001214F7" w:rsidP="00311FC4">
      <w:pPr>
        <w:pStyle w:val="FootnoteText"/>
        <w:jc w:val="both"/>
      </w:pPr>
      <w:r w:rsidRPr="00A6430D">
        <w:rPr>
          <w:rStyle w:val="FootnoteReference"/>
        </w:rPr>
        <w:footnoteRef/>
      </w:r>
      <w:r w:rsidRPr="00A6430D">
        <w:t xml:space="preserve"> Tamtéž, s. 730 – 731.</w:t>
      </w:r>
    </w:p>
  </w:footnote>
  <w:footnote w:id="156">
    <w:p w14:paraId="5166568B" w14:textId="77777777" w:rsidR="001214F7" w:rsidRPr="00A6430D" w:rsidRDefault="001214F7" w:rsidP="00311FC4">
      <w:pPr>
        <w:pStyle w:val="FootnoteText"/>
        <w:jc w:val="both"/>
      </w:pPr>
      <w:r w:rsidRPr="00A6430D">
        <w:rPr>
          <w:rStyle w:val="FootnoteReference"/>
        </w:rPr>
        <w:footnoteRef/>
      </w:r>
      <w:r w:rsidRPr="00A6430D">
        <w:t xml:space="preserve"> Tamtéž, s. 732.</w:t>
      </w:r>
    </w:p>
  </w:footnote>
  <w:footnote w:id="157">
    <w:p w14:paraId="5E1303B6" w14:textId="77777777" w:rsidR="001214F7" w:rsidRPr="00A6430D" w:rsidRDefault="001214F7" w:rsidP="00311FC4">
      <w:pPr>
        <w:pStyle w:val="FootnoteText"/>
        <w:jc w:val="both"/>
      </w:pPr>
      <w:r w:rsidRPr="00A6430D">
        <w:rPr>
          <w:rStyle w:val="FootnoteReference"/>
        </w:rPr>
        <w:footnoteRef/>
      </w:r>
      <w:r w:rsidRPr="00A6430D">
        <w:t xml:space="preserve"> Tamtéž, s. 735.</w:t>
      </w:r>
    </w:p>
  </w:footnote>
  <w:footnote w:id="158">
    <w:p w14:paraId="1A824891" w14:textId="77777777" w:rsidR="001214F7" w:rsidRPr="00A6430D" w:rsidRDefault="001214F7" w:rsidP="00311FC4">
      <w:pPr>
        <w:pStyle w:val="FootnoteText"/>
        <w:jc w:val="both"/>
      </w:pPr>
      <w:r w:rsidRPr="00A6430D">
        <w:rPr>
          <w:rStyle w:val="FootnoteReference"/>
        </w:rPr>
        <w:footnoteRef/>
      </w:r>
      <w:r w:rsidRPr="00A6430D">
        <w:t xml:space="preserve"> JURČÍK, Radek. </w:t>
      </w:r>
      <w:r w:rsidRPr="00A6430D">
        <w:rPr>
          <w:i/>
        </w:rPr>
        <w:t>Zákon o veřejných zakázkách.</w:t>
      </w:r>
      <w:r w:rsidRPr="00A6430D">
        <w:t xml:space="preserve"> Komentář. 4. Vydání. Praha: C. H. Beck, 2015, s. 394.</w:t>
      </w:r>
    </w:p>
  </w:footnote>
  <w:footnote w:id="159">
    <w:p w14:paraId="1326A84A" w14:textId="77777777" w:rsidR="001214F7" w:rsidRPr="00A6430D" w:rsidRDefault="001214F7" w:rsidP="00311FC4">
      <w:pPr>
        <w:pStyle w:val="FootnoteText"/>
        <w:jc w:val="both"/>
      </w:pPr>
      <w:r w:rsidRPr="00A6430D">
        <w:rPr>
          <w:rStyle w:val="FootnoteReference"/>
        </w:rPr>
        <w:footnoteRef/>
      </w:r>
      <w:r w:rsidRPr="00A6430D">
        <w:t xml:space="preserve"> JURČÍK, Radek. </w:t>
      </w:r>
      <w:r w:rsidRPr="00A6430D">
        <w:rPr>
          <w:i/>
        </w:rPr>
        <w:t>Veřejné zakázky a koncese</w:t>
      </w:r>
      <w:r w:rsidRPr="00A6430D">
        <w:t>. 2. vydání. Praha: C. H. Beck, 2014, s. 732.</w:t>
      </w:r>
    </w:p>
  </w:footnote>
  <w:footnote w:id="160">
    <w:p w14:paraId="4D12C88B" w14:textId="77777777" w:rsidR="001214F7" w:rsidRPr="00A6430D" w:rsidRDefault="001214F7" w:rsidP="00311FC4">
      <w:pPr>
        <w:pStyle w:val="FootnoteText"/>
        <w:jc w:val="both"/>
      </w:pPr>
      <w:r w:rsidRPr="00A6430D">
        <w:rPr>
          <w:rStyle w:val="FootnoteReference"/>
        </w:rPr>
        <w:footnoteRef/>
      </w:r>
      <w:r w:rsidRPr="00A6430D">
        <w:t xml:space="preserve"> Tamtéž.</w:t>
      </w:r>
    </w:p>
  </w:footnote>
  <w:footnote w:id="161">
    <w:p w14:paraId="64A45609" w14:textId="77777777" w:rsidR="001214F7" w:rsidRPr="00A6430D" w:rsidRDefault="001214F7" w:rsidP="00311FC4">
      <w:pPr>
        <w:pStyle w:val="FootnoteText"/>
        <w:jc w:val="both"/>
      </w:pPr>
      <w:r w:rsidRPr="00A6430D">
        <w:rPr>
          <w:rStyle w:val="FootnoteReference"/>
        </w:rPr>
        <w:footnoteRef/>
      </w:r>
      <w:r w:rsidRPr="00A6430D">
        <w:t xml:space="preserve"> JURČÍK, Radek. </w:t>
      </w:r>
      <w:r w:rsidRPr="00A6430D">
        <w:rPr>
          <w:i/>
        </w:rPr>
        <w:t>Zákon o veřejných zakázkách.</w:t>
      </w:r>
      <w:r w:rsidRPr="00A6430D">
        <w:t xml:space="preserve"> Komentář. 4. Vydání. Praha: C. H. Beck, 2015, s. 394 – 396.</w:t>
      </w:r>
    </w:p>
  </w:footnote>
  <w:footnote w:id="162">
    <w:p w14:paraId="0F85736F" w14:textId="77777777" w:rsidR="001214F7" w:rsidRPr="00A6430D" w:rsidRDefault="001214F7" w:rsidP="00311FC4">
      <w:pPr>
        <w:pStyle w:val="FootnoteText"/>
        <w:jc w:val="both"/>
      </w:pPr>
      <w:r w:rsidRPr="00A6430D">
        <w:rPr>
          <w:rStyle w:val="FootnoteReference"/>
        </w:rPr>
        <w:footnoteRef/>
      </w:r>
      <w:r w:rsidRPr="00A6430D">
        <w:t xml:space="preserve"> JURČÍK, Radek. </w:t>
      </w:r>
      <w:r w:rsidRPr="00A6430D">
        <w:rPr>
          <w:i/>
        </w:rPr>
        <w:t>Veřejné zakázky a koncese</w:t>
      </w:r>
      <w:r w:rsidRPr="00A6430D">
        <w:t>. 2. vydání. Praha: C. H. Beck, 2014, s. 732.</w:t>
      </w:r>
    </w:p>
  </w:footnote>
  <w:footnote w:id="163">
    <w:p w14:paraId="0DAA2CD7" w14:textId="77777777" w:rsidR="001214F7" w:rsidRPr="00A6430D" w:rsidRDefault="001214F7" w:rsidP="00311FC4">
      <w:pPr>
        <w:pStyle w:val="FootnoteText"/>
        <w:jc w:val="both"/>
      </w:pPr>
      <w:r w:rsidRPr="00A6430D">
        <w:rPr>
          <w:rStyle w:val="FootnoteReference"/>
        </w:rPr>
        <w:footnoteRef/>
      </w:r>
      <w:r w:rsidRPr="00A6430D">
        <w:t xml:space="preserve"> JURČÍK, Radek. </w:t>
      </w:r>
      <w:r w:rsidRPr="00A6430D">
        <w:rPr>
          <w:i/>
        </w:rPr>
        <w:t>Zákon o veřejných zakázkách.</w:t>
      </w:r>
      <w:r w:rsidRPr="00A6430D">
        <w:t xml:space="preserve"> Komentář. 4. Vydání. Praha: C. H. Beck, 2015, s. 396.</w:t>
      </w:r>
    </w:p>
  </w:footnote>
  <w:footnote w:id="164">
    <w:p w14:paraId="5486DA78" w14:textId="77777777" w:rsidR="001214F7" w:rsidRPr="00A6430D" w:rsidRDefault="001214F7" w:rsidP="00311FC4">
      <w:pPr>
        <w:pStyle w:val="FootnoteText"/>
        <w:jc w:val="both"/>
      </w:pPr>
      <w:r w:rsidRPr="00A6430D">
        <w:rPr>
          <w:rStyle w:val="FootnoteReference"/>
        </w:rPr>
        <w:footnoteRef/>
      </w:r>
      <w:r w:rsidRPr="00A6430D">
        <w:t xml:space="preserve"> JURČÍK, Radek. </w:t>
      </w:r>
      <w:r w:rsidRPr="00A6430D">
        <w:rPr>
          <w:i/>
        </w:rPr>
        <w:t>Veřejné zakázky a koncese</w:t>
      </w:r>
      <w:r w:rsidRPr="00A6430D">
        <w:t>. 2. vydání. Praha: C. H. Beck, 2014, s. 733.</w:t>
      </w:r>
    </w:p>
  </w:footnote>
  <w:footnote w:id="165">
    <w:p w14:paraId="5478076F" w14:textId="77777777" w:rsidR="001214F7" w:rsidRPr="00A6430D" w:rsidRDefault="001214F7" w:rsidP="00311FC4">
      <w:pPr>
        <w:pStyle w:val="FootnoteText"/>
        <w:jc w:val="both"/>
      </w:pPr>
      <w:r w:rsidRPr="00A6430D">
        <w:rPr>
          <w:rStyle w:val="FootnoteReference"/>
        </w:rPr>
        <w:footnoteRef/>
      </w:r>
      <w:r w:rsidRPr="00A6430D">
        <w:t xml:space="preserve"> Tamtéž.</w:t>
      </w:r>
    </w:p>
  </w:footnote>
  <w:footnote w:id="166">
    <w:p w14:paraId="1BC1FF00" w14:textId="77777777" w:rsidR="001214F7" w:rsidRDefault="001214F7" w:rsidP="00475EBF">
      <w:pPr>
        <w:pStyle w:val="FootnoteText"/>
      </w:pPr>
      <w:r>
        <w:rPr>
          <w:rStyle w:val="FootnoteReference"/>
        </w:rPr>
        <w:footnoteRef/>
      </w:r>
      <w:r>
        <w:t xml:space="preserve"> Tyto nové směrnice lze nalézt na internetových stránkách Portálu o veřejných </w:t>
      </w:r>
      <w:r w:rsidRPr="005C71CC">
        <w:t xml:space="preserve">zakázkách a koncesích: </w:t>
      </w:r>
      <w:hyperlink r:id="rId5" w:history="1">
        <w:r w:rsidRPr="005C71CC">
          <w:rPr>
            <w:rStyle w:val="Hyperlink"/>
            <w:color w:val="auto"/>
          </w:rPr>
          <w:t>http://www.portal-vz.cz/cs/Aktuality/Nove-evropske-zadavaci-smernice-publikovany-v-Ured</w:t>
        </w:r>
      </w:hyperlink>
      <w:r w:rsidRPr="005C71CC">
        <w:t>.</w:t>
      </w:r>
    </w:p>
  </w:footnote>
  <w:footnote w:id="167">
    <w:p w14:paraId="1311EC3F" w14:textId="2130BBE8" w:rsidR="001214F7" w:rsidRDefault="001214F7">
      <w:pPr>
        <w:pStyle w:val="FootnoteText"/>
      </w:pPr>
      <w:r>
        <w:rPr>
          <w:rStyle w:val="FootnoteReference"/>
        </w:rPr>
        <w:footnoteRef/>
      </w:r>
      <w:r>
        <w:t xml:space="preserve"> Srov. d</w:t>
      </w:r>
      <w:r w:rsidRPr="001D06FB">
        <w:t>ůvodová zpráva zákona</w:t>
      </w:r>
      <w:r>
        <w:t xml:space="preserve"> </w:t>
      </w:r>
      <w:r w:rsidRPr="00F222AD">
        <w:t>č. 134/2016 Sb., o zadávání veřejných zakázek</w:t>
      </w:r>
      <w:r>
        <w:t>, str. 244 – 246.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5523D34"/>
    <w:lvl w:ilvl="0">
      <w:start w:val="1"/>
      <w:numFmt w:val="decimal"/>
      <w:lvlText w:val="%1."/>
      <w:lvlJc w:val="left"/>
      <w:pPr>
        <w:tabs>
          <w:tab w:val="num" w:pos="1492"/>
        </w:tabs>
        <w:ind w:left="1492" w:hanging="360"/>
      </w:pPr>
    </w:lvl>
  </w:abstractNum>
  <w:abstractNum w:abstractNumId="1">
    <w:nsid w:val="FFFFFF7D"/>
    <w:multiLevelType w:val="singleLevel"/>
    <w:tmpl w:val="4E7C46CA"/>
    <w:lvl w:ilvl="0">
      <w:start w:val="1"/>
      <w:numFmt w:val="decimal"/>
      <w:lvlText w:val="%1."/>
      <w:lvlJc w:val="left"/>
      <w:pPr>
        <w:tabs>
          <w:tab w:val="num" w:pos="1209"/>
        </w:tabs>
        <w:ind w:left="1209" w:hanging="360"/>
      </w:pPr>
    </w:lvl>
  </w:abstractNum>
  <w:abstractNum w:abstractNumId="2">
    <w:nsid w:val="FFFFFF7E"/>
    <w:multiLevelType w:val="singleLevel"/>
    <w:tmpl w:val="912CEEA2"/>
    <w:lvl w:ilvl="0">
      <w:start w:val="1"/>
      <w:numFmt w:val="decimal"/>
      <w:lvlText w:val="%1."/>
      <w:lvlJc w:val="left"/>
      <w:pPr>
        <w:tabs>
          <w:tab w:val="num" w:pos="926"/>
        </w:tabs>
        <w:ind w:left="926" w:hanging="360"/>
      </w:pPr>
    </w:lvl>
  </w:abstractNum>
  <w:abstractNum w:abstractNumId="3">
    <w:nsid w:val="FFFFFF7F"/>
    <w:multiLevelType w:val="singleLevel"/>
    <w:tmpl w:val="FCC4A85C"/>
    <w:lvl w:ilvl="0">
      <w:start w:val="1"/>
      <w:numFmt w:val="decimal"/>
      <w:lvlText w:val="%1."/>
      <w:lvlJc w:val="left"/>
      <w:pPr>
        <w:tabs>
          <w:tab w:val="num" w:pos="643"/>
        </w:tabs>
        <w:ind w:left="643" w:hanging="360"/>
      </w:pPr>
    </w:lvl>
  </w:abstractNum>
  <w:abstractNum w:abstractNumId="4">
    <w:nsid w:val="FFFFFF80"/>
    <w:multiLevelType w:val="singleLevel"/>
    <w:tmpl w:val="4250682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AA4F5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8380D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F614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4E145A"/>
    <w:lvl w:ilvl="0">
      <w:start w:val="1"/>
      <w:numFmt w:val="decimal"/>
      <w:lvlText w:val="%1."/>
      <w:lvlJc w:val="left"/>
      <w:pPr>
        <w:tabs>
          <w:tab w:val="num" w:pos="360"/>
        </w:tabs>
        <w:ind w:left="360" w:hanging="360"/>
      </w:pPr>
    </w:lvl>
  </w:abstractNum>
  <w:abstractNum w:abstractNumId="9">
    <w:nsid w:val="FFFFFF89"/>
    <w:multiLevelType w:val="singleLevel"/>
    <w:tmpl w:val="56463C6C"/>
    <w:lvl w:ilvl="0">
      <w:start w:val="1"/>
      <w:numFmt w:val="bullet"/>
      <w:lvlText w:val=""/>
      <w:lvlJc w:val="left"/>
      <w:pPr>
        <w:tabs>
          <w:tab w:val="num" w:pos="360"/>
        </w:tabs>
        <w:ind w:left="360" w:hanging="360"/>
      </w:pPr>
      <w:rPr>
        <w:rFonts w:ascii="Symbol" w:hAnsi="Symbol" w:hint="default"/>
      </w:rPr>
    </w:lvl>
  </w:abstractNum>
  <w:abstractNum w:abstractNumId="10">
    <w:nsid w:val="02273C5C"/>
    <w:multiLevelType w:val="hybridMultilevel"/>
    <w:tmpl w:val="0C2EB472"/>
    <w:lvl w:ilvl="0" w:tplc="14263A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30916E4"/>
    <w:multiLevelType w:val="hybridMultilevel"/>
    <w:tmpl w:val="9C3889E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B2127BC"/>
    <w:multiLevelType w:val="hybridMultilevel"/>
    <w:tmpl w:val="196203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F6D760B"/>
    <w:multiLevelType w:val="hybridMultilevel"/>
    <w:tmpl w:val="CBAE4DE8"/>
    <w:lvl w:ilvl="0" w:tplc="BC2EC8B2">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4">
    <w:nsid w:val="0F957054"/>
    <w:multiLevelType w:val="hybridMultilevel"/>
    <w:tmpl w:val="15863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2741D09"/>
    <w:multiLevelType w:val="hybridMultilevel"/>
    <w:tmpl w:val="498A9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6321FCD"/>
    <w:multiLevelType w:val="hybridMultilevel"/>
    <w:tmpl w:val="43E876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75C651D"/>
    <w:multiLevelType w:val="hybridMultilevel"/>
    <w:tmpl w:val="8BF23F9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1B501529"/>
    <w:multiLevelType w:val="hybridMultilevel"/>
    <w:tmpl w:val="0D9C59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531CF9"/>
    <w:multiLevelType w:val="hybridMultilevel"/>
    <w:tmpl w:val="FBF22A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1A44C76"/>
    <w:multiLevelType w:val="hybridMultilevel"/>
    <w:tmpl w:val="1E3C568E"/>
    <w:lvl w:ilvl="0" w:tplc="04090017">
      <w:start w:val="1"/>
      <w:numFmt w:val="lowerLetter"/>
      <w:lvlText w:val="%1)"/>
      <w:lvlJc w:val="left"/>
      <w:pPr>
        <w:ind w:left="107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5611681"/>
    <w:multiLevelType w:val="hybridMultilevel"/>
    <w:tmpl w:val="F6A6C2E8"/>
    <w:lvl w:ilvl="0" w:tplc="32EA916E">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8177879"/>
    <w:multiLevelType w:val="hybridMultilevel"/>
    <w:tmpl w:val="E3FAA6D4"/>
    <w:lvl w:ilvl="0" w:tplc="765ACAA0">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3">
    <w:nsid w:val="47FD7558"/>
    <w:multiLevelType w:val="hybridMultilevel"/>
    <w:tmpl w:val="DFFC8A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8467C2D"/>
    <w:multiLevelType w:val="hybridMultilevel"/>
    <w:tmpl w:val="14DA60A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9A61BA6"/>
    <w:multiLevelType w:val="hybridMultilevel"/>
    <w:tmpl w:val="49CEE4DE"/>
    <w:lvl w:ilvl="0" w:tplc="6A9688F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C0E7C80"/>
    <w:multiLevelType w:val="hybridMultilevel"/>
    <w:tmpl w:val="402E98BE"/>
    <w:lvl w:ilvl="0" w:tplc="179C054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52972727"/>
    <w:multiLevelType w:val="multilevel"/>
    <w:tmpl w:val="82BE4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737C8B"/>
    <w:multiLevelType w:val="multilevel"/>
    <w:tmpl w:val="468492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5C1F5180"/>
    <w:multiLevelType w:val="hybridMultilevel"/>
    <w:tmpl w:val="23E2036C"/>
    <w:lvl w:ilvl="0" w:tplc="9312B43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E69392D"/>
    <w:multiLevelType w:val="hybridMultilevel"/>
    <w:tmpl w:val="CC2079DE"/>
    <w:lvl w:ilvl="0" w:tplc="7B7CB06C">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31">
    <w:nsid w:val="5FF879EC"/>
    <w:multiLevelType w:val="multilevel"/>
    <w:tmpl w:val="077EBEC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nsid w:val="61E43D47"/>
    <w:multiLevelType w:val="hybridMultilevel"/>
    <w:tmpl w:val="0B589698"/>
    <w:lvl w:ilvl="0" w:tplc="0405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E10A26"/>
    <w:multiLevelType w:val="hybridMultilevel"/>
    <w:tmpl w:val="835036D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4346FD6"/>
    <w:multiLevelType w:val="multilevel"/>
    <w:tmpl w:val="6CF0AA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63A0F40"/>
    <w:multiLevelType w:val="multilevel"/>
    <w:tmpl w:val="0405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nsid w:val="67F56939"/>
    <w:multiLevelType w:val="hybridMultilevel"/>
    <w:tmpl w:val="DB6C813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nsid w:val="68944DFC"/>
    <w:multiLevelType w:val="hybridMultilevel"/>
    <w:tmpl w:val="A1585A4C"/>
    <w:lvl w:ilvl="0" w:tplc="32EA916E">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AF20542"/>
    <w:multiLevelType w:val="hybridMultilevel"/>
    <w:tmpl w:val="EA60EEDA"/>
    <w:lvl w:ilvl="0" w:tplc="6BE8420A">
      <w:start w:val="1"/>
      <w:numFmt w:val="decimal"/>
      <w:pStyle w:val="Caption"/>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B3A6383"/>
    <w:multiLevelType w:val="hybridMultilevel"/>
    <w:tmpl w:val="841CCA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C02469A"/>
    <w:multiLevelType w:val="hybridMultilevel"/>
    <w:tmpl w:val="40205E0A"/>
    <w:lvl w:ilvl="0" w:tplc="3A36AB4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2033A14"/>
    <w:multiLevelType w:val="hybridMultilevel"/>
    <w:tmpl w:val="871EEF02"/>
    <w:lvl w:ilvl="0" w:tplc="4B127C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0947CC"/>
    <w:multiLevelType w:val="hybridMultilevel"/>
    <w:tmpl w:val="27C8A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4AF2DEB"/>
    <w:multiLevelType w:val="hybridMultilevel"/>
    <w:tmpl w:val="7C924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5DC4ACB"/>
    <w:multiLevelType w:val="hybridMultilevel"/>
    <w:tmpl w:val="1E38C536"/>
    <w:lvl w:ilvl="0" w:tplc="D6DEC10E">
      <w:start w:val="1"/>
      <w:numFmt w:val="bullet"/>
      <w:pStyle w:val="Odrky"/>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5">
    <w:nsid w:val="792E3C55"/>
    <w:multiLevelType w:val="hybridMultilevel"/>
    <w:tmpl w:val="6CE2B7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A8195F"/>
    <w:multiLevelType w:val="hybridMultilevel"/>
    <w:tmpl w:val="12D4B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543530"/>
    <w:multiLevelType w:val="multilevel"/>
    <w:tmpl w:val="017E7A2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8"/>
  </w:num>
  <w:num w:numId="12">
    <w:abstractNumId w:val="35"/>
  </w:num>
  <w:num w:numId="13">
    <w:abstractNumId w:val="29"/>
  </w:num>
  <w:num w:numId="14">
    <w:abstractNumId w:val="40"/>
  </w:num>
  <w:num w:numId="15">
    <w:abstractNumId w:val="44"/>
  </w:num>
  <w:num w:numId="16">
    <w:abstractNumId w:val="25"/>
  </w:num>
  <w:num w:numId="17">
    <w:abstractNumId w:val="11"/>
  </w:num>
  <w:num w:numId="18">
    <w:abstractNumId w:val="18"/>
  </w:num>
  <w:num w:numId="19">
    <w:abstractNumId w:val="45"/>
  </w:num>
  <w:num w:numId="20">
    <w:abstractNumId w:val="27"/>
  </w:num>
  <w:num w:numId="21">
    <w:abstractNumId w:val="14"/>
  </w:num>
  <w:num w:numId="22">
    <w:abstractNumId w:val="42"/>
  </w:num>
  <w:num w:numId="23">
    <w:abstractNumId w:val="12"/>
  </w:num>
  <w:num w:numId="24">
    <w:abstractNumId w:val="43"/>
  </w:num>
  <w:num w:numId="25">
    <w:abstractNumId w:val="15"/>
  </w:num>
  <w:num w:numId="26">
    <w:abstractNumId w:val="17"/>
  </w:num>
  <w:num w:numId="27">
    <w:abstractNumId w:val="46"/>
  </w:num>
  <w:num w:numId="28">
    <w:abstractNumId w:val="23"/>
  </w:num>
  <w:num w:numId="29">
    <w:abstractNumId w:val="37"/>
  </w:num>
  <w:num w:numId="30">
    <w:abstractNumId w:val="21"/>
  </w:num>
  <w:num w:numId="31">
    <w:abstractNumId w:val="31"/>
  </w:num>
  <w:num w:numId="32">
    <w:abstractNumId w:val="41"/>
  </w:num>
  <w:num w:numId="33">
    <w:abstractNumId w:val="13"/>
  </w:num>
  <w:num w:numId="34">
    <w:abstractNumId w:val="36"/>
  </w:num>
  <w:num w:numId="35">
    <w:abstractNumId w:val="47"/>
  </w:num>
  <w:num w:numId="36">
    <w:abstractNumId w:val="10"/>
  </w:num>
  <w:num w:numId="37">
    <w:abstractNumId w:val="33"/>
  </w:num>
  <w:num w:numId="38">
    <w:abstractNumId w:val="24"/>
  </w:num>
  <w:num w:numId="39">
    <w:abstractNumId w:val="19"/>
  </w:num>
  <w:num w:numId="40">
    <w:abstractNumId w:val="32"/>
  </w:num>
  <w:num w:numId="41">
    <w:abstractNumId w:val="34"/>
  </w:num>
  <w:num w:numId="42">
    <w:abstractNumId w:val="28"/>
  </w:num>
  <w:num w:numId="43">
    <w:abstractNumId w:val="39"/>
  </w:num>
  <w:num w:numId="44">
    <w:abstractNumId w:val="26"/>
  </w:num>
  <w:num w:numId="45">
    <w:abstractNumId w:val="16"/>
  </w:num>
  <w:num w:numId="46">
    <w:abstractNumId w:val="22"/>
  </w:num>
  <w:num w:numId="47">
    <w:abstractNumId w:val="20"/>
  </w:num>
  <w:num w:numId="48">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F">
    <w15:presenceInfo w15:providerId="None" w15:userId="P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AE5"/>
    <w:rsid w:val="00002AA8"/>
    <w:rsid w:val="00002DA7"/>
    <w:rsid w:val="00003523"/>
    <w:rsid w:val="00004CF9"/>
    <w:rsid w:val="000053C2"/>
    <w:rsid w:val="00005883"/>
    <w:rsid w:val="00006840"/>
    <w:rsid w:val="000068A4"/>
    <w:rsid w:val="00006EB2"/>
    <w:rsid w:val="00007B29"/>
    <w:rsid w:val="00011319"/>
    <w:rsid w:val="00011C63"/>
    <w:rsid w:val="00013C68"/>
    <w:rsid w:val="00014140"/>
    <w:rsid w:val="0001500F"/>
    <w:rsid w:val="000161AA"/>
    <w:rsid w:val="00017E3A"/>
    <w:rsid w:val="00020F71"/>
    <w:rsid w:val="00021938"/>
    <w:rsid w:val="00023E19"/>
    <w:rsid w:val="0002435D"/>
    <w:rsid w:val="000264F6"/>
    <w:rsid w:val="00026D6A"/>
    <w:rsid w:val="000277C8"/>
    <w:rsid w:val="0003160A"/>
    <w:rsid w:val="000330D2"/>
    <w:rsid w:val="00034CB4"/>
    <w:rsid w:val="00036438"/>
    <w:rsid w:val="00040C81"/>
    <w:rsid w:val="00043CA4"/>
    <w:rsid w:val="000502A8"/>
    <w:rsid w:val="00050F05"/>
    <w:rsid w:val="00051067"/>
    <w:rsid w:val="0005348F"/>
    <w:rsid w:val="00056022"/>
    <w:rsid w:val="000616E1"/>
    <w:rsid w:val="0006205E"/>
    <w:rsid w:val="00062A88"/>
    <w:rsid w:val="000631D3"/>
    <w:rsid w:val="000633C3"/>
    <w:rsid w:val="00063DAA"/>
    <w:rsid w:val="00064F87"/>
    <w:rsid w:val="000651D4"/>
    <w:rsid w:val="00066E6C"/>
    <w:rsid w:val="00067F30"/>
    <w:rsid w:val="000723C9"/>
    <w:rsid w:val="000736FF"/>
    <w:rsid w:val="00074C99"/>
    <w:rsid w:val="00075918"/>
    <w:rsid w:val="00076CC9"/>
    <w:rsid w:val="000808A2"/>
    <w:rsid w:val="00081CAD"/>
    <w:rsid w:val="0008239E"/>
    <w:rsid w:val="00082AC4"/>
    <w:rsid w:val="00083CD3"/>
    <w:rsid w:val="00090899"/>
    <w:rsid w:val="000909E2"/>
    <w:rsid w:val="00092C4C"/>
    <w:rsid w:val="00096B39"/>
    <w:rsid w:val="000A1652"/>
    <w:rsid w:val="000A19F3"/>
    <w:rsid w:val="000A37DB"/>
    <w:rsid w:val="000A6E3A"/>
    <w:rsid w:val="000B15F3"/>
    <w:rsid w:val="000B32AF"/>
    <w:rsid w:val="000B3C50"/>
    <w:rsid w:val="000B5830"/>
    <w:rsid w:val="000B5BCF"/>
    <w:rsid w:val="000B680B"/>
    <w:rsid w:val="000B693E"/>
    <w:rsid w:val="000B7B67"/>
    <w:rsid w:val="000C000E"/>
    <w:rsid w:val="000C0509"/>
    <w:rsid w:val="000C0CC7"/>
    <w:rsid w:val="000C14D4"/>
    <w:rsid w:val="000C43BC"/>
    <w:rsid w:val="000C4457"/>
    <w:rsid w:val="000C7C62"/>
    <w:rsid w:val="000C7CD9"/>
    <w:rsid w:val="000D01EE"/>
    <w:rsid w:val="000D2B4C"/>
    <w:rsid w:val="000D5E8E"/>
    <w:rsid w:val="000D672B"/>
    <w:rsid w:val="000D6DE1"/>
    <w:rsid w:val="000D752D"/>
    <w:rsid w:val="000D7C8C"/>
    <w:rsid w:val="000E0631"/>
    <w:rsid w:val="000E1338"/>
    <w:rsid w:val="000E2FF3"/>
    <w:rsid w:val="000E30F6"/>
    <w:rsid w:val="000E40E3"/>
    <w:rsid w:val="000E5FE8"/>
    <w:rsid w:val="000E657F"/>
    <w:rsid w:val="000E7D8D"/>
    <w:rsid w:val="000F085D"/>
    <w:rsid w:val="000F2AA0"/>
    <w:rsid w:val="000F37D8"/>
    <w:rsid w:val="000F4D1A"/>
    <w:rsid w:val="000F5D5E"/>
    <w:rsid w:val="000F683D"/>
    <w:rsid w:val="000F6B8D"/>
    <w:rsid w:val="000F7AC9"/>
    <w:rsid w:val="000F7D09"/>
    <w:rsid w:val="001020AD"/>
    <w:rsid w:val="001025BB"/>
    <w:rsid w:val="00110251"/>
    <w:rsid w:val="0011430D"/>
    <w:rsid w:val="0011695B"/>
    <w:rsid w:val="00117887"/>
    <w:rsid w:val="00120B15"/>
    <w:rsid w:val="001214F7"/>
    <w:rsid w:val="001235DF"/>
    <w:rsid w:val="001250FB"/>
    <w:rsid w:val="0012517E"/>
    <w:rsid w:val="001267E5"/>
    <w:rsid w:val="0013062E"/>
    <w:rsid w:val="00132B25"/>
    <w:rsid w:val="00132CEB"/>
    <w:rsid w:val="00133B9B"/>
    <w:rsid w:val="001375CC"/>
    <w:rsid w:val="0014020A"/>
    <w:rsid w:val="00140E93"/>
    <w:rsid w:val="001434BE"/>
    <w:rsid w:val="001437D9"/>
    <w:rsid w:val="001463B0"/>
    <w:rsid w:val="00147118"/>
    <w:rsid w:val="0015207B"/>
    <w:rsid w:val="001549A7"/>
    <w:rsid w:val="00154DA9"/>
    <w:rsid w:val="00157D82"/>
    <w:rsid w:val="0016228D"/>
    <w:rsid w:val="001628C7"/>
    <w:rsid w:val="0016408A"/>
    <w:rsid w:val="001650A5"/>
    <w:rsid w:val="0016536E"/>
    <w:rsid w:val="0016681F"/>
    <w:rsid w:val="00166F7C"/>
    <w:rsid w:val="00170C73"/>
    <w:rsid w:val="00171830"/>
    <w:rsid w:val="00172709"/>
    <w:rsid w:val="001753A8"/>
    <w:rsid w:val="001771E2"/>
    <w:rsid w:val="001771E7"/>
    <w:rsid w:val="001814B5"/>
    <w:rsid w:val="00181E37"/>
    <w:rsid w:val="00182684"/>
    <w:rsid w:val="00182A8E"/>
    <w:rsid w:val="00183A22"/>
    <w:rsid w:val="00183E1F"/>
    <w:rsid w:val="00184D74"/>
    <w:rsid w:val="00185120"/>
    <w:rsid w:val="00190BCB"/>
    <w:rsid w:val="00190BE5"/>
    <w:rsid w:val="00192583"/>
    <w:rsid w:val="001930FD"/>
    <w:rsid w:val="001935FE"/>
    <w:rsid w:val="00193933"/>
    <w:rsid w:val="00194DA7"/>
    <w:rsid w:val="00195C66"/>
    <w:rsid w:val="00197D53"/>
    <w:rsid w:val="00197E70"/>
    <w:rsid w:val="00197F79"/>
    <w:rsid w:val="001A0A0E"/>
    <w:rsid w:val="001A5FF6"/>
    <w:rsid w:val="001A6CCC"/>
    <w:rsid w:val="001A78D7"/>
    <w:rsid w:val="001B03DB"/>
    <w:rsid w:val="001B06AE"/>
    <w:rsid w:val="001B4690"/>
    <w:rsid w:val="001B59D9"/>
    <w:rsid w:val="001B6097"/>
    <w:rsid w:val="001C0298"/>
    <w:rsid w:val="001C54E9"/>
    <w:rsid w:val="001C5687"/>
    <w:rsid w:val="001C7E33"/>
    <w:rsid w:val="001D06FB"/>
    <w:rsid w:val="001D0892"/>
    <w:rsid w:val="001D1253"/>
    <w:rsid w:val="001D160A"/>
    <w:rsid w:val="001D3492"/>
    <w:rsid w:val="001D3CC8"/>
    <w:rsid w:val="001D57BE"/>
    <w:rsid w:val="001D6DAB"/>
    <w:rsid w:val="001E0E8B"/>
    <w:rsid w:val="001E1C85"/>
    <w:rsid w:val="001E1D69"/>
    <w:rsid w:val="001E1E7A"/>
    <w:rsid w:val="001E2049"/>
    <w:rsid w:val="001E41C2"/>
    <w:rsid w:val="001E54D5"/>
    <w:rsid w:val="001E646A"/>
    <w:rsid w:val="001E7BD9"/>
    <w:rsid w:val="001F02D1"/>
    <w:rsid w:val="001F06B7"/>
    <w:rsid w:val="001F12C6"/>
    <w:rsid w:val="001F17B8"/>
    <w:rsid w:val="001F26D7"/>
    <w:rsid w:val="001F50A4"/>
    <w:rsid w:val="001F6053"/>
    <w:rsid w:val="00200842"/>
    <w:rsid w:val="00202F04"/>
    <w:rsid w:val="00204149"/>
    <w:rsid w:val="00204179"/>
    <w:rsid w:val="0021112E"/>
    <w:rsid w:val="0021389A"/>
    <w:rsid w:val="00217894"/>
    <w:rsid w:val="00220DFC"/>
    <w:rsid w:val="00222FB7"/>
    <w:rsid w:val="00223100"/>
    <w:rsid w:val="00224FCD"/>
    <w:rsid w:val="00227CA1"/>
    <w:rsid w:val="002308E0"/>
    <w:rsid w:val="00233FF6"/>
    <w:rsid w:val="002340B6"/>
    <w:rsid w:val="00235CD7"/>
    <w:rsid w:val="00240D2F"/>
    <w:rsid w:val="00240F1D"/>
    <w:rsid w:val="0024333F"/>
    <w:rsid w:val="00243347"/>
    <w:rsid w:val="00244A4D"/>
    <w:rsid w:val="00244CFD"/>
    <w:rsid w:val="00245677"/>
    <w:rsid w:val="002457E6"/>
    <w:rsid w:val="00245FE5"/>
    <w:rsid w:val="00246C6F"/>
    <w:rsid w:val="002477EC"/>
    <w:rsid w:val="002479F6"/>
    <w:rsid w:val="00250E6C"/>
    <w:rsid w:val="002511EA"/>
    <w:rsid w:val="00252903"/>
    <w:rsid w:val="00253809"/>
    <w:rsid w:val="0025383D"/>
    <w:rsid w:val="00254D93"/>
    <w:rsid w:val="00256A54"/>
    <w:rsid w:val="00257265"/>
    <w:rsid w:val="00261B0F"/>
    <w:rsid w:val="002632B6"/>
    <w:rsid w:val="002638AF"/>
    <w:rsid w:val="0026587F"/>
    <w:rsid w:val="00266699"/>
    <w:rsid w:val="00267DE2"/>
    <w:rsid w:val="0027102D"/>
    <w:rsid w:val="002713E7"/>
    <w:rsid w:val="0027245F"/>
    <w:rsid w:val="00272F29"/>
    <w:rsid w:val="00275187"/>
    <w:rsid w:val="00275F2F"/>
    <w:rsid w:val="00282B2A"/>
    <w:rsid w:val="002854A3"/>
    <w:rsid w:val="00287F08"/>
    <w:rsid w:val="00290B36"/>
    <w:rsid w:val="00293CB1"/>
    <w:rsid w:val="00295D33"/>
    <w:rsid w:val="00297C7D"/>
    <w:rsid w:val="002A0013"/>
    <w:rsid w:val="002A0C4A"/>
    <w:rsid w:val="002A10E2"/>
    <w:rsid w:val="002A2A93"/>
    <w:rsid w:val="002A4028"/>
    <w:rsid w:val="002A42CF"/>
    <w:rsid w:val="002A59D2"/>
    <w:rsid w:val="002A5D99"/>
    <w:rsid w:val="002A778B"/>
    <w:rsid w:val="002B5D92"/>
    <w:rsid w:val="002B646B"/>
    <w:rsid w:val="002B7B6E"/>
    <w:rsid w:val="002C0BF3"/>
    <w:rsid w:val="002C3B2B"/>
    <w:rsid w:val="002C4094"/>
    <w:rsid w:val="002C4D3C"/>
    <w:rsid w:val="002C5710"/>
    <w:rsid w:val="002C5831"/>
    <w:rsid w:val="002C5B72"/>
    <w:rsid w:val="002C680C"/>
    <w:rsid w:val="002C760E"/>
    <w:rsid w:val="002C7A08"/>
    <w:rsid w:val="002D0CC1"/>
    <w:rsid w:val="002D12E0"/>
    <w:rsid w:val="002D465C"/>
    <w:rsid w:val="002D5080"/>
    <w:rsid w:val="002D5772"/>
    <w:rsid w:val="002D78D6"/>
    <w:rsid w:val="002E1DF3"/>
    <w:rsid w:val="002E2A1C"/>
    <w:rsid w:val="002E2E3D"/>
    <w:rsid w:val="002E4CFE"/>
    <w:rsid w:val="002E6235"/>
    <w:rsid w:val="002E6587"/>
    <w:rsid w:val="002E6BE6"/>
    <w:rsid w:val="002F1667"/>
    <w:rsid w:val="002F3603"/>
    <w:rsid w:val="002F5715"/>
    <w:rsid w:val="002F6684"/>
    <w:rsid w:val="002F722F"/>
    <w:rsid w:val="002F7391"/>
    <w:rsid w:val="003013E1"/>
    <w:rsid w:val="00302178"/>
    <w:rsid w:val="00302D24"/>
    <w:rsid w:val="00303291"/>
    <w:rsid w:val="00304729"/>
    <w:rsid w:val="0030661B"/>
    <w:rsid w:val="00307E50"/>
    <w:rsid w:val="00311FC4"/>
    <w:rsid w:val="00312D04"/>
    <w:rsid w:val="00312DBE"/>
    <w:rsid w:val="00314348"/>
    <w:rsid w:val="00314C56"/>
    <w:rsid w:val="003155FB"/>
    <w:rsid w:val="00316434"/>
    <w:rsid w:val="0031773A"/>
    <w:rsid w:val="003177BA"/>
    <w:rsid w:val="0031781D"/>
    <w:rsid w:val="0032121E"/>
    <w:rsid w:val="0032578E"/>
    <w:rsid w:val="00327172"/>
    <w:rsid w:val="00330FA2"/>
    <w:rsid w:val="00333962"/>
    <w:rsid w:val="003342A4"/>
    <w:rsid w:val="00335279"/>
    <w:rsid w:val="003360BF"/>
    <w:rsid w:val="00336DE1"/>
    <w:rsid w:val="003401AD"/>
    <w:rsid w:val="00341BFC"/>
    <w:rsid w:val="00342499"/>
    <w:rsid w:val="00342C63"/>
    <w:rsid w:val="003437AC"/>
    <w:rsid w:val="00344DB4"/>
    <w:rsid w:val="00345E28"/>
    <w:rsid w:val="00350DF7"/>
    <w:rsid w:val="00350FC7"/>
    <w:rsid w:val="00354E03"/>
    <w:rsid w:val="0035613B"/>
    <w:rsid w:val="00357666"/>
    <w:rsid w:val="00357E0E"/>
    <w:rsid w:val="00360C1C"/>
    <w:rsid w:val="00363222"/>
    <w:rsid w:val="0036342D"/>
    <w:rsid w:val="00367AAC"/>
    <w:rsid w:val="003716DD"/>
    <w:rsid w:val="00371865"/>
    <w:rsid w:val="00371E07"/>
    <w:rsid w:val="00373EB5"/>
    <w:rsid w:val="003749EB"/>
    <w:rsid w:val="00375B41"/>
    <w:rsid w:val="003766ED"/>
    <w:rsid w:val="00380A66"/>
    <w:rsid w:val="00381392"/>
    <w:rsid w:val="00382930"/>
    <w:rsid w:val="0038398C"/>
    <w:rsid w:val="00390DE2"/>
    <w:rsid w:val="00391B62"/>
    <w:rsid w:val="00392753"/>
    <w:rsid w:val="00397393"/>
    <w:rsid w:val="00397495"/>
    <w:rsid w:val="003A039C"/>
    <w:rsid w:val="003A0F78"/>
    <w:rsid w:val="003A1731"/>
    <w:rsid w:val="003A1891"/>
    <w:rsid w:val="003A3D90"/>
    <w:rsid w:val="003A5B2A"/>
    <w:rsid w:val="003A6018"/>
    <w:rsid w:val="003A71FF"/>
    <w:rsid w:val="003A7AE6"/>
    <w:rsid w:val="003B00B7"/>
    <w:rsid w:val="003B0AE4"/>
    <w:rsid w:val="003B0DDA"/>
    <w:rsid w:val="003B1CF8"/>
    <w:rsid w:val="003B2F41"/>
    <w:rsid w:val="003B528B"/>
    <w:rsid w:val="003B53DB"/>
    <w:rsid w:val="003B6DED"/>
    <w:rsid w:val="003B6E7F"/>
    <w:rsid w:val="003B6F0D"/>
    <w:rsid w:val="003B7CB8"/>
    <w:rsid w:val="003C0369"/>
    <w:rsid w:val="003C1491"/>
    <w:rsid w:val="003C2F51"/>
    <w:rsid w:val="003C7EE2"/>
    <w:rsid w:val="003D10F6"/>
    <w:rsid w:val="003D36EF"/>
    <w:rsid w:val="003D4681"/>
    <w:rsid w:val="003D638F"/>
    <w:rsid w:val="003D646C"/>
    <w:rsid w:val="003D6CB6"/>
    <w:rsid w:val="003E04C3"/>
    <w:rsid w:val="003E0CCF"/>
    <w:rsid w:val="003E28ED"/>
    <w:rsid w:val="003E3020"/>
    <w:rsid w:val="003E4AAF"/>
    <w:rsid w:val="003E5687"/>
    <w:rsid w:val="003E58DE"/>
    <w:rsid w:val="003E5C4B"/>
    <w:rsid w:val="003E74E2"/>
    <w:rsid w:val="003E7856"/>
    <w:rsid w:val="003F0BEF"/>
    <w:rsid w:val="003F3580"/>
    <w:rsid w:val="003F3C0B"/>
    <w:rsid w:val="003F5A3D"/>
    <w:rsid w:val="003F5FBC"/>
    <w:rsid w:val="00400F1E"/>
    <w:rsid w:val="00400FDD"/>
    <w:rsid w:val="00401E96"/>
    <w:rsid w:val="00402A91"/>
    <w:rsid w:val="0040437B"/>
    <w:rsid w:val="00404B59"/>
    <w:rsid w:val="00405472"/>
    <w:rsid w:val="00405F47"/>
    <w:rsid w:val="00405FBF"/>
    <w:rsid w:val="0040672C"/>
    <w:rsid w:val="00406B93"/>
    <w:rsid w:val="00410B37"/>
    <w:rsid w:val="00411239"/>
    <w:rsid w:val="00412461"/>
    <w:rsid w:val="0041788E"/>
    <w:rsid w:val="00420CFA"/>
    <w:rsid w:val="00423191"/>
    <w:rsid w:val="00424ACF"/>
    <w:rsid w:val="00425D3B"/>
    <w:rsid w:val="00434EAB"/>
    <w:rsid w:val="0043711F"/>
    <w:rsid w:val="004409F9"/>
    <w:rsid w:val="00444D7F"/>
    <w:rsid w:val="00444E25"/>
    <w:rsid w:val="00447263"/>
    <w:rsid w:val="00455AA3"/>
    <w:rsid w:val="004563A0"/>
    <w:rsid w:val="00457F22"/>
    <w:rsid w:val="00457FD8"/>
    <w:rsid w:val="00462916"/>
    <w:rsid w:val="00463CC0"/>
    <w:rsid w:val="00463CC3"/>
    <w:rsid w:val="00467100"/>
    <w:rsid w:val="004707F4"/>
    <w:rsid w:val="0047143B"/>
    <w:rsid w:val="00472245"/>
    <w:rsid w:val="00472849"/>
    <w:rsid w:val="0047287A"/>
    <w:rsid w:val="00472CDD"/>
    <w:rsid w:val="00473554"/>
    <w:rsid w:val="00474411"/>
    <w:rsid w:val="00475EBF"/>
    <w:rsid w:val="00475FAA"/>
    <w:rsid w:val="0047775D"/>
    <w:rsid w:val="00480291"/>
    <w:rsid w:val="00480912"/>
    <w:rsid w:val="00481F6D"/>
    <w:rsid w:val="00482E98"/>
    <w:rsid w:val="00483F75"/>
    <w:rsid w:val="0048465B"/>
    <w:rsid w:val="004908E0"/>
    <w:rsid w:val="00493D8C"/>
    <w:rsid w:val="00493EC8"/>
    <w:rsid w:val="00494010"/>
    <w:rsid w:val="00495AD1"/>
    <w:rsid w:val="00495C9B"/>
    <w:rsid w:val="004961DE"/>
    <w:rsid w:val="00497010"/>
    <w:rsid w:val="004A291A"/>
    <w:rsid w:val="004A32FD"/>
    <w:rsid w:val="004B1533"/>
    <w:rsid w:val="004B4227"/>
    <w:rsid w:val="004B6037"/>
    <w:rsid w:val="004B6972"/>
    <w:rsid w:val="004B70D4"/>
    <w:rsid w:val="004B7164"/>
    <w:rsid w:val="004B7F61"/>
    <w:rsid w:val="004C04B3"/>
    <w:rsid w:val="004C2A6E"/>
    <w:rsid w:val="004C3BC8"/>
    <w:rsid w:val="004C485D"/>
    <w:rsid w:val="004C7E11"/>
    <w:rsid w:val="004D0707"/>
    <w:rsid w:val="004D0C9B"/>
    <w:rsid w:val="004D103E"/>
    <w:rsid w:val="004D4197"/>
    <w:rsid w:val="004D4585"/>
    <w:rsid w:val="004D4B3E"/>
    <w:rsid w:val="004D6755"/>
    <w:rsid w:val="004E0D23"/>
    <w:rsid w:val="004E184F"/>
    <w:rsid w:val="004E19B0"/>
    <w:rsid w:val="004E21A5"/>
    <w:rsid w:val="004F21A5"/>
    <w:rsid w:val="004F35D4"/>
    <w:rsid w:val="004F4580"/>
    <w:rsid w:val="004F49DB"/>
    <w:rsid w:val="004F52E1"/>
    <w:rsid w:val="004F5F33"/>
    <w:rsid w:val="004F7ADE"/>
    <w:rsid w:val="00501CD0"/>
    <w:rsid w:val="005021DA"/>
    <w:rsid w:val="00504E7F"/>
    <w:rsid w:val="00505F59"/>
    <w:rsid w:val="00506854"/>
    <w:rsid w:val="00506C9D"/>
    <w:rsid w:val="00507C98"/>
    <w:rsid w:val="00511AA3"/>
    <w:rsid w:val="00511DF4"/>
    <w:rsid w:val="005132AA"/>
    <w:rsid w:val="00514017"/>
    <w:rsid w:val="00515193"/>
    <w:rsid w:val="00515343"/>
    <w:rsid w:val="005208A0"/>
    <w:rsid w:val="00520C13"/>
    <w:rsid w:val="0052583A"/>
    <w:rsid w:val="00526674"/>
    <w:rsid w:val="00531923"/>
    <w:rsid w:val="0053229C"/>
    <w:rsid w:val="0053498B"/>
    <w:rsid w:val="005364FD"/>
    <w:rsid w:val="0053675C"/>
    <w:rsid w:val="00542CEA"/>
    <w:rsid w:val="00545424"/>
    <w:rsid w:val="00545E04"/>
    <w:rsid w:val="005474DE"/>
    <w:rsid w:val="00550322"/>
    <w:rsid w:val="00552C31"/>
    <w:rsid w:val="00553663"/>
    <w:rsid w:val="00556D1A"/>
    <w:rsid w:val="00560B02"/>
    <w:rsid w:val="005610D7"/>
    <w:rsid w:val="00562223"/>
    <w:rsid w:val="00562ABC"/>
    <w:rsid w:val="00562F61"/>
    <w:rsid w:val="00563102"/>
    <w:rsid w:val="005638C0"/>
    <w:rsid w:val="00573561"/>
    <w:rsid w:val="00573F09"/>
    <w:rsid w:val="00576EDD"/>
    <w:rsid w:val="00581FEB"/>
    <w:rsid w:val="0058381B"/>
    <w:rsid w:val="00583AD3"/>
    <w:rsid w:val="005843DF"/>
    <w:rsid w:val="005853E8"/>
    <w:rsid w:val="005869DE"/>
    <w:rsid w:val="00590EC8"/>
    <w:rsid w:val="0059245C"/>
    <w:rsid w:val="00592CD0"/>
    <w:rsid w:val="005931EB"/>
    <w:rsid w:val="00593CEA"/>
    <w:rsid w:val="00593EF8"/>
    <w:rsid w:val="005963B1"/>
    <w:rsid w:val="00596755"/>
    <w:rsid w:val="005A1A1C"/>
    <w:rsid w:val="005A210A"/>
    <w:rsid w:val="005A22B0"/>
    <w:rsid w:val="005A26BB"/>
    <w:rsid w:val="005A302B"/>
    <w:rsid w:val="005A3C6B"/>
    <w:rsid w:val="005B00E9"/>
    <w:rsid w:val="005B16A3"/>
    <w:rsid w:val="005B2339"/>
    <w:rsid w:val="005B3037"/>
    <w:rsid w:val="005B314C"/>
    <w:rsid w:val="005B574B"/>
    <w:rsid w:val="005B60A5"/>
    <w:rsid w:val="005B6C5B"/>
    <w:rsid w:val="005B7268"/>
    <w:rsid w:val="005C1B37"/>
    <w:rsid w:val="005C2194"/>
    <w:rsid w:val="005C2B81"/>
    <w:rsid w:val="005C4274"/>
    <w:rsid w:val="005C71CC"/>
    <w:rsid w:val="005C7DA9"/>
    <w:rsid w:val="005D041D"/>
    <w:rsid w:val="005D0E3A"/>
    <w:rsid w:val="005D3B13"/>
    <w:rsid w:val="005D4D5A"/>
    <w:rsid w:val="005D563E"/>
    <w:rsid w:val="005D74FA"/>
    <w:rsid w:val="005E1F40"/>
    <w:rsid w:val="005E4AB7"/>
    <w:rsid w:val="005E5368"/>
    <w:rsid w:val="005E7B50"/>
    <w:rsid w:val="005F0031"/>
    <w:rsid w:val="005F02BD"/>
    <w:rsid w:val="005F04B1"/>
    <w:rsid w:val="005F07A9"/>
    <w:rsid w:val="005F0D77"/>
    <w:rsid w:val="005F16A3"/>
    <w:rsid w:val="005F264B"/>
    <w:rsid w:val="005F5DBF"/>
    <w:rsid w:val="005F7B25"/>
    <w:rsid w:val="005F7DDB"/>
    <w:rsid w:val="00601712"/>
    <w:rsid w:val="00601F01"/>
    <w:rsid w:val="006021A8"/>
    <w:rsid w:val="00606B71"/>
    <w:rsid w:val="006070F5"/>
    <w:rsid w:val="00610FF0"/>
    <w:rsid w:val="0061118E"/>
    <w:rsid w:val="00613829"/>
    <w:rsid w:val="006139B4"/>
    <w:rsid w:val="00615A1C"/>
    <w:rsid w:val="00620954"/>
    <w:rsid w:val="006210F2"/>
    <w:rsid w:val="00621325"/>
    <w:rsid w:val="00621A53"/>
    <w:rsid w:val="00621E62"/>
    <w:rsid w:val="00622860"/>
    <w:rsid w:val="00623E07"/>
    <w:rsid w:val="0062417A"/>
    <w:rsid w:val="006246A3"/>
    <w:rsid w:val="0062559C"/>
    <w:rsid w:val="006309FE"/>
    <w:rsid w:val="00635131"/>
    <w:rsid w:val="006358DB"/>
    <w:rsid w:val="0063596F"/>
    <w:rsid w:val="006406B4"/>
    <w:rsid w:val="00640EED"/>
    <w:rsid w:val="006420B1"/>
    <w:rsid w:val="00642258"/>
    <w:rsid w:val="00644FA7"/>
    <w:rsid w:val="0064614B"/>
    <w:rsid w:val="00647649"/>
    <w:rsid w:val="0065100A"/>
    <w:rsid w:val="00651409"/>
    <w:rsid w:val="006514E4"/>
    <w:rsid w:val="00651E54"/>
    <w:rsid w:val="006526C6"/>
    <w:rsid w:val="00652DED"/>
    <w:rsid w:val="006540B6"/>
    <w:rsid w:val="00654CBD"/>
    <w:rsid w:val="00661885"/>
    <w:rsid w:val="006633E0"/>
    <w:rsid w:val="00663802"/>
    <w:rsid w:val="0066630B"/>
    <w:rsid w:val="0066731E"/>
    <w:rsid w:val="006673B1"/>
    <w:rsid w:val="0067035B"/>
    <w:rsid w:val="006724C9"/>
    <w:rsid w:val="00672E1F"/>
    <w:rsid w:val="006753D3"/>
    <w:rsid w:val="0067706D"/>
    <w:rsid w:val="006824C2"/>
    <w:rsid w:val="00685ECB"/>
    <w:rsid w:val="0068617C"/>
    <w:rsid w:val="006869D5"/>
    <w:rsid w:val="0069294F"/>
    <w:rsid w:val="006937D0"/>
    <w:rsid w:val="006A40DA"/>
    <w:rsid w:val="006A570A"/>
    <w:rsid w:val="006A6A08"/>
    <w:rsid w:val="006A778C"/>
    <w:rsid w:val="006B2919"/>
    <w:rsid w:val="006B4679"/>
    <w:rsid w:val="006B5A49"/>
    <w:rsid w:val="006B7678"/>
    <w:rsid w:val="006C2D1F"/>
    <w:rsid w:val="006C541C"/>
    <w:rsid w:val="006C79AD"/>
    <w:rsid w:val="006D099F"/>
    <w:rsid w:val="006D13A2"/>
    <w:rsid w:val="006D2F0E"/>
    <w:rsid w:val="006D3E6E"/>
    <w:rsid w:val="006D4444"/>
    <w:rsid w:val="006D588B"/>
    <w:rsid w:val="006D76A9"/>
    <w:rsid w:val="006D7ADF"/>
    <w:rsid w:val="006E0076"/>
    <w:rsid w:val="006E357B"/>
    <w:rsid w:val="006E48FE"/>
    <w:rsid w:val="006E5245"/>
    <w:rsid w:val="006F04BA"/>
    <w:rsid w:val="006F4BE9"/>
    <w:rsid w:val="006F4C67"/>
    <w:rsid w:val="006F7140"/>
    <w:rsid w:val="00702089"/>
    <w:rsid w:val="00704C31"/>
    <w:rsid w:val="007070A3"/>
    <w:rsid w:val="0071044C"/>
    <w:rsid w:val="00710A58"/>
    <w:rsid w:val="00710A80"/>
    <w:rsid w:val="00710C0B"/>
    <w:rsid w:val="00710DA5"/>
    <w:rsid w:val="00710EA1"/>
    <w:rsid w:val="00711961"/>
    <w:rsid w:val="00711A28"/>
    <w:rsid w:val="00713293"/>
    <w:rsid w:val="007134A5"/>
    <w:rsid w:val="007144D8"/>
    <w:rsid w:val="00714A0F"/>
    <w:rsid w:val="007153F0"/>
    <w:rsid w:val="00720C96"/>
    <w:rsid w:val="00722541"/>
    <w:rsid w:val="007243E7"/>
    <w:rsid w:val="0072452D"/>
    <w:rsid w:val="00724975"/>
    <w:rsid w:val="00724C90"/>
    <w:rsid w:val="00727A66"/>
    <w:rsid w:val="0073083E"/>
    <w:rsid w:val="00730E0F"/>
    <w:rsid w:val="0073314A"/>
    <w:rsid w:val="00737FCB"/>
    <w:rsid w:val="00740896"/>
    <w:rsid w:val="00741FE5"/>
    <w:rsid w:val="00743FC0"/>
    <w:rsid w:val="00745884"/>
    <w:rsid w:val="007458EA"/>
    <w:rsid w:val="00746248"/>
    <w:rsid w:val="0074748A"/>
    <w:rsid w:val="0074799B"/>
    <w:rsid w:val="00747DAC"/>
    <w:rsid w:val="00747F0B"/>
    <w:rsid w:val="0075131D"/>
    <w:rsid w:val="0075318E"/>
    <w:rsid w:val="0075359B"/>
    <w:rsid w:val="00754434"/>
    <w:rsid w:val="00754AAB"/>
    <w:rsid w:val="007560AA"/>
    <w:rsid w:val="00757188"/>
    <w:rsid w:val="00757807"/>
    <w:rsid w:val="007622E2"/>
    <w:rsid w:val="00763886"/>
    <w:rsid w:val="00763B5B"/>
    <w:rsid w:val="0076588A"/>
    <w:rsid w:val="007665F6"/>
    <w:rsid w:val="00766899"/>
    <w:rsid w:val="00767E5B"/>
    <w:rsid w:val="0077037D"/>
    <w:rsid w:val="0077074A"/>
    <w:rsid w:val="00774D8B"/>
    <w:rsid w:val="0077521A"/>
    <w:rsid w:val="00775FA3"/>
    <w:rsid w:val="00781E5D"/>
    <w:rsid w:val="00783CB0"/>
    <w:rsid w:val="00786A51"/>
    <w:rsid w:val="0078746A"/>
    <w:rsid w:val="00793B05"/>
    <w:rsid w:val="00793BCC"/>
    <w:rsid w:val="00794409"/>
    <w:rsid w:val="007970EC"/>
    <w:rsid w:val="00797918"/>
    <w:rsid w:val="0079797F"/>
    <w:rsid w:val="007A0431"/>
    <w:rsid w:val="007A0A31"/>
    <w:rsid w:val="007A0DB6"/>
    <w:rsid w:val="007A1801"/>
    <w:rsid w:val="007A1B46"/>
    <w:rsid w:val="007A212B"/>
    <w:rsid w:val="007A212C"/>
    <w:rsid w:val="007A2D45"/>
    <w:rsid w:val="007A5B54"/>
    <w:rsid w:val="007A6194"/>
    <w:rsid w:val="007A7C04"/>
    <w:rsid w:val="007B2339"/>
    <w:rsid w:val="007B2DDC"/>
    <w:rsid w:val="007B3ABF"/>
    <w:rsid w:val="007B405F"/>
    <w:rsid w:val="007B7405"/>
    <w:rsid w:val="007C12D0"/>
    <w:rsid w:val="007C13A4"/>
    <w:rsid w:val="007C19A7"/>
    <w:rsid w:val="007C339D"/>
    <w:rsid w:val="007C3B49"/>
    <w:rsid w:val="007C4F8B"/>
    <w:rsid w:val="007C6870"/>
    <w:rsid w:val="007C7C3F"/>
    <w:rsid w:val="007C7C8A"/>
    <w:rsid w:val="007D0022"/>
    <w:rsid w:val="007D1B2F"/>
    <w:rsid w:val="007D38C6"/>
    <w:rsid w:val="007D3AE3"/>
    <w:rsid w:val="007D5ECF"/>
    <w:rsid w:val="007D7243"/>
    <w:rsid w:val="007E0C55"/>
    <w:rsid w:val="007E44E7"/>
    <w:rsid w:val="007E7DC9"/>
    <w:rsid w:val="007F00C1"/>
    <w:rsid w:val="007F10C0"/>
    <w:rsid w:val="007F16FE"/>
    <w:rsid w:val="007F1E2B"/>
    <w:rsid w:val="007F245C"/>
    <w:rsid w:val="007F2DBB"/>
    <w:rsid w:val="007F478C"/>
    <w:rsid w:val="007F5F8B"/>
    <w:rsid w:val="007F7F65"/>
    <w:rsid w:val="008003BA"/>
    <w:rsid w:val="008009C1"/>
    <w:rsid w:val="00806802"/>
    <w:rsid w:val="00806B14"/>
    <w:rsid w:val="00810B25"/>
    <w:rsid w:val="00813D29"/>
    <w:rsid w:val="00814251"/>
    <w:rsid w:val="00821D2E"/>
    <w:rsid w:val="008228CF"/>
    <w:rsid w:val="008232F8"/>
    <w:rsid w:val="00823AD1"/>
    <w:rsid w:val="00825A25"/>
    <w:rsid w:val="00826EF2"/>
    <w:rsid w:val="00832C1F"/>
    <w:rsid w:val="00835ECF"/>
    <w:rsid w:val="00843EB3"/>
    <w:rsid w:val="008441E4"/>
    <w:rsid w:val="008471B0"/>
    <w:rsid w:val="00850240"/>
    <w:rsid w:val="008513D0"/>
    <w:rsid w:val="008516CA"/>
    <w:rsid w:val="0085185A"/>
    <w:rsid w:val="008529E2"/>
    <w:rsid w:val="00853867"/>
    <w:rsid w:val="00854201"/>
    <w:rsid w:val="008561AC"/>
    <w:rsid w:val="00862048"/>
    <w:rsid w:val="008652F5"/>
    <w:rsid w:val="00866FF3"/>
    <w:rsid w:val="00870958"/>
    <w:rsid w:val="00871508"/>
    <w:rsid w:val="00871F79"/>
    <w:rsid w:val="008738BE"/>
    <w:rsid w:val="00874015"/>
    <w:rsid w:val="0087464F"/>
    <w:rsid w:val="0087466D"/>
    <w:rsid w:val="008816E3"/>
    <w:rsid w:val="00883957"/>
    <w:rsid w:val="00886BCB"/>
    <w:rsid w:val="0089020E"/>
    <w:rsid w:val="00890811"/>
    <w:rsid w:val="00890C05"/>
    <w:rsid w:val="00890E9E"/>
    <w:rsid w:val="00891C2E"/>
    <w:rsid w:val="008935B9"/>
    <w:rsid w:val="00894141"/>
    <w:rsid w:val="008A1262"/>
    <w:rsid w:val="008A174A"/>
    <w:rsid w:val="008A1C5D"/>
    <w:rsid w:val="008A1D1B"/>
    <w:rsid w:val="008A508A"/>
    <w:rsid w:val="008A53A0"/>
    <w:rsid w:val="008A53CE"/>
    <w:rsid w:val="008A743D"/>
    <w:rsid w:val="008B1D3E"/>
    <w:rsid w:val="008B48B2"/>
    <w:rsid w:val="008B4AEB"/>
    <w:rsid w:val="008B5795"/>
    <w:rsid w:val="008B583F"/>
    <w:rsid w:val="008B7258"/>
    <w:rsid w:val="008B7D9F"/>
    <w:rsid w:val="008C02AA"/>
    <w:rsid w:val="008C2570"/>
    <w:rsid w:val="008C2EF3"/>
    <w:rsid w:val="008C373C"/>
    <w:rsid w:val="008C3F92"/>
    <w:rsid w:val="008C4A12"/>
    <w:rsid w:val="008C4A73"/>
    <w:rsid w:val="008C4F17"/>
    <w:rsid w:val="008C5ECB"/>
    <w:rsid w:val="008C7195"/>
    <w:rsid w:val="008C72AD"/>
    <w:rsid w:val="008C799D"/>
    <w:rsid w:val="008C79C9"/>
    <w:rsid w:val="008C7D79"/>
    <w:rsid w:val="008D0D13"/>
    <w:rsid w:val="008D5BA6"/>
    <w:rsid w:val="008D7A9F"/>
    <w:rsid w:val="008D7F15"/>
    <w:rsid w:val="008E2F49"/>
    <w:rsid w:val="008E4315"/>
    <w:rsid w:val="008E571E"/>
    <w:rsid w:val="008E5EEB"/>
    <w:rsid w:val="008E7B14"/>
    <w:rsid w:val="008F023C"/>
    <w:rsid w:val="008F13CE"/>
    <w:rsid w:val="008F17DC"/>
    <w:rsid w:val="008F32FD"/>
    <w:rsid w:val="008F51B0"/>
    <w:rsid w:val="008F7667"/>
    <w:rsid w:val="0090255A"/>
    <w:rsid w:val="00904530"/>
    <w:rsid w:val="00904BC3"/>
    <w:rsid w:val="00904BF4"/>
    <w:rsid w:val="00906EFB"/>
    <w:rsid w:val="00906FEA"/>
    <w:rsid w:val="009118C8"/>
    <w:rsid w:val="00911E15"/>
    <w:rsid w:val="009146BF"/>
    <w:rsid w:val="00915870"/>
    <w:rsid w:val="009170DB"/>
    <w:rsid w:val="0092069E"/>
    <w:rsid w:val="00920705"/>
    <w:rsid w:val="0092254E"/>
    <w:rsid w:val="009250DC"/>
    <w:rsid w:val="0092669C"/>
    <w:rsid w:val="0092768B"/>
    <w:rsid w:val="009310B6"/>
    <w:rsid w:val="009347EA"/>
    <w:rsid w:val="009349A4"/>
    <w:rsid w:val="00934C54"/>
    <w:rsid w:val="009351BD"/>
    <w:rsid w:val="009357D5"/>
    <w:rsid w:val="00937754"/>
    <w:rsid w:val="00940A6D"/>
    <w:rsid w:val="00941B97"/>
    <w:rsid w:val="009427E0"/>
    <w:rsid w:val="009431C5"/>
    <w:rsid w:val="009443D4"/>
    <w:rsid w:val="00944BE5"/>
    <w:rsid w:val="00947A2C"/>
    <w:rsid w:val="009502B0"/>
    <w:rsid w:val="0095058C"/>
    <w:rsid w:val="00950D21"/>
    <w:rsid w:val="0095141E"/>
    <w:rsid w:val="0095174D"/>
    <w:rsid w:val="00953F03"/>
    <w:rsid w:val="009540FF"/>
    <w:rsid w:val="009555E1"/>
    <w:rsid w:val="009559E8"/>
    <w:rsid w:val="00961DB9"/>
    <w:rsid w:val="00962630"/>
    <w:rsid w:val="00962B38"/>
    <w:rsid w:val="00962B50"/>
    <w:rsid w:val="00963734"/>
    <w:rsid w:val="00963B69"/>
    <w:rsid w:val="009655F4"/>
    <w:rsid w:val="00967259"/>
    <w:rsid w:val="009727FA"/>
    <w:rsid w:val="00972BDB"/>
    <w:rsid w:val="0097321B"/>
    <w:rsid w:val="009749D8"/>
    <w:rsid w:val="00974C0B"/>
    <w:rsid w:val="00975658"/>
    <w:rsid w:val="00976356"/>
    <w:rsid w:val="00982CBA"/>
    <w:rsid w:val="009839FC"/>
    <w:rsid w:val="0098408B"/>
    <w:rsid w:val="0098491C"/>
    <w:rsid w:val="0098494F"/>
    <w:rsid w:val="009861F7"/>
    <w:rsid w:val="00986929"/>
    <w:rsid w:val="00990B9B"/>
    <w:rsid w:val="00992479"/>
    <w:rsid w:val="009953D4"/>
    <w:rsid w:val="00997376"/>
    <w:rsid w:val="009975A9"/>
    <w:rsid w:val="009A62A8"/>
    <w:rsid w:val="009A6D02"/>
    <w:rsid w:val="009A78D6"/>
    <w:rsid w:val="009B06A1"/>
    <w:rsid w:val="009B1903"/>
    <w:rsid w:val="009B2071"/>
    <w:rsid w:val="009B29AB"/>
    <w:rsid w:val="009B3D7E"/>
    <w:rsid w:val="009B5AF4"/>
    <w:rsid w:val="009B5FBA"/>
    <w:rsid w:val="009B635F"/>
    <w:rsid w:val="009C0570"/>
    <w:rsid w:val="009C0A21"/>
    <w:rsid w:val="009C1428"/>
    <w:rsid w:val="009C3453"/>
    <w:rsid w:val="009C3960"/>
    <w:rsid w:val="009C5ADC"/>
    <w:rsid w:val="009D52A6"/>
    <w:rsid w:val="009D758A"/>
    <w:rsid w:val="009D7B25"/>
    <w:rsid w:val="009E0071"/>
    <w:rsid w:val="009E0E0B"/>
    <w:rsid w:val="009E1FE7"/>
    <w:rsid w:val="009E4CC1"/>
    <w:rsid w:val="009E6DB8"/>
    <w:rsid w:val="009E703E"/>
    <w:rsid w:val="009E7C6B"/>
    <w:rsid w:val="009F2D7E"/>
    <w:rsid w:val="009F3394"/>
    <w:rsid w:val="009F4697"/>
    <w:rsid w:val="00A03F29"/>
    <w:rsid w:val="00A1086F"/>
    <w:rsid w:val="00A10DA2"/>
    <w:rsid w:val="00A11CC0"/>
    <w:rsid w:val="00A120CB"/>
    <w:rsid w:val="00A128A7"/>
    <w:rsid w:val="00A12F2E"/>
    <w:rsid w:val="00A133E2"/>
    <w:rsid w:val="00A13E8A"/>
    <w:rsid w:val="00A14009"/>
    <w:rsid w:val="00A1570A"/>
    <w:rsid w:val="00A209B6"/>
    <w:rsid w:val="00A21F77"/>
    <w:rsid w:val="00A225AF"/>
    <w:rsid w:val="00A25591"/>
    <w:rsid w:val="00A25A48"/>
    <w:rsid w:val="00A26557"/>
    <w:rsid w:val="00A27EEE"/>
    <w:rsid w:val="00A3077E"/>
    <w:rsid w:val="00A317E7"/>
    <w:rsid w:val="00A32262"/>
    <w:rsid w:val="00A322BA"/>
    <w:rsid w:val="00A3359C"/>
    <w:rsid w:val="00A342F0"/>
    <w:rsid w:val="00A354AE"/>
    <w:rsid w:val="00A36A1C"/>
    <w:rsid w:val="00A4031F"/>
    <w:rsid w:val="00A41F01"/>
    <w:rsid w:val="00A42832"/>
    <w:rsid w:val="00A503B4"/>
    <w:rsid w:val="00A51E5B"/>
    <w:rsid w:val="00A5206C"/>
    <w:rsid w:val="00A52DFD"/>
    <w:rsid w:val="00A55D0A"/>
    <w:rsid w:val="00A57661"/>
    <w:rsid w:val="00A60F16"/>
    <w:rsid w:val="00A621D1"/>
    <w:rsid w:val="00A6239B"/>
    <w:rsid w:val="00A6290F"/>
    <w:rsid w:val="00A62B62"/>
    <w:rsid w:val="00A63B07"/>
    <w:rsid w:val="00A63DEC"/>
    <w:rsid w:val="00A6430D"/>
    <w:rsid w:val="00A65683"/>
    <w:rsid w:val="00A6675B"/>
    <w:rsid w:val="00A66A6A"/>
    <w:rsid w:val="00A67911"/>
    <w:rsid w:val="00A7077C"/>
    <w:rsid w:val="00A720E5"/>
    <w:rsid w:val="00A72597"/>
    <w:rsid w:val="00A746F2"/>
    <w:rsid w:val="00A74D67"/>
    <w:rsid w:val="00A75DB7"/>
    <w:rsid w:val="00A75EE7"/>
    <w:rsid w:val="00A766F2"/>
    <w:rsid w:val="00A82047"/>
    <w:rsid w:val="00A831B7"/>
    <w:rsid w:val="00A8335A"/>
    <w:rsid w:val="00A836E1"/>
    <w:rsid w:val="00A852B4"/>
    <w:rsid w:val="00A85467"/>
    <w:rsid w:val="00A86ED7"/>
    <w:rsid w:val="00A8783D"/>
    <w:rsid w:val="00A9086A"/>
    <w:rsid w:val="00A90E56"/>
    <w:rsid w:val="00A91BCE"/>
    <w:rsid w:val="00A923F6"/>
    <w:rsid w:val="00A94C2A"/>
    <w:rsid w:val="00A9596B"/>
    <w:rsid w:val="00A9664F"/>
    <w:rsid w:val="00AA19C3"/>
    <w:rsid w:val="00AA2D1A"/>
    <w:rsid w:val="00AA4B3D"/>
    <w:rsid w:val="00AA5843"/>
    <w:rsid w:val="00AA66F9"/>
    <w:rsid w:val="00AB0931"/>
    <w:rsid w:val="00AB36FE"/>
    <w:rsid w:val="00AB37DB"/>
    <w:rsid w:val="00AB4799"/>
    <w:rsid w:val="00AC0D00"/>
    <w:rsid w:val="00AC363D"/>
    <w:rsid w:val="00AC3A33"/>
    <w:rsid w:val="00AC4368"/>
    <w:rsid w:val="00AC4508"/>
    <w:rsid w:val="00AC4ADC"/>
    <w:rsid w:val="00AD0307"/>
    <w:rsid w:val="00AD109C"/>
    <w:rsid w:val="00AD20AF"/>
    <w:rsid w:val="00AD27AE"/>
    <w:rsid w:val="00AD438A"/>
    <w:rsid w:val="00AD5D4D"/>
    <w:rsid w:val="00AD6761"/>
    <w:rsid w:val="00AD761B"/>
    <w:rsid w:val="00AE0810"/>
    <w:rsid w:val="00AE2E61"/>
    <w:rsid w:val="00AE2E9A"/>
    <w:rsid w:val="00AE3DB5"/>
    <w:rsid w:val="00AE6A00"/>
    <w:rsid w:val="00AE7716"/>
    <w:rsid w:val="00AF089D"/>
    <w:rsid w:val="00AF32B3"/>
    <w:rsid w:val="00AF3501"/>
    <w:rsid w:val="00AF3BC0"/>
    <w:rsid w:val="00AF52CC"/>
    <w:rsid w:val="00AF5565"/>
    <w:rsid w:val="00B008B6"/>
    <w:rsid w:val="00B04D0C"/>
    <w:rsid w:val="00B04FAA"/>
    <w:rsid w:val="00B058D9"/>
    <w:rsid w:val="00B11FD4"/>
    <w:rsid w:val="00B14CBE"/>
    <w:rsid w:val="00B214F3"/>
    <w:rsid w:val="00B22191"/>
    <w:rsid w:val="00B22AE5"/>
    <w:rsid w:val="00B233F4"/>
    <w:rsid w:val="00B2385D"/>
    <w:rsid w:val="00B244E2"/>
    <w:rsid w:val="00B24591"/>
    <w:rsid w:val="00B2624D"/>
    <w:rsid w:val="00B265A1"/>
    <w:rsid w:val="00B272DF"/>
    <w:rsid w:val="00B27AE9"/>
    <w:rsid w:val="00B3352E"/>
    <w:rsid w:val="00B35847"/>
    <w:rsid w:val="00B35A87"/>
    <w:rsid w:val="00B35C95"/>
    <w:rsid w:val="00B37456"/>
    <w:rsid w:val="00B37DA9"/>
    <w:rsid w:val="00B4085D"/>
    <w:rsid w:val="00B40FD7"/>
    <w:rsid w:val="00B42DCF"/>
    <w:rsid w:val="00B43352"/>
    <w:rsid w:val="00B4433E"/>
    <w:rsid w:val="00B44B74"/>
    <w:rsid w:val="00B47650"/>
    <w:rsid w:val="00B478A6"/>
    <w:rsid w:val="00B51BCC"/>
    <w:rsid w:val="00B52EBD"/>
    <w:rsid w:val="00B547CE"/>
    <w:rsid w:val="00B57597"/>
    <w:rsid w:val="00B57DFC"/>
    <w:rsid w:val="00B57F1F"/>
    <w:rsid w:val="00B6265D"/>
    <w:rsid w:val="00B62941"/>
    <w:rsid w:val="00B64A5C"/>
    <w:rsid w:val="00B66D4A"/>
    <w:rsid w:val="00B71083"/>
    <w:rsid w:val="00B74762"/>
    <w:rsid w:val="00B772EE"/>
    <w:rsid w:val="00B84754"/>
    <w:rsid w:val="00B8508B"/>
    <w:rsid w:val="00B8690B"/>
    <w:rsid w:val="00B86F1A"/>
    <w:rsid w:val="00B909DD"/>
    <w:rsid w:val="00B90BF2"/>
    <w:rsid w:val="00B91C53"/>
    <w:rsid w:val="00B93041"/>
    <w:rsid w:val="00B94B44"/>
    <w:rsid w:val="00B96A33"/>
    <w:rsid w:val="00B97BB2"/>
    <w:rsid w:val="00BA2127"/>
    <w:rsid w:val="00BA2A0B"/>
    <w:rsid w:val="00BA310D"/>
    <w:rsid w:val="00BA3561"/>
    <w:rsid w:val="00BA3BA5"/>
    <w:rsid w:val="00BA3EFD"/>
    <w:rsid w:val="00BA4AE2"/>
    <w:rsid w:val="00BA64F1"/>
    <w:rsid w:val="00BB1E5B"/>
    <w:rsid w:val="00BB2C84"/>
    <w:rsid w:val="00BB38CC"/>
    <w:rsid w:val="00BB4D33"/>
    <w:rsid w:val="00BB5520"/>
    <w:rsid w:val="00BB5A1F"/>
    <w:rsid w:val="00BB68AA"/>
    <w:rsid w:val="00BB7944"/>
    <w:rsid w:val="00BC12BD"/>
    <w:rsid w:val="00BC1535"/>
    <w:rsid w:val="00BC6C98"/>
    <w:rsid w:val="00BD03A2"/>
    <w:rsid w:val="00BD1274"/>
    <w:rsid w:val="00BD1A36"/>
    <w:rsid w:val="00BD237F"/>
    <w:rsid w:val="00BD3523"/>
    <w:rsid w:val="00BE0928"/>
    <w:rsid w:val="00BE2B06"/>
    <w:rsid w:val="00BE2B76"/>
    <w:rsid w:val="00BE3289"/>
    <w:rsid w:val="00BE3CBD"/>
    <w:rsid w:val="00BE43D6"/>
    <w:rsid w:val="00BE6181"/>
    <w:rsid w:val="00BE7B9B"/>
    <w:rsid w:val="00BF033B"/>
    <w:rsid w:val="00BF0580"/>
    <w:rsid w:val="00BF10AF"/>
    <w:rsid w:val="00BF261E"/>
    <w:rsid w:val="00BF263F"/>
    <w:rsid w:val="00BF3303"/>
    <w:rsid w:val="00BF4C2E"/>
    <w:rsid w:val="00BF530A"/>
    <w:rsid w:val="00BF5E40"/>
    <w:rsid w:val="00BF724D"/>
    <w:rsid w:val="00BF7336"/>
    <w:rsid w:val="00C0018A"/>
    <w:rsid w:val="00C00B88"/>
    <w:rsid w:val="00C01687"/>
    <w:rsid w:val="00C0234D"/>
    <w:rsid w:val="00C0301B"/>
    <w:rsid w:val="00C033D7"/>
    <w:rsid w:val="00C0449F"/>
    <w:rsid w:val="00C05F89"/>
    <w:rsid w:val="00C065A2"/>
    <w:rsid w:val="00C10CEB"/>
    <w:rsid w:val="00C121F6"/>
    <w:rsid w:val="00C13352"/>
    <w:rsid w:val="00C13862"/>
    <w:rsid w:val="00C13C10"/>
    <w:rsid w:val="00C143F1"/>
    <w:rsid w:val="00C156CD"/>
    <w:rsid w:val="00C1659C"/>
    <w:rsid w:val="00C172D1"/>
    <w:rsid w:val="00C1764B"/>
    <w:rsid w:val="00C17B15"/>
    <w:rsid w:val="00C2156E"/>
    <w:rsid w:val="00C22410"/>
    <w:rsid w:val="00C24E38"/>
    <w:rsid w:val="00C30EF7"/>
    <w:rsid w:val="00C31427"/>
    <w:rsid w:val="00C329B5"/>
    <w:rsid w:val="00C330BC"/>
    <w:rsid w:val="00C33687"/>
    <w:rsid w:val="00C33C77"/>
    <w:rsid w:val="00C3511B"/>
    <w:rsid w:val="00C3607D"/>
    <w:rsid w:val="00C3678E"/>
    <w:rsid w:val="00C40BAC"/>
    <w:rsid w:val="00C40CAE"/>
    <w:rsid w:val="00C41C56"/>
    <w:rsid w:val="00C421D4"/>
    <w:rsid w:val="00C437C0"/>
    <w:rsid w:val="00C46D85"/>
    <w:rsid w:val="00C51773"/>
    <w:rsid w:val="00C5783B"/>
    <w:rsid w:val="00C57C0C"/>
    <w:rsid w:val="00C60A69"/>
    <w:rsid w:val="00C623BB"/>
    <w:rsid w:val="00C64D59"/>
    <w:rsid w:val="00C71114"/>
    <w:rsid w:val="00C718B1"/>
    <w:rsid w:val="00C719FA"/>
    <w:rsid w:val="00C71B8F"/>
    <w:rsid w:val="00C727CA"/>
    <w:rsid w:val="00C728F0"/>
    <w:rsid w:val="00C77E09"/>
    <w:rsid w:val="00C80616"/>
    <w:rsid w:val="00C80D5F"/>
    <w:rsid w:val="00C822C9"/>
    <w:rsid w:val="00C841AC"/>
    <w:rsid w:val="00C84D79"/>
    <w:rsid w:val="00C84E66"/>
    <w:rsid w:val="00C900EE"/>
    <w:rsid w:val="00C901D5"/>
    <w:rsid w:val="00C906A7"/>
    <w:rsid w:val="00C924EE"/>
    <w:rsid w:val="00C93F85"/>
    <w:rsid w:val="00C94F34"/>
    <w:rsid w:val="00C9639B"/>
    <w:rsid w:val="00C969C7"/>
    <w:rsid w:val="00CA2185"/>
    <w:rsid w:val="00CA511A"/>
    <w:rsid w:val="00CA55F4"/>
    <w:rsid w:val="00CB0239"/>
    <w:rsid w:val="00CB0937"/>
    <w:rsid w:val="00CB1A09"/>
    <w:rsid w:val="00CB2152"/>
    <w:rsid w:val="00CB25AC"/>
    <w:rsid w:val="00CB51A2"/>
    <w:rsid w:val="00CB73A8"/>
    <w:rsid w:val="00CC0298"/>
    <w:rsid w:val="00CC0F05"/>
    <w:rsid w:val="00CC13F5"/>
    <w:rsid w:val="00CC14D3"/>
    <w:rsid w:val="00CC191C"/>
    <w:rsid w:val="00CC2A35"/>
    <w:rsid w:val="00CC32F2"/>
    <w:rsid w:val="00CC468F"/>
    <w:rsid w:val="00CC5456"/>
    <w:rsid w:val="00CC5513"/>
    <w:rsid w:val="00CD1066"/>
    <w:rsid w:val="00CD12D0"/>
    <w:rsid w:val="00CD248E"/>
    <w:rsid w:val="00CD4153"/>
    <w:rsid w:val="00CD5567"/>
    <w:rsid w:val="00CD6605"/>
    <w:rsid w:val="00CD6DAB"/>
    <w:rsid w:val="00CD71BB"/>
    <w:rsid w:val="00CE1D02"/>
    <w:rsid w:val="00CE2A54"/>
    <w:rsid w:val="00CE505A"/>
    <w:rsid w:val="00CE6891"/>
    <w:rsid w:val="00CE75B7"/>
    <w:rsid w:val="00CE7650"/>
    <w:rsid w:val="00CE78A1"/>
    <w:rsid w:val="00CF0EAB"/>
    <w:rsid w:val="00CF1774"/>
    <w:rsid w:val="00CF2466"/>
    <w:rsid w:val="00CF2571"/>
    <w:rsid w:val="00CF3B09"/>
    <w:rsid w:val="00CF3C66"/>
    <w:rsid w:val="00D00E64"/>
    <w:rsid w:val="00D01666"/>
    <w:rsid w:val="00D01991"/>
    <w:rsid w:val="00D02AF1"/>
    <w:rsid w:val="00D04E47"/>
    <w:rsid w:val="00D05105"/>
    <w:rsid w:val="00D05441"/>
    <w:rsid w:val="00D054E4"/>
    <w:rsid w:val="00D060DF"/>
    <w:rsid w:val="00D127BE"/>
    <w:rsid w:val="00D130D8"/>
    <w:rsid w:val="00D14A42"/>
    <w:rsid w:val="00D168AE"/>
    <w:rsid w:val="00D16975"/>
    <w:rsid w:val="00D258E8"/>
    <w:rsid w:val="00D31C76"/>
    <w:rsid w:val="00D32AA4"/>
    <w:rsid w:val="00D33273"/>
    <w:rsid w:val="00D33408"/>
    <w:rsid w:val="00D34F0A"/>
    <w:rsid w:val="00D36BB1"/>
    <w:rsid w:val="00D36D70"/>
    <w:rsid w:val="00D373B8"/>
    <w:rsid w:val="00D4077B"/>
    <w:rsid w:val="00D41D90"/>
    <w:rsid w:val="00D4332F"/>
    <w:rsid w:val="00D4384C"/>
    <w:rsid w:val="00D44350"/>
    <w:rsid w:val="00D504D5"/>
    <w:rsid w:val="00D51743"/>
    <w:rsid w:val="00D533D4"/>
    <w:rsid w:val="00D533F3"/>
    <w:rsid w:val="00D53C2F"/>
    <w:rsid w:val="00D541F3"/>
    <w:rsid w:val="00D545E2"/>
    <w:rsid w:val="00D548D5"/>
    <w:rsid w:val="00D54C17"/>
    <w:rsid w:val="00D563DE"/>
    <w:rsid w:val="00D57AA6"/>
    <w:rsid w:val="00D60B51"/>
    <w:rsid w:val="00D630CB"/>
    <w:rsid w:val="00D64A59"/>
    <w:rsid w:val="00D65540"/>
    <w:rsid w:val="00D65999"/>
    <w:rsid w:val="00D65A7E"/>
    <w:rsid w:val="00D65B7F"/>
    <w:rsid w:val="00D65E9F"/>
    <w:rsid w:val="00D66D94"/>
    <w:rsid w:val="00D70561"/>
    <w:rsid w:val="00D71864"/>
    <w:rsid w:val="00D74390"/>
    <w:rsid w:val="00D74ABC"/>
    <w:rsid w:val="00D80BAC"/>
    <w:rsid w:val="00D81BA0"/>
    <w:rsid w:val="00D83570"/>
    <w:rsid w:val="00D8386D"/>
    <w:rsid w:val="00D84D37"/>
    <w:rsid w:val="00D909A8"/>
    <w:rsid w:val="00D928AA"/>
    <w:rsid w:val="00D93397"/>
    <w:rsid w:val="00D93B62"/>
    <w:rsid w:val="00D94A76"/>
    <w:rsid w:val="00D95C26"/>
    <w:rsid w:val="00DA3497"/>
    <w:rsid w:val="00DA3A96"/>
    <w:rsid w:val="00DA4324"/>
    <w:rsid w:val="00DA461C"/>
    <w:rsid w:val="00DA5544"/>
    <w:rsid w:val="00DA6252"/>
    <w:rsid w:val="00DA70B7"/>
    <w:rsid w:val="00DB06CD"/>
    <w:rsid w:val="00DB13F9"/>
    <w:rsid w:val="00DB26C0"/>
    <w:rsid w:val="00DB3CEA"/>
    <w:rsid w:val="00DB4748"/>
    <w:rsid w:val="00DB5186"/>
    <w:rsid w:val="00DB79AC"/>
    <w:rsid w:val="00DC0371"/>
    <w:rsid w:val="00DC06EA"/>
    <w:rsid w:val="00DC1BC2"/>
    <w:rsid w:val="00DC48BF"/>
    <w:rsid w:val="00DC69B6"/>
    <w:rsid w:val="00DC7EE3"/>
    <w:rsid w:val="00DD0436"/>
    <w:rsid w:val="00DD130C"/>
    <w:rsid w:val="00DD247D"/>
    <w:rsid w:val="00DD2E74"/>
    <w:rsid w:val="00DD39EB"/>
    <w:rsid w:val="00DD5477"/>
    <w:rsid w:val="00DD5E81"/>
    <w:rsid w:val="00DD644E"/>
    <w:rsid w:val="00DD66E1"/>
    <w:rsid w:val="00DE11D3"/>
    <w:rsid w:val="00DE160E"/>
    <w:rsid w:val="00DE2284"/>
    <w:rsid w:val="00DE3D74"/>
    <w:rsid w:val="00DE5991"/>
    <w:rsid w:val="00DE5F59"/>
    <w:rsid w:val="00DE7787"/>
    <w:rsid w:val="00DF5946"/>
    <w:rsid w:val="00DF6AD2"/>
    <w:rsid w:val="00E01947"/>
    <w:rsid w:val="00E01DFB"/>
    <w:rsid w:val="00E03C99"/>
    <w:rsid w:val="00E03DCE"/>
    <w:rsid w:val="00E06BF3"/>
    <w:rsid w:val="00E073CD"/>
    <w:rsid w:val="00E10F4F"/>
    <w:rsid w:val="00E134CA"/>
    <w:rsid w:val="00E1448F"/>
    <w:rsid w:val="00E15857"/>
    <w:rsid w:val="00E2067A"/>
    <w:rsid w:val="00E25853"/>
    <w:rsid w:val="00E2689E"/>
    <w:rsid w:val="00E31D63"/>
    <w:rsid w:val="00E33166"/>
    <w:rsid w:val="00E33F09"/>
    <w:rsid w:val="00E343FA"/>
    <w:rsid w:val="00E35B2C"/>
    <w:rsid w:val="00E36393"/>
    <w:rsid w:val="00E3729D"/>
    <w:rsid w:val="00E40313"/>
    <w:rsid w:val="00E4036D"/>
    <w:rsid w:val="00E413D7"/>
    <w:rsid w:val="00E43F4C"/>
    <w:rsid w:val="00E4515E"/>
    <w:rsid w:val="00E466B3"/>
    <w:rsid w:val="00E50216"/>
    <w:rsid w:val="00E53C91"/>
    <w:rsid w:val="00E54064"/>
    <w:rsid w:val="00E5467C"/>
    <w:rsid w:val="00E60B70"/>
    <w:rsid w:val="00E61E53"/>
    <w:rsid w:val="00E62654"/>
    <w:rsid w:val="00E632EA"/>
    <w:rsid w:val="00E63FCE"/>
    <w:rsid w:val="00E64395"/>
    <w:rsid w:val="00E65B19"/>
    <w:rsid w:val="00E65CA7"/>
    <w:rsid w:val="00E65E50"/>
    <w:rsid w:val="00E71C31"/>
    <w:rsid w:val="00E738ED"/>
    <w:rsid w:val="00E73C30"/>
    <w:rsid w:val="00E73EEC"/>
    <w:rsid w:val="00E7533A"/>
    <w:rsid w:val="00E75EEE"/>
    <w:rsid w:val="00E76962"/>
    <w:rsid w:val="00E806C5"/>
    <w:rsid w:val="00E823F0"/>
    <w:rsid w:val="00E8255F"/>
    <w:rsid w:val="00E868C5"/>
    <w:rsid w:val="00E86B10"/>
    <w:rsid w:val="00E90F97"/>
    <w:rsid w:val="00E91F9B"/>
    <w:rsid w:val="00E92215"/>
    <w:rsid w:val="00E92CB3"/>
    <w:rsid w:val="00EA03B9"/>
    <w:rsid w:val="00EA7FE8"/>
    <w:rsid w:val="00EB0BDA"/>
    <w:rsid w:val="00EB1CBC"/>
    <w:rsid w:val="00EB1F6E"/>
    <w:rsid w:val="00EB4298"/>
    <w:rsid w:val="00EB4E44"/>
    <w:rsid w:val="00EB7417"/>
    <w:rsid w:val="00EB7436"/>
    <w:rsid w:val="00EB74D6"/>
    <w:rsid w:val="00EB77DF"/>
    <w:rsid w:val="00EB7A65"/>
    <w:rsid w:val="00EC09BA"/>
    <w:rsid w:val="00EC405F"/>
    <w:rsid w:val="00EC49C0"/>
    <w:rsid w:val="00EC66E3"/>
    <w:rsid w:val="00EC671B"/>
    <w:rsid w:val="00EC7B6C"/>
    <w:rsid w:val="00ED144C"/>
    <w:rsid w:val="00ED2366"/>
    <w:rsid w:val="00ED3043"/>
    <w:rsid w:val="00ED3556"/>
    <w:rsid w:val="00ED414C"/>
    <w:rsid w:val="00EE0335"/>
    <w:rsid w:val="00EE3617"/>
    <w:rsid w:val="00EE5E99"/>
    <w:rsid w:val="00EF19BA"/>
    <w:rsid w:val="00EF287C"/>
    <w:rsid w:val="00EF2ED5"/>
    <w:rsid w:val="00EF4BB4"/>
    <w:rsid w:val="00EF569C"/>
    <w:rsid w:val="00F01B17"/>
    <w:rsid w:val="00F04385"/>
    <w:rsid w:val="00F04C75"/>
    <w:rsid w:val="00F04EB7"/>
    <w:rsid w:val="00F075E2"/>
    <w:rsid w:val="00F1266A"/>
    <w:rsid w:val="00F126BB"/>
    <w:rsid w:val="00F15319"/>
    <w:rsid w:val="00F1657B"/>
    <w:rsid w:val="00F204AA"/>
    <w:rsid w:val="00F20542"/>
    <w:rsid w:val="00F2377C"/>
    <w:rsid w:val="00F2565C"/>
    <w:rsid w:val="00F26465"/>
    <w:rsid w:val="00F26F1F"/>
    <w:rsid w:val="00F30116"/>
    <w:rsid w:val="00F3057B"/>
    <w:rsid w:val="00F344BF"/>
    <w:rsid w:val="00F37423"/>
    <w:rsid w:val="00F40592"/>
    <w:rsid w:val="00F40E92"/>
    <w:rsid w:val="00F41D7E"/>
    <w:rsid w:val="00F41E39"/>
    <w:rsid w:val="00F43669"/>
    <w:rsid w:val="00F43B02"/>
    <w:rsid w:val="00F44039"/>
    <w:rsid w:val="00F4434E"/>
    <w:rsid w:val="00F506D8"/>
    <w:rsid w:val="00F53955"/>
    <w:rsid w:val="00F54F8F"/>
    <w:rsid w:val="00F61C10"/>
    <w:rsid w:val="00F64DF5"/>
    <w:rsid w:val="00F6764F"/>
    <w:rsid w:val="00F720DA"/>
    <w:rsid w:val="00F75BE9"/>
    <w:rsid w:val="00F75C65"/>
    <w:rsid w:val="00F766E2"/>
    <w:rsid w:val="00F76E4A"/>
    <w:rsid w:val="00F81025"/>
    <w:rsid w:val="00F8435E"/>
    <w:rsid w:val="00F87144"/>
    <w:rsid w:val="00F9118B"/>
    <w:rsid w:val="00F9489D"/>
    <w:rsid w:val="00F95D6C"/>
    <w:rsid w:val="00F9700D"/>
    <w:rsid w:val="00F9782A"/>
    <w:rsid w:val="00FA015B"/>
    <w:rsid w:val="00FA0568"/>
    <w:rsid w:val="00FA0AFC"/>
    <w:rsid w:val="00FA0F17"/>
    <w:rsid w:val="00FA10C1"/>
    <w:rsid w:val="00FA2973"/>
    <w:rsid w:val="00FA2C25"/>
    <w:rsid w:val="00FA5257"/>
    <w:rsid w:val="00FA5482"/>
    <w:rsid w:val="00FA58B8"/>
    <w:rsid w:val="00FA58C7"/>
    <w:rsid w:val="00FA6060"/>
    <w:rsid w:val="00FA6B5A"/>
    <w:rsid w:val="00FA6ED1"/>
    <w:rsid w:val="00FA7A35"/>
    <w:rsid w:val="00FB56EC"/>
    <w:rsid w:val="00FB5E75"/>
    <w:rsid w:val="00FC3480"/>
    <w:rsid w:val="00FC6136"/>
    <w:rsid w:val="00FC6215"/>
    <w:rsid w:val="00FC6EF2"/>
    <w:rsid w:val="00FC7506"/>
    <w:rsid w:val="00FD2872"/>
    <w:rsid w:val="00FD3346"/>
    <w:rsid w:val="00FD6E29"/>
    <w:rsid w:val="00FD7B1B"/>
    <w:rsid w:val="00FE13CF"/>
    <w:rsid w:val="00FE3FF0"/>
    <w:rsid w:val="00FE72E6"/>
    <w:rsid w:val="00FE7409"/>
    <w:rsid w:val="00FF26CE"/>
    <w:rsid w:val="00FF35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2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locked="1" w:uiPriority="9"/>
    <w:lsdException w:name="heading 5" w:locked="1" w:uiPriority="9"/>
    <w:lsdException w:name="heading 6" w:locked="1" w:uiPriority="9" w:unhideWhenUsed="0" w:qFormat="1"/>
    <w:lsdException w:name="heading 7" w:locked="1" w:uiPriority="9" w:qFormat="1"/>
    <w:lsdException w:name="heading 8" w:locked="1" w:uiPriority="9" w:qFormat="1"/>
    <w:lsdException w:name="heading 9" w:locked="1"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10" w:unhideWhenUsed="0" w:qFormat="1"/>
    <w:lsdException w:name="Default Paragraph Font" w:uiPriority="1"/>
    <w:lsdException w:name="Subtitle" w:locked="1" w:uiPriority="11"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locked="1"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qFormat="1"/>
    <w:lsdException w:name="Intense Reference" w:locked="1" w:semiHidden="0" w:uiPriority="32" w:unhideWhenUsed="0" w:qFormat="1"/>
    <w:lsdException w:name="Book Title" w:locked="1" w:semiHidden="0" w:uiPriority="33" w:unhideWhenUsed="0" w:qFormat="1"/>
    <w:lsdException w:name="Bibliography" w:semiHidden="0" w:uiPriority="37" w:unhideWhenUsed="0" w:qFormat="1"/>
    <w:lsdException w:name="TOC Heading" w:uiPriority="39" w:qFormat="1"/>
  </w:latentStyles>
  <w:style w:type="paragraph" w:default="1" w:styleId="Normal">
    <w:name w:val="Normal"/>
    <w:aliases w:val="Standardní odstavec"/>
    <w:qFormat/>
    <w:rsid w:val="009B3D7E"/>
    <w:pPr>
      <w:spacing w:after="0" w:line="360" w:lineRule="auto"/>
      <w:ind w:firstLine="567"/>
      <w:jc w:val="both"/>
    </w:pPr>
    <w:rPr>
      <w:rFonts w:ascii="Times New Roman" w:hAnsi="Times New Roman"/>
      <w:sz w:val="24"/>
    </w:rPr>
  </w:style>
  <w:style w:type="paragraph" w:styleId="Heading1">
    <w:name w:val="heading 1"/>
    <w:basedOn w:val="Normal"/>
    <w:next w:val="Normal"/>
    <w:link w:val="Heading1Char"/>
    <w:uiPriority w:val="9"/>
    <w:qFormat/>
    <w:rsid w:val="0059245C"/>
    <w:pPr>
      <w:keepNext/>
      <w:keepLines/>
      <w:numPr>
        <w:numId w:val="12"/>
      </w:numPr>
      <w:spacing w:before="240" w:after="120" w:line="240" w:lineRule="auto"/>
      <w:ind w:left="851" w:hanging="851"/>
      <w:outlineLvl w:val="0"/>
    </w:pPr>
    <w:rPr>
      <w:rFonts w:eastAsiaTheme="majorEastAsia" w:cstheme="majorBidi"/>
      <w:b/>
      <w:bCs/>
      <w:color w:val="000000" w:themeColor="text1"/>
      <w:sz w:val="32"/>
      <w:szCs w:val="28"/>
    </w:rPr>
  </w:style>
  <w:style w:type="paragraph" w:styleId="Heading2">
    <w:name w:val="heading 2"/>
    <w:basedOn w:val="Normal"/>
    <w:next w:val="Normal"/>
    <w:link w:val="Heading2Char"/>
    <w:uiPriority w:val="9"/>
    <w:qFormat/>
    <w:rsid w:val="0059245C"/>
    <w:pPr>
      <w:keepNext/>
      <w:keepLines/>
      <w:numPr>
        <w:ilvl w:val="1"/>
        <w:numId w:val="12"/>
      </w:numPr>
      <w:spacing w:before="240" w:after="120" w:line="240" w:lineRule="auto"/>
      <w:ind w:left="851" w:hanging="851"/>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uiPriority w:val="9"/>
    <w:qFormat/>
    <w:rsid w:val="0059245C"/>
    <w:pPr>
      <w:keepNext/>
      <w:keepLines/>
      <w:numPr>
        <w:ilvl w:val="2"/>
        <w:numId w:val="12"/>
      </w:numPr>
      <w:spacing w:before="240" w:after="120" w:line="240" w:lineRule="auto"/>
      <w:ind w:left="851" w:hanging="851"/>
      <w:jc w:val="left"/>
      <w:outlineLvl w:val="2"/>
    </w:pPr>
    <w:rPr>
      <w:rFonts w:eastAsiaTheme="majorEastAsia" w:cstheme="majorBidi"/>
      <w:b/>
      <w:bCs/>
      <w:color w:val="000000" w:themeColor="text1"/>
    </w:rPr>
  </w:style>
  <w:style w:type="paragraph" w:styleId="Heading4">
    <w:name w:val="heading 4"/>
    <w:basedOn w:val="Normal"/>
    <w:next w:val="Normal"/>
    <w:link w:val="Heading4Char"/>
    <w:uiPriority w:val="9"/>
    <w:semiHidden/>
    <w:locked/>
    <w:rsid w:val="00A3359C"/>
    <w:pPr>
      <w:keepNext/>
      <w:keepLines/>
      <w:numPr>
        <w:ilvl w:val="3"/>
        <w:numId w:val="1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locked/>
    <w:rsid w:val="00A3359C"/>
    <w:pPr>
      <w:keepNext/>
      <w:keepLines/>
      <w:numPr>
        <w:ilvl w:val="4"/>
        <w:numId w:val="1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qFormat/>
    <w:locked/>
    <w:rsid w:val="009D7B25"/>
    <w:pPr>
      <w:keepNext/>
      <w:keepLines/>
      <w:numPr>
        <w:ilvl w:val="5"/>
        <w:numId w:val="1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9D7B25"/>
    <w:pPr>
      <w:keepNext/>
      <w:keepLines/>
      <w:numPr>
        <w:ilvl w:val="6"/>
        <w:numId w:val="1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9D7B25"/>
    <w:pPr>
      <w:keepNext/>
      <w:keepLines/>
      <w:numPr>
        <w:ilvl w:val="7"/>
        <w:numId w:val="1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locked/>
    <w:rsid w:val="009D7B25"/>
    <w:pPr>
      <w:keepNext/>
      <w:keepLines/>
      <w:numPr>
        <w:ilvl w:val="8"/>
        <w:numId w:val="1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C4457"/>
    <w:pPr>
      <w:spacing w:line="240" w:lineRule="auto"/>
      <w:ind w:firstLine="0"/>
      <w:jc w:val="left"/>
    </w:pPr>
    <w:rPr>
      <w:sz w:val="20"/>
      <w:szCs w:val="20"/>
    </w:rPr>
  </w:style>
  <w:style w:type="character" w:customStyle="1" w:styleId="FootnoteTextChar">
    <w:name w:val="Footnote Text Char"/>
    <w:basedOn w:val="DefaultParagraphFont"/>
    <w:link w:val="FootnoteText"/>
    <w:uiPriority w:val="99"/>
    <w:rsid w:val="000C4457"/>
    <w:rPr>
      <w:rFonts w:ascii="Garamond" w:hAnsi="Garamond"/>
      <w:sz w:val="20"/>
      <w:szCs w:val="20"/>
    </w:rPr>
  </w:style>
  <w:style w:type="character" w:styleId="FootnoteReference">
    <w:name w:val="footnote reference"/>
    <w:basedOn w:val="DefaultParagraphFont"/>
    <w:uiPriority w:val="99"/>
    <w:semiHidden/>
    <w:unhideWhenUsed/>
    <w:rsid w:val="00193933"/>
    <w:rPr>
      <w:vertAlign w:val="superscript"/>
    </w:rPr>
  </w:style>
  <w:style w:type="paragraph" w:customStyle="1" w:styleId="Odrky">
    <w:name w:val="Odrážky"/>
    <w:basedOn w:val="Normal"/>
    <w:qFormat/>
    <w:rsid w:val="005A1A1C"/>
    <w:pPr>
      <w:numPr>
        <w:numId w:val="15"/>
      </w:numPr>
      <w:spacing w:before="120" w:after="120"/>
      <w:ind w:left="1134" w:hanging="567"/>
      <w:contextualSpacing/>
    </w:pPr>
  </w:style>
  <w:style w:type="character" w:customStyle="1" w:styleId="Heading1Char">
    <w:name w:val="Heading 1 Char"/>
    <w:basedOn w:val="DefaultParagraphFont"/>
    <w:link w:val="Heading1"/>
    <w:uiPriority w:val="9"/>
    <w:rsid w:val="0059245C"/>
    <w:rPr>
      <w:rFonts w:ascii="Times New Roman" w:eastAsiaTheme="majorEastAsia" w:hAnsi="Times New Roman" w:cstheme="majorBidi"/>
      <w:b/>
      <w:bCs/>
      <w:color w:val="000000" w:themeColor="text1"/>
      <w:sz w:val="32"/>
      <w:szCs w:val="28"/>
    </w:rPr>
  </w:style>
  <w:style w:type="character" w:customStyle="1" w:styleId="Heading2Char">
    <w:name w:val="Heading 2 Char"/>
    <w:basedOn w:val="DefaultParagraphFont"/>
    <w:link w:val="Heading2"/>
    <w:uiPriority w:val="9"/>
    <w:rsid w:val="0059245C"/>
    <w:rPr>
      <w:rFonts w:ascii="Times New Roman" w:eastAsiaTheme="majorEastAsia" w:hAnsi="Times New Roman" w:cstheme="majorBidi"/>
      <w:b/>
      <w:bCs/>
      <w:color w:val="000000" w:themeColor="text1"/>
      <w:sz w:val="28"/>
      <w:szCs w:val="26"/>
    </w:rPr>
  </w:style>
  <w:style w:type="paragraph" w:styleId="Caption">
    <w:name w:val="caption"/>
    <w:aliases w:val="Titulek nad vložený objekt"/>
    <w:basedOn w:val="Normal"/>
    <w:next w:val="Normal"/>
    <w:uiPriority w:val="35"/>
    <w:qFormat/>
    <w:rsid w:val="00B04FAA"/>
    <w:pPr>
      <w:numPr>
        <w:numId w:val="11"/>
      </w:numPr>
      <w:spacing w:before="240" w:after="120" w:line="240" w:lineRule="auto"/>
      <w:ind w:left="357" w:hanging="357"/>
      <w:jc w:val="left"/>
    </w:pPr>
    <w:rPr>
      <w:b/>
      <w:bCs/>
      <w:color w:val="000000" w:themeColor="text1"/>
      <w:szCs w:val="18"/>
    </w:rPr>
  </w:style>
  <w:style w:type="character" w:customStyle="1" w:styleId="Heading3Char">
    <w:name w:val="Heading 3 Char"/>
    <w:basedOn w:val="DefaultParagraphFont"/>
    <w:link w:val="Heading3"/>
    <w:uiPriority w:val="9"/>
    <w:rsid w:val="0059245C"/>
    <w:rPr>
      <w:rFonts w:ascii="Times New Roman" w:eastAsiaTheme="majorEastAsia" w:hAnsi="Times New Roman" w:cstheme="majorBidi"/>
      <w:b/>
      <w:bCs/>
      <w:color w:val="000000" w:themeColor="text1"/>
      <w:sz w:val="24"/>
    </w:rPr>
  </w:style>
  <w:style w:type="paragraph" w:styleId="Bibliography">
    <w:name w:val="Bibliography"/>
    <w:basedOn w:val="Normal"/>
    <w:next w:val="Normal"/>
    <w:uiPriority w:val="37"/>
    <w:qFormat/>
    <w:rsid w:val="00AA5843"/>
    <w:pPr>
      <w:spacing w:before="120" w:after="120" w:line="240" w:lineRule="auto"/>
      <w:ind w:left="567" w:hanging="567"/>
      <w:jc w:val="left"/>
    </w:pPr>
  </w:style>
  <w:style w:type="character" w:customStyle="1" w:styleId="Heading4Char">
    <w:name w:val="Heading 4 Char"/>
    <w:basedOn w:val="DefaultParagraphFont"/>
    <w:link w:val="Heading4"/>
    <w:uiPriority w:val="9"/>
    <w:semiHidden/>
    <w:rsid w:val="00A3359C"/>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A3359C"/>
    <w:rPr>
      <w:rFonts w:asciiTheme="majorHAnsi" w:eastAsiaTheme="majorEastAsia" w:hAnsiTheme="majorHAnsi" w:cstheme="majorBidi"/>
      <w:color w:val="243F60" w:themeColor="accent1" w:themeShade="7F"/>
      <w:sz w:val="24"/>
    </w:rPr>
  </w:style>
  <w:style w:type="paragraph" w:customStyle="1" w:styleId="Zdrojpodvloenobjekt">
    <w:name w:val="Zdroj pod vložený objekt"/>
    <w:basedOn w:val="Normal"/>
    <w:qFormat/>
    <w:rsid w:val="00DE2284"/>
    <w:pPr>
      <w:spacing w:before="120" w:after="240" w:line="240" w:lineRule="auto"/>
      <w:ind w:firstLine="0"/>
    </w:pPr>
    <w:rPr>
      <w:sz w:val="20"/>
    </w:rPr>
  </w:style>
  <w:style w:type="character" w:customStyle="1" w:styleId="Heading6Char">
    <w:name w:val="Heading 6 Char"/>
    <w:basedOn w:val="DefaultParagraphFont"/>
    <w:link w:val="Heading6"/>
    <w:uiPriority w:val="9"/>
    <w:semiHidden/>
    <w:rsid w:val="009D7B25"/>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9D7B25"/>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9D7B2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D7B25"/>
    <w:rPr>
      <w:rFonts w:asciiTheme="majorHAnsi" w:eastAsiaTheme="majorEastAsia" w:hAnsiTheme="majorHAnsi" w:cstheme="majorBidi"/>
      <w:i/>
      <w:iCs/>
      <w:color w:val="404040" w:themeColor="text1" w:themeTint="BF"/>
      <w:sz w:val="20"/>
      <w:szCs w:val="20"/>
    </w:rPr>
  </w:style>
  <w:style w:type="paragraph" w:customStyle="1" w:styleId="Nadpismimoobsah">
    <w:name w:val="Nadpis mimo obsah"/>
    <w:basedOn w:val="Normal"/>
    <w:next w:val="Normal"/>
    <w:qFormat/>
    <w:rsid w:val="009D7B25"/>
    <w:pPr>
      <w:spacing w:line="240" w:lineRule="auto"/>
      <w:ind w:firstLine="0"/>
    </w:pPr>
    <w:rPr>
      <w:b/>
      <w:sz w:val="32"/>
    </w:rPr>
  </w:style>
  <w:style w:type="paragraph" w:styleId="TOCHeading">
    <w:name w:val="TOC Heading"/>
    <w:basedOn w:val="Heading1"/>
    <w:next w:val="Normal"/>
    <w:uiPriority w:val="39"/>
    <w:semiHidden/>
    <w:unhideWhenUsed/>
    <w:qFormat/>
    <w:rsid w:val="005F5DBF"/>
    <w:pPr>
      <w:numPr>
        <w:numId w:val="0"/>
      </w:numPr>
      <w:spacing w:before="480" w:after="0" w:line="276" w:lineRule="auto"/>
      <w:jc w:val="left"/>
      <w:outlineLvl w:val="9"/>
    </w:pPr>
    <w:rPr>
      <w:rFonts w:asciiTheme="majorHAnsi" w:hAnsiTheme="majorHAnsi"/>
      <w:color w:val="365F91" w:themeColor="accent1" w:themeShade="BF"/>
      <w:sz w:val="28"/>
    </w:rPr>
  </w:style>
  <w:style w:type="paragraph" w:styleId="TOC1">
    <w:name w:val="toc 1"/>
    <w:basedOn w:val="Normal"/>
    <w:next w:val="Normal"/>
    <w:autoRedefine/>
    <w:uiPriority w:val="39"/>
    <w:unhideWhenUsed/>
    <w:qFormat/>
    <w:rsid w:val="00FA5482"/>
    <w:pPr>
      <w:tabs>
        <w:tab w:val="left" w:pos="567"/>
        <w:tab w:val="right" w:leader="dot" w:pos="9062"/>
      </w:tabs>
      <w:spacing w:line="240" w:lineRule="auto"/>
      <w:ind w:firstLine="0"/>
    </w:pPr>
    <w:rPr>
      <w:b/>
    </w:rPr>
  </w:style>
  <w:style w:type="paragraph" w:styleId="TOC2">
    <w:name w:val="toc 2"/>
    <w:basedOn w:val="Normal"/>
    <w:next w:val="Normal"/>
    <w:autoRedefine/>
    <w:uiPriority w:val="39"/>
    <w:unhideWhenUsed/>
    <w:qFormat/>
    <w:rsid w:val="00336DE1"/>
    <w:pPr>
      <w:spacing w:line="240" w:lineRule="auto"/>
      <w:ind w:left="284" w:firstLine="0"/>
    </w:pPr>
  </w:style>
  <w:style w:type="paragraph" w:styleId="TOC3">
    <w:name w:val="toc 3"/>
    <w:basedOn w:val="Normal"/>
    <w:next w:val="Normal"/>
    <w:uiPriority w:val="39"/>
    <w:unhideWhenUsed/>
    <w:qFormat/>
    <w:rsid w:val="00336DE1"/>
    <w:pPr>
      <w:spacing w:line="240" w:lineRule="auto"/>
      <w:ind w:left="567" w:firstLine="0"/>
    </w:pPr>
  </w:style>
  <w:style w:type="character" w:styleId="Hyperlink">
    <w:name w:val="Hyperlink"/>
    <w:basedOn w:val="DefaultParagraphFont"/>
    <w:uiPriority w:val="99"/>
    <w:unhideWhenUsed/>
    <w:rsid w:val="005F5DBF"/>
    <w:rPr>
      <w:color w:val="0000FF" w:themeColor="hyperlink"/>
      <w:u w:val="single"/>
    </w:rPr>
  </w:style>
  <w:style w:type="paragraph" w:styleId="BalloonText">
    <w:name w:val="Balloon Text"/>
    <w:basedOn w:val="Normal"/>
    <w:link w:val="BalloonTextChar"/>
    <w:uiPriority w:val="99"/>
    <w:semiHidden/>
    <w:unhideWhenUsed/>
    <w:rsid w:val="005F5D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DBF"/>
    <w:rPr>
      <w:rFonts w:ascii="Tahoma" w:hAnsi="Tahoma" w:cs="Tahoma"/>
      <w:sz w:val="16"/>
      <w:szCs w:val="16"/>
    </w:rPr>
  </w:style>
  <w:style w:type="paragraph" w:styleId="Header">
    <w:name w:val="header"/>
    <w:basedOn w:val="Normal"/>
    <w:link w:val="HeaderChar"/>
    <w:uiPriority w:val="99"/>
    <w:unhideWhenUsed/>
    <w:rsid w:val="0063596F"/>
    <w:pPr>
      <w:tabs>
        <w:tab w:val="center" w:pos="4703"/>
        <w:tab w:val="right" w:pos="9406"/>
      </w:tabs>
      <w:spacing w:line="240" w:lineRule="auto"/>
    </w:pPr>
  </w:style>
  <w:style w:type="character" w:customStyle="1" w:styleId="HeaderChar">
    <w:name w:val="Header Char"/>
    <w:basedOn w:val="DefaultParagraphFont"/>
    <w:link w:val="Header"/>
    <w:uiPriority w:val="99"/>
    <w:rsid w:val="0063596F"/>
    <w:rPr>
      <w:rFonts w:ascii="Garamond" w:hAnsi="Garamond"/>
      <w:sz w:val="24"/>
    </w:rPr>
  </w:style>
  <w:style w:type="paragraph" w:styleId="Footer">
    <w:name w:val="footer"/>
    <w:basedOn w:val="Normal"/>
    <w:link w:val="FooterChar"/>
    <w:uiPriority w:val="99"/>
    <w:unhideWhenUsed/>
    <w:rsid w:val="0063596F"/>
    <w:pPr>
      <w:tabs>
        <w:tab w:val="center" w:pos="4703"/>
        <w:tab w:val="right" w:pos="9406"/>
      </w:tabs>
      <w:spacing w:line="240" w:lineRule="auto"/>
    </w:pPr>
  </w:style>
  <w:style w:type="character" w:customStyle="1" w:styleId="FooterChar">
    <w:name w:val="Footer Char"/>
    <w:basedOn w:val="DefaultParagraphFont"/>
    <w:link w:val="Footer"/>
    <w:uiPriority w:val="99"/>
    <w:rsid w:val="0063596F"/>
    <w:rPr>
      <w:rFonts w:ascii="Garamond" w:hAnsi="Garamond"/>
      <w:sz w:val="24"/>
    </w:rPr>
  </w:style>
  <w:style w:type="paragraph" w:styleId="ListParagraph">
    <w:name w:val="List Paragraph"/>
    <w:basedOn w:val="Normal"/>
    <w:uiPriority w:val="34"/>
    <w:qFormat/>
    <w:locked/>
    <w:rsid w:val="00C24E38"/>
    <w:pPr>
      <w:spacing w:after="200" w:line="276" w:lineRule="auto"/>
      <w:ind w:left="720" w:firstLine="0"/>
      <w:contextualSpacing/>
      <w:jc w:val="left"/>
    </w:pPr>
  </w:style>
  <w:style w:type="character" w:customStyle="1" w:styleId="bodytext">
    <w:name w:val="bodytext"/>
    <w:basedOn w:val="DefaultParagraphFont"/>
    <w:rsid w:val="008A743D"/>
  </w:style>
  <w:style w:type="character" w:styleId="Emphasis">
    <w:name w:val="Emphasis"/>
    <w:basedOn w:val="DefaultParagraphFont"/>
    <w:uiPriority w:val="20"/>
    <w:qFormat/>
    <w:locked/>
    <w:rsid w:val="00894141"/>
    <w:rPr>
      <w:i/>
      <w:iCs/>
    </w:rPr>
  </w:style>
  <w:style w:type="character" w:styleId="FollowedHyperlink">
    <w:name w:val="FollowedHyperlink"/>
    <w:basedOn w:val="DefaultParagraphFont"/>
    <w:uiPriority w:val="99"/>
    <w:semiHidden/>
    <w:unhideWhenUsed/>
    <w:rsid w:val="00A923F6"/>
    <w:rPr>
      <w:color w:val="800080" w:themeColor="followedHyperlink"/>
      <w:u w:val="single"/>
    </w:rPr>
  </w:style>
  <w:style w:type="character" w:customStyle="1" w:styleId="highlight">
    <w:name w:val="highlight"/>
    <w:basedOn w:val="DefaultParagraphFont"/>
    <w:rsid w:val="00BA3EFD"/>
  </w:style>
  <w:style w:type="table" w:styleId="TableGrid">
    <w:name w:val="Table Grid"/>
    <w:basedOn w:val="TableNormal"/>
    <w:uiPriority w:val="59"/>
    <w:rsid w:val="001B03D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48B2"/>
    <w:rPr>
      <w:sz w:val="16"/>
      <w:szCs w:val="16"/>
    </w:rPr>
  </w:style>
  <w:style w:type="paragraph" w:styleId="CommentText">
    <w:name w:val="annotation text"/>
    <w:basedOn w:val="Normal"/>
    <w:link w:val="CommentTextChar"/>
    <w:uiPriority w:val="99"/>
    <w:semiHidden/>
    <w:unhideWhenUsed/>
    <w:rsid w:val="008B48B2"/>
    <w:pPr>
      <w:spacing w:line="240" w:lineRule="auto"/>
    </w:pPr>
    <w:rPr>
      <w:sz w:val="20"/>
      <w:szCs w:val="20"/>
    </w:rPr>
  </w:style>
  <w:style w:type="character" w:customStyle="1" w:styleId="CommentTextChar">
    <w:name w:val="Comment Text Char"/>
    <w:basedOn w:val="DefaultParagraphFont"/>
    <w:link w:val="CommentText"/>
    <w:uiPriority w:val="99"/>
    <w:semiHidden/>
    <w:rsid w:val="008B48B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B48B2"/>
    <w:rPr>
      <w:b/>
      <w:bCs/>
    </w:rPr>
  </w:style>
  <w:style w:type="character" w:customStyle="1" w:styleId="CommentSubjectChar">
    <w:name w:val="Comment Subject Char"/>
    <w:basedOn w:val="CommentTextChar"/>
    <w:link w:val="CommentSubject"/>
    <w:uiPriority w:val="99"/>
    <w:semiHidden/>
    <w:rsid w:val="008B48B2"/>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locked="1" w:uiPriority="9"/>
    <w:lsdException w:name="heading 5" w:locked="1" w:uiPriority="9"/>
    <w:lsdException w:name="heading 6" w:locked="1" w:uiPriority="9" w:unhideWhenUsed="0" w:qFormat="1"/>
    <w:lsdException w:name="heading 7" w:locked="1" w:uiPriority="9" w:qFormat="1"/>
    <w:lsdException w:name="heading 8" w:locked="1" w:uiPriority="9" w:qFormat="1"/>
    <w:lsdException w:name="heading 9" w:locked="1"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10" w:unhideWhenUsed="0" w:qFormat="1"/>
    <w:lsdException w:name="Default Paragraph Font" w:uiPriority="1"/>
    <w:lsdException w:name="Subtitle" w:locked="1" w:uiPriority="11"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locked="1"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qFormat="1"/>
    <w:lsdException w:name="Intense Reference" w:locked="1" w:semiHidden="0" w:uiPriority="32" w:unhideWhenUsed="0" w:qFormat="1"/>
    <w:lsdException w:name="Book Title" w:locked="1" w:semiHidden="0" w:uiPriority="33" w:unhideWhenUsed="0" w:qFormat="1"/>
    <w:lsdException w:name="Bibliography" w:semiHidden="0" w:uiPriority="37" w:unhideWhenUsed="0" w:qFormat="1"/>
    <w:lsdException w:name="TOC Heading" w:uiPriority="39" w:qFormat="1"/>
  </w:latentStyles>
  <w:style w:type="paragraph" w:default="1" w:styleId="Normal">
    <w:name w:val="Normal"/>
    <w:aliases w:val="Standardní odstavec"/>
    <w:qFormat/>
    <w:rsid w:val="009B3D7E"/>
    <w:pPr>
      <w:spacing w:after="0" w:line="360" w:lineRule="auto"/>
      <w:ind w:firstLine="567"/>
      <w:jc w:val="both"/>
    </w:pPr>
    <w:rPr>
      <w:rFonts w:ascii="Times New Roman" w:hAnsi="Times New Roman"/>
      <w:sz w:val="24"/>
    </w:rPr>
  </w:style>
  <w:style w:type="paragraph" w:styleId="Heading1">
    <w:name w:val="heading 1"/>
    <w:basedOn w:val="Normal"/>
    <w:next w:val="Normal"/>
    <w:link w:val="Heading1Char"/>
    <w:uiPriority w:val="9"/>
    <w:qFormat/>
    <w:rsid w:val="0059245C"/>
    <w:pPr>
      <w:keepNext/>
      <w:keepLines/>
      <w:numPr>
        <w:numId w:val="12"/>
      </w:numPr>
      <w:spacing w:before="240" w:after="120" w:line="240" w:lineRule="auto"/>
      <w:ind w:left="851" w:hanging="851"/>
      <w:outlineLvl w:val="0"/>
    </w:pPr>
    <w:rPr>
      <w:rFonts w:eastAsiaTheme="majorEastAsia" w:cstheme="majorBidi"/>
      <w:b/>
      <w:bCs/>
      <w:color w:val="000000" w:themeColor="text1"/>
      <w:sz w:val="32"/>
      <w:szCs w:val="28"/>
    </w:rPr>
  </w:style>
  <w:style w:type="paragraph" w:styleId="Heading2">
    <w:name w:val="heading 2"/>
    <w:basedOn w:val="Normal"/>
    <w:next w:val="Normal"/>
    <w:link w:val="Heading2Char"/>
    <w:uiPriority w:val="9"/>
    <w:qFormat/>
    <w:rsid w:val="0059245C"/>
    <w:pPr>
      <w:keepNext/>
      <w:keepLines/>
      <w:numPr>
        <w:ilvl w:val="1"/>
        <w:numId w:val="12"/>
      </w:numPr>
      <w:spacing w:before="240" w:after="120" w:line="240" w:lineRule="auto"/>
      <w:ind w:left="851" w:hanging="851"/>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uiPriority w:val="9"/>
    <w:qFormat/>
    <w:rsid w:val="0059245C"/>
    <w:pPr>
      <w:keepNext/>
      <w:keepLines/>
      <w:numPr>
        <w:ilvl w:val="2"/>
        <w:numId w:val="12"/>
      </w:numPr>
      <w:spacing w:before="240" w:after="120" w:line="240" w:lineRule="auto"/>
      <w:ind w:left="851" w:hanging="851"/>
      <w:jc w:val="left"/>
      <w:outlineLvl w:val="2"/>
    </w:pPr>
    <w:rPr>
      <w:rFonts w:eastAsiaTheme="majorEastAsia" w:cstheme="majorBidi"/>
      <w:b/>
      <w:bCs/>
      <w:color w:val="000000" w:themeColor="text1"/>
    </w:rPr>
  </w:style>
  <w:style w:type="paragraph" w:styleId="Heading4">
    <w:name w:val="heading 4"/>
    <w:basedOn w:val="Normal"/>
    <w:next w:val="Normal"/>
    <w:link w:val="Heading4Char"/>
    <w:uiPriority w:val="9"/>
    <w:semiHidden/>
    <w:locked/>
    <w:rsid w:val="00A3359C"/>
    <w:pPr>
      <w:keepNext/>
      <w:keepLines/>
      <w:numPr>
        <w:ilvl w:val="3"/>
        <w:numId w:val="1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locked/>
    <w:rsid w:val="00A3359C"/>
    <w:pPr>
      <w:keepNext/>
      <w:keepLines/>
      <w:numPr>
        <w:ilvl w:val="4"/>
        <w:numId w:val="1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qFormat/>
    <w:locked/>
    <w:rsid w:val="009D7B25"/>
    <w:pPr>
      <w:keepNext/>
      <w:keepLines/>
      <w:numPr>
        <w:ilvl w:val="5"/>
        <w:numId w:val="1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9D7B25"/>
    <w:pPr>
      <w:keepNext/>
      <w:keepLines/>
      <w:numPr>
        <w:ilvl w:val="6"/>
        <w:numId w:val="1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9D7B25"/>
    <w:pPr>
      <w:keepNext/>
      <w:keepLines/>
      <w:numPr>
        <w:ilvl w:val="7"/>
        <w:numId w:val="1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locked/>
    <w:rsid w:val="009D7B25"/>
    <w:pPr>
      <w:keepNext/>
      <w:keepLines/>
      <w:numPr>
        <w:ilvl w:val="8"/>
        <w:numId w:val="1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C4457"/>
    <w:pPr>
      <w:spacing w:line="240" w:lineRule="auto"/>
      <w:ind w:firstLine="0"/>
      <w:jc w:val="left"/>
    </w:pPr>
    <w:rPr>
      <w:sz w:val="20"/>
      <w:szCs w:val="20"/>
    </w:rPr>
  </w:style>
  <w:style w:type="character" w:customStyle="1" w:styleId="FootnoteTextChar">
    <w:name w:val="Footnote Text Char"/>
    <w:basedOn w:val="DefaultParagraphFont"/>
    <w:link w:val="FootnoteText"/>
    <w:uiPriority w:val="99"/>
    <w:rsid w:val="000C4457"/>
    <w:rPr>
      <w:rFonts w:ascii="Garamond" w:hAnsi="Garamond"/>
      <w:sz w:val="20"/>
      <w:szCs w:val="20"/>
    </w:rPr>
  </w:style>
  <w:style w:type="character" w:styleId="FootnoteReference">
    <w:name w:val="footnote reference"/>
    <w:basedOn w:val="DefaultParagraphFont"/>
    <w:uiPriority w:val="99"/>
    <w:semiHidden/>
    <w:unhideWhenUsed/>
    <w:rsid w:val="00193933"/>
    <w:rPr>
      <w:vertAlign w:val="superscript"/>
    </w:rPr>
  </w:style>
  <w:style w:type="paragraph" w:customStyle="1" w:styleId="Odrky">
    <w:name w:val="Odrážky"/>
    <w:basedOn w:val="Normal"/>
    <w:qFormat/>
    <w:rsid w:val="005A1A1C"/>
    <w:pPr>
      <w:numPr>
        <w:numId w:val="15"/>
      </w:numPr>
      <w:spacing w:before="120" w:after="120"/>
      <w:ind w:left="1134" w:hanging="567"/>
      <w:contextualSpacing/>
    </w:pPr>
  </w:style>
  <w:style w:type="character" w:customStyle="1" w:styleId="Heading1Char">
    <w:name w:val="Heading 1 Char"/>
    <w:basedOn w:val="DefaultParagraphFont"/>
    <w:link w:val="Heading1"/>
    <w:uiPriority w:val="9"/>
    <w:rsid w:val="0059245C"/>
    <w:rPr>
      <w:rFonts w:ascii="Times New Roman" w:eastAsiaTheme="majorEastAsia" w:hAnsi="Times New Roman" w:cstheme="majorBidi"/>
      <w:b/>
      <w:bCs/>
      <w:color w:val="000000" w:themeColor="text1"/>
      <w:sz w:val="32"/>
      <w:szCs w:val="28"/>
    </w:rPr>
  </w:style>
  <w:style w:type="character" w:customStyle="1" w:styleId="Heading2Char">
    <w:name w:val="Heading 2 Char"/>
    <w:basedOn w:val="DefaultParagraphFont"/>
    <w:link w:val="Heading2"/>
    <w:uiPriority w:val="9"/>
    <w:rsid w:val="0059245C"/>
    <w:rPr>
      <w:rFonts w:ascii="Times New Roman" w:eastAsiaTheme="majorEastAsia" w:hAnsi="Times New Roman" w:cstheme="majorBidi"/>
      <w:b/>
      <w:bCs/>
      <w:color w:val="000000" w:themeColor="text1"/>
      <w:sz w:val="28"/>
      <w:szCs w:val="26"/>
    </w:rPr>
  </w:style>
  <w:style w:type="paragraph" w:styleId="Caption">
    <w:name w:val="caption"/>
    <w:aliases w:val="Titulek nad vložený objekt"/>
    <w:basedOn w:val="Normal"/>
    <w:next w:val="Normal"/>
    <w:uiPriority w:val="35"/>
    <w:qFormat/>
    <w:rsid w:val="00B04FAA"/>
    <w:pPr>
      <w:numPr>
        <w:numId w:val="11"/>
      </w:numPr>
      <w:spacing w:before="240" w:after="120" w:line="240" w:lineRule="auto"/>
      <w:ind w:left="357" w:hanging="357"/>
      <w:jc w:val="left"/>
    </w:pPr>
    <w:rPr>
      <w:b/>
      <w:bCs/>
      <w:color w:val="000000" w:themeColor="text1"/>
      <w:szCs w:val="18"/>
    </w:rPr>
  </w:style>
  <w:style w:type="character" w:customStyle="1" w:styleId="Heading3Char">
    <w:name w:val="Heading 3 Char"/>
    <w:basedOn w:val="DefaultParagraphFont"/>
    <w:link w:val="Heading3"/>
    <w:uiPriority w:val="9"/>
    <w:rsid w:val="0059245C"/>
    <w:rPr>
      <w:rFonts w:ascii="Times New Roman" w:eastAsiaTheme="majorEastAsia" w:hAnsi="Times New Roman" w:cstheme="majorBidi"/>
      <w:b/>
      <w:bCs/>
      <w:color w:val="000000" w:themeColor="text1"/>
      <w:sz w:val="24"/>
    </w:rPr>
  </w:style>
  <w:style w:type="paragraph" w:styleId="Bibliography">
    <w:name w:val="Bibliography"/>
    <w:basedOn w:val="Normal"/>
    <w:next w:val="Normal"/>
    <w:uiPriority w:val="37"/>
    <w:qFormat/>
    <w:rsid w:val="00AA5843"/>
    <w:pPr>
      <w:spacing w:before="120" w:after="120" w:line="240" w:lineRule="auto"/>
      <w:ind w:left="567" w:hanging="567"/>
      <w:jc w:val="left"/>
    </w:pPr>
  </w:style>
  <w:style w:type="character" w:customStyle="1" w:styleId="Heading4Char">
    <w:name w:val="Heading 4 Char"/>
    <w:basedOn w:val="DefaultParagraphFont"/>
    <w:link w:val="Heading4"/>
    <w:uiPriority w:val="9"/>
    <w:semiHidden/>
    <w:rsid w:val="00A3359C"/>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A3359C"/>
    <w:rPr>
      <w:rFonts w:asciiTheme="majorHAnsi" w:eastAsiaTheme="majorEastAsia" w:hAnsiTheme="majorHAnsi" w:cstheme="majorBidi"/>
      <w:color w:val="243F60" w:themeColor="accent1" w:themeShade="7F"/>
      <w:sz w:val="24"/>
    </w:rPr>
  </w:style>
  <w:style w:type="paragraph" w:customStyle="1" w:styleId="Zdrojpodvloenobjekt">
    <w:name w:val="Zdroj pod vložený objekt"/>
    <w:basedOn w:val="Normal"/>
    <w:qFormat/>
    <w:rsid w:val="00DE2284"/>
    <w:pPr>
      <w:spacing w:before="120" w:after="240" w:line="240" w:lineRule="auto"/>
      <w:ind w:firstLine="0"/>
    </w:pPr>
    <w:rPr>
      <w:sz w:val="20"/>
    </w:rPr>
  </w:style>
  <w:style w:type="character" w:customStyle="1" w:styleId="Heading6Char">
    <w:name w:val="Heading 6 Char"/>
    <w:basedOn w:val="DefaultParagraphFont"/>
    <w:link w:val="Heading6"/>
    <w:uiPriority w:val="9"/>
    <w:semiHidden/>
    <w:rsid w:val="009D7B25"/>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9D7B25"/>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9D7B2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D7B25"/>
    <w:rPr>
      <w:rFonts w:asciiTheme="majorHAnsi" w:eastAsiaTheme="majorEastAsia" w:hAnsiTheme="majorHAnsi" w:cstheme="majorBidi"/>
      <w:i/>
      <w:iCs/>
      <w:color w:val="404040" w:themeColor="text1" w:themeTint="BF"/>
      <w:sz w:val="20"/>
      <w:szCs w:val="20"/>
    </w:rPr>
  </w:style>
  <w:style w:type="paragraph" w:customStyle="1" w:styleId="Nadpismimoobsah">
    <w:name w:val="Nadpis mimo obsah"/>
    <w:basedOn w:val="Normal"/>
    <w:next w:val="Normal"/>
    <w:qFormat/>
    <w:rsid w:val="009D7B25"/>
    <w:pPr>
      <w:spacing w:line="240" w:lineRule="auto"/>
      <w:ind w:firstLine="0"/>
    </w:pPr>
    <w:rPr>
      <w:b/>
      <w:sz w:val="32"/>
    </w:rPr>
  </w:style>
  <w:style w:type="paragraph" w:styleId="TOCHeading">
    <w:name w:val="TOC Heading"/>
    <w:basedOn w:val="Heading1"/>
    <w:next w:val="Normal"/>
    <w:uiPriority w:val="39"/>
    <w:semiHidden/>
    <w:unhideWhenUsed/>
    <w:qFormat/>
    <w:rsid w:val="005F5DBF"/>
    <w:pPr>
      <w:numPr>
        <w:numId w:val="0"/>
      </w:numPr>
      <w:spacing w:before="480" w:after="0" w:line="276" w:lineRule="auto"/>
      <w:jc w:val="left"/>
      <w:outlineLvl w:val="9"/>
    </w:pPr>
    <w:rPr>
      <w:rFonts w:asciiTheme="majorHAnsi" w:hAnsiTheme="majorHAnsi"/>
      <w:color w:val="365F91" w:themeColor="accent1" w:themeShade="BF"/>
      <w:sz w:val="28"/>
    </w:rPr>
  </w:style>
  <w:style w:type="paragraph" w:styleId="TOC1">
    <w:name w:val="toc 1"/>
    <w:basedOn w:val="Normal"/>
    <w:next w:val="Normal"/>
    <w:autoRedefine/>
    <w:uiPriority w:val="39"/>
    <w:unhideWhenUsed/>
    <w:qFormat/>
    <w:rsid w:val="00FA5482"/>
    <w:pPr>
      <w:tabs>
        <w:tab w:val="left" w:pos="567"/>
        <w:tab w:val="right" w:leader="dot" w:pos="9062"/>
      </w:tabs>
      <w:spacing w:line="240" w:lineRule="auto"/>
      <w:ind w:firstLine="0"/>
    </w:pPr>
    <w:rPr>
      <w:b/>
    </w:rPr>
  </w:style>
  <w:style w:type="paragraph" w:styleId="TOC2">
    <w:name w:val="toc 2"/>
    <w:basedOn w:val="Normal"/>
    <w:next w:val="Normal"/>
    <w:autoRedefine/>
    <w:uiPriority w:val="39"/>
    <w:unhideWhenUsed/>
    <w:qFormat/>
    <w:rsid w:val="00336DE1"/>
    <w:pPr>
      <w:spacing w:line="240" w:lineRule="auto"/>
      <w:ind w:left="284" w:firstLine="0"/>
    </w:pPr>
  </w:style>
  <w:style w:type="paragraph" w:styleId="TOC3">
    <w:name w:val="toc 3"/>
    <w:basedOn w:val="Normal"/>
    <w:next w:val="Normal"/>
    <w:uiPriority w:val="39"/>
    <w:unhideWhenUsed/>
    <w:qFormat/>
    <w:rsid w:val="00336DE1"/>
    <w:pPr>
      <w:spacing w:line="240" w:lineRule="auto"/>
      <w:ind w:left="567" w:firstLine="0"/>
    </w:pPr>
  </w:style>
  <w:style w:type="character" w:styleId="Hyperlink">
    <w:name w:val="Hyperlink"/>
    <w:basedOn w:val="DefaultParagraphFont"/>
    <w:uiPriority w:val="99"/>
    <w:unhideWhenUsed/>
    <w:rsid w:val="005F5DBF"/>
    <w:rPr>
      <w:color w:val="0000FF" w:themeColor="hyperlink"/>
      <w:u w:val="single"/>
    </w:rPr>
  </w:style>
  <w:style w:type="paragraph" w:styleId="BalloonText">
    <w:name w:val="Balloon Text"/>
    <w:basedOn w:val="Normal"/>
    <w:link w:val="BalloonTextChar"/>
    <w:uiPriority w:val="99"/>
    <w:semiHidden/>
    <w:unhideWhenUsed/>
    <w:rsid w:val="005F5D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DBF"/>
    <w:rPr>
      <w:rFonts w:ascii="Tahoma" w:hAnsi="Tahoma" w:cs="Tahoma"/>
      <w:sz w:val="16"/>
      <w:szCs w:val="16"/>
    </w:rPr>
  </w:style>
  <w:style w:type="paragraph" w:styleId="Header">
    <w:name w:val="header"/>
    <w:basedOn w:val="Normal"/>
    <w:link w:val="HeaderChar"/>
    <w:uiPriority w:val="99"/>
    <w:unhideWhenUsed/>
    <w:rsid w:val="0063596F"/>
    <w:pPr>
      <w:tabs>
        <w:tab w:val="center" w:pos="4703"/>
        <w:tab w:val="right" w:pos="9406"/>
      </w:tabs>
      <w:spacing w:line="240" w:lineRule="auto"/>
    </w:pPr>
  </w:style>
  <w:style w:type="character" w:customStyle="1" w:styleId="HeaderChar">
    <w:name w:val="Header Char"/>
    <w:basedOn w:val="DefaultParagraphFont"/>
    <w:link w:val="Header"/>
    <w:uiPriority w:val="99"/>
    <w:rsid w:val="0063596F"/>
    <w:rPr>
      <w:rFonts w:ascii="Garamond" w:hAnsi="Garamond"/>
      <w:sz w:val="24"/>
    </w:rPr>
  </w:style>
  <w:style w:type="paragraph" w:styleId="Footer">
    <w:name w:val="footer"/>
    <w:basedOn w:val="Normal"/>
    <w:link w:val="FooterChar"/>
    <w:uiPriority w:val="99"/>
    <w:unhideWhenUsed/>
    <w:rsid w:val="0063596F"/>
    <w:pPr>
      <w:tabs>
        <w:tab w:val="center" w:pos="4703"/>
        <w:tab w:val="right" w:pos="9406"/>
      </w:tabs>
      <w:spacing w:line="240" w:lineRule="auto"/>
    </w:pPr>
  </w:style>
  <w:style w:type="character" w:customStyle="1" w:styleId="FooterChar">
    <w:name w:val="Footer Char"/>
    <w:basedOn w:val="DefaultParagraphFont"/>
    <w:link w:val="Footer"/>
    <w:uiPriority w:val="99"/>
    <w:rsid w:val="0063596F"/>
    <w:rPr>
      <w:rFonts w:ascii="Garamond" w:hAnsi="Garamond"/>
      <w:sz w:val="24"/>
    </w:rPr>
  </w:style>
  <w:style w:type="paragraph" w:styleId="ListParagraph">
    <w:name w:val="List Paragraph"/>
    <w:basedOn w:val="Normal"/>
    <w:uiPriority w:val="34"/>
    <w:qFormat/>
    <w:locked/>
    <w:rsid w:val="00C24E38"/>
    <w:pPr>
      <w:spacing w:after="200" w:line="276" w:lineRule="auto"/>
      <w:ind w:left="720" w:firstLine="0"/>
      <w:contextualSpacing/>
      <w:jc w:val="left"/>
    </w:pPr>
  </w:style>
  <w:style w:type="character" w:customStyle="1" w:styleId="bodytext">
    <w:name w:val="bodytext"/>
    <w:basedOn w:val="DefaultParagraphFont"/>
    <w:rsid w:val="008A743D"/>
  </w:style>
  <w:style w:type="character" w:styleId="Emphasis">
    <w:name w:val="Emphasis"/>
    <w:basedOn w:val="DefaultParagraphFont"/>
    <w:uiPriority w:val="20"/>
    <w:qFormat/>
    <w:locked/>
    <w:rsid w:val="00894141"/>
    <w:rPr>
      <w:i/>
      <w:iCs/>
    </w:rPr>
  </w:style>
  <w:style w:type="character" w:styleId="FollowedHyperlink">
    <w:name w:val="FollowedHyperlink"/>
    <w:basedOn w:val="DefaultParagraphFont"/>
    <w:uiPriority w:val="99"/>
    <w:semiHidden/>
    <w:unhideWhenUsed/>
    <w:rsid w:val="00A923F6"/>
    <w:rPr>
      <w:color w:val="800080" w:themeColor="followedHyperlink"/>
      <w:u w:val="single"/>
    </w:rPr>
  </w:style>
  <w:style w:type="character" w:customStyle="1" w:styleId="highlight">
    <w:name w:val="highlight"/>
    <w:basedOn w:val="DefaultParagraphFont"/>
    <w:rsid w:val="00BA3EFD"/>
  </w:style>
  <w:style w:type="table" w:styleId="TableGrid">
    <w:name w:val="Table Grid"/>
    <w:basedOn w:val="TableNormal"/>
    <w:uiPriority w:val="59"/>
    <w:rsid w:val="001B03D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48B2"/>
    <w:rPr>
      <w:sz w:val="16"/>
      <w:szCs w:val="16"/>
    </w:rPr>
  </w:style>
  <w:style w:type="paragraph" w:styleId="CommentText">
    <w:name w:val="annotation text"/>
    <w:basedOn w:val="Normal"/>
    <w:link w:val="CommentTextChar"/>
    <w:uiPriority w:val="99"/>
    <w:semiHidden/>
    <w:unhideWhenUsed/>
    <w:rsid w:val="008B48B2"/>
    <w:pPr>
      <w:spacing w:line="240" w:lineRule="auto"/>
    </w:pPr>
    <w:rPr>
      <w:sz w:val="20"/>
      <w:szCs w:val="20"/>
    </w:rPr>
  </w:style>
  <w:style w:type="character" w:customStyle="1" w:styleId="CommentTextChar">
    <w:name w:val="Comment Text Char"/>
    <w:basedOn w:val="DefaultParagraphFont"/>
    <w:link w:val="CommentText"/>
    <w:uiPriority w:val="99"/>
    <w:semiHidden/>
    <w:rsid w:val="008B48B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B48B2"/>
    <w:rPr>
      <w:b/>
      <w:bCs/>
    </w:rPr>
  </w:style>
  <w:style w:type="character" w:customStyle="1" w:styleId="CommentSubjectChar">
    <w:name w:val="Comment Subject Char"/>
    <w:basedOn w:val="CommentTextChar"/>
    <w:link w:val="CommentSubject"/>
    <w:uiPriority w:val="99"/>
    <w:semiHidden/>
    <w:rsid w:val="008B48B2"/>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366468">
      <w:bodyDiv w:val="1"/>
      <w:marLeft w:val="0"/>
      <w:marRight w:val="0"/>
      <w:marTop w:val="0"/>
      <w:marBottom w:val="0"/>
      <w:divBdr>
        <w:top w:val="none" w:sz="0" w:space="0" w:color="auto"/>
        <w:left w:val="none" w:sz="0" w:space="0" w:color="auto"/>
        <w:bottom w:val="none" w:sz="0" w:space="0" w:color="auto"/>
        <w:right w:val="none" w:sz="0" w:space="0" w:color="auto"/>
      </w:divBdr>
    </w:div>
    <w:div w:id="204440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pravo.cz/top/clanky/dusledky-nevydani-rozhodnuti-o-vyberu-nejvhodnejsi-nabidky-zadavatelem-dle-zakona-o-verejnych-zakazkach-86531.html"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pravo.cz/top/clanky/otevirani-obalek-pojem-ihned-v-rozhodovaci-praxi-95333.html" TargetMode="Externa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pravo.cz/top/clanky/verejne-zakazky-k-jednomu-aktualnimu-problemu-souvisejiciho-s-poskytovanim-zadavaci-dokumentace-dodavatelum-94085.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pravo.cz/top/clanky/k-moznosti-uzavrit-smlouvu-o-najmu-nebytovych-prostor-statni-prispevkove-organizace-mimo-rezim-zakona-o-verejnych-zakazkach-88296.htm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epravo.cz/top/clanky/otevirani-obalek-pojem-ihned-v-rozhodovaci-praxi-95333.html" TargetMode="External"/><Relationship Id="rId2" Type="http://schemas.openxmlformats.org/officeDocument/2006/relationships/hyperlink" Target="http://www.epravo.cz/top/clanky/verejne-zakazky-k-jednomu-aktualnimu-problemu-souvisejiciho-s-poskytovanim-zadavaci-dokumentace-dodavatelum-94085.html" TargetMode="External"/><Relationship Id="rId1" Type="http://schemas.openxmlformats.org/officeDocument/2006/relationships/hyperlink" Target="http://www.epravo.cz/top/clanky/k-moznosti-uzavrit-smlouvu-o-najmu-nebytovych-prostor-statni-prispevkove-organizace-mimo-rezim-zakona-o-verejnych-zakazkach-88296.html" TargetMode="External"/><Relationship Id="rId5" Type="http://schemas.openxmlformats.org/officeDocument/2006/relationships/hyperlink" Target="http://www.portal-vz.cz/cs/Aktuality/Nove-evropske-zadavaci-smernice-publikovany-v-Ured" TargetMode="External"/><Relationship Id="rId4" Type="http://schemas.openxmlformats.org/officeDocument/2006/relationships/hyperlink" Target="http://www.epravo.cz/top/clanky/dusledky-nevydani-rozhodnuti-o-vyberu-nejvhodnejsi-nabidky-zadavatelem-dle-zakona-o-verejnych-zakazkach-8653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ek\AppData\Local\Temp\Sablona_smernice_dekanky_Word_2007_v2-1.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Book</b:SourceType>
    <b:Guid>{CDEBEEA2-4A62-4825-A378-2073E98282D9}</b:Guid>
    <b:RefOrder>2</b:RefOrder>
  </b:Source>
</b:Sources>
</file>

<file path=customXml/itemProps1.xml><?xml version="1.0" encoding="utf-8"?>
<ds:datastoreItem xmlns:ds="http://schemas.openxmlformats.org/officeDocument/2006/customXml" ds:itemID="{EB00B217-B576-4677-832D-7FB5584DA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Sablona_smernice_dekanky_Word_2007_v2-1</Template>
  <TotalTime>64</TotalTime>
  <Pages>58</Pages>
  <Words>16390</Words>
  <Characters>93429</Characters>
  <Application>Microsoft Office Word</Application>
  <DocSecurity>0</DocSecurity>
  <Lines>778</Lines>
  <Paragraphs>219</Paragraphs>
  <ScaleCrop>false</ScaleCrop>
  <HeadingPairs>
    <vt:vector size="6" baseType="variant">
      <vt:variant>
        <vt:lpstr>Title</vt:lpstr>
      </vt:variant>
      <vt:variant>
        <vt:i4>1</vt:i4>
      </vt:variant>
      <vt:variant>
        <vt:lpstr>Headings</vt:lpstr>
      </vt:variant>
      <vt:variant>
        <vt:i4>20</vt:i4>
      </vt:variant>
      <vt:variant>
        <vt:lpstr>Název</vt:lpstr>
      </vt:variant>
      <vt:variant>
        <vt:i4>1</vt:i4>
      </vt:variant>
    </vt:vector>
  </HeadingPairs>
  <TitlesOfParts>
    <vt:vector size="22" baseType="lpstr">
      <vt:lpstr/>
      <vt:lpstr>Úvod</vt:lpstr>
      <vt:lpstr>Prameny práva veřejných zakázek</vt:lpstr>
      <vt:lpstr>    Právo Evropské unie jakožto pramen práva veřejných zakázek</vt:lpstr>
      <vt:lpstr>    Vnitrostátní prameny práva VZ</vt:lpstr>
      <vt:lpstr>Pojmové znaky, dělení a zásady při zadávání veřejných zakázek</vt:lpstr>
      <vt:lpstr>    Pojmové znaky VZ</vt:lpstr>
      <vt:lpstr>    Dělení VZ </vt:lpstr>
      <vt:lpstr>        VZ podle předmětu plnění</vt:lpstr>
      <vt:lpstr>        VZ podle výše předpokládané hodnoty</vt:lpstr>
      <vt:lpstr>        Významné, zelené a VZ v oblasti bezpečnosti a obrany</vt:lpstr>
      <vt:lpstr>    Zásady postupu zadavatele</vt:lpstr>
      <vt:lpstr>Analýza problematiky zadávacích řízení</vt:lpstr>
      <vt:lpstr>    Otevřené řízení</vt:lpstr>
      <vt:lpstr>    Užší řízení</vt:lpstr>
      <vt:lpstr>    Soutěžní dialog</vt:lpstr>
      <vt:lpstr>    Zjednodušené podlimitní řízení</vt:lpstr>
      <vt:lpstr>    Jednací řízení s uveřejněním</vt:lpstr>
      <vt:lpstr>    Jednací řízení bez uveřejnění</vt:lpstr>
      <vt:lpstr>Rekodifikace práva veřejných zakázek</vt:lpstr>
      <vt:lpstr>Závěr</vt:lpstr>
      <vt:lpstr/>
    </vt:vector>
  </TitlesOfParts>
  <Company>HP</Company>
  <LinksUpToDate>false</LinksUpToDate>
  <CharactersWithSpaces>109600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Marek</cp:lastModifiedBy>
  <cp:revision>29</cp:revision>
  <cp:lastPrinted>2011-03-14T05:29:00Z</cp:lastPrinted>
  <dcterms:created xsi:type="dcterms:W3CDTF">2017-01-23T09:45:00Z</dcterms:created>
  <dcterms:modified xsi:type="dcterms:W3CDTF">2017-01-27T09:29:00Z</dcterms:modified>
</cp:coreProperties>
</file>