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jpeg" ContentType="image/jpeg"/>
  <Override PartName="/word/media/image6.jpeg" ContentType="image/jpeg"/>
  <Override PartName="/word/media/image4.png" ContentType="image/png"/>
  <Override PartName="/word/media/image5.jpeg" ContentType="image/jpeg"/>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pPr>
      <w:r>
        <w:rPr>
          <w:rFonts w:cs="Times New Roman" w:ascii="Times New Roman" w:hAnsi="Times New Roman"/>
          <w:sz w:val="24"/>
          <w:szCs w:val="24"/>
        </w:rPr>
        <w:t>UNIVERZITA PALACKÉHO V OLOMOUCI</w:t>
      </w:r>
    </w:p>
    <w:p>
      <w:pPr>
        <w:pStyle w:val="Normal"/>
        <w:spacing w:lineRule="auto" w:line="360"/>
        <w:jc w:val="center"/>
        <w:rPr/>
      </w:pPr>
      <w:r>
        <w:rPr>
          <w:rFonts w:cs="Times New Roman" w:ascii="Times New Roman" w:hAnsi="Times New Roman"/>
          <w:sz w:val="24"/>
          <w:szCs w:val="24"/>
        </w:rPr>
        <w:t>PEDAGOGICKÁ FAKULTA</w:t>
      </w:r>
    </w:p>
    <w:p>
      <w:pPr>
        <w:pStyle w:val="Normal"/>
        <w:spacing w:lineRule="auto" w:line="360"/>
        <w:jc w:val="center"/>
        <w:rPr/>
      </w:pPr>
      <w:r>
        <w:rPr>
          <w:rFonts w:cs="Times New Roman" w:ascii="Times New Roman" w:hAnsi="Times New Roman"/>
          <w:sz w:val="24"/>
          <w:szCs w:val="24"/>
        </w:rPr>
        <w:t>Katedra primární a preprimární pedagogiky</w:t>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pPr>
      <w:r>
        <w:rPr>
          <w:rFonts w:cs="Times New Roman" w:ascii="Times New Roman" w:hAnsi="Times New Roman"/>
          <w:sz w:val="32"/>
          <w:szCs w:val="32"/>
        </w:rPr>
        <w:t>Bakalářská práce</w:t>
      </w:r>
    </w:p>
    <w:p>
      <w:pPr>
        <w:pStyle w:val="Normal"/>
        <w:spacing w:lineRule="auto" w:line="360"/>
        <w:jc w:val="center"/>
        <w:rPr/>
      </w:pPr>
      <w:r>
        <w:rPr>
          <w:rFonts w:cs="Times New Roman" w:ascii="Times New Roman" w:hAnsi="Times New Roman"/>
          <w:sz w:val="24"/>
          <w:szCs w:val="24"/>
        </w:rPr>
        <w:t>Mgr. Petra Šumberová</w:t>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pPr>
      <w:r>
        <w:rPr>
          <w:rFonts w:cs="Times New Roman" w:ascii="Times New Roman" w:hAnsi="Times New Roman"/>
          <w:sz w:val="28"/>
          <w:szCs w:val="28"/>
        </w:rPr>
        <w:t>Předškolní vzdělávání na Novém Zélandě</w:t>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center"/>
        <w:rPr/>
      </w:pPr>
      <w:r>
        <w:rPr>
          <w:rFonts w:cs="Times New Roman" w:ascii="Times New Roman" w:hAnsi="Times New Roman"/>
          <w:sz w:val="24"/>
          <w:szCs w:val="24"/>
        </w:rPr>
        <w:t>Olomouc 2017</w:t>
        <w:tab/>
        <w:tab/>
        <w:tab/>
        <w:t>vedoucí práce: Mgr. Alena Vavrdová, Ph.D.</w:t>
      </w:r>
      <w:r>
        <w:br w:type="page"/>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ind w:firstLine="708"/>
        <w:rPr/>
      </w:pPr>
      <w:r>
        <w:rPr>
          <w:rFonts w:cs="Times New Roman" w:ascii="Times New Roman" w:hAnsi="Times New Roman"/>
          <w:sz w:val="24"/>
          <w:szCs w:val="24"/>
        </w:rPr>
        <w:t>Prohlašuji, že jsem bakalářskou práci na téma „ Předškolní vzdělávání na Novém Zélandě“ vypracovala samostatně pod vedením Mgr. Aleny Vavrdové, Ph.D. a použila jen uvedených zdrojů a literatury.</w:t>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pPr>
      <w:r>
        <w:rPr>
          <w:rFonts w:cs="Times New Roman" w:ascii="Times New Roman" w:hAnsi="Times New Roman"/>
          <w:sz w:val="24"/>
          <w:szCs w:val="24"/>
        </w:rPr>
        <w:t xml:space="preserve">V Olomouci dne </w:t>
        <w:tab/>
        <w:tab/>
        <w:tab/>
        <w:tab/>
        <w:tab/>
        <w:tab/>
        <w:t>…………………………….</w:t>
        <w:tab/>
        <w:tab/>
        <w:tab/>
        <w:tab/>
        <w:tab/>
        <w:tab/>
        <w:tab/>
        <w:tab/>
        <w:tab/>
        <w:t>Mgr. Petra Šumberová</w:t>
        <w:tab/>
      </w:r>
      <w:r>
        <w:br w:type="page"/>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ind w:firstLine="708"/>
        <w:rPr/>
      </w:pPr>
      <w:r>
        <w:rPr>
          <w:rFonts w:cs="Times New Roman" w:ascii="Times New Roman" w:hAnsi="Times New Roman"/>
          <w:sz w:val="24"/>
          <w:szCs w:val="24"/>
        </w:rPr>
        <w:t>Děkuji Mgr. Aleně Vavrdové, Ph.D. za odborné vedení mé</w:t>
      </w:r>
      <w:r>
        <w:rPr>
          <w:rFonts w:cs="Times New Roman" w:ascii="Times New Roman" w:hAnsi="Times New Roman"/>
          <w:sz w:val="24"/>
          <w:szCs w:val="24"/>
          <w:lang w:val="en-US"/>
        </w:rPr>
        <w:t xml:space="preserve"> bakalářské práce,              za poskytování cenných rad a podnětných připomínek při jejím zpracování.</w:t>
      </w:r>
      <w:r>
        <w:rPr>
          <w:rFonts w:cs="Times New Roman" w:ascii="Times New Roman" w:hAnsi="Times New Roman"/>
          <w:sz w:val="24"/>
          <w:szCs w:val="24"/>
        </w:rPr>
        <w:t xml:space="preserve"> </w:t>
      </w:r>
    </w:p>
    <w:p>
      <w:pPr>
        <w:pStyle w:val="Normal"/>
        <w:spacing w:lineRule="auto" w:line="360" w:before="0" w:after="0"/>
        <w:rPr>
          <w:rFonts w:ascii="Times New Roman" w:hAnsi="Times New Roman" w:cs="Times New Roman"/>
          <w:b/>
          <w:b/>
          <w:sz w:val="28"/>
          <w:szCs w:val="28"/>
        </w:rPr>
      </w:pPr>
      <w:r>
        <w:rPr/>
      </w:r>
    </w:p>
    <w:p>
      <w:pPr>
        <w:pStyle w:val="Normal"/>
        <w:spacing w:lineRule="auto" w:line="360" w:before="0" w:after="0"/>
        <w:rPr>
          <w:rFonts w:ascii="Times New Roman" w:hAnsi="Times New Roman" w:cs="Times New Roman"/>
          <w:b/>
          <w:b/>
          <w:sz w:val="28"/>
          <w:szCs w:val="28"/>
        </w:rPr>
      </w:pPr>
      <w:r>
        <w:rPr>
          <w:rFonts w:cs="Times New Roman" w:ascii="Times New Roman" w:hAnsi="Times New Roman"/>
          <w:b/>
          <w:sz w:val="28"/>
          <w:szCs w:val="28"/>
        </w:rPr>
        <w:t>Obsah</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Úvod……………………………………………………………………………………….5</w:t>
      </w:r>
    </w:p>
    <w:p>
      <w:pPr>
        <w:pStyle w:val="ListParagraph"/>
        <w:numPr>
          <w:ilvl w:val="0"/>
          <w:numId w:val="22"/>
        </w:numPr>
        <w:spacing w:lineRule="auto" w:line="360" w:before="0" w:after="0"/>
        <w:rPr>
          <w:rFonts w:ascii="Times New Roman" w:hAnsi="Times New Roman" w:cs="Times New Roman"/>
          <w:sz w:val="24"/>
          <w:szCs w:val="24"/>
        </w:rPr>
      </w:pPr>
      <w:r>
        <w:rPr>
          <w:rFonts w:cs="Times New Roman" w:ascii="Times New Roman" w:hAnsi="Times New Roman"/>
          <w:sz w:val="24"/>
          <w:szCs w:val="24"/>
        </w:rPr>
        <w:t>Nový Zéland a jeho charakteristika……………………………………………….7</w:t>
      </w:r>
    </w:p>
    <w:p>
      <w:pPr>
        <w:pStyle w:val="ListParagraph"/>
        <w:numPr>
          <w:ilvl w:val="1"/>
          <w:numId w:val="22"/>
        </w:numPr>
        <w:spacing w:lineRule="auto" w:line="360" w:before="0" w:after="0"/>
        <w:rPr>
          <w:rFonts w:ascii="Times New Roman" w:hAnsi="Times New Roman" w:cs="Times New Roman"/>
          <w:sz w:val="24"/>
          <w:szCs w:val="24"/>
        </w:rPr>
      </w:pPr>
      <w:r>
        <w:rPr>
          <w:rFonts w:cs="Times New Roman" w:ascii="Times New Roman" w:hAnsi="Times New Roman"/>
          <w:sz w:val="24"/>
          <w:szCs w:val="24"/>
        </w:rPr>
        <w:t>Aotearoa – země dlouhého bílého oblaku…………………………………..7</w:t>
      </w:r>
    </w:p>
    <w:p>
      <w:pPr>
        <w:pStyle w:val="ListParagraph"/>
        <w:numPr>
          <w:ilvl w:val="1"/>
          <w:numId w:val="22"/>
        </w:numPr>
        <w:spacing w:lineRule="auto" w:line="360" w:before="0" w:after="0"/>
        <w:rPr>
          <w:rFonts w:ascii="Times New Roman" w:hAnsi="Times New Roman" w:cs="Times New Roman"/>
          <w:sz w:val="24"/>
          <w:szCs w:val="24"/>
        </w:rPr>
      </w:pPr>
      <w:r>
        <w:rPr>
          <w:rFonts w:cs="Times New Roman" w:ascii="Times New Roman" w:hAnsi="Times New Roman"/>
          <w:sz w:val="24"/>
          <w:szCs w:val="24"/>
        </w:rPr>
        <w:t>Maorská kultura a společnost  …………………………………………….10</w:t>
      </w:r>
    </w:p>
    <w:p>
      <w:pPr>
        <w:pStyle w:val="ListParagraph"/>
        <w:numPr>
          <w:ilvl w:val="0"/>
          <w:numId w:val="22"/>
        </w:numPr>
        <w:spacing w:lineRule="auto" w:line="360" w:before="0" w:after="0"/>
        <w:rPr>
          <w:rFonts w:ascii="Times New Roman" w:hAnsi="Times New Roman" w:cs="Times New Roman"/>
          <w:sz w:val="24"/>
          <w:szCs w:val="24"/>
        </w:rPr>
      </w:pPr>
      <w:r>
        <w:rPr>
          <w:rFonts w:cs="Times New Roman" w:ascii="Times New Roman" w:hAnsi="Times New Roman"/>
          <w:sz w:val="24"/>
          <w:szCs w:val="24"/>
        </w:rPr>
        <w:t>Vzdělávací systém na Novém Zélandě…………………………………………..12</w:t>
      </w:r>
    </w:p>
    <w:p>
      <w:pPr>
        <w:pStyle w:val="ListParagraph"/>
        <w:numPr>
          <w:ilvl w:val="1"/>
          <w:numId w:val="22"/>
        </w:numPr>
        <w:spacing w:lineRule="auto" w:line="360"/>
        <w:rPr>
          <w:rFonts w:ascii="Times New Roman" w:hAnsi="Times New Roman" w:cs="Times New Roman"/>
          <w:sz w:val="24"/>
          <w:szCs w:val="24"/>
        </w:rPr>
      </w:pPr>
      <w:r>
        <w:rPr>
          <w:rFonts w:cs="Times New Roman" w:ascii="Times New Roman" w:hAnsi="Times New Roman"/>
          <w:sz w:val="24"/>
          <w:szCs w:val="24"/>
        </w:rPr>
        <w:t>Předškolní vzdělávání na Novém Zélandě…………………………………13</w:t>
      </w:r>
    </w:p>
    <w:p>
      <w:pPr>
        <w:pStyle w:val="ListParagraph"/>
        <w:numPr>
          <w:ilvl w:val="2"/>
          <w:numId w:val="22"/>
        </w:numPr>
        <w:spacing w:lineRule="auto" w:line="360"/>
        <w:rPr>
          <w:rFonts w:ascii="Times New Roman" w:hAnsi="Times New Roman" w:cs="Times New Roman"/>
          <w:sz w:val="24"/>
          <w:szCs w:val="24"/>
        </w:rPr>
      </w:pPr>
      <w:r>
        <w:rPr>
          <w:rFonts w:cs="Times New Roman" w:ascii="Times New Roman" w:hAnsi="Times New Roman"/>
          <w:sz w:val="24"/>
          <w:szCs w:val="24"/>
        </w:rPr>
        <w:t>Služby vedené učiteli………………………………………………....14</w:t>
      </w:r>
    </w:p>
    <w:p>
      <w:pPr>
        <w:pStyle w:val="ListParagraph"/>
        <w:numPr>
          <w:ilvl w:val="2"/>
          <w:numId w:val="22"/>
        </w:numPr>
        <w:spacing w:lineRule="auto" w:line="360"/>
        <w:rPr>
          <w:rFonts w:ascii="Times New Roman" w:hAnsi="Times New Roman" w:cs="Times New Roman"/>
          <w:sz w:val="24"/>
          <w:szCs w:val="24"/>
        </w:rPr>
      </w:pPr>
      <w:r>
        <w:rPr>
          <w:rFonts w:cs="Times New Roman" w:ascii="Times New Roman" w:hAnsi="Times New Roman"/>
          <w:sz w:val="24"/>
          <w:szCs w:val="24"/>
        </w:rPr>
        <w:t>Služby vedené rodiči…………………………………………………16</w:t>
      </w:r>
    </w:p>
    <w:p>
      <w:pPr>
        <w:pStyle w:val="ListParagraph"/>
        <w:numPr>
          <w:ilvl w:val="1"/>
          <w:numId w:val="22"/>
        </w:numPr>
        <w:spacing w:lineRule="auto" w:line="36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Kurikulární dokument  - Te Wh</w:t>
      </w:r>
      <w:r>
        <w:rPr/>
        <w:t>ā</w:t>
      </w:r>
      <w:r>
        <w:rPr>
          <w:rFonts w:cs="Times New Roman" w:ascii="Times New Roman" w:hAnsi="Times New Roman"/>
          <w:sz w:val="24"/>
          <w:szCs w:val="24"/>
        </w:rPr>
        <w:t>riki……………………………………...18</w:t>
      </w:r>
    </w:p>
    <w:p>
      <w:pPr>
        <w:pStyle w:val="ListParagraph"/>
        <w:numPr>
          <w:ilvl w:val="2"/>
          <w:numId w:val="22"/>
        </w:numPr>
        <w:spacing w:lineRule="auto" w:line="360"/>
        <w:rPr>
          <w:rFonts w:ascii="Times New Roman" w:hAnsi="Times New Roman" w:cs="Times New Roman"/>
          <w:sz w:val="24"/>
          <w:szCs w:val="24"/>
        </w:rPr>
      </w:pPr>
      <w:r>
        <w:rPr>
          <w:rFonts w:cs="Times New Roman" w:ascii="Times New Roman" w:hAnsi="Times New Roman"/>
          <w:sz w:val="24"/>
          <w:szCs w:val="24"/>
        </w:rPr>
        <w:t>Zásady předškolního vzdělávání……………………………………..19</w:t>
      </w:r>
    </w:p>
    <w:p>
      <w:pPr>
        <w:pStyle w:val="ListParagraph"/>
        <w:numPr>
          <w:ilvl w:val="2"/>
          <w:numId w:val="22"/>
        </w:numPr>
        <w:spacing w:lineRule="auto" w:line="360"/>
        <w:rPr>
          <w:rFonts w:ascii="Times New Roman" w:hAnsi="Times New Roman" w:cs="Times New Roman"/>
          <w:sz w:val="24"/>
          <w:szCs w:val="24"/>
        </w:rPr>
      </w:pPr>
      <w:r>
        <w:rPr>
          <w:rFonts w:cs="Times New Roman" w:ascii="Times New Roman" w:hAnsi="Times New Roman"/>
          <w:sz w:val="24"/>
          <w:szCs w:val="24"/>
        </w:rPr>
        <w:t>Prameny a cíle………………………………………………………...21</w:t>
      </w:r>
    </w:p>
    <w:p>
      <w:pPr>
        <w:pStyle w:val="ListParagraph"/>
        <w:numPr>
          <w:ilvl w:val="1"/>
          <w:numId w:val="22"/>
        </w:numPr>
        <w:spacing w:lineRule="auto" w:line="360"/>
        <w:rPr>
          <w:rFonts w:ascii="Times New Roman" w:hAnsi="Times New Roman" w:cs="Times New Roman"/>
          <w:sz w:val="24"/>
          <w:szCs w:val="24"/>
        </w:rPr>
      </w:pPr>
      <w:r>
        <w:rPr>
          <w:rFonts w:cs="Times New Roman" w:ascii="Times New Roman" w:hAnsi="Times New Roman"/>
          <w:sz w:val="24"/>
          <w:szCs w:val="24"/>
        </w:rPr>
        <w:t>Kvalita předškolního vzdělávání…………………………………………...23</w:t>
      </w:r>
    </w:p>
    <w:p>
      <w:pPr>
        <w:pStyle w:val="ListParagraph"/>
        <w:numPr>
          <w:ilvl w:val="2"/>
          <w:numId w:val="22"/>
        </w:numPr>
        <w:spacing w:lineRule="auto" w:line="360"/>
        <w:rPr>
          <w:rFonts w:ascii="Times New Roman" w:hAnsi="Times New Roman" w:cs="Times New Roman"/>
          <w:sz w:val="24"/>
          <w:szCs w:val="24"/>
        </w:rPr>
      </w:pPr>
      <w:r>
        <w:rPr>
          <w:rFonts w:cs="Times New Roman" w:ascii="Times New Roman" w:hAnsi="Times New Roman"/>
          <w:sz w:val="24"/>
          <w:szCs w:val="24"/>
        </w:rPr>
        <w:t>Řetězec kvality předškolního vzdělávání…………………………….23</w:t>
      </w:r>
    </w:p>
    <w:p>
      <w:pPr>
        <w:pStyle w:val="ListParagraph"/>
        <w:numPr>
          <w:ilvl w:val="2"/>
          <w:numId w:val="22"/>
        </w:numPr>
        <w:spacing w:lineRule="auto" w:line="360"/>
        <w:rPr>
          <w:rFonts w:ascii="Times New Roman" w:hAnsi="Times New Roman" w:cs="Times New Roman"/>
          <w:sz w:val="24"/>
          <w:szCs w:val="24"/>
        </w:rPr>
      </w:pPr>
      <w:r>
        <w:rPr>
          <w:rFonts w:cs="Times New Roman" w:ascii="Times New Roman" w:hAnsi="Times New Roman"/>
          <w:sz w:val="24"/>
          <w:szCs w:val="24"/>
        </w:rPr>
        <w:t>Efektivní řízení……………………………………………………….24</w:t>
      </w:r>
    </w:p>
    <w:p>
      <w:pPr>
        <w:pStyle w:val="ListParagraph"/>
        <w:numPr>
          <w:ilvl w:val="2"/>
          <w:numId w:val="22"/>
        </w:numPr>
        <w:spacing w:lineRule="auto" w:line="360"/>
        <w:rPr>
          <w:rFonts w:ascii="Times New Roman" w:hAnsi="Times New Roman" w:cs="Times New Roman"/>
          <w:sz w:val="24"/>
          <w:szCs w:val="24"/>
        </w:rPr>
      </w:pPr>
      <w:r>
        <w:rPr>
          <w:rFonts w:cs="Times New Roman" w:ascii="Times New Roman" w:hAnsi="Times New Roman"/>
          <w:sz w:val="24"/>
          <w:szCs w:val="24"/>
        </w:rPr>
        <w:t>Vysoce kvalitní pedagogové a odborné vedení……………………...25</w:t>
      </w:r>
    </w:p>
    <w:p>
      <w:pPr>
        <w:pStyle w:val="ListParagraph"/>
        <w:numPr>
          <w:ilvl w:val="2"/>
          <w:numId w:val="22"/>
        </w:numPr>
        <w:spacing w:lineRule="auto" w:line="360"/>
        <w:rPr>
          <w:rFonts w:ascii="Times New Roman" w:hAnsi="Times New Roman" w:cs="Times New Roman"/>
          <w:sz w:val="24"/>
          <w:szCs w:val="24"/>
        </w:rPr>
      </w:pPr>
      <w:r>
        <w:rPr>
          <w:rFonts w:cs="Times New Roman" w:ascii="Times New Roman" w:hAnsi="Times New Roman"/>
          <w:sz w:val="24"/>
          <w:szCs w:val="24"/>
        </w:rPr>
        <w:t>Vysoce kvalitní programy, prostředí a spolupráce…………………..26</w:t>
      </w:r>
    </w:p>
    <w:p>
      <w:pPr>
        <w:pStyle w:val="ListParagraph"/>
        <w:numPr>
          <w:ilvl w:val="1"/>
          <w:numId w:val="22"/>
        </w:numPr>
        <w:spacing w:lineRule="auto" w:line="36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Speciální vzdělávací potřeby……………………………………………...28</w:t>
      </w:r>
    </w:p>
    <w:p>
      <w:pPr>
        <w:pStyle w:val="ListParagraph"/>
        <w:numPr>
          <w:ilvl w:val="2"/>
          <w:numId w:val="22"/>
        </w:numPr>
        <w:spacing w:lineRule="auto" w:line="360"/>
        <w:rPr>
          <w:rFonts w:ascii="Times New Roman" w:hAnsi="Times New Roman" w:cs="Times New Roman"/>
          <w:sz w:val="24"/>
          <w:szCs w:val="24"/>
        </w:rPr>
      </w:pPr>
      <w:r>
        <w:rPr>
          <w:rFonts w:cs="Times New Roman" w:ascii="Times New Roman" w:hAnsi="Times New Roman"/>
          <w:sz w:val="24"/>
          <w:szCs w:val="24"/>
        </w:rPr>
        <w:t>Vzdělávání nevidomých, neslyšících a slabozrakých………………..28</w:t>
      </w:r>
    </w:p>
    <w:p>
      <w:pPr>
        <w:pStyle w:val="ListParagraph"/>
        <w:numPr>
          <w:ilvl w:val="2"/>
          <w:numId w:val="22"/>
        </w:numPr>
        <w:spacing w:lineRule="auto" w:line="360"/>
        <w:rPr>
          <w:rFonts w:ascii="Times New Roman" w:hAnsi="Times New Roman" w:cs="Times New Roman"/>
          <w:sz w:val="24"/>
          <w:szCs w:val="24"/>
        </w:rPr>
      </w:pPr>
      <w:r>
        <w:rPr>
          <w:rFonts w:cs="Times New Roman" w:ascii="Times New Roman" w:hAnsi="Times New Roman"/>
          <w:sz w:val="24"/>
          <w:szCs w:val="24"/>
        </w:rPr>
        <w:t>Early intervention service…………………………………………....28</w:t>
      </w:r>
    </w:p>
    <w:p>
      <w:pPr>
        <w:pStyle w:val="ListParagraph"/>
        <w:numPr>
          <w:ilvl w:val="2"/>
          <w:numId w:val="22"/>
        </w:numPr>
        <w:spacing w:lineRule="auto" w:line="360"/>
        <w:rPr>
          <w:rFonts w:ascii="Times New Roman" w:hAnsi="Times New Roman" w:cs="Times New Roman"/>
          <w:sz w:val="24"/>
          <w:szCs w:val="24"/>
        </w:rPr>
      </w:pPr>
      <w:r>
        <w:rPr>
          <w:rFonts w:cs="Times New Roman" w:ascii="Times New Roman" w:hAnsi="Times New Roman"/>
          <w:sz w:val="24"/>
          <w:szCs w:val="24"/>
        </w:rPr>
        <w:t>Program incredible years…………………………………………….28</w:t>
      </w:r>
    </w:p>
    <w:p>
      <w:pPr>
        <w:pStyle w:val="ListParagraph"/>
        <w:numPr>
          <w:ilvl w:val="1"/>
          <w:numId w:val="22"/>
        </w:numPr>
        <w:spacing w:lineRule="auto" w:line="360"/>
        <w:rPr>
          <w:rFonts w:ascii="Times New Roman" w:hAnsi="Times New Roman" w:cs="Times New Roman"/>
          <w:sz w:val="24"/>
          <w:szCs w:val="24"/>
        </w:rPr>
      </w:pPr>
      <w:r>
        <w:rPr>
          <w:rFonts w:cs="Times New Roman" w:ascii="Times New Roman" w:hAnsi="Times New Roman"/>
          <w:sz w:val="24"/>
          <w:szCs w:val="24"/>
        </w:rPr>
        <w:t>Evaluace……………………………………………………………………30</w:t>
      </w:r>
    </w:p>
    <w:p>
      <w:pPr>
        <w:pStyle w:val="ListParagraph"/>
        <w:numPr>
          <w:ilvl w:val="2"/>
          <w:numId w:val="22"/>
        </w:numPr>
        <w:spacing w:lineRule="auto" w:line="360"/>
        <w:rPr>
          <w:rFonts w:ascii="Times New Roman" w:hAnsi="Times New Roman" w:cs="Times New Roman"/>
          <w:sz w:val="24"/>
          <w:szCs w:val="24"/>
        </w:rPr>
      </w:pPr>
      <w:r>
        <w:rPr>
          <w:rFonts w:cs="Times New Roman" w:ascii="Times New Roman" w:hAnsi="Times New Roman"/>
          <w:sz w:val="24"/>
          <w:szCs w:val="24"/>
        </w:rPr>
        <w:t>Pozitivní výsledky učení……………………………………………..31</w:t>
      </w:r>
    </w:p>
    <w:p>
      <w:pPr>
        <w:pStyle w:val="ListParagraph"/>
        <w:numPr>
          <w:ilvl w:val="1"/>
          <w:numId w:val="22"/>
        </w:numPr>
        <w:spacing w:lineRule="auto" w:line="360"/>
        <w:rPr>
          <w:rFonts w:ascii="Times New Roman" w:hAnsi="Times New Roman" w:cs="Times New Roman"/>
          <w:sz w:val="24"/>
          <w:szCs w:val="24"/>
        </w:rPr>
      </w:pPr>
      <w:r>
        <w:rPr>
          <w:rFonts w:cs="Times New Roman" w:ascii="Times New Roman" w:hAnsi="Times New Roman"/>
          <w:sz w:val="24"/>
          <w:szCs w:val="24"/>
        </w:rPr>
        <w:t>Náklady na předškolní vzdělávání…………………………………………32</w:t>
      </w:r>
    </w:p>
    <w:p>
      <w:pPr>
        <w:pStyle w:val="ListParagraph"/>
        <w:numPr>
          <w:ilvl w:val="1"/>
          <w:numId w:val="22"/>
        </w:numPr>
        <w:spacing w:lineRule="auto" w:line="360"/>
        <w:rPr>
          <w:rFonts w:ascii="Times New Roman" w:hAnsi="Times New Roman" w:cs="Times New Roman"/>
          <w:sz w:val="24"/>
          <w:szCs w:val="24"/>
        </w:rPr>
      </w:pPr>
      <w:r>
        <w:rPr>
          <w:rFonts w:cs="Times New Roman" w:ascii="Times New Roman" w:hAnsi="Times New Roman"/>
          <w:sz w:val="24"/>
          <w:szCs w:val="24"/>
        </w:rPr>
        <w:t>Učitelé předškolního vzdělávání…………………………………………..34</w:t>
      </w:r>
    </w:p>
    <w:p>
      <w:pPr>
        <w:pStyle w:val="ListParagraph"/>
        <w:numPr>
          <w:ilvl w:val="2"/>
          <w:numId w:val="22"/>
        </w:numPr>
        <w:spacing w:lineRule="auto" w:line="360"/>
        <w:rPr>
          <w:rFonts w:ascii="Times New Roman" w:hAnsi="Times New Roman" w:cs="Times New Roman"/>
          <w:sz w:val="24"/>
          <w:szCs w:val="24"/>
        </w:rPr>
      </w:pPr>
      <w:r>
        <w:rPr>
          <w:rFonts w:cs="Times New Roman" w:ascii="Times New Roman" w:hAnsi="Times New Roman"/>
          <w:sz w:val="24"/>
          <w:szCs w:val="24"/>
        </w:rPr>
        <w:t>Vzdělávání předškolních učitelů…………………………………….34</w:t>
      </w:r>
    </w:p>
    <w:p>
      <w:pPr>
        <w:pStyle w:val="ListParagraph"/>
        <w:numPr>
          <w:ilvl w:val="2"/>
          <w:numId w:val="22"/>
        </w:numPr>
        <w:spacing w:lineRule="auto" w:line="360" w:before="0" w:after="0"/>
        <w:rPr>
          <w:rFonts w:ascii="Times New Roman" w:hAnsi="Times New Roman" w:cs="Times New Roman"/>
          <w:sz w:val="24"/>
          <w:szCs w:val="24"/>
        </w:rPr>
      </w:pPr>
      <w:r>
        <w:rPr>
          <w:rFonts w:cs="Times New Roman" w:ascii="Times New Roman" w:hAnsi="Times New Roman"/>
          <w:sz w:val="24"/>
          <w:szCs w:val="24"/>
        </w:rPr>
        <w:t>Rozdělení předškolních učitelů……………………………………...36</w:t>
      </w:r>
    </w:p>
    <w:p>
      <w:pPr>
        <w:pStyle w:val="ListParagraph"/>
        <w:numPr>
          <w:ilvl w:val="1"/>
          <w:numId w:val="22"/>
        </w:numPr>
        <w:spacing w:lineRule="auto" w:line="360" w:before="0" w:after="0"/>
        <w:rPr>
          <w:rFonts w:ascii="Times New Roman" w:hAnsi="Times New Roman" w:cs="Times New Roman"/>
          <w:sz w:val="24"/>
          <w:szCs w:val="24"/>
        </w:rPr>
      </w:pPr>
      <w:r>
        <w:rPr>
          <w:rFonts w:cs="Times New Roman" w:ascii="Times New Roman" w:hAnsi="Times New Roman"/>
          <w:sz w:val="24"/>
          <w:szCs w:val="24"/>
        </w:rPr>
        <w:t>Srovnání vzdělávacích systémů…………………………………………...38</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Závěr……………………………………………………………………………………..42</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Seznam literatury………………………………………………………………………...43</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Seznam zkratek…………………………………………………………………………..46</w:t>
      </w:r>
    </w:p>
    <w:p>
      <w:pPr>
        <w:pStyle w:val="Normal"/>
        <w:spacing w:lineRule="auto" w:line="360" w:before="0" w:after="0"/>
        <w:rPr>
          <w:rFonts w:ascii="Times New Roman" w:hAnsi="Times New Roman" w:cs="Times New Roman"/>
          <w:sz w:val="24"/>
          <w:szCs w:val="24"/>
        </w:rPr>
      </w:pPr>
      <w:r>
        <w:rPr>
          <w:rFonts w:cs="Times New Roman" w:ascii="Times New Roman" w:hAnsi="Times New Roman"/>
          <w:sz w:val="24"/>
          <w:szCs w:val="24"/>
        </w:rPr>
        <w:t>Seznam příloh……………………………………………………………………………47</w:t>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r>
        <w:br w:type="page"/>
      </w:r>
    </w:p>
    <w:p>
      <w:pPr>
        <w:pStyle w:val="Normal"/>
        <w:rPr>
          <w:rFonts w:ascii="Times New Roman" w:hAnsi="Times New Roman" w:cs="Times New Roman"/>
          <w:b/>
          <w:b/>
          <w:sz w:val="28"/>
          <w:szCs w:val="28"/>
        </w:rPr>
      </w:pPr>
      <w:r>
        <w:rPr>
          <w:rFonts w:cs="Times New Roman" w:ascii="Times New Roman" w:hAnsi="Times New Roman"/>
          <w:b/>
          <w:sz w:val="28"/>
          <w:szCs w:val="28"/>
        </w:rPr>
        <w:t xml:space="preserve">Úvod </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 xml:space="preserve">Problematiku předškolního vzdělávání jako téma bakalářské práce jsem si vybrala především kvůli její aktuálnosti a důležitosti, ale také kvůli svým osobním aspiracím a ambicím souvisejícím s předškolním vzděláváním.  Německý, britský či slovenský školský systém se těší velké oblibě studentů, ale novozélandský předškolní vzdělávací systém leží mimo jejich hledáčky, a proto jsem se rozhodla, že toto téma prozkoumám nejen pro ty, kterým Nový Zéland přirostl k srdci stejně jako mně a chtějí se dozvědět více, ale i pro ty, kteří se chtějí zamyslet nad různorodostí cest vedoucích ke stejnému cíli a kteří chtějí vzdělávání na základě informací, srovnání a úvah posouvat dále. V době multikulturalismu, kosmopolitní společnosti, inkluzivního vzdělávání a možnosti být na druhé straně planety během 24 hodin je přínosná každá zkušenost a informace nejen ze sousedních států, ale i z druhého konce světa. O to víc, když se lidé v dané zemi museli s mutikulturou sžít ve všech sférách života a podařilo se jim to. </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Kromě faktu, že vybrané téma ještě nebylo v takovémto rozsahu a komplexnosti zpracováno, ve mně „země dlouhého bílého oblaku“ po mé devítiměsíční návštěvě zanechala hlubokou paměťovou a citovou stopu, a tak je mou radostí si zjistit další informace o této zemi.</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Mateřská škola hraje důležitou roli v životě dítěte. Podle výsledků studie Mitchell et. al. (2008) a Bowman et. al. z National Research Council (2001) je ze zájmu veřejnosti zřejmé, že v jednadvacátém století roste důležitost předškolního vzdělávání. Vstup do předškolního zařízení je významným sociálním mezníkem a zkušenosti získané v předškolním věku mohou významně ovlivnit budoucí životní šance a zásadně změnit životní trajektorii jedince (Bowman et al., 2001). Mateřská škola se významnou měrou podílí na přípravě dítěte na povinnou školní docházku. Můžeme tvrdit, že děti, které mají zkušenost s kvalitním předškolním vzděláváním, mají předpoklad lépe zahájit školní docházku. V několika studiích (např. Love et al., 2003</w:t>
      </w:r>
      <w:r>
        <w:rPr>
          <w:rFonts w:cs="Times New Roman" w:ascii="Times New Roman" w:hAnsi="Times New Roman"/>
          <w:sz w:val="24"/>
          <w:szCs w:val="24"/>
          <w:lang w:val="en-US"/>
        </w:rPr>
        <w:t xml:space="preserve">; </w:t>
      </w:r>
      <w:r>
        <w:rPr>
          <w:rFonts w:cs="Times New Roman" w:ascii="Times New Roman" w:hAnsi="Times New Roman"/>
          <w:sz w:val="24"/>
          <w:szCs w:val="24"/>
        </w:rPr>
        <w:t xml:space="preserve">Bowman et al., 2001; Loeb et al., 2004) byl prokázán pozitivní vztah mezi kvalitním předškolním vzděláváním a jazykovými, kognitivními, sociálními a vzdělávacími dovednostmi dětí předškolního věku. Tyto dovednosti při vstupu do školy ve svém důsledku vedou k lepším výsledkům v adolescenci a v dospělosti. Odborníci z oblasti pedagogiky (Loeb et al., 2004; Vandell, 2004) zjistili, že kvalitnější předškolní vzdělávání souvisí s menším množstvím problematického chování u dětí. O důležitosti předškolního vzdělávání tedy není nejmenších pochyb. Grey and Clark (2014) tvrdí, že pokud se skutečně zabýváme úrovní a kontinuitou vzdělávání a zajímáme se o psychické a duševní blaho budoucích generací, předškolní vzdělávání musí být jednoznačně hlavní prioritou. Každé dítě bez rozdílu si zaslouží dle Education review office (2007) nejlepší možný start do života a podporu potřebnou k naplnění svého potenciálu. Předpokladem kvalitního předškolního vzdělávání jsou předškolní kurikulární dokumenty s jasně stanovenými pedagogickými kategoriemi, jako jsou hlavní principy, cíle, obsah, metody a formy, hodnocení vzdělávání a další. Různorodost kurikulárních dokumentů je odrazem toho, že vzdělávání je v každé zemi ovlivněno odlišnými historickými, socioekonomickými a politickými faktory, různými tradicemi a kulturním zázemím. Kvůli tomu se vzdělávání v evropských i zámořských zemích od sebe liší. Avšak v důsledku celosvětové ekonomické a politické integrační tendence se vzdělávací systémy jednotlivých zemí navzájem ovlivňují. Země si navzájem mezi sebou mohou předávat cenné informace a zkušenosti, které jim mohou pomoci při tvorbě národního kurikulárního dokumentu. Jeho tvorba tedy nemusí být otázkou jen jednoho izolovaného státu, ale stává se předmětem mezinárodního zájmu. Proto je důležité podporovat výměnu informací a zohlednit cenné zkušenosti ostatních zemí. </w:t>
      </w:r>
    </w:p>
    <w:p>
      <w:pPr>
        <w:pStyle w:val="Normal"/>
        <w:spacing w:lineRule="auto" w:line="360"/>
        <w:ind w:firstLine="360"/>
        <w:jc w:val="both"/>
        <w:rPr>
          <w:rFonts w:ascii="Times New Roman" w:hAnsi="Times New Roman" w:cs="Times New Roman"/>
          <w:b/>
          <w:b/>
          <w:color w:val="4F81BD" w:themeColor="accent1"/>
          <w:sz w:val="24"/>
          <w:szCs w:val="24"/>
        </w:rPr>
      </w:pPr>
      <w:r>
        <w:rPr>
          <w:rFonts w:cs="Times New Roman" w:ascii="Times New Roman" w:hAnsi="Times New Roman"/>
          <w:sz w:val="24"/>
          <w:szCs w:val="24"/>
        </w:rPr>
        <w:t xml:space="preserve">Předkládaná práce se zabývá problematikou vzdělávání dětí raného věku a předškolních kurikulárních dokumentů platných na Novém Zélandě. Hlavním cílem práce je zmapovat předškolní vzdělávání na Novém Zélandě (typy předškolních zařízení, kurikulum, věkovou hranici nástupu do předškolního vzdělávání, dobu pobytu, principy vzdělávání, evaluaci, vzdělávání učitelů atd.), včetně zásadních institucí s předškolním vzděláváním souvisejících, např: organizace ovlivňující nebo se podílející na chodu předškolních zařízení. Jedná se         o práci teoretickou, která je zaměřena na popis předškolního vzdělávání na Novém Zélandě se všemi jeho souvisejícími atributy. Analyzované jsou jednotlivé pedagogické kategorie (hlavní principy, cíl vzdělávání, obsah, metody a formy, způsob hodnocení dětí, vzdělávání učitelů atd.) </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 xml:space="preserve">Dílčím cílem práce je snaha přispět k poznání a pochopení místní kultury a myšlení, které mají zásadní vliv nejen na kurikulu. Dále jsem chtěla umožnit seznámení se                             s novozélandským kurikulárním dokumentem zájemcům bez dostatečné znalosti anglického jazyka potřebné k porozumění dokumentu v jeho komplexnosti. Cíl práce je realizován prostřednictvím deskripce. Ve své práci vycházím převážně z publikací (monografie, časopisy), ale i internetových zdrojů. Seznam použitých zdrojů je uveden na konci práce. </w:t>
      </w:r>
    </w:p>
    <w:p>
      <w:pPr>
        <w:pStyle w:val="Normal"/>
        <w:rPr>
          <w:rFonts w:ascii="Times New Roman" w:hAnsi="Times New Roman" w:eastAsia="" w:cs="" w:cstheme="majorBidi" w:eastAsiaTheme="majorEastAsia"/>
          <w:b/>
          <w:b/>
          <w:bCs/>
          <w:caps/>
          <w:sz w:val="32"/>
          <w:szCs w:val="28"/>
        </w:rPr>
      </w:pPr>
      <w:r>
        <w:rPr>
          <w:rFonts w:eastAsia="" w:cs="" w:cstheme="majorBidi" w:eastAsiaTheme="majorEastAsia" w:ascii="Times New Roman" w:hAnsi="Times New Roman"/>
          <w:b/>
          <w:bCs/>
          <w:caps/>
          <w:sz w:val="32"/>
          <w:szCs w:val="28"/>
        </w:rPr>
      </w:r>
      <w:r>
        <w:br w:type="page"/>
      </w:r>
    </w:p>
    <w:p>
      <w:pPr>
        <w:pStyle w:val="Nadpis1"/>
        <w:rPr/>
      </w:pPr>
      <w:r>
        <w:rPr/>
        <w:t xml:space="preserve">1     Nový Zéland a jeho charakteristika </w:t>
      </w:r>
    </w:p>
    <w:p>
      <w:pPr>
        <w:pStyle w:val="Normal"/>
        <w:spacing w:lineRule="auto" w:line="360"/>
        <w:jc w:val="both"/>
        <w:rPr>
          <w:rFonts w:ascii="Times New Roman" w:hAnsi="Times New Roman" w:cs="Times New Roman"/>
          <w:b/>
          <w:b/>
          <w:sz w:val="28"/>
          <w:szCs w:val="28"/>
        </w:rPr>
      </w:pPr>
      <w:r>
        <w:rPr>
          <w:rFonts w:cs="Times New Roman" w:ascii="Times New Roman" w:hAnsi="Times New Roman"/>
          <w:b/>
          <w:sz w:val="24"/>
          <w:szCs w:val="24"/>
        </w:rPr>
        <w:t xml:space="preserve">      </w:t>
      </w:r>
      <w:r>
        <w:rPr>
          <w:rFonts w:cs="Times New Roman" w:ascii="Times New Roman" w:hAnsi="Times New Roman"/>
          <w:b/>
          <w:sz w:val="28"/>
          <w:szCs w:val="28"/>
        </w:rPr>
        <w:t>1.1    Aotearoa - země dlouhého bílého oblaku</w:t>
      </w:r>
    </w:p>
    <w:p>
      <w:pPr>
        <w:pStyle w:val="Normal"/>
        <w:spacing w:lineRule="auto" w:line="360"/>
        <w:jc w:val="both"/>
        <w:rPr/>
      </w:pPr>
      <w:r>
        <w:rPr>
          <w:rFonts w:cs="Times New Roman" w:ascii="Times New Roman" w:hAnsi="Times New Roman"/>
          <w:sz w:val="24"/>
          <w:szCs w:val="24"/>
        </w:rPr>
        <w:t xml:space="preserve">     </w:t>
      </w:r>
      <w:r>
        <w:rPr>
          <w:rFonts w:cs="Times New Roman" w:ascii="Times New Roman" w:hAnsi="Times New Roman"/>
          <w:sz w:val="24"/>
          <w:szCs w:val="24"/>
        </w:rPr>
        <w:t xml:space="preserve">Nový Zéland je země v jihovýchodní části Tichého oceánu, která je tvořena dvěma ostrovy - severním - </w:t>
      </w:r>
      <w:r>
        <w:rPr>
          <w:rFonts w:cs="Times New Roman" w:ascii="Times New Roman" w:hAnsi="Times New Roman"/>
          <w:iCs/>
          <w:color w:val="252525"/>
          <w:sz w:val="24"/>
          <w:szCs w:val="24"/>
          <w:shd w:fill="FFFFFF" w:val="clear"/>
        </w:rPr>
        <w:t>Te-Ika-a-Maui</w:t>
      </w:r>
      <w:r>
        <w:rPr>
          <w:rStyle w:val="Appleconvertedspace"/>
          <w:rFonts w:cs="Times New Roman" w:ascii="Times New Roman" w:hAnsi="Times New Roman"/>
          <w:color w:val="252525"/>
          <w:sz w:val="24"/>
          <w:szCs w:val="24"/>
          <w:shd w:fill="FFFFFF" w:val="clear"/>
        </w:rPr>
        <w:t> </w:t>
      </w:r>
      <w:r>
        <w:rPr>
          <w:rFonts w:cs="Times New Roman" w:ascii="Times New Roman" w:hAnsi="Times New Roman"/>
          <w:sz w:val="24"/>
          <w:szCs w:val="24"/>
        </w:rPr>
        <w:t xml:space="preserve"> a jižním -</w:t>
      </w:r>
      <w:r>
        <w:rPr>
          <w:rStyle w:val="Appleconvertedspace"/>
          <w:rFonts w:cs="Times New Roman" w:ascii="Times New Roman" w:hAnsi="Times New Roman"/>
          <w:color w:val="252525"/>
          <w:sz w:val="24"/>
          <w:szCs w:val="24"/>
          <w:shd w:fill="FFFFFF" w:val="clear"/>
        </w:rPr>
        <w:t> </w:t>
      </w:r>
      <w:r>
        <w:rPr>
          <w:rFonts w:cs="Times New Roman" w:ascii="Times New Roman" w:hAnsi="Times New Roman"/>
          <w:iCs/>
          <w:color w:val="252525"/>
          <w:sz w:val="24"/>
          <w:szCs w:val="24"/>
          <w:shd w:fill="FFFFFF" w:val="clear"/>
        </w:rPr>
        <w:t>Te Wai Pounamu</w:t>
      </w:r>
      <w:r>
        <w:rPr>
          <w:rFonts w:cs="Times New Roman" w:ascii="Times New Roman" w:hAnsi="Times New Roman"/>
          <w:sz w:val="24"/>
          <w:szCs w:val="24"/>
        </w:rPr>
        <w:t>. Na rozloze 268 000 km</w:t>
      </w:r>
      <w:r>
        <w:rPr>
          <w:rFonts w:cs="Times New Roman" w:ascii="Times New Roman" w:hAnsi="Times New Roman"/>
          <w:sz w:val="24"/>
          <w:szCs w:val="24"/>
          <w:vertAlign w:val="superscript"/>
        </w:rPr>
        <w:t>2</w:t>
      </w:r>
      <w:r>
        <w:rPr>
          <w:rFonts w:cs="Times New Roman" w:ascii="Times New Roman" w:hAnsi="Times New Roman"/>
          <w:sz w:val="24"/>
          <w:szCs w:val="24"/>
        </w:rPr>
        <w:t xml:space="preserve"> žilo v roce 2013 téměř </w:t>
      </w:r>
      <w:r>
        <w:rPr>
          <w:rFonts w:cs="Times New Roman" w:ascii="Times New Roman" w:hAnsi="Times New Roman"/>
          <w:b/>
          <w:sz w:val="24"/>
          <w:szCs w:val="24"/>
        </w:rPr>
        <w:t>4,5 miliónů obyvatel</w:t>
      </w:r>
      <w:r>
        <w:rPr>
          <w:rFonts w:cs="Times New Roman" w:ascii="Times New Roman" w:hAnsi="Times New Roman"/>
          <w:sz w:val="24"/>
          <w:szCs w:val="24"/>
        </w:rPr>
        <w:t xml:space="preserve">, z nichž většinu tvoří původní Evropané, tzv. </w:t>
      </w:r>
      <w:r>
        <w:rPr>
          <w:rStyle w:val="Appleconvertedspace"/>
          <w:rFonts w:cs="Times New Roman" w:ascii="Times New Roman" w:hAnsi="Times New Roman"/>
          <w:color w:val="252525"/>
          <w:sz w:val="24"/>
          <w:szCs w:val="24"/>
          <w:shd w:fill="FFFFFF" w:val="clear"/>
        </w:rPr>
        <w:t> </w:t>
      </w:r>
      <w:hyperlink r:id="rId2">
        <w:r>
          <w:rPr>
            <w:rStyle w:val="Internetovodkaz"/>
            <w:rFonts w:cs="Times New Roman" w:ascii="Times New Roman" w:hAnsi="Times New Roman"/>
            <w:color w:val="00000A"/>
            <w:sz w:val="24"/>
            <w:szCs w:val="24"/>
            <w:highlight w:val="white"/>
            <w:u w:val="none"/>
          </w:rPr>
          <w:t>Pākehā</w:t>
        </w:r>
      </w:hyperlink>
      <w:r>
        <w:rPr>
          <w:rFonts w:cs="Times New Roman" w:ascii="Times New Roman" w:hAnsi="Times New Roman"/>
          <w:sz w:val="24"/>
          <w:szCs w:val="24"/>
        </w:rPr>
        <w:t xml:space="preserve">. Největší menšinu (přibližně 633 000) tvoří domorodci, původní obyvatelé </w:t>
      </w:r>
      <w:r>
        <w:rPr>
          <w:rFonts w:cs="Times New Roman" w:ascii="Times New Roman" w:hAnsi="Times New Roman"/>
          <w:b/>
          <w:sz w:val="24"/>
          <w:szCs w:val="24"/>
        </w:rPr>
        <w:t>Maoři.</w:t>
      </w:r>
      <w:r>
        <w:rPr>
          <w:rFonts w:cs="Times New Roman" w:ascii="Times New Roman" w:hAnsi="Times New Roman"/>
          <w:sz w:val="24"/>
          <w:szCs w:val="24"/>
        </w:rPr>
        <w:t xml:space="preserve"> Další menšiny tvoří Asiaté a Polynésané (Ihimaera, 1998). S hustotou osídlení 15 obyvatel na km</w:t>
      </w:r>
      <w:r>
        <w:rPr>
          <w:rFonts w:cs="Times New Roman" w:ascii="Times New Roman" w:hAnsi="Times New Roman"/>
          <w:sz w:val="24"/>
          <w:szCs w:val="24"/>
          <w:vertAlign w:val="superscript"/>
        </w:rPr>
        <w:t>2</w:t>
      </w:r>
      <w:r>
        <w:rPr>
          <w:rFonts w:cs="Times New Roman" w:ascii="Times New Roman" w:hAnsi="Times New Roman"/>
          <w:sz w:val="24"/>
          <w:szCs w:val="24"/>
        </w:rPr>
        <w:t xml:space="preserve"> se Nový Zéland řadí k méně obydleným čá</w:t>
      </w:r>
      <w:r>
        <w:rPr>
          <w:rFonts w:cs="Times New Roman" w:ascii="Times New Roman" w:hAnsi="Times New Roman"/>
          <w:sz w:val="24"/>
          <w:szCs w:val="24"/>
          <w:lang w:val="en-US"/>
        </w:rPr>
        <w:t>stem světa vedle A</w:t>
      </w:r>
      <w:r>
        <w:rPr>
          <w:rFonts w:cs="Times New Roman" w:ascii="Times New Roman" w:hAnsi="Times New Roman"/>
          <w:sz w:val="24"/>
          <w:szCs w:val="24"/>
        </w:rPr>
        <w:t>ljašky, států Jižní Ameriky, Austrálie či Afriky. Řidčeji osídlené oblasti jsou pouze Kanada, odlehlé části Ruska a země permafrostu.</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Ač bez politického vlivu, Alžběta II. je oficiální královnou Nového Zélandu.  Je reprezentována apolitickým generálním guvernérem.</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Ačkoliv je severní ostrov více poznamenaný vulkanickou činností než jižní, je méně hornatý a jeho nejvyšším vrcholem je aktivní sopka Mt. Ruapehu s výškou 2797 m. Jižní ostrov je rozdělen Jižními Alpami s osmnácti vrcholy vyššími než 3000 m a nejvyšším vrcholem Mt. Cook 3754 m. Podnebí na Novém Zélandě je na většině území mírné s teplotami zřídka klesajícími pod bod mrazu či vystupujícími nad 30 stupňů Celsia (Ombler, 2001).</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Díky izolovanosti od zbytku světa na Novém Zélandě vznikl jedinečný ekosystém,          ve kterém před polynéskou kolonizací zcela chyběli zástupci suchozemských savců, s výjimkou tří druhů netopýrů. Prostor, který jinde zaplnili savci, byl na Novém Zélandě</w:t>
      </w:r>
      <w:r>
        <w:rPr>
          <w:rFonts w:cs="Times New Roman" w:ascii="Times New Roman" w:hAnsi="Times New Roman"/>
          <w:sz w:val="24"/>
          <w:szCs w:val="24"/>
          <w:lang w:val="en-US"/>
        </w:rPr>
        <w:t xml:space="preserve"> zastoupen pt</w:t>
      </w:r>
      <w:r>
        <w:rPr>
          <w:rFonts w:cs="Times New Roman" w:ascii="Times New Roman" w:hAnsi="Times New Roman"/>
          <w:sz w:val="24"/>
          <w:szCs w:val="24"/>
        </w:rPr>
        <w:t>áky, např. kakapo, weka, takahe, kiwi, vyhynulým moa, papoušky kea a kaka a několika druhy tučňáků. Mnozí z výše uvedených ptáků ztratili schopnost létat. Nový Zéland je jednou z mála zemí, kde nežijí žadní hadi ani žádní jedovatí živočichové (Ihimaera, 1998</w:t>
      </w:r>
      <w:r>
        <w:rPr>
          <w:rFonts w:cs="Times New Roman" w:ascii="Times New Roman" w:hAnsi="Times New Roman"/>
          <w:sz w:val="24"/>
          <w:szCs w:val="24"/>
          <w:lang w:val="en-US"/>
        </w:rPr>
        <w:t>; Kolektiv autorů-Lonely planet, 2007)</w:t>
      </w:r>
      <w:r>
        <w:rPr>
          <w:rFonts w:cs="Times New Roman" w:ascii="Times New Roman" w:hAnsi="Times New Roman"/>
          <w:sz w:val="24"/>
          <w:szCs w:val="24"/>
        </w:rPr>
        <w:t xml:space="preserve">.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Stejně jako fauna i flóra je díky dlouholeté izolaci odlišná a ze tří čtvrtin endemická. Před příchodem lidí bylo 80 </w:t>
      </w:r>
      <w:r>
        <w:rPr>
          <w:rFonts w:cs="Times New Roman" w:ascii="Times New Roman" w:hAnsi="Times New Roman"/>
          <w:sz w:val="24"/>
          <w:szCs w:val="24"/>
          <w:lang w:val="en-US"/>
        </w:rPr>
        <w:t>%</w:t>
      </w:r>
      <w:r>
        <w:rPr>
          <w:rFonts w:cs="Times New Roman" w:ascii="Times New Roman" w:hAnsi="Times New Roman"/>
          <w:sz w:val="24"/>
          <w:szCs w:val="24"/>
        </w:rPr>
        <w:t xml:space="preserve"> pevniny zalesněných stromy, např. blahočety, </w:t>
      </w:r>
      <w:r>
        <w:rPr>
          <w:rFonts w:cs="Times New Roman" w:ascii="Times New Roman" w:hAnsi="Times New Roman"/>
          <w:sz w:val="24"/>
          <w:szCs w:val="24"/>
          <w:lang w:val="en-US"/>
        </w:rPr>
        <w:t>stromov</w:t>
      </w:r>
      <w:r>
        <w:rPr>
          <w:rFonts w:cs="Times New Roman" w:ascii="Times New Roman" w:hAnsi="Times New Roman"/>
          <w:sz w:val="24"/>
          <w:szCs w:val="24"/>
        </w:rPr>
        <w:t xml:space="preserve">ými kapradinami, vánočními stromy </w:t>
      </w:r>
      <w:r>
        <w:rPr>
          <w:rStyle w:val="Zdraznn"/>
          <w:rFonts w:cs="Times New Roman" w:ascii="Times New Roman" w:hAnsi="Times New Roman"/>
          <w:bCs/>
          <w:i w:val="false"/>
          <w:iCs w:val="false"/>
          <w:sz w:val="24"/>
          <w:szCs w:val="24"/>
          <w:shd w:fill="FFFFFF" w:val="clear"/>
        </w:rPr>
        <w:t xml:space="preserve">Pōhutukawa, stromovými jukami a </w:t>
      </w:r>
      <w:r>
        <w:rPr>
          <w:rFonts w:cs="Times New Roman" w:ascii="Times New Roman" w:hAnsi="Times New Roman"/>
          <w:sz w:val="24"/>
          <w:szCs w:val="24"/>
        </w:rPr>
        <w:t>nejpozoruhodnějšími Kauri-damaroněmi jižními, které mají v mytologii, ale i v dnešním životě zásadní význam. Charakteristickým lesním porostem dnešního Nového Zélandu je stálezelený deštný les se stromovými kapradinami (nejčastěji Ponga) a epifyty - mechy, lišejníky a řasami. Zmíněné kapradiny mají pro Nový Zéland ještě další význam. Rozvíjející se list kapradiny -</w:t>
      </w:r>
      <w:r>
        <w:rPr>
          <w:rFonts w:cs="Times New Roman" w:ascii="Times New Roman" w:hAnsi="Times New Roman"/>
          <w:b/>
          <w:sz w:val="24"/>
          <w:szCs w:val="24"/>
        </w:rPr>
        <w:t xml:space="preserve"> koru</w:t>
      </w:r>
      <w:r>
        <w:rPr>
          <w:rFonts w:cs="Times New Roman" w:ascii="Times New Roman" w:hAnsi="Times New Roman"/>
          <w:sz w:val="24"/>
          <w:szCs w:val="24"/>
        </w:rPr>
        <w:t xml:space="preserve"> - je typickým znakem Nového Zélandu, který symbolizuje nový život, růst, sílu a mír. Koru je nedílnou součástí maorského umění, řezbářství i tetování. Kruhový tvar koru symbolizuje věčný pohyb a vnitřní spirála představuje návrat ke kořenům „ibid“.</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lang w:eastAsia="cs-CZ"/>
        </w:rPr>
        <w:t xml:space="preserve">            </w:t>
      </w:r>
      <w:r>
        <w:rPr>
          <w:rFonts w:cs="Times New Roman" w:ascii="Times New Roman" w:hAnsi="Times New Roman"/>
          <w:sz w:val="24"/>
          <w:szCs w:val="24"/>
          <w:lang w:eastAsia="cs-CZ"/>
        </w:rPr>
        <w:drawing>
          <wp:inline distT="0" distB="7620" distL="0" distR="0">
            <wp:extent cx="4634230" cy="6316980"/>
            <wp:effectExtent l="0" t="0" r="0" b="0"/>
            <wp:docPr id="1" name="Obrázek 7" descr="C:\Users\petra_000\Documents\Bakalarka\352418efbe5e2f38704e7a08d3a7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7" descr="C:\Users\petra_000\Documents\Bakalarka\352418efbe5e2f38704e7a08d3a73598.jpg"/>
                    <pic:cNvPicPr>
                      <a:picLocks noChangeAspect="1" noChangeArrowheads="1"/>
                    </pic:cNvPicPr>
                  </pic:nvPicPr>
                  <pic:blipFill>
                    <a:blip r:embed="rId3"/>
                    <a:stretch>
                      <a:fillRect/>
                    </a:stretch>
                  </pic:blipFill>
                  <pic:spPr bwMode="auto">
                    <a:xfrm>
                      <a:off x="0" y="0"/>
                      <a:ext cx="4634230" cy="6316980"/>
                    </a:xfrm>
                    <a:prstGeom prst="rect">
                      <a:avLst/>
                    </a:prstGeom>
                  </pic:spPr>
                </pic:pic>
              </a:graphicData>
            </a:graphic>
          </wp:inline>
        </w:drawing>
      </w:r>
    </w:p>
    <w:p>
      <w:pPr>
        <w:pStyle w:val="Normal"/>
        <w:spacing w:lineRule="auto" w:line="360"/>
        <w:ind w:left="708" w:hanging="0"/>
        <w:rPr>
          <w:rFonts w:ascii="Times New Roman" w:hAnsi="Times New Roman" w:cs="Times New Roman"/>
          <w:sz w:val="24"/>
          <w:szCs w:val="24"/>
        </w:rPr>
      </w:pPr>
      <w:r>
        <w:rPr>
          <w:rFonts w:cs="Times New Roman" w:ascii="Times New Roman" w:hAnsi="Times New Roman"/>
          <w:sz w:val="24"/>
          <w:szCs w:val="24"/>
        </w:rPr>
        <w:t>Obrázek 1. Severní ostrov NZ. (</w:t>
      </w:r>
      <w:r>
        <w:rPr>
          <w:rFonts w:cs="Times New Roman" w:ascii="Times New Roman" w:hAnsi="Times New Roman"/>
          <w:sz w:val="24"/>
          <w:szCs w:val="24"/>
          <w:shd w:fill="FFFFFF" w:val="clear"/>
        </w:rPr>
        <w:t>Theresa Grieben, dostupné z https://www.etsy.com/listing/211301321/new-zealand-map-art-aotearoa-large-scale?ref=shop_home_active_14</w:t>
      </w:r>
      <w:r>
        <w:rPr>
          <w:rStyle w:val="Appleconvertedspace"/>
          <w:rFonts w:cs="Times New Roman" w:ascii="Times New Roman" w:hAnsi="Times New Roman"/>
          <w:sz w:val="24"/>
          <w:szCs w:val="24"/>
          <w:shd w:fill="FFFFFF" w:val="clear"/>
        </w:rPr>
        <w:t>).</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lang w:eastAsia="cs-CZ"/>
        </w:rPr>
        <w:t xml:space="preserve">            </w:t>
      </w:r>
      <w:r>
        <w:rPr>
          <w:rFonts w:cs="Times New Roman" w:ascii="Times New Roman" w:hAnsi="Times New Roman"/>
          <w:sz w:val="24"/>
          <w:szCs w:val="24"/>
          <w:lang w:eastAsia="cs-CZ"/>
        </w:rPr>
        <w:drawing>
          <wp:inline distT="0" distB="0" distL="0" distR="0">
            <wp:extent cx="4648835" cy="6350000"/>
            <wp:effectExtent l="0" t="0" r="0" b="0"/>
            <wp:docPr id="2" name="Obrázek 1" descr="C:\Users\petra_000\Documents\Bakalarka\south 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descr="C:\Users\petra_000\Documents\Bakalarka\south island.jpg"/>
                    <pic:cNvPicPr>
                      <a:picLocks noChangeAspect="1" noChangeArrowheads="1"/>
                    </pic:cNvPicPr>
                  </pic:nvPicPr>
                  <pic:blipFill>
                    <a:blip r:embed="rId4"/>
                    <a:stretch>
                      <a:fillRect/>
                    </a:stretch>
                  </pic:blipFill>
                  <pic:spPr bwMode="auto">
                    <a:xfrm>
                      <a:off x="0" y="0"/>
                      <a:ext cx="4648835" cy="6350000"/>
                    </a:xfrm>
                    <a:prstGeom prst="rect">
                      <a:avLst/>
                    </a:prstGeom>
                  </pic:spPr>
                </pic:pic>
              </a:graphicData>
            </a:graphic>
          </wp:inline>
        </w:drawing>
      </w:r>
    </w:p>
    <w:p>
      <w:pPr>
        <w:pStyle w:val="Normal"/>
        <w:spacing w:lineRule="auto" w:line="360"/>
        <w:ind w:left="708" w:hanging="0"/>
        <w:rPr>
          <w:rFonts w:ascii="Times New Roman" w:hAnsi="Times New Roman" w:cs="Times New Roman"/>
          <w:b/>
          <w:b/>
          <w:sz w:val="24"/>
          <w:szCs w:val="24"/>
        </w:rPr>
      </w:pPr>
      <w:r>
        <w:rPr>
          <w:rFonts w:cs="Times New Roman" w:ascii="Times New Roman" w:hAnsi="Times New Roman"/>
          <w:sz w:val="24"/>
          <w:szCs w:val="24"/>
          <w:shd w:fill="FFFFFF" w:val="clear"/>
        </w:rPr>
        <w:t>Obrázek 2. Jižní ostrov  NZ. (Theresa Grieben, dostupné z: https://www.etsy.com/listing/211301321/new-zealand-map-art-aotearoa-large-scale?ref=shop_home_active_14).</w:t>
      </w:r>
      <w:r>
        <w:rPr>
          <w:rStyle w:val="Appleconvertedspace"/>
          <w:rFonts w:cs="Times New Roman" w:ascii="Times New Roman" w:hAnsi="Times New Roman"/>
          <w:sz w:val="24"/>
          <w:szCs w:val="24"/>
          <w:shd w:fill="FFFFFF" w:val="clear"/>
        </w:rPr>
        <w:t> </w:t>
      </w:r>
      <w:r>
        <w:br w:type="page"/>
      </w:r>
    </w:p>
    <w:p>
      <w:pPr>
        <w:pStyle w:val="Nadpis1"/>
        <w:rPr/>
      </w:pPr>
      <w:r>
        <w:rPr/>
        <w:t>1.2     Maorská kultura a společnost</w:t>
      </w:r>
    </w:p>
    <w:p>
      <w:pPr>
        <w:pStyle w:val="Normal"/>
        <w:spacing w:lineRule="auto" w:line="360"/>
        <w:ind w:firstLine="360"/>
        <w:jc w:val="both"/>
        <w:rPr>
          <w:rFonts w:ascii="Times New Roman" w:hAnsi="Times New Roman" w:cs="Times New Roman"/>
          <w:sz w:val="24"/>
          <w:szCs w:val="24"/>
          <w:highlight w:val="white"/>
        </w:rPr>
      </w:pPr>
      <w:r>
        <w:rPr>
          <w:rFonts w:cs="Times New Roman" w:ascii="Times New Roman" w:hAnsi="Times New Roman"/>
          <w:sz w:val="24"/>
          <w:szCs w:val="24"/>
        </w:rPr>
        <w:t xml:space="preserve">Maoři, původní obyvatelé polynéských ostrovů, se zhruba před tisíci lety připlavili         na velkých kanoích - </w:t>
      </w:r>
      <w:r>
        <w:rPr>
          <w:rFonts w:cs="Times New Roman" w:ascii="Times New Roman" w:hAnsi="Times New Roman"/>
          <w:b/>
          <w:sz w:val="24"/>
          <w:szCs w:val="24"/>
        </w:rPr>
        <w:t>waka</w:t>
      </w:r>
      <w:r>
        <w:rPr>
          <w:rFonts w:cs="Times New Roman" w:ascii="Times New Roman" w:hAnsi="Times New Roman"/>
          <w:sz w:val="24"/>
          <w:szCs w:val="24"/>
        </w:rPr>
        <w:t xml:space="preserve"> - k ostrovům dnešního Nového Zélandu a stali se tak jeho prvními obyvateli. Zemi nazvali </w:t>
      </w:r>
      <w:r>
        <w:rPr>
          <w:rFonts w:cs="Times New Roman" w:ascii="Times New Roman" w:hAnsi="Times New Roman"/>
          <w:b/>
          <w:sz w:val="24"/>
          <w:szCs w:val="24"/>
        </w:rPr>
        <w:t>Aotearoa</w:t>
      </w:r>
      <w:r>
        <w:rPr>
          <w:rFonts w:cs="Times New Roman" w:ascii="Times New Roman" w:hAnsi="Times New Roman"/>
          <w:sz w:val="24"/>
          <w:szCs w:val="24"/>
        </w:rPr>
        <w:t xml:space="preserve"> - země dlouhého bíleho oblaku, dle douhých pásů bílé mlhoviny udržujících se nad horskými masivy. Postupně dokázali zemi, navzdory nepříliš příznivým přírodním podmínkám - sopky, skalní útesy, divoká nehostinná krajina a bouřlivé moře, zúrodnit a zvelebit a Aotearoa se tak stala jejich domovem. Uctívané božstvo Moře postupem času vystřídalo božstvo Lesa, zejména pak bůh </w:t>
      </w:r>
      <w:r>
        <w:rPr>
          <w:rFonts w:cs="Times New Roman" w:ascii="Times New Roman" w:hAnsi="Times New Roman"/>
          <w:b/>
          <w:sz w:val="24"/>
          <w:szCs w:val="24"/>
        </w:rPr>
        <w:t xml:space="preserve">Tane Mahuta </w:t>
      </w:r>
      <w:r>
        <w:rPr>
          <w:rFonts w:cs="Times New Roman" w:ascii="Times New Roman" w:hAnsi="Times New Roman"/>
          <w:sz w:val="24"/>
          <w:szCs w:val="24"/>
        </w:rPr>
        <w:t>- dárce všeho života. Maoři žili vždy v blízkém kontaktu s přírodou, což se také odráží v maorské mytologii, kde jsou přírodní prvky samozřejmostí. Zejména stromy mají pro Maory velký význam, ponejvíce prastaré mohutné stromy Kauri, které původně pokrývaly velkou část severního ostrova a z jejichž dřeva se vyráběly mnohametrové kanoe - waka. Věřilo se, že tyto stromy byly dětmi Tane Mahuty. Vždy, když mělo dojít k pokácení stromů pro výrobu kanoe, byl Tane Mahuta pokorně a s respektem požádán o svolení.</w:t>
      </w:r>
      <w:r>
        <w:rPr>
          <w:rFonts w:cs="Times New Roman" w:ascii="Times New Roman" w:hAnsi="Times New Roman"/>
          <w:sz w:val="24"/>
          <w:szCs w:val="24"/>
          <w:shd w:fill="FFFFFF" w:val="clear"/>
        </w:rPr>
        <w:t xml:space="preserve"> Vztah Maorů k vyšším silám byl velmi osobitý a mnohé tradice, zvyky a rituály se dochovaly dodnes. Podle jednoho starého zvyku se např.   po porodu placenta zakope do země spolu se sazenicí mladého stromku a vznikne tak nerozlučné spojení dvou bytostí - stromu a člověka (Ihimaera, 1998).</w:t>
      </w:r>
    </w:p>
    <w:p>
      <w:pPr>
        <w:pStyle w:val="Normal"/>
        <w:spacing w:lineRule="auto" w:line="360"/>
        <w:ind w:firstLine="360"/>
        <w:jc w:val="both"/>
        <w:rPr>
          <w:rFonts w:ascii="Times New Roman" w:hAnsi="Times New Roman" w:cs="Times New Roman"/>
          <w:sz w:val="24"/>
          <w:szCs w:val="24"/>
          <w:highlight w:val="white"/>
        </w:rPr>
      </w:pPr>
      <w:r>
        <w:rPr>
          <w:rFonts w:cs="Times New Roman" w:ascii="Times New Roman" w:hAnsi="Times New Roman"/>
          <w:sz w:val="24"/>
          <w:szCs w:val="24"/>
          <w:shd w:fill="FFFFFF" w:val="clear"/>
        </w:rPr>
        <w:t xml:space="preserve">Snědí Maorové jsou často zobrazováni s vypoulenýma očima, pomalovanou či potetovanou tváří, vyplazeným jazykem a šperky ze zeleného polodrahokamu jadeitu. </w:t>
      </w:r>
      <w:r>
        <w:rPr>
          <w:rStyle w:val="Appleconvertedspace"/>
          <w:rFonts w:cs="Times New Roman" w:ascii="Times New Roman" w:hAnsi="Times New Roman"/>
          <w:sz w:val="24"/>
          <w:szCs w:val="24"/>
          <w:shd w:fill="FFFFFF" w:val="clear"/>
        </w:rPr>
        <w:t> </w:t>
      </w:r>
      <w:r>
        <w:rPr>
          <w:rStyle w:val="Strong"/>
          <w:rFonts w:cs="Times New Roman" w:ascii="Times New Roman" w:hAnsi="Times New Roman"/>
          <w:b w:val="false"/>
          <w:sz w:val="24"/>
          <w:szCs w:val="24"/>
          <w:shd w:fill="FFFFFF" w:val="clear"/>
        </w:rPr>
        <w:t>Dřevěné sochy Maorů - válečníků s vyplazeným jazykem, které tak často vídáme      v souvislosti s Novým Zélandem, jsou ve skutečnosti strážci hranic soukromého majetku</w:t>
      </w:r>
      <w:r>
        <w:rPr>
          <w:rStyle w:val="Appleconvertedspace"/>
          <w:rFonts w:cs="Times New Roman" w:ascii="Times New Roman" w:hAnsi="Times New Roman"/>
          <w:sz w:val="24"/>
          <w:szCs w:val="24"/>
          <w:shd w:fill="FFFFFF" w:val="clear"/>
        </w:rPr>
        <w:t> </w:t>
      </w:r>
      <w:r>
        <w:rPr>
          <w:rFonts w:cs="Times New Roman" w:ascii="Times New Roman" w:hAnsi="Times New Roman"/>
          <w:sz w:val="24"/>
          <w:szCs w:val="24"/>
          <w:shd w:fill="FFFFFF" w:val="clear"/>
        </w:rPr>
        <w:t>a stávají téměř u každého maorského obydlí, dřevěné marae. Jedním z typických a všeobecně známých rituálů je také</w:t>
      </w:r>
      <w:r>
        <w:rPr>
          <w:rStyle w:val="Appleconvertedspace"/>
          <w:rFonts w:cs="Times New Roman" w:ascii="Times New Roman" w:hAnsi="Times New Roman"/>
          <w:sz w:val="24"/>
          <w:szCs w:val="24"/>
          <w:shd w:fill="FFFFFF" w:val="clear"/>
        </w:rPr>
        <w:t> </w:t>
      </w:r>
      <w:r>
        <w:rPr>
          <w:rStyle w:val="Strong"/>
          <w:rFonts w:cs="Times New Roman" w:ascii="Times New Roman" w:hAnsi="Times New Roman"/>
          <w:b w:val="false"/>
          <w:sz w:val="24"/>
          <w:szCs w:val="24"/>
          <w:shd w:fill="FFFFFF" w:val="clear"/>
        </w:rPr>
        <w:t xml:space="preserve">válečný tanec </w:t>
      </w:r>
      <w:r>
        <w:rPr>
          <w:rStyle w:val="Strong"/>
          <w:rFonts w:cs="Times New Roman" w:ascii="Times New Roman" w:hAnsi="Times New Roman"/>
          <w:sz w:val="24"/>
          <w:szCs w:val="24"/>
          <w:shd w:fill="FFFFFF" w:val="clear"/>
        </w:rPr>
        <w:t>Haka</w:t>
      </w:r>
      <w:r>
        <w:rPr>
          <w:rFonts w:cs="Times New Roman" w:ascii="Times New Roman" w:hAnsi="Times New Roman"/>
          <w:b/>
          <w:sz w:val="24"/>
          <w:szCs w:val="24"/>
          <w:shd w:fill="FFFFFF" w:val="clear"/>
        </w:rPr>
        <w:t>,</w:t>
      </w:r>
      <w:r>
        <w:rPr>
          <w:rFonts w:cs="Times New Roman" w:ascii="Times New Roman" w:hAnsi="Times New Roman"/>
          <w:sz w:val="24"/>
          <w:szCs w:val="24"/>
          <w:shd w:fill="FFFFFF" w:val="clear"/>
        </w:rPr>
        <w:t xml:space="preserve"> který původně sloužil k zastrašení nepřátel. Děsivě černě pomalovaní Maoři během něj významně koulí očima, vyplazují jazyky, hlasitě vykřikují maorský text a celý výjev pak působí velmi emotivně a v souladu s původním účelem. Dodnes je Haka neodmyslitelnou součástí mezinárodních utkání v rugby a je pravda, že se během rituálu na tvářích mnoha protihráčů mihne stín nervozity (Kolektiv autorů - Lonely planet, 2007). </w:t>
      </w:r>
    </w:p>
    <w:p>
      <w:pPr>
        <w:pStyle w:val="Normal"/>
        <w:spacing w:lineRule="auto" w:line="360"/>
        <w:ind w:firstLine="360"/>
        <w:jc w:val="both"/>
        <w:rPr>
          <w:rStyle w:val="Appleconvertedspace"/>
          <w:rFonts w:ascii="Times New Roman" w:hAnsi="Times New Roman" w:cs="Times New Roman"/>
          <w:sz w:val="24"/>
          <w:szCs w:val="24"/>
          <w:highlight w:val="white"/>
        </w:rPr>
      </w:pPr>
      <w:r>
        <w:rPr>
          <w:rFonts w:cs="Times New Roman" w:ascii="Times New Roman" w:hAnsi="Times New Roman"/>
          <w:sz w:val="24"/>
          <w:szCs w:val="24"/>
          <w:shd w:fill="FFFFFF" w:val="clear"/>
        </w:rPr>
        <w:t>Mytických legend, pověstí a bájí, duchů, lidojedů i zemřelých duší můžeme v dějinách země Aotearoa najít nepřeberné množství. Pro Maory je jejich historie, zahalená mytickou mlhou, velmi důležitá. Těžko najdete rostlinu, zvíře, místo nebo horu, ke které by se nevázala nějaká báje nebo pověst. Z generace na generaci si Maoři předávají ústně či písemně své příběhy a jejich odkaz je pro mnoho z nich stále živý. Že mají tyto legendy a víra v posvátná místa sílu i dnes, můžeme vidět třeba na příkladu vleklých sporů o vlastnictví půdy na Novém Zélandu.</w:t>
      </w:r>
      <w:r>
        <w:rPr>
          <w:rStyle w:val="Appleconvertedspace"/>
          <w:rFonts w:cs="Times New Roman" w:ascii="Times New Roman" w:hAnsi="Times New Roman"/>
          <w:sz w:val="24"/>
          <w:szCs w:val="24"/>
          <w:shd w:fill="FFFFFF" w:val="clear"/>
        </w:rPr>
        <w:t> </w:t>
      </w:r>
    </w:p>
    <w:p>
      <w:pPr>
        <w:pStyle w:val="Normal"/>
        <w:spacing w:lineRule="auto" w:line="360"/>
        <w:ind w:firstLine="360"/>
        <w:jc w:val="both"/>
        <w:rPr>
          <w:rStyle w:val="Appleconvertedspace"/>
          <w:rFonts w:ascii="Times New Roman" w:hAnsi="Times New Roman" w:cs="Times New Roman"/>
          <w:sz w:val="24"/>
          <w:szCs w:val="24"/>
          <w:highlight w:val="white"/>
        </w:rPr>
      </w:pPr>
      <w:r>
        <w:rPr>
          <w:rStyle w:val="Appleconvertedspace"/>
          <w:rFonts w:cs="Times New Roman" w:ascii="Times New Roman" w:hAnsi="Times New Roman"/>
          <w:sz w:val="24"/>
          <w:szCs w:val="24"/>
          <w:shd w:fill="FFFFFF" w:val="clear"/>
        </w:rPr>
        <w:t xml:space="preserve">S půdou, vlastnictvím, vládnutím a nárokováním souvisí událost z roku 1840, kdy byla podepsána </w:t>
      </w:r>
      <w:r>
        <w:rPr>
          <w:rStyle w:val="Appleconvertedspace"/>
          <w:rFonts w:cs="Times New Roman" w:ascii="Times New Roman" w:hAnsi="Times New Roman"/>
          <w:b/>
          <w:sz w:val="24"/>
          <w:szCs w:val="24"/>
          <w:shd w:fill="FFFFFF" w:val="clear"/>
        </w:rPr>
        <w:t>Treaty of Waitangi</w:t>
      </w:r>
      <w:r>
        <w:rPr>
          <w:rStyle w:val="Appleconvertedspace"/>
          <w:rFonts w:cs="Times New Roman" w:ascii="Times New Roman" w:hAnsi="Times New Roman"/>
          <w:sz w:val="24"/>
          <w:szCs w:val="24"/>
          <w:shd w:fill="FFFFFF" w:val="clear"/>
        </w:rPr>
        <w:t xml:space="preserve"> - Dohoda, smlouva ve Waitangi. Podpisu předcházelo mnoho let postupného osidlování Nového Zélandu Evropany, kteří tam od 16. století přijížděli rybařit a především lovit lachtany. Maorové s Evropany obchodovali, směňovali a zpočátku vycházeli dobře. Ovšem Evropané se dopustili nepřípustného zacházení s jedním maorským náčelníkem, čímž padli do nemilosti. Odveta Maorů na sebe nenechala dlouho čekat. Kapitán britské lodi a několik členů posádky byli zabiti. Maorové si tím získali špatnou pověst v Evropě a na Nový Zéland byli povoláni křesťanští misionáři z nedaleké Austrálie (Smitha, 2009).</w:t>
      </w:r>
    </w:p>
    <w:p>
      <w:pPr>
        <w:pStyle w:val="Normal"/>
        <w:spacing w:lineRule="auto" w:line="360"/>
        <w:ind w:firstLine="360"/>
        <w:jc w:val="both"/>
        <w:rPr>
          <w:rStyle w:val="Appleconvertedspace"/>
          <w:rFonts w:ascii="Times New Roman" w:hAnsi="Times New Roman" w:cs="Times New Roman"/>
          <w:sz w:val="24"/>
          <w:szCs w:val="24"/>
          <w:highlight w:val="white"/>
        </w:rPr>
      </w:pPr>
      <w:r>
        <w:rPr>
          <w:rStyle w:val="Appleconvertedspace"/>
          <w:rFonts w:cs="Times New Roman" w:ascii="Times New Roman" w:hAnsi="Times New Roman"/>
          <w:sz w:val="24"/>
          <w:szCs w:val="24"/>
          <w:shd w:fill="FFFFFF" w:val="clear"/>
        </w:rPr>
        <w:t>Na počátku 19. století v Británii panovala obava, že se Francie chystá kolonizovat jižní ostrov Nového Zélandu, což Britská koruna nemohla dopustit. V roce 1839 vznikla v Británii první Novozélandská společnost, která v lednu následujícího roku převezla na Nový Zéland první britské osadníky. Navíc královna Viktorie prohlásila Nový Zéland britským územím   na základě toho, že jej objevil James Cook. Protože Britové dávali přednost mírovému řešení před vojenským dobýváním Nového Zélandu, vláda jejího Veličenstva nabídla maorským náčelníkům privilegia coby britských poddaných, právě ve znění Waitangské dohody, která byla 6. února 1840 podepsána. Smlouva zaručovala Maorům držbu jejich půdy, nemovitostí, lesů, lovných vod a ostatního majetku výměnou za uznání britské královny jako svého panovníka (Smitha, 2009). Smlouva je dodnes spíše kontroverzním tématem, neboť se vyskytují zásadní rozdíly ve znění v anglické a maorské verzi. Dále v době podpisu byly záměrně zdůrazňovány domnělé výhody pro původní obyvatele a bagatelizovány, případně zamlčeny přesné detaily britské suverenity, což zkreslilo výsledné znění a ovlivnilo dění         v příštích letech na Novém Zélandě (Tesar, 2015</w:t>
      </w:r>
      <w:r>
        <w:rPr>
          <w:rStyle w:val="Appleconvertedspace"/>
          <w:rFonts w:cs="Times New Roman" w:ascii="Times New Roman" w:hAnsi="Times New Roman"/>
          <w:sz w:val="24"/>
          <w:szCs w:val="24"/>
          <w:shd w:fill="FFFFFF" w:val="clear"/>
          <w:lang w:val="en-US"/>
        </w:rPr>
        <w:t>;</w:t>
      </w:r>
      <w:r>
        <w:rPr>
          <w:rStyle w:val="Appleconvertedspace"/>
          <w:rFonts w:cs="Times New Roman" w:ascii="Times New Roman" w:hAnsi="Times New Roman"/>
          <w:sz w:val="24"/>
          <w:szCs w:val="24"/>
          <w:shd w:fill="FFFFFF" w:val="clear"/>
        </w:rPr>
        <w:t xml:space="preserve"> Orange, 2011).</w:t>
      </w:r>
    </w:p>
    <w:p>
      <w:pPr>
        <w:pStyle w:val="Normal"/>
        <w:spacing w:lineRule="auto" w:line="360"/>
        <w:jc w:val="both"/>
        <w:rPr>
          <w:rStyle w:val="Appleconvertedspace"/>
          <w:rFonts w:ascii="Times New Roman" w:hAnsi="Times New Roman" w:cs="Times New Roman"/>
          <w:sz w:val="24"/>
          <w:szCs w:val="24"/>
          <w:shd w:fill="FFFFFF" w:val="clear"/>
        </w:rPr>
      </w:pPr>
      <w:r>
        <w:rPr>
          <w:rFonts w:cs="Times New Roman" w:ascii="Times New Roman" w:hAnsi="Times New Roman"/>
          <w:sz w:val="24"/>
          <w:szCs w:val="24"/>
          <w:shd w:fill="FFFFFF" w:val="clear"/>
        </w:rPr>
      </w:r>
    </w:p>
    <w:p>
      <w:pPr>
        <w:pStyle w:val="Normal"/>
        <w:spacing w:lineRule="auto" w:line="360"/>
        <w:jc w:val="both"/>
        <w:rPr>
          <w:rStyle w:val="Appleconvertedspace"/>
          <w:rFonts w:ascii="Times New Roman" w:hAnsi="Times New Roman" w:cs="Times New Roman"/>
          <w:sz w:val="24"/>
          <w:szCs w:val="24"/>
          <w:shd w:fill="FFFFFF" w:val="clear"/>
        </w:rPr>
      </w:pPr>
      <w:r>
        <w:rPr>
          <w:rFonts w:cs="Times New Roman" w:ascii="Times New Roman" w:hAnsi="Times New Roman"/>
          <w:sz w:val="24"/>
          <w:szCs w:val="24"/>
          <w:shd w:fill="FFFFFF" w:val="clear"/>
        </w:rPr>
      </w:r>
    </w:p>
    <w:p>
      <w:pPr>
        <w:pStyle w:val="Normal"/>
        <w:spacing w:lineRule="auto" w:line="360"/>
        <w:jc w:val="both"/>
        <w:rPr>
          <w:rStyle w:val="Appleconvertedspace"/>
          <w:rFonts w:ascii="Times New Roman" w:hAnsi="Times New Roman" w:cs="Times New Roman"/>
          <w:sz w:val="24"/>
          <w:szCs w:val="24"/>
          <w:shd w:fill="FFFFFF" w:val="clear"/>
        </w:rPr>
      </w:pPr>
      <w:r>
        <w:rPr>
          <w:rFonts w:cs="Times New Roman" w:ascii="Times New Roman" w:hAnsi="Times New Roman"/>
          <w:sz w:val="24"/>
          <w:szCs w:val="24"/>
          <w:shd w:fill="FFFFFF" w:val="clear"/>
        </w:rPr>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Nadpis1"/>
        <w:rPr/>
      </w:pPr>
      <w:r>
        <w:rPr/>
        <w:t>2     Vzdělávací systém na Novém Zélandě</w:t>
      </w:r>
    </w:p>
    <w:p>
      <w:pPr>
        <w:pStyle w:val="Normal"/>
        <w:spacing w:lineRule="auto" w:line="360"/>
        <w:ind w:firstLine="360"/>
        <w:jc w:val="both"/>
        <w:rPr>
          <w:rFonts w:ascii="Times New Roman" w:hAnsi="Times New Roman" w:cs="Times New Roman"/>
          <w:b/>
          <w:b/>
          <w:sz w:val="24"/>
          <w:szCs w:val="24"/>
        </w:rPr>
      </w:pPr>
      <w:r>
        <w:rPr>
          <w:rFonts w:cs="Times New Roman" w:ascii="Times New Roman" w:hAnsi="Times New Roman"/>
          <w:sz w:val="24"/>
          <w:szCs w:val="24"/>
        </w:rPr>
        <w:t>Systém vzdělávání na Novém Zélandě je tvořen třemi úrovněmi a odráží jedinečnost a rozmanitost společnosti Nového Zélandu.</w:t>
      </w:r>
      <w:r>
        <w:rPr>
          <w:rFonts w:cs="Times New Roman" w:ascii="Times New Roman" w:hAnsi="Times New Roman"/>
          <w:sz w:val="24"/>
          <w:szCs w:val="24"/>
          <w:lang w:val="en-US"/>
        </w:rPr>
        <w:t xml:space="preserve"> Obecně lze říci, že vzdělávací systém Nového Zélandu se zaměřuje na to, aby vychovával mladé lidi, kteří budou spolehliví, sebevědomí a aktivně se zapojí do života a dalšího celoživotního vzdělávání i učení.</w:t>
      </w:r>
      <w:r>
        <w:rPr>
          <w:rFonts w:cs="Times New Roman" w:ascii="Times New Roman" w:hAnsi="Times New Roman"/>
          <w:b/>
          <w:sz w:val="24"/>
          <w:szCs w:val="24"/>
        </w:rPr>
        <w:t xml:space="preserve"> </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b/>
          <w:sz w:val="24"/>
          <w:szCs w:val="24"/>
        </w:rPr>
        <w:t>První úroveň</w:t>
      </w:r>
      <w:r>
        <w:rPr>
          <w:rFonts w:cs="Times New Roman" w:ascii="Times New Roman" w:hAnsi="Times New Roman"/>
          <w:sz w:val="24"/>
          <w:szCs w:val="24"/>
        </w:rPr>
        <w:t xml:space="preserve"> zastřešuje předškolní vzdělávání (na Novém Zélandě nazýváno ECE- Early childhood education, tedy Vzdělávání raného věku), které zahrnuje instituce zajišťující vzdělání od narození po vstup do školy.</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 xml:space="preserve">Do </w:t>
      </w:r>
      <w:r>
        <w:rPr>
          <w:rFonts w:cs="Times New Roman" w:ascii="Times New Roman" w:hAnsi="Times New Roman"/>
          <w:b/>
          <w:sz w:val="24"/>
          <w:szCs w:val="24"/>
        </w:rPr>
        <w:t>druhé úrovně</w:t>
      </w:r>
      <w:r>
        <w:rPr>
          <w:rFonts w:cs="Times New Roman" w:ascii="Times New Roman" w:hAnsi="Times New Roman"/>
          <w:sz w:val="24"/>
          <w:szCs w:val="24"/>
        </w:rPr>
        <w:t xml:space="preserve"> spadají základní a střední školy (primary and secondary schools). Nejzazší termín nástupu do základního vzdělávání je následující den po dovršení pátých narozenin. Povinná školní docházka je mezi šestým a šestnáctým rokem. Někteří studenti ukončí středoškolské vzdělání v devatenácti letech.</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b/>
          <w:sz w:val="24"/>
          <w:szCs w:val="24"/>
        </w:rPr>
        <w:t>Třetí úroveň vzdělání</w:t>
      </w:r>
      <w:r>
        <w:rPr>
          <w:rFonts w:cs="Times New Roman" w:ascii="Times New Roman" w:hAnsi="Times New Roman"/>
          <w:sz w:val="24"/>
          <w:szCs w:val="24"/>
        </w:rPr>
        <w:t xml:space="preserve"> tvoří vyšší a odborné školy (higher and vocational education) a dále vysoké školy, tedy univerzity.</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 xml:space="preserve">Organizace školního roku je zcela odlišná od naší. Školní rok začíná v lednu. Vzdělávání zde probíhá v semestrech, tzv. terms. Tato studijní období jsou čtyři a většinou jsou členěna následovně - deset týdnů školy a dva týdny volna. Obdobou našich letních prázdnin je na Novém Zélandě měsíční volno začínající těsně před Vánoci. </w:t>
      </w:r>
      <w:r>
        <w:br w:type="page"/>
      </w:r>
    </w:p>
    <w:p>
      <w:pPr>
        <w:pStyle w:val="Nadpis1"/>
        <w:rPr/>
      </w:pPr>
      <w:r>
        <w:rPr/>
        <w:t>2.1     Předškolní vzdělávání na Novém Zélandě</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rPr>
        <w:t>Tato bakalářská práce se soustředí na první, základní úroveň vzdělávání, tedy předškolní. Proto na následujících stranách bude popsána struktura tohoto vzdělávání.</w:t>
      </w:r>
      <w:r>
        <w:rPr>
          <w:rFonts w:cs="Times New Roman" w:ascii="Times New Roman" w:hAnsi="Times New Roman"/>
          <w:sz w:val="24"/>
          <w:szCs w:val="24"/>
          <w:lang w:val="en-US"/>
        </w:rPr>
        <w:t xml:space="preserve"> </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Předškolní vzdělávání je řízeno několika subjekty a institucemi. Jsou to - Ministerstvo školství, Úřad pro kontrolu vzdělávání, Novozélandský úřad kvality, který stanovuje úroveň a kvalifikaci a Rada pro vzdělávání, která řídí procesy učitelských registrací (Tesar, 2015).</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Novozélandský systém předškolního vzdělávání se snaží posilovat a rozvíjet děti jako celek a pomáhat jim rozvíjet vztahy a zároveň objevovat jiné cesty a způsoby.</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 xml:space="preserve">Dle  Education review office - Early childhood education: A Guide for parents (2007), existuje mnoho různých typů služeb (institucí) pro vzdělávání v období raného dětství. Předškolní zařízení mívají: </w:t>
      </w:r>
    </w:p>
    <w:p>
      <w:pPr>
        <w:pStyle w:val="ListParagraph"/>
        <w:numPr>
          <w:ilvl w:val="0"/>
          <w:numId w:val="2"/>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strukturální rozdíly - blokové nebo celodenní programy; </w:t>
      </w:r>
    </w:p>
    <w:p>
      <w:pPr>
        <w:pStyle w:val="ListParagraph"/>
        <w:numPr>
          <w:ilvl w:val="0"/>
          <w:numId w:val="2"/>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odlišné vlastnické struktury a organizační opatření - služby mohou být provozovány soukromými osobami, vládní organizací či spolky; </w:t>
      </w:r>
    </w:p>
    <w:p>
      <w:pPr>
        <w:pStyle w:val="ListParagraph"/>
        <w:numPr>
          <w:ilvl w:val="0"/>
          <w:numId w:val="2"/>
        </w:numPr>
        <w:spacing w:lineRule="auto" w:line="360"/>
        <w:jc w:val="both"/>
        <w:rPr>
          <w:rFonts w:ascii="Times New Roman" w:hAnsi="Times New Roman" w:cs="Times New Roman"/>
          <w:sz w:val="24"/>
          <w:szCs w:val="24"/>
        </w:rPr>
      </w:pPr>
      <w:r>
        <w:rPr>
          <w:rFonts w:cs="Times New Roman" w:ascii="Times New Roman" w:hAnsi="Times New Roman"/>
          <w:sz w:val="24"/>
          <w:szCs w:val="24"/>
        </w:rPr>
        <w:t>různá učební prostředí dle typu nabízené služby – v soukromých domech či centrech;</w:t>
      </w:r>
    </w:p>
    <w:p>
      <w:pPr>
        <w:pStyle w:val="ListParagraph"/>
        <w:numPr>
          <w:ilvl w:val="0"/>
          <w:numId w:val="2"/>
        </w:numPr>
        <w:spacing w:lineRule="auto" w:line="360"/>
        <w:jc w:val="both"/>
        <w:rPr>
          <w:rFonts w:ascii="Times New Roman" w:hAnsi="Times New Roman" w:cs="Times New Roman"/>
          <w:sz w:val="24"/>
          <w:szCs w:val="24"/>
        </w:rPr>
      </w:pPr>
      <w:r>
        <w:rPr>
          <w:rFonts w:cs="Times New Roman" w:ascii="Times New Roman" w:hAnsi="Times New Roman"/>
          <w:sz w:val="24"/>
          <w:szCs w:val="24"/>
        </w:rPr>
        <w:t>odlišné filozofie, které se promítají do vlastního programu - mateřské školy, hrací centra, Montessori nebo Rudolf Steiner programy;</w:t>
      </w:r>
    </w:p>
    <w:p>
      <w:pPr>
        <w:pStyle w:val="ListParagraph"/>
        <w:numPr>
          <w:ilvl w:val="0"/>
          <w:numId w:val="2"/>
        </w:numPr>
        <w:spacing w:lineRule="auto" w:line="360"/>
        <w:jc w:val="both"/>
        <w:rPr>
          <w:rFonts w:ascii="Times New Roman" w:hAnsi="Times New Roman" w:cs="Times New Roman"/>
          <w:sz w:val="24"/>
          <w:szCs w:val="24"/>
        </w:rPr>
      </w:pPr>
      <w:r>
        <w:rPr>
          <w:rFonts w:cs="Times New Roman" w:ascii="Times New Roman" w:hAnsi="Times New Roman"/>
          <w:sz w:val="24"/>
          <w:szCs w:val="24"/>
        </w:rPr>
        <w:t>městská či venkovská prostředí, zázemí.</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rPr>
        <w:t xml:space="preserve">Klíčový rozdíl, který může ovlivnit rozhodnutí, je, jak velkou spolupráci (míru zapojení) daná služba či program očekává od rodičů. </w:t>
      </w:r>
      <w:r>
        <w:rPr>
          <w:rFonts w:cs="Times New Roman" w:ascii="Times New Roman" w:hAnsi="Times New Roman"/>
          <w:sz w:val="24"/>
          <w:szCs w:val="24"/>
          <w:lang w:val="en-US"/>
        </w:rPr>
        <w:t>Do jaké míry se rodiče zapojí do procesu vzdělávání je ponecháno na nich samotných, ale jsou vyzýváni, aby se zajímali o obsah práce a vzdělávání a navázali na něj i doma.</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Rodi</w:t>
      </w:r>
      <w:r>
        <w:rPr>
          <w:rFonts w:cs="Times New Roman" w:ascii="Times New Roman" w:hAnsi="Times New Roman"/>
          <w:sz w:val="24"/>
          <w:szCs w:val="24"/>
        </w:rPr>
        <w:t xml:space="preserve">če se mohou kdykoliv informovat na své dítě u učitele. Ještě vítanější je návštěva a aktivní zapojení do procesu třeba </w:t>
      </w:r>
      <w:r>
        <w:rPr>
          <w:rFonts w:cs="Times New Roman" w:ascii="Times New Roman" w:hAnsi="Times New Roman"/>
          <w:sz w:val="24"/>
          <w:szCs w:val="24"/>
          <w:lang w:val="en-US"/>
        </w:rPr>
        <w:t>sdílením informací o své rodině a kultuře s učiteli, dětmi i dalšími rodinami. Centra předškolního vzdělávání také pořádají večery pro rodiče a mnoho dalších speciálních akcí.</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I přesto, že předškolní vzdělávání na Novém Zélandě není povinné, většina dětí (95%) dost</w:t>
      </w:r>
      <w:r>
        <w:rPr>
          <w:rFonts w:cs="Times New Roman" w:ascii="Times New Roman" w:hAnsi="Times New Roman"/>
          <w:sz w:val="24"/>
          <w:szCs w:val="24"/>
        </w:rPr>
        <w:t>ává</w:t>
      </w:r>
      <w:r>
        <w:rPr>
          <w:rFonts w:cs="Times New Roman" w:ascii="Times New Roman" w:hAnsi="Times New Roman"/>
          <w:sz w:val="24"/>
          <w:szCs w:val="24"/>
          <w:lang w:val="en-US"/>
        </w:rPr>
        <w:t xml:space="preserve"> nějakou formu vzdělávání v raném věku, obvykle 20-22 hodin týdně po dobu tří až čtyř let, kdy prvních 20 hodin je plně financováno vládou. </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Na Novém Zélandě existuje více než </w:t>
      </w:r>
      <w:r>
        <w:rPr>
          <w:rFonts w:cs="Times New Roman" w:ascii="Times New Roman" w:hAnsi="Times New Roman"/>
          <w:b/>
          <w:sz w:val="24"/>
          <w:szCs w:val="24"/>
          <w:lang w:val="en-US"/>
        </w:rPr>
        <w:t>4000 předškolních zařízení</w:t>
      </w:r>
      <w:r>
        <w:rPr>
          <w:rFonts w:cs="Times New Roman" w:ascii="Times New Roman" w:hAnsi="Times New Roman"/>
          <w:sz w:val="24"/>
          <w:szCs w:val="24"/>
          <w:lang w:val="en-US"/>
        </w:rPr>
        <w:t>. Vzdělávací zařízení se dělí do dvou hlavních skupin, na služby vedené učiteli a služby vedené rodiči. Do první jmenované skupiny patří zařízení, která zahrnují mateřské školy, instituce vzdělávání a péče a vzdělávání v domácím prostředí. V těchto zařízeních musí být 50 % z dohlížejících dospělých kvalifikováno a registrováno jako učitelé předškolního vzdělávání (Education review office, 2007).</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Dále jsou to zařízení vedená rodiči, kde se právě rodiče a ošetřovatelé starají a vychovávájí své a svěřené děti. Na Novém Zélandu mezi ně patří Playcentra a </w:t>
      </w:r>
      <w:r>
        <w:rPr>
          <w:rFonts w:cs="Times New Roman" w:ascii="Times New Roman" w:hAnsi="Times New Roman"/>
          <w:sz w:val="24"/>
          <w:szCs w:val="24"/>
        </w:rPr>
        <w:t>Kōhanga reo</w:t>
      </w:r>
      <w:r>
        <w:rPr>
          <w:rFonts w:cs="Times New Roman" w:ascii="Times New Roman" w:hAnsi="Times New Roman"/>
          <w:sz w:val="24"/>
          <w:szCs w:val="24"/>
          <w:lang w:val="en-US"/>
        </w:rPr>
        <w:t xml:space="preserve"> (centra, která pečují o malé děti v kulturním prostředí Māori), přičemž oba výše zmíněné typy zařízení musí mít licenci. Patří sem také dětské kroužky, které mohou nebo nemusí být certifikovány vládou  </w:t>
      </w:r>
      <w:r>
        <w:rPr>
          <w:rFonts w:cs="Times New Roman" w:ascii="Times New Roman" w:hAnsi="Times New Roman"/>
          <w:sz w:val="24"/>
          <w:szCs w:val="24"/>
        </w:rPr>
        <w:t>„</w:t>
      </w:r>
      <w:r>
        <w:rPr>
          <w:rFonts w:cs="Times New Roman" w:ascii="Times New Roman" w:hAnsi="Times New Roman"/>
          <w:sz w:val="24"/>
          <w:szCs w:val="24"/>
          <w:lang w:val="en-US"/>
        </w:rPr>
        <w:t>ibid”.</w:t>
      </w:r>
    </w:p>
    <w:p>
      <w:pPr>
        <w:pStyle w:val="Nadpis2"/>
        <w:numPr>
          <w:ilvl w:val="0"/>
          <w:numId w:val="0"/>
        </w:numPr>
        <w:ind w:left="720" w:hanging="0"/>
        <w:rPr/>
      </w:pPr>
      <w:r>
        <w:rPr/>
        <w:t>2.1.1    Služby vedené učiteli</w:t>
      </w:r>
    </w:p>
    <w:p>
      <w:pPr>
        <w:pStyle w:val="Normal"/>
        <w:rPr/>
      </w:pPr>
      <w:r>
        <w:rPr/>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V těchto službách nese hlavní odpovědnost za vzdělávání dětí a péči o ně placený personál. Rodiče jsou však často vyzýváni k podpoře pedagogů (zapojením do výukového programu).</w:t>
      </w:r>
    </w:p>
    <w:p>
      <w:pPr>
        <w:pStyle w:val="ListParagraph"/>
        <w:numPr>
          <w:ilvl w:val="0"/>
          <w:numId w:val="9"/>
        </w:numPr>
        <w:spacing w:lineRule="auto" w:line="360"/>
        <w:jc w:val="both"/>
        <w:rPr>
          <w:rFonts w:ascii="Times New Roman" w:hAnsi="Times New Roman" w:cs="Times New Roman"/>
          <w:b/>
          <w:b/>
          <w:sz w:val="24"/>
          <w:szCs w:val="24"/>
        </w:rPr>
      </w:pPr>
      <w:r>
        <w:rPr>
          <w:rFonts w:cs="Times New Roman" w:ascii="Times New Roman" w:hAnsi="Times New Roman"/>
          <w:b/>
          <w:sz w:val="24"/>
          <w:szCs w:val="24"/>
        </w:rPr>
        <w:t xml:space="preserve">Mateřské školy </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Mateřské školy zaměstnávají kvalifikované a registrované učitele. Mají řadu blokových struktur, většina z nich má dopolední a odpolední části, ale jiné poskytují prodloužené nebo celodenní vzdělávání a péči. Většina mateřských škol se stará o děti ve věku od dvou a půl   do pěti let.</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Mateřské školy jsou akreditované a licencované. Sdružení regionálních učitelů zaměstnává učitele, spravuje finanční prostředky, majetek a rozděluje zdroje. Místní výbory (rodiče) podporují učitele v dané mateřské škole a shání finanční zdroje a další prostředky    na její podporu. Rodiče jsou také oslovováni a žádáni o finanční podporu.</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Ačkoli hlavní zodpovědnost za program mají učitlé, rodiče jsou vyzýváni k účasti           na činnostech a aktivitách, komunikaci se zaměstnanci a tím i zjištění informací nejen o svém dítěti. Rodiče se také mohou zapojit do výboru místní mateřské školy nebo do regionálního sdružení.</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r>
    </w:p>
    <w:p>
      <w:pPr>
        <w:pStyle w:val="ListParagraph"/>
        <w:numPr>
          <w:ilvl w:val="0"/>
          <w:numId w:val="9"/>
        </w:numPr>
        <w:spacing w:lineRule="auto" w:line="360"/>
        <w:jc w:val="both"/>
        <w:rPr>
          <w:rFonts w:ascii="Times New Roman" w:hAnsi="Times New Roman" w:cs="Times New Roman"/>
          <w:b/>
          <w:b/>
          <w:sz w:val="24"/>
          <w:szCs w:val="24"/>
        </w:rPr>
      </w:pPr>
      <w:r>
        <w:rPr>
          <w:rFonts w:cs="Times New Roman" w:ascii="Times New Roman" w:hAnsi="Times New Roman"/>
          <w:b/>
          <w:sz w:val="24"/>
          <w:szCs w:val="24"/>
        </w:rPr>
        <w:t>Vzdělávací služby v domácím prostředí</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Služby založené na domácím prostředí a služby rodinné denní péče poskytují vzdělávání a péči kojencům a předškolním dětem buď v jeho vlastním domě, nebo v domě učitele</w:t>
      </w:r>
      <w:r>
        <w:rPr>
          <w:rFonts w:cs="Times New Roman" w:ascii="Times New Roman" w:hAnsi="Times New Roman"/>
          <w:color w:val="FF0000"/>
          <w:sz w:val="24"/>
          <w:szCs w:val="24"/>
        </w:rPr>
        <w:t xml:space="preserve">. </w:t>
      </w:r>
      <w:r>
        <w:rPr>
          <w:rFonts w:cs="Times New Roman" w:ascii="Times New Roman" w:hAnsi="Times New Roman"/>
          <w:sz w:val="24"/>
          <w:szCs w:val="24"/>
        </w:rPr>
        <w:t>Tyto programy mohou mít celodenní trvání, nebo pouze několikahodinový charakter. Rodiče obvykle platí poplatky za docházku při výběru tohoto typu vzdělávání.</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Služby založené na domácím prostředí poskytují příležitosti ke vzdělávání pro děti           v malých skupinách v rámci domácího prostředí. V rámci některých těchto služeb jsou také provozovány dětské skupiny, kroužky, takže učitelé a děti mohou mít pravidelný sociální kontakt a jakousi vzdělávací kontinuitu. Děti se mohou účastnit i jiných vzdělávacích forem a služeb.</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Kvalifikovaní a registrovaní učitelé jsou zaměstnáni jako koordinátoři na podporu vychovatelů. Komunikace mezi rodiči a pedagogy je důležitým rysem těchto služeb. Pedagogům jsou nabízeny možnosti vzdělávání s cílem zlepšit jejich porozumění a znalosti     o tom, jak se děti učí. Koordinátoři sítě navštěvují domovy pravidelně, aby dohlíželi na bezpečnost, pohodu a učení dětem poskytované.</w:t>
      </w:r>
    </w:p>
    <w:p>
      <w:pPr>
        <w:pStyle w:val="ListParagraph"/>
        <w:spacing w:lineRule="auto" w:line="360"/>
        <w:jc w:val="both"/>
        <w:rPr>
          <w:rFonts w:ascii="Times New Roman" w:hAnsi="Times New Roman" w:cs="Times New Roman"/>
          <w:b/>
          <w:b/>
          <w:sz w:val="24"/>
          <w:szCs w:val="24"/>
        </w:rPr>
      </w:pPr>
      <w:r>
        <w:rPr>
          <w:rFonts w:cs="Times New Roman" w:ascii="Times New Roman" w:hAnsi="Times New Roman"/>
          <w:b/>
          <w:sz w:val="24"/>
          <w:szCs w:val="24"/>
        </w:rPr>
      </w:r>
    </w:p>
    <w:p>
      <w:pPr>
        <w:pStyle w:val="ListParagraph"/>
        <w:numPr>
          <w:ilvl w:val="0"/>
          <w:numId w:val="9"/>
        </w:numPr>
        <w:spacing w:lineRule="auto" w:line="360"/>
        <w:jc w:val="both"/>
        <w:rPr>
          <w:rFonts w:ascii="Times New Roman" w:hAnsi="Times New Roman" w:cs="Times New Roman"/>
          <w:b/>
          <w:b/>
          <w:sz w:val="24"/>
          <w:szCs w:val="24"/>
        </w:rPr>
      </w:pPr>
      <w:r>
        <w:rPr>
          <w:rFonts w:cs="Times New Roman" w:ascii="Times New Roman" w:hAnsi="Times New Roman"/>
          <w:b/>
          <w:sz w:val="24"/>
          <w:szCs w:val="24"/>
        </w:rPr>
        <w:t>Centra pro vzdělávání a péči</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Kromě hracích center, Kōhanga reo a mateřských škol jsou veškeré služby založené              na pobytu v centrech známy jako Centra pro vzdělávání a péči. Patří mezi ně:</w:t>
      </w:r>
    </w:p>
    <w:p>
      <w:pPr>
        <w:pStyle w:val="ListParagraph"/>
        <w:numPr>
          <w:ilvl w:val="0"/>
          <w:numId w:val="3"/>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celodenní a zkrácené denní (blokové) aktivity; </w:t>
      </w:r>
    </w:p>
    <w:p>
      <w:pPr>
        <w:pStyle w:val="ListParagraph"/>
        <w:numPr>
          <w:ilvl w:val="0"/>
          <w:numId w:val="3"/>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blokové celky, několikahodinové za den nebo týden; </w:t>
      </w:r>
    </w:p>
    <w:p>
      <w:pPr>
        <w:pStyle w:val="ListParagraph"/>
        <w:numPr>
          <w:ilvl w:val="0"/>
          <w:numId w:val="3"/>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pacifická jazyková centra; </w:t>
      </w:r>
    </w:p>
    <w:p>
      <w:pPr>
        <w:pStyle w:val="ListParagraph"/>
        <w:numPr>
          <w:ilvl w:val="0"/>
          <w:numId w:val="3"/>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střediska soukromých osob; </w:t>
      </w:r>
    </w:p>
    <w:p>
      <w:pPr>
        <w:pStyle w:val="ListParagraph"/>
        <w:numPr>
          <w:ilvl w:val="0"/>
          <w:numId w:val="3"/>
        </w:numPr>
        <w:spacing w:lineRule="auto" w:line="360"/>
        <w:jc w:val="both"/>
        <w:rPr>
          <w:rFonts w:ascii="Times New Roman" w:hAnsi="Times New Roman" w:cs="Times New Roman"/>
          <w:sz w:val="24"/>
          <w:szCs w:val="24"/>
        </w:rPr>
      </w:pPr>
      <w:r>
        <w:rPr>
          <w:rFonts w:cs="Times New Roman" w:ascii="Times New Roman" w:hAnsi="Times New Roman"/>
          <w:sz w:val="24"/>
          <w:szCs w:val="24"/>
        </w:rPr>
        <w:t>komunitní střediska;</w:t>
      </w:r>
    </w:p>
    <w:p>
      <w:pPr>
        <w:pStyle w:val="ListParagraph"/>
        <w:numPr>
          <w:ilvl w:val="0"/>
          <w:numId w:val="3"/>
        </w:numPr>
        <w:spacing w:lineRule="auto" w:line="360"/>
        <w:jc w:val="both"/>
        <w:rPr>
          <w:rFonts w:ascii="Times New Roman" w:hAnsi="Times New Roman" w:cs="Times New Roman"/>
          <w:sz w:val="24"/>
          <w:szCs w:val="24"/>
        </w:rPr>
      </w:pPr>
      <w:r>
        <w:rPr>
          <w:rFonts w:cs="Times New Roman" w:ascii="Times New Roman" w:hAnsi="Times New Roman"/>
          <w:sz w:val="24"/>
          <w:szCs w:val="24"/>
        </w:rPr>
        <w:t>podniková pomocná centra (například jesle).</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Osoba odpovědná za provoz vzdělávací služby musí být kvalifikovaným a registrovaným učitelem. Kromě toho by měl být k dispozici dostatek dalších pedagogů s různými kvalifikacemi a zkušenostmi k zajištění podnětného prostředí pro učení dětí.</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Rodiče obvykle platí poplatky za přítomnost dítěte v těchto centrech a někdy jsou zapojeni i do řízení centra. U všech typů vzdělávacích služeb a služeb péče obecně platí, že rodiče jsou vyzýváni a pobízeni ke komunikaci s pedagogy, kladení otázek a v neposlední řadě k poskytování informací o svém dítěti.</w:t>
      </w:r>
    </w:p>
    <w:p>
      <w:pPr>
        <w:pStyle w:val="Nadpis2"/>
        <w:numPr>
          <w:ilvl w:val="2"/>
          <w:numId w:val="21"/>
        </w:numPr>
        <w:rPr/>
      </w:pPr>
      <w:r>
        <w:rPr/>
        <w:t xml:space="preserve"> </w:t>
      </w:r>
      <w:r>
        <w:rPr/>
        <w:t>Služby vedené rodiči</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Ve spolcích, institucích vedených rodiči, jsou to rodiče dětí, kteří přebírají hlavní úlohu pedagoga, vzdělavatele. Někdy bývá přítomen i placený učitel, vedoucí, dozorující člověk či kaiako, aby pomohl rodičům nastínit a porozumět principům dětského učení, chápání a jejich rozvoji. </w:t>
      </w:r>
    </w:p>
    <w:p>
      <w:pPr>
        <w:pStyle w:val="Nadpis4"/>
        <w:numPr>
          <w:ilvl w:val="0"/>
          <w:numId w:val="10"/>
        </w:numPr>
        <w:spacing w:lineRule="auto" w:line="360"/>
        <w:rPr>
          <w:sz w:val="24"/>
          <w:szCs w:val="24"/>
        </w:rPr>
      </w:pPr>
      <w:r>
        <w:rPr>
          <w:sz w:val="24"/>
          <w:szCs w:val="24"/>
        </w:rPr>
        <w:t>Hrací centra</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Hrací centra jsou rodičovské spolky. Rodiny navštěvujících dětí jsou zodpovědní            za to, jak jsou tato střediska spravována a provozována. Rodiče se stali členy jejich hracího centra a většina platí nízké poplatky za účast. Obecně hrací centra jsou licencovaná, ačkoli některá mohou fungovat jako hrací skupiny řízené rodiči.</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Obecně platí, že rodiče (</w:t>
      </w:r>
      <w:r>
        <w:rPr>
          <w:rFonts w:cs="Times New Roman" w:ascii="Times New Roman" w:hAnsi="Times New Roman"/>
          <w:sz w:val="24"/>
          <w:szCs w:val="24"/>
          <w:lang w:val="en-US"/>
        </w:rPr>
        <w:t>whānau</w:t>
      </w:r>
      <w:r>
        <w:rPr>
          <w:rFonts w:cs="Times New Roman" w:ascii="Times New Roman" w:hAnsi="Times New Roman"/>
          <w:sz w:val="24"/>
          <w:szCs w:val="24"/>
        </w:rPr>
        <w:t>) jsou zodpovědní za fungování a průběh programu, a očekává se, že se pravidelně účastní se svým dítětem. Někdy je přítomný také vyškolený školitel.</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Kromě poskytování programů pro děti raného dětství, playcentra poskytují vzdělávací programy i pro rodiče (</w:t>
      </w:r>
      <w:r>
        <w:rPr>
          <w:rFonts w:cs="Times New Roman" w:ascii="Times New Roman" w:hAnsi="Times New Roman"/>
          <w:sz w:val="24"/>
          <w:szCs w:val="24"/>
          <w:lang w:val="en-US"/>
        </w:rPr>
        <w:t>whānau</w:t>
      </w:r>
      <w:r>
        <w:rPr>
          <w:rFonts w:cs="Times New Roman" w:ascii="Times New Roman" w:hAnsi="Times New Roman"/>
          <w:sz w:val="24"/>
          <w:szCs w:val="24"/>
        </w:rPr>
        <w:t>), kteří se tak mohou učit se svými dětmi. Tyto programy pomáhají rodičům pochopit proces, jak se děti učí a rozvíjejí, a mohou je dovést ke kvalifikaci pro učení v playcentru.</w:t>
      </w:r>
    </w:p>
    <w:p>
      <w:pPr>
        <w:pStyle w:val="ListParagraph"/>
        <w:numPr>
          <w:ilvl w:val="0"/>
          <w:numId w:val="10"/>
        </w:numPr>
        <w:spacing w:lineRule="auto" w:line="360"/>
        <w:jc w:val="both"/>
        <w:rPr>
          <w:rFonts w:ascii="Times New Roman" w:hAnsi="Times New Roman" w:cs="Times New Roman"/>
          <w:b/>
          <w:b/>
          <w:sz w:val="24"/>
          <w:szCs w:val="24"/>
        </w:rPr>
      </w:pPr>
      <w:r>
        <w:rPr>
          <w:rFonts w:cs="Times New Roman" w:ascii="Times New Roman" w:hAnsi="Times New Roman"/>
          <w:b/>
          <w:sz w:val="24"/>
          <w:szCs w:val="24"/>
        </w:rPr>
        <w:t xml:space="preserve">Te Kōhanga Reo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Kōhanga reo jsou sdružení, jejichž cílem je podpořit znalost maorštiny a maorské kultury jak u dětí, tak u rodičů. Kōhanga Reo spadají pod záštitu organizace Te Kōhanga Reo National Trust, která je zodpovědná za kvalitu a revitalizaci maorského jazyka. Prostřednictvím Trustu nabízí Kōhanga reo rodinám vzdělávací programy a vzdělání           pro případné učitelství (kaiako).</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V Kōhanga reo jsou rodiče (</w:t>
      </w:r>
      <w:r>
        <w:rPr>
          <w:rFonts w:cs="Times New Roman" w:ascii="Times New Roman" w:hAnsi="Times New Roman"/>
          <w:sz w:val="24"/>
          <w:szCs w:val="24"/>
          <w:lang w:val="en-US"/>
        </w:rPr>
        <w:t>whānau</w:t>
      </w:r>
      <w:r>
        <w:rPr>
          <w:rFonts w:cs="Times New Roman" w:ascii="Times New Roman" w:hAnsi="Times New Roman"/>
          <w:sz w:val="24"/>
          <w:szCs w:val="24"/>
        </w:rPr>
        <w:t>) úzce zapojeni do učení a rozvojových programů. Maorština je hlavním jazykem. Rodiče se zapojují do denního programu a podílejí se            na učení. Rodiny přispívají Kōhanga reo dary nebo placením poplatků v závislosti na jejich možnostech.</w:t>
      </w:r>
    </w:p>
    <w:p>
      <w:pPr>
        <w:pStyle w:val="ListParagraph"/>
        <w:numPr>
          <w:ilvl w:val="0"/>
          <w:numId w:val="10"/>
        </w:numPr>
        <w:spacing w:lineRule="auto" w:line="360"/>
        <w:jc w:val="both"/>
        <w:rPr>
          <w:rFonts w:ascii="Times New Roman" w:hAnsi="Times New Roman" w:cs="Times New Roman"/>
          <w:b/>
          <w:b/>
          <w:sz w:val="24"/>
          <w:szCs w:val="24"/>
        </w:rPr>
      </w:pPr>
      <w:r>
        <w:rPr>
          <w:rFonts w:cs="Times New Roman" w:ascii="Times New Roman" w:hAnsi="Times New Roman"/>
          <w:b/>
          <w:sz w:val="24"/>
          <w:szCs w:val="24"/>
        </w:rPr>
        <w:t>Dětské kroužky, kluby</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Dětské kroužky a skupiny mají výjimku z licence pro předškolní služby. Rodiče se mohou zúčastnit se svými dětmi a zároveň poskytnout herní program. Jsou to v podstatě neformální setkání, kde se pečovatelé a děti ve věku 0-5 let sejdou v uvolněném prostředí.     V dětských klubech si rodiče a ošetřovatelé povídají s ostatními dospělými a hrají si s dětmi. Činnosti v klubech jsou buď zdarma, nebo za malý příspěvek, a mohou zahrnovat hudbu a zpěv, nápaditou hru, umění a řemesla</w:t>
      </w:r>
      <w:r>
        <w:rPr>
          <w:rFonts w:cs="Times New Roman" w:ascii="Times New Roman" w:hAnsi="Times New Roman"/>
          <w:color w:val="00B0F0"/>
          <w:sz w:val="24"/>
          <w:szCs w:val="24"/>
        </w:rPr>
        <w:t xml:space="preserve">. </w:t>
      </w:r>
      <w:r>
        <w:rPr>
          <w:rFonts w:cs="Times New Roman" w:ascii="Times New Roman" w:hAnsi="Times New Roman"/>
          <w:sz w:val="24"/>
          <w:szCs w:val="24"/>
        </w:rPr>
        <w:t>Dětské kroužky nesmí fungovat déle než tři hodiny denně a nejméně polovina dětí, které je navštěvují, musí mít přítomného rodiče nebo pečovatele, který s nimi zůstane po celou dobu strávenou ve skupině. Ministerstvo školství přispívá těmto organizacím na vybavení a pronájem prostor. Ministerstvo rovněž poskytuje informace a školení, aby děti mohly vyzkoušet a zažít různorodé aktivity. Někdy se tyto skupiny vyvinou do plně licencovaných organizací poskytujících vzdělávání a péči pro děti raného věku.</w:t>
      </w:r>
    </w:p>
    <w:p>
      <w:pPr>
        <w:pStyle w:val="ListParagraph"/>
        <w:numPr>
          <w:ilvl w:val="0"/>
          <w:numId w:val="10"/>
        </w:numPr>
        <w:spacing w:lineRule="auto" w:line="360"/>
        <w:jc w:val="both"/>
        <w:rPr>
          <w:rFonts w:ascii="Times New Roman" w:hAnsi="Times New Roman" w:cs="Times New Roman"/>
          <w:b/>
          <w:b/>
          <w:sz w:val="24"/>
          <w:szCs w:val="24"/>
        </w:rPr>
      </w:pPr>
      <w:r>
        <w:rPr>
          <w:rFonts w:cs="Times New Roman" w:ascii="Times New Roman" w:hAnsi="Times New Roman"/>
          <w:b/>
          <w:sz w:val="24"/>
          <w:szCs w:val="24"/>
        </w:rPr>
        <w:t>Nga Puna Kōhungahunga - Zdroje raného dětství</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Rodiče a rodina (</w:t>
      </w:r>
      <w:r>
        <w:rPr>
          <w:rFonts w:cs="Times New Roman" w:ascii="Times New Roman" w:hAnsi="Times New Roman"/>
          <w:sz w:val="24"/>
          <w:szCs w:val="24"/>
          <w:lang w:val="en-US"/>
        </w:rPr>
        <w:t>whānau</w:t>
      </w:r>
      <w:r>
        <w:rPr>
          <w:rFonts w:cs="Times New Roman" w:ascii="Times New Roman" w:hAnsi="Times New Roman"/>
          <w:sz w:val="24"/>
          <w:szCs w:val="24"/>
        </w:rPr>
        <w:t>) připravují a vedou programy v těchto skupinách, a to v obou jazycích - angličtině i maorštině. Jejich cílem je rozvíjet znalost jazyka a kultury Maorů, jakožto původních novozélandských obyvatel. Stejně jako u jiných dětských skupin Ministerstvo školství podporuje Nga Puna K</w:t>
      </w:r>
      <w:r>
        <w:rPr>
          <w:rFonts w:cs="Times New Roman" w:ascii="Times New Roman" w:hAnsi="Times New Roman"/>
          <w:b/>
          <w:sz w:val="24"/>
          <w:szCs w:val="24"/>
        </w:rPr>
        <w:t>ō</w:t>
      </w:r>
      <w:r>
        <w:rPr>
          <w:rFonts w:cs="Times New Roman" w:ascii="Times New Roman" w:hAnsi="Times New Roman"/>
          <w:sz w:val="24"/>
          <w:szCs w:val="24"/>
        </w:rPr>
        <w:t>hungahunga školením. Rodiče mohou být požádáni o dary nebo finanční příspěvky.</w:t>
      </w:r>
    </w:p>
    <w:p>
      <w:pPr>
        <w:pStyle w:val="ListParagraph"/>
        <w:numPr>
          <w:ilvl w:val="0"/>
          <w:numId w:val="10"/>
        </w:numPr>
        <w:spacing w:lineRule="auto" w:line="360"/>
        <w:jc w:val="both"/>
        <w:rPr>
          <w:rFonts w:ascii="Times New Roman" w:hAnsi="Times New Roman" w:cs="Times New Roman"/>
          <w:b/>
          <w:b/>
          <w:sz w:val="24"/>
          <w:szCs w:val="24"/>
        </w:rPr>
      </w:pPr>
      <w:r>
        <w:rPr>
          <w:rFonts w:cs="Times New Roman" w:ascii="Times New Roman" w:hAnsi="Times New Roman"/>
          <w:b/>
          <w:sz w:val="24"/>
          <w:szCs w:val="24"/>
        </w:rPr>
        <w:t>Společenství Tichomořských ostrovů</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Tyto dětské kroužky mají často komunitní základ a rodiče pomáhají s vedením programů. Jejich cílem je rozvíjet poznatky dětí o jazycích a kultuře pacifických zemí, jako jsou Samoa, Tonga, Cookovy ostrovy, Niue, Tokelau, Tuvalu a Fidži. Tyto výukové programy mohou probíhat buď v obou jazycích, tedy pacifických a anglickém jazyce, nebo pouze v pacifickém jazyce. Rodiče mohou být požádáni o příspěvek na podporu těchto skupin.</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rPr>
          <w:rFonts w:ascii="Times New Roman" w:hAnsi="Times New Roman" w:cs="Times New Roman"/>
          <w:b/>
          <w:b/>
          <w:sz w:val="24"/>
          <w:szCs w:val="24"/>
          <w:lang w:val="en-US"/>
        </w:rPr>
      </w:pPr>
      <w:r>
        <w:rPr>
          <w:rFonts w:cs="Times New Roman" w:ascii="Times New Roman" w:hAnsi="Times New Roman"/>
          <w:b/>
          <w:sz w:val="24"/>
          <w:szCs w:val="24"/>
          <w:lang w:val="en-US"/>
        </w:rPr>
      </w:r>
      <w:r>
        <w:br w:type="page"/>
      </w:r>
    </w:p>
    <w:p>
      <w:pPr>
        <w:pStyle w:val="Nadpis1"/>
        <w:rPr/>
      </w:pPr>
      <w:r>
        <w:rPr/>
        <w:t>2.2     Kurikulární dokument – Te Whāriki</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rPr>
        <w:t>N</w:t>
      </w:r>
      <w:r>
        <w:rPr>
          <w:rFonts w:cs="Times New Roman" w:ascii="Times New Roman" w:hAnsi="Times New Roman"/>
          <w:sz w:val="24"/>
          <w:szCs w:val="24"/>
          <w:lang w:val="en-US"/>
        </w:rPr>
        <w:t>āku te rourou nāu te rourou ka ora ai te iwi - With your basket and my basket the people will live (Early education, 2014; Tesar, 2015).</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b/>
          <w:sz w:val="24"/>
          <w:szCs w:val="24"/>
          <w:lang w:val="en-US"/>
        </w:rPr>
        <w:t>Te Whāriki</w:t>
      </w:r>
      <w:r>
        <w:rPr>
          <w:rFonts w:cs="Times New Roman" w:ascii="Times New Roman" w:hAnsi="Times New Roman"/>
          <w:sz w:val="24"/>
          <w:szCs w:val="24"/>
          <w:lang w:val="en-US"/>
        </w:rPr>
        <w:t xml:space="preserve"> je kurikulum, osnova vzdělávání pro předškolní děti vydaná Ministerstvem školství v roce 1996. Tvoří rámec pro poskytování dětského předškolního vzdělávání a rozvoj v rámci sociokulturního kontextu. Klade důraz na partnerství při učení mezi kaiako (učiteli), rodiči a whānau (rodinami). Kaiako (učitelé) vytváří komplexní osnovy v reakci na dětské vzdělávání a rozvoj nejen v raném dětství, ale také s přihlédnutím k širšímu kontextu světa dítěte (Ministry of Education, 1996).</w:t>
      </w:r>
      <w:r>
        <w:rPr>
          <w:rFonts w:cs="Times New Roman" w:ascii="Times New Roman" w:hAnsi="Times New Roman"/>
          <w:sz w:val="24"/>
          <w:szCs w:val="24"/>
        </w:rPr>
        <w:t xml:space="preserve"> </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Toto kurikulum je zcela novým v oblasti vzdělávání na Novém Zélandu, neboť se jedná   o první národní kurikulum pro období raného dětství. Osnovy obsahují učební plán speciálně pro Maorskou kulturu v oblasti předškolního vzdělávání a zavádí, v dokumentu jako celku, </w:t>
      </w:r>
      <w:r>
        <w:rPr>
          <w:rFonts w:cs="Times New Roman" w:ascii="Times New Roman" w:hAnsi="Times New Roman"/>
          <w:b/>
          <w:sz w:val="24"/>
          <w:szCs w:val="24"/>
          <w:lang w:val="en-US"/>
        </w:rPr>
        <w:t>bikulturní povahu</w:t>
      </w:r>
      <w:r>
        <w:rPr>
          <w:rFonts w:cs="Times New Roman" w:ascii="Times New Roman" w:hAnsi="Times New Roman"/>
          <w:sz w:val="24"/>
          <w:szCs w:val="24"/>
          <w:lang w:val="en-US"/>
        </w:rPr>
        <w:t xml:space="preserve"> učiva pro všechny předškolní vzdělávací služby. Význam sociálního kontextu, ve kterém je o děti postaráno a ve kterém učení probíhá, je jedním ze základních kamenů učebních osnov. Vztahy a prostředí, ve kterém děti žijí, mají přímý dopad na jejich vzdělávání a rozvoj. Tento rámcový učební plán poskytuje základ pro vysokou kvalitu učebních osnov rozmanitých vzdělávacích služeb a vztahuje se na vzdělávání a péči o děti   od narození do nástupu do školy. Zahrnutí tohoto věkového rozmezí je inovativní a jasně odráží pojetí učení jako celoživotního procesu, který začíná na samém počátku života (Ministry of Education 1996, Tesar, 2015).</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Na socializaci, péči a výchově předškolních dětí se podílejí rodiče společně                       s předškolními institucemi.</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Je obzvláště významné, že tento učební plán byl vyvinut na základě podnětů z oblasti raného dětství. Zatímco služby jsou různorodé, pokud jde o strukturu a filozofii, učitelé předškolního vzdělávání napříč spektrem poskytovaných služeb spolupracovali na vývoji společné osnovy, na jehož základě tvoří vlastní programy. Kurikulum staví na zkušenostech   z vývoje osnov v rámci různých služeb předškolního vzdělávání a zohledňuje poznatky          v oblasti výzkumu, mezinárodní literatury a sdílení znalostí (Tesar, 2015; Dale, 2008).</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Zpětná vazba k návrhu dokumentu jasně ukázala, že množství a rozmanitost institucí poskytujících předškolní vzdělávání nebránily přijetí centrální zásady a rámec tohoto dokumentu. </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w:t>
      </w:r>
      <w:r>
        <w:rPr>
          <w:rFonts w:cs="Times New Roman" w:ascii="Times New Roman" w:hAnsi="Times New Roman"/>
          <w:i/>
          <w:sz w:val="24"/>
          <w:szCs w:val="24"/>
          <w:lang w:val="en-US"/>
        </w:rPr>
        <w:t>Te Whāriki aspires for children to grow up as competent and confident learners and communitcators, healthy in mind, body and spirit, secure in their sense of belonging and       in the knowledge that make a valued contribution to society, who have relationships            with people, places and things</w:t>
      </w:r>
      <w:r>
        <w:rPr>
          <w:rFonts w:cs="Times New Roman" w:ascii="Times New Roman" w:hAnsi="Times New Roman"/>
          <w:sz w:val="24"/>
          <w:szCs w:val="24"/>
          <w:lang w:val="en-US"/>
        </w:rPr>
        <w:t>” (Ministry of Education, 1996, str.9).</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Tento učební plán je založen na následujících aspiracích pro děti:</w:t>
      </w:r>
    </w:p>
    <w:p>
      <w:pPr>
        <w:pStyle w:val="ListParagraph"/>
        <w:numPr>
          <w:ilvl w:val="0"/>
          <w:numId w:val="4"/>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vyrůstat jako kompetentní a sebevědomý žák, člověk,</w:t>
      </w:r>
    </w:p>
    <w:p>
      <w:pPr>
        <w:pStyle w:val="ListParagraph"/>
        <w:numPr>
          <w:ilvl w:val="0"/>
          <w:numId w:val="4"/>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být zdravý v mysli, na těle i na duchu, </w:t>
      </w:r>
    </w:p>
    <w:p>
      <w:pPr>
        <w:pStyle w:val="ListParagraph"/>
        <w:numPr>
          <w:ilvl w:val="0"/>
          <w:numId w:val="4"/>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mít pocit sounáležitosti a být si vědom, že každý člověk přispívá společnosti.</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Te Whāriki určuje, jak dosáhnout pokroku směrem k této vizi v rámci předškolní výchovy a vzdělávání v období raného dětství, přičemž individualita každého dítěte je důležitá. </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Východisky tohoto plánu jsou žák a znalosti, dovednosti a postoje, které dítě vnáší         do svých zážitků a zkušeností a naopak. Nutno podotknout, že učení začíná již v domácím prostředí. Program, aktivity mimo vlastní domov dítěte hrají významnou roli při rozšiřování dalšího vzdělávání a položení základů pro úspěšné budoucí učení.</w:t>
      </w:r>
    </w:p>
    <w:p>
      <w:pPr>
        <w:pStyle w:val="Normal"/>
        <w:spacing w:lineRule="auto" w:line="360"/>
        <w:jc w:val="both"/>
        <w:rPr>
          <w:rFonts w:ascii="Times New Roman" w:hAnsi="Times New Roman" w:cs="Times New Roman"/>
          <w:b/>
          <w:b/>
          <w:sz w:val="24"/>
          <w:szCs w:val="24"/>
          <w:lang w:val="en-US"/>
        </w:rPr>
      </w:pPr>
      <w:r>
        <w:rPr>
          <w:rFonts w:cs="Times New Roman" w:ascii="Times New Roman" w:hAnsi="Times New Roman"/>
          <w:b/>
          <w:sz w:val="24"/>
          <w:szCs w:val="24"/>
          <w:lang w:val="en-US"/>
        </w:rPr>
        <w:t xml:space="preserve">    </w:t>
      </w:r>
      <w:r>
        <w:rPr>
          <w:rFonts w:cs="Times New Roman" w:ascii="Times New Roman" w:hAnsi="Times New Roman"/>
          <w:b/>
          <w:sz w:val="24"/>
          <w:szCs w:val="24"/>
          <w:lang w:val="en-US"/>
        </w:rPr>
        <w:t>2.2.1</w:t>
      </w:r>
      <w:r>
        <w:rPr>
          <w:rFonts w:cs="Times New Roman" w:ascii="Times New Roman" w:hAnsi="Times New Roman"/>
          <w:b/>
          <w:sz w:val="30"/>
          <w:szCs w:val="30"/>
          <w:lang w:val="en-US"/>
        </w:rPr>
        <w:t xml:space="preserve">    </w:t>
      </w:r>
      <w:r>
        <w:rPr>
          <w:rFonts w:cs="Times New Roman" w:ascii="Times New Roman" w:hAnsi="Times New Roman"/>
          <w:b/>
          <w:sz w:val="28"/>
          <w:szCs w:val="28"/>
          <w:lang w:val="en-US"/>
        </w:rPr>
        <w:t>Zásady předškolního vzdělávání</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 xml:space="preserve">Dle Ministry of Education </w:t>
      </w:r>
      <w:r>
        <w:rPr>
          <w:rFonts w:cs="Times New Roman" w:ascii="Times New Roman" w:hAnsi="Times New Roman"/>
          <w:sz w:val="24"/>
          <w:szCs w:val="24"/>
        </w:rPr>
        <w:t>(</w:t>
      </w:r>
      <w:r>
        <w:rPr>
          <w:rFonts w:cs="Times New Roman" w:ascii="Times New Roman" w:hAnsi="Times New Roman"/>
          <w:sz w:val="24"/>
          <w:szCs w:val="24"/>
          <w:lang w:val="en-US"/>
        </w:rPr>
        <w:t>1996) jsou určeny čtyři obecné zásady, stavební kameny osnov pro vzdělávání v raném dětství.</w:t>
      </w:r>
    </w:p>
    <w:tbl>
      <w:tblPr>
        <w:tblStyle w:val="Mkatabulky"/>
        <w:tblW w:w="9212" w:type="dxa"/>
        <w:jc w:val="left"/>
        <w:tblInd w:w="0" w:type="dxa"/>
        <w:tblCellMar>
          <w:top w:w="0" w:type="dxa"/>
          <w:left w:w="108" w:type="dxa"/>
          <w:bottom w:w="0" w:type="dxa"/>
          <w:right w:w="108" w:type="dxa"/>
        </w:tblCellMar>
        <w:tblLook w:firstRow="1" w:noVBand="1" w:lastRow="0" w:firstColumn="1" w:lastColumn="0" w:noHBand="0" w:val="04a0"/>
      </w:tblPr>
      <w:tblGrid>
        <w:gridCol w:w="2807"/>
        <w:gridCol w:w="6404"/>
      </w:tblGrid>
      <w:tr>
        <w:trPr>
          <w:trHeight w:val="410" w:hRule="atLeast"/>
        </w:trPr>
        <w:tc>
          <w:tcPr>
            <w:tcW w:w="2807" w:type="dxa"/>
            <w:tcBorders/>
            <w:shd w:fill="auto" w:val="clear"/>
            <w:tcMar>
              <w:left w:w="108" w:type="dxa"/>
            </w:tcMar>
          </w:tcPr>
          <w:p>
            <w:pPr>
              <w:pStyle w:val="Normal"/>
              <w:tabs>
                <w:tab w:val="right" w:pos="2592" w:leader="none"/>
              </w:tabs>
              <w:spacing w:lineRule="auto" w:line="36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t>Posílení</w:t>
            </w:r>
          </w:p>
        </w:tc>
        <w:tc>
          <w:tcPr>
            <w:tcW w:w="6404" w:type="dxa"/>
            <w:tcBorders/>
            <w:shd w:fill="auto" w:val="clear"/>
            <w:tcMar>
              <w:left w:w="108" w:type="dxa"/>
            </w:tcMar>
          </w:tcPr>
          <w:p>
            <w:pPr>
              <w:pStyle w:val="Normal"/>
              <w:spacing w:lineRule="auto" w:line="36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t>Kurikulum umožňuje a posiluje učení a růst dítěte.</w:t>
            </w:r>
          </w:p>
        </w:tc>
      </w:tr>
      <w:tr>
        <w:trPr/>
        <w:tc>
          <w:tcPr>
            <w:tcW w:w="2807" w:type="dxa"/>
            <w:tcBorders/>
            <w:shd w:fill="auto" w:val="clear"/>
            <w:tcMar>
              <w:left w:w="108" w:type="dxa"/>
            </w:tcMar>
          </w:tcPr>
          <w:p>
            <w:pPr>
              <w:pStyle w:val="Normal"/>
              <w:spacing w:lineRule="auto" w:line="36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Komplexní rozvoj </w:t>
            </w:r>
          </w:p>
        </w:tc>
        <w:tc>
          <w:tcPr>
            <w:tcW w:w="6404" w:type="dxa"/>
            <w:tcBorders/>
            <w:shd w:fill="auto" w:val="clear"/>
            <w:tcMar>
              <w:left w:w="108" w:type="dxa"/>
            </w:tcMar>
          </w:tcPr>
          <w:p>
            <w:pPr>
              <w:pStyle w:val="Normal"/>
              <w:spacing w:lineRule="auto" w:line="36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t>Kurikulum odráží komplexní způsob dětského učení.</w:t>
            </w:r>
          </w:p>
        </w:tc>
      </w:tr>
      <w:tr>
        <w:trPr>
          <w:trHeight w:val="814" w:hRule="atLeast"/>
        </w:trPr>
        <w:tc>
          <w:tcPr>
            <w:tcW w:w="2807" w:type="dxa"/>
            <w:tcBorders/>
            <w:shd w:fill="auto" w:val="clear"/>
            <w:tcMar>
              <w:left w:w="108" w:type="dxa"/>
            </w:tcMar>
          </w:tcPr>
          <w:p>
            <w:pPr>
              <w:pStyle w:val="Normal"/>
              <w:spacing w:lineRule="auto" w:line="36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t>Rodina a společenství</w:t>
            </w:r>
          </w:p>
        </w:tc>
        <w:tc>
          <w:tcPr>
            <w:tcW w:w="6404" w:type="dxa"/>
            <w:tcBorders/>
            <w:shd w:fill="auto" w:val="clear"/>
            <w:tcMar>
              <w:left w:w="108" w:type="dxa"/>
            </w:tcMar>
          </w:tcPr>
          <w:p>
            <w:pPr>
              <w:pStyle w:val="Normal"/>
              <w:spacing w:lineRule="auto" w:line="36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t>Širší svět rodiny a komunity je nedílnou součástí výuky v raném dětství.</w:t>
            </w:r>
          </w:p>
        </w:tc>
      </w:tr>
      <w:tr>
        <w:trPr/>
        <w:tc>
          <w:tcPr>
            <w:tcW w:w="2807" w:type="dxa"/>
            <w:tcBorders/>
            <w:shd w:fill="auto" w:val="clear"/>
            <w:tcMar>
              <w:left w:w="108" w:type="dxa"/>
            </w:tcMar>
          </w:tcPr>
          <w:p>
            <w:pPr>
              <w:pStyle w:val="Normal"/>
              <w:spacing w:lineRule="auto" w:line="36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t>Vztahy</w:t>
            </w:r>
          </w:p>
        </w:tc>
        <w:tc>
          <w:tcPr>
            <w:tcW w:w="6404" w:type="dxa"/>
            <w:tcBorders/>
            <w:shd w:fill="auto" w:val="clear"/>
            <w:tcMar>
              <w:left w:w="108" w:type="dxa"/>
            </w:tcMar>
          </w:tcPr>
          <w:p>
            <w:pPr>
              <w:pStyle w:val="Normal"/>
              <w:spacing w:lineRule="auto" w:line="36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t>Děti se učí prostřednictvím ohledupn</w:t>
            </w:r>
            <w:r>
              <w:rPr>
                <w:rFonts w:cs="Times New Roman" w:ascii="Times New Roman" w:hAnsi="Times New Roman"/>
                <w:sz w:val="24"/>
                <w:szCs w:val="24"/>
              </w:rPr>
              <w:t>ých</w:t>
            </w:r>
            <w:r>
              <w:rPr>
                <w:rFonts w:cs="Times New Roman" w:ascii="Times New Roman" w:hAnsi="Times New Roman"/>
                <w:sz w:val="24"/>
                <w:szCs w:val="24"/>
                <w:lang w:val="en-US"/>
              </w:rPr>
              <w:t xml:space="preserve"> a vzájemných vztahů  s lidmi, místy a věcmi.</w:t>
            </w:r>
          </w:p>
        </w:tc>
      </w:tr>
    </w:tbl>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     </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 xml:space="preserve">Kurikulum používá </w:t>
      </w:r>
      <w:r>
        <w:rPr>
          <w:rFonts w:cs="Times New Roman" w:ascii="Times New Roman" w:hAnsi="Times New Roman"/>
          <w:b/>
          <w:sz w:val="24"/>
          <w:szCs w:val="24"/>
          <w:lang w:val="en-US"/>
        </w:rPr>
        <w:t>metaforu tkané rohože</w:t>
      </w:r>
      <w:r>
        <w:rPr>
          <w:rFonts w:cs="Times New Roman" w:ascii="Times New Roman" w:hAnsi="Times New Roman"/>
          <w:sz w:val="24"/>
          <w:szCs w:val="24"/>
          <w:lang w:val="en-US"/>
        </w:rPr>
        <w:t>, která dovoluje všem hráčům - učitelům, dětem, rodinám a komunitám být součástí procesu tkaní a na které mohou všichni stát. Toto kurikulum nenastavuje výkonové normy, nýbrž vyjadřuje záměry, které zmocňují učitele vytvářet kurikulum společně s dětmi v jakékoliv komunitě. Děti se přitom komplexně rozvíjejí a vytváří si silné vazby a pocit sounáležitosti (Nuttall, 2003; Tesar, 2015; Ministry of Education, 1996).</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drawing>
          <wp:anchor behindDoc="0" distT="0" distB="0" distL="114300" distR="115570" simplePos="0" locked="0" layoutInCell="1" allowOverlap="1" relativeHeight="2">
            <wp:simplePos x="0" y="0"/>
            <wp:positionH relativeFrom="column">
              <wp:posOffset>61595</wp:posOffset>
            </wp:positionH>
            <wp:positionV relativeFrom="paragraph">
              <wp:posOffset>167640</wp:posOffset>
            </wp:positionV>
            <wp:extent cx="5237480" cy="4808220"/>
            <wp:effectExtent l="0" t="0" r="0" b="0"/>
            <wp:wrapSquare wrapText="bothSides"/>
            <wp:docPr id="3" name="Obráze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descr=""/>
                    <pic:cNvPicPr>
                      <a:picLocks noChangeAspect="1" noChangeArrowheads="1"/>
                    </pic:cNvPicPr>
                  </pic:nvPicPr>
                  <pic:blipFill>
                    <a:blip r:embed="rId5"/>
                    <a:srcRect l="14540" t="15352" r="17897" b="5176"/>
                    <a:stretch>
                      <a:fillRect/>
                    </a:stretch>
                  </pic:blipFill>
                  <pic:spPr bwMode="auto">
                    <a:xfrm>
                      <a:off x="0" y="0"/>
                      <a:ext cx="5237480" cy="4808220"/>
                    </a:xfrm>
                    <a:prstGeom prst="rect">
                      <a:avLst/>
                    </a:prstGeom>
                  </pic:spPr>
                </pic:pic>
              </a:graphicData>
            </a:graphic>
          </wp:anchor>
        </w:drawing>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Obrázek 3. – Prameny a zásady Te Whāriki dle Ministry of Eduaction (1996).</w:t>
      </w:r>
      <w:r>
        <w:br w:type="page"/>
      </w:r>
    </w:p>
    <w:p>
      <w:pPr>
        <w:pStyle w:val="Normal"/>
        <w:spacing w:lineRule="auto" w:line="360"/>
        <w:jc w:val="both"/>
        <w:rPr>
          <w:rFonts w:ascii="Times New Roman" w:hAnsi="Times New Roman" w:cs="Times New Roman"/>
          <w:b/>
          <w:b/>
          <w:sz w:val="24"/>
          <w:szCs w:val="24"/>
          <w:lang w:val="en-US"/>
        </w:rPr>
      </w:pPr>
      <w:r>
        <w:rPr>
          <w:rFonts w:cs="Times New Roman" w:ascii="Times New Roman" w:hAnsi="Times New Roman"/>
          <w:b/>
          <w:sz w:val="24"/>
          <w:szCs w:val="24"/>
          <w:lang w:val="en-US"/>
        </w:rPr>
        <w:t xml:space="preserve">    </w:t>
      </w:r>
      <w:r>
        <w:rPr>
          <w:rFonts w:cs="Times New Roman" w:ascii="Times New Roman" w:hAnsi="Times New Roman"/>
          <w:b/>
          <w:sz w:val="24"/>
          <w:szCs w:val="24"/>
          <w:lang w:val="en-US"/>
        </w:rPr>
        <w:t xml:space="preserve">2.2.2     </w:t>
      </w:r>
      <w:r>
        <w:rPr>
          <w:rFonts w:cs="Times New Roman" w:ascii="Times New Roman" w:hAnsi="Times New Roman"/>
          <w:b/>
          <w:sz w:val="28"/>
          <w:szCs w:val="28"/>
          <w:lang w:val="en-US"/>
        </w:rPr>
        <w:t>Prameny a cíle</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Prameny a cíle vyplývají ze čtyř zásad. Te Whāriki je “utkané” z těchto čtyř principů a     z následujících pěti pramenů (či zásadních oblastí vzdělávání a rozvoje). Zásady a prameny společně tvoří rámec osnov. Každé vlákno má několik cílů. Výstupy byly vyvinuty pro každý cíl v každém z vláken, takže se stává whāriki integrovaným základem pro vývoj každého dítěte.</w:t>
      </w:r>
    </w:p>
    <w:p>
      <w:pPr>
        <w:pStyle w:val="Normal"/>
        <w:spacing w:lineRule="auto" w:line="360"/>
        <w:jc w:val="both"/>
        <w:rPr>
          <w:rFonts w:ascii="Times New Roman" w:hAnsi="Times New Roman" w:cs="Times New Roman"/>
          <w:b/>
          <w:b/>
          <w:sz w:val="24"/>
          <w:szCs w:val="24"/>
          <w:lang w:val="en-US"/>
        </w:rPr>
      </w:pPr>
      <w:r>
        <w:rPr>
          <w:rFonts w:cs="Times New Roman" w:ascii="Times New Roman" w:hAnsi="Times New Roman"/>
          <w:b/>
          <w:sz w:val="24"/>
          <w:szCs w:val="24"/>
          <w:lang w:val="en-US"/>
        </w:rPr>
        <w:t>Pramen, vlákno 1: Pohoda, zdraví - Mana Atua</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Zdraví a blaho dítěte jsou chráněny a živeny.</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Cílem je, aby děti zažívaly prostředí, ve kterém:</w:t>
      </w:r>
    </w:p>
    <w:p>
      <w:pPr>
        <w:pStyle w:val="ListParagraph"/>
        <w:numPr>
          <w:ilvl w:val="0"/>
          <w:numId w:val="19"/>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je podporován jejich zdravotní stav; </w:t>
      </w:r>
    </w:p>
    <w:p>
      <w:pPr>
        <w:pStyle w:val="ListParagraph"/>
        <w:numPr>
          <w:ilvl w:val="0"/>
          <w:numId w:val="19"/>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jejich emocionální pohoda je udržována; </w:t>
      </w:r>
    </w:p>
    <w:p>
      <w:pPr>
        <w:pStyle w:val="ListParagraph"/>
        <w:numPr>
          <w:ilvl w:val="0"/>
          <w:numId w:val="19"/>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jsou v bezpečí.</w:t>
      </w:r>
    </w:p>
    <w:p>
      <w:pPr>
        <w:pStyle w:val="Normal"/>
        <w:spacing w:lineRule="auto" w:line="360"/>
        <w:jc w:val="both"/>
        <w:rPr>
          <w:rFonts w:ascii="Times New Roman" w:hAnsi="Times New Roman" w:cs="Times New Roman"/>
          <w:b/>
          <w:b/>
          <w:sz w:val="24"/>
          <w:szCs w:val="24"/>
          <w:lang w:val="en-US"/>
        </w:rPr>
      </w:pPr>
      <w:r>
        <w:rPr>
          <w:rFonts w:cs="Times New Roman" w:ascii="Times New Roman" w:hAnsi="Times New Roman"/>
          <w:b/>
          <w:sz w:val="24"/>
          <w:szCs w:val="24"/>
          <w:lang w:val="en-US"/>
        </w:rPr>
        <w:t>Pramen, vlákno 2: Sounáležitost - Mana Whenua</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Děti a jejich rodiny mají pocit sounáležitosti.</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Cílem je, ať jsou děti a jejich rodiny v prostředí, ve kterém:</w:t>
      </w:r>
    </w:p>
    <w:p>
      <w:pPr>
        <w:pStyle w:val="ListParagraph"/>
        <w:numPr>
          <w:ilvl w:val="0"/>
          <w:numId w:val="13"/>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jsou upevňovány a rozšiřovány kontakty s rodinou či širším světem; </w:t>
      </w:r>
    </w:p>
    <w:p>
      <w:pPr>
        <w:pStyle w:val="ListParagraph"/>
        <w:numPr>
          <w:ilvl w:val="0"/>
          <w:numId w:val="13"/>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cítí a vědí, že mají své místo; </w:t>
      </w:r>
    </w:p>
    <w:p>
      <w:pPr>
        <w:pStyle w:val="ListParagraph"/>
        <w:numPr>
          <w:ilvl w:val="0"/>
          <w:numId w:val="13"/>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se cítí pohodlně a bezpečně se svými zvyklostmi, obyčeji a kulturními aktivitami;</w:t>
      </w:r>
    </w:p>
    <w:p>
      <w:pPr>
        <w:pStyle w:val="ListParagraph"/>
        <w:numPr>
          <w:ilvl w:val="0"/>
          <w:numId w:val="13"/>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znají meze a hranice přijatelného chování.</w:t>
      </w:r>
    </w:p>
    <w:p>
      <w:pPr>
        <w:pStyle w:val="Normal"/>
        <w:spacing w:lineRule="auto" w:line="360"/>
        <w:jc w:val="both"/>
        <w:rPr>
          <w:rFonts w:ascii="Times New Roman" w:hAnsi="Times New Roman" w:cs="Times New Roman"/>
          <w:b/>
          <w:b/>
          <w:sz w:val="24"/>
          <w:szCs w:val="24"/>
          <w:lang w:val="en-US"/>
        </w:rPr>
      </w:pPr>
      <w:r>
        <w:rPr>
          <w:rFonts w:cs="Times New Roman" w:ascii="Times New Roman" w:hAnsi="Times New Roman"/>
          <w:b/>
          <w:sz w:val="24"/>
          <w:szCs w:val="24"/>
          <w:lang w:val="en-US"/>
        </w:rPr>
        <w:t>Pramen, vlákno 3: Příspěvek, obohacení - Mana Tangata</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Příležitosti k učení jsou spravedlivé a příspěvek, podíl každého dítěte je ceněn.</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Cílem je, že děti zažívají prostředí, ve kterém:</w:t>
      </w:r>
    </w:p>
    <w:p>
      <w:pPr>
        <w:pStyle w:val="ListParagraph"/>
        <w:numPr>
          <w:ilvl w:val="0"/>
          <w:numId w:val="14"/>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existují spravedlivé příležitosti k učení, a to bez ohledu na pohlaví, schopnosti, věk, etnický původ nebo sociální zázemí;</w:t>
      </w:r>
    </w:p>
    <w:p>
      <w:pPr>
        <w:pStyle w:val="ListParagraph"/>
        <w:numPr>
          <w:ilvl w:val="0"/>
          <w:numId w:val="14"/>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jsou brány jako jednotlivci; </w:t>
      </w:r>
    </w:p>
    <w:p>
      <w:pPr>
        <w:pStyle w:val="ListParagraph"/>
        <w:numPr>
          <w:ilvl w:val="0"/>
          <w:numId w:val="14"/>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jsou vedeny a podněcovány učit se paralelně a zároveň společně s ostatními.</w:t>
      </w:r>
    </w:p>
    <w:p>
      <w:pPr>
        <w:pStyle w:val="Normal"/>
        <w:spacing w:lineRule="auto" w:line="360"/>
        <w:jc w:val="both"/>
        <w:rPr>
          <w:rFonts w:ascii="Times New Roman" w:hAnsi="Times New Roman" w:cs="Times New Roman"/>
          <w:b/>
          <w:b/>
          <w:sz w:val="24"/>
          <w:szCs w:val="24"/>
          <w:lang w:val="en-US"/>
        </w:rPr>
      </w:pPr>
      <w:r>
        <w:rPr>
          <w:rFonts w:cs="Times New Roman" w:ascii="Times New Roman" w:hAnsi="Times New Roman"/>
          <w:b/>
          <w:sz w:val="24"/>
          <w:szCs w:val="24"/>
          <w:lang w:val="en-US"/>
        </w:rPr>
        <w:t>Pramen, vlákno 4: Komunikace, jazyk - Mana Reo</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Jazyky a symboly svých vlastních a jiných kultur jsou prosazovány a chráněny.</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Cílem je, aby děti zažívaly prostředí, ve kterém:</w:t>
      </w:r>
    </w:p>
    <w:p>
      <w:pPr>
        <w:pStyle w:val="ListParagraph"/>
        <w:numPr>
          <w:ilvl w:val="0"/>
          <w:numId w:val="15"/>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rozvíjejí neverbální komunikační dovednosti pro řadu účelů; </w:t>
      </w:r>
    </w:p>
    <w:p>
      <w:pPr>
        <w:pStyle w:val="ListParagraph"/>
        <w:numPr>
          <w:ilvl w:val="0"/>
          <w:numId w:val="15"/>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rozvíjejí verbální komunikační dovednosti; </w:t>
      </w:r>
    </w:p>
    <w:p>
      <w:pPr>
        <w:pStyle w:val="ListParagraph"/>
        <w:numPr>
          <w:ilvl w:val="0"/>
          <w:numId w:val="15"/>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se sžívají s příběhy a symboly svých vlastních i jiných kultur; </w:t>
      </w:r>
    </w:p>
    <w:p>
      <w:pPr>
        <w:pStyle w:val="ListParagraph"/>
        <w:numPr>
          <w:ilvl w:val="0"/>
          <w:numId w:val="15"/>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objevují a rozvíjejí různé způsoby kreativity a vyjadřování - exprese.</w:t>
      </w:r>
    </w:p>
    <w:p>
      <w:pPr>
        <w:pStyle w:val="Normal"/>
        <w:spacing w:lineRule="auto" w:line="360"/>
        <w:jc w:val="both"/>
        <w:rPr>
          <w:rFonts w:ascii="Times New Roman" w:hAnsi="Times New Roman" w:cs="Times New Roman"/>
          <w:b/>
          <w:b/>
          <w:sz w:val="24"/>
          <w:szCs w:val="24"/>
          <w:lang w:val="en-US"/>
        </w:rPr>
      </w:pPr>
      <w:r>
        <w:rPr>
          <w:rFonts w:cs="Times New Roman" w:ascii="Times New Roman" w:hAnsi="Times New Roman"/>
          <w:b/>
          <w:sz w:val="24"/>
          <w:szCs w:val="24"/>
          <w:lang w:val="en-US"/>
        </w:rPr>
        <w:t>Pramen, vlákno 5: Průzkum, objevování - Mana Aotūroa</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Dítě se učí prostřednictvím aktivního zkoumání okolního prostředí.</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Cílem je, ať děti tráví čas v prostředí, ve kterém:</w:t>
      </w:r>
    </w:p>
    <w:p>
      <w:pPr>
        <w:pStyle w:val="ListParagraph"/>
        <w:numPr>
          <w:ilvl w:val="0"/>
          <w:numId w:val="16"/>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je jejich hra ceněna jako smysluplné učení a kde spontánní hra má velký význam;</w:t>
      </w:r>
    </w:p>
    <w:p>
      <w:pPr>
        <w:pStyle w:val="ListParagraph"/>
        <w:numPr>
          <w:ilvl w:val="0"/>
          <w:numId w:val="16"/>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získají důvěru a kontrolu nad svými těly;</w:t>
      </w:r>
    </w:p>
    <w:p>
      <w:pPr>
        <w:pStyle w:val="ListParagraph"/>
        <w:numPr>
          <w:ilvl w:val="0"/>
          <w:numId w:val="16"/>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se učí strategie a postupy, jak aktivně objevovat, myslet a uvažovat.</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rPr>
          <w:rFonts w:ascii="Times New Roman" w:hAnsi="Times New Roman" w:cs="Times New Roman"/>
          <w:b/>
          <w:b/>
          <w:sz w:val="24"/>
          <w:szCs w:val="24"/>
          <w:lang w:val="en-US"/>
        </w:rPr>
      </w:pPr>
      <w:r>
        <w:rPr>
          <w:rFonts w:cs="Times New Roman" w:ascii="Times New Roman" w:hAnsi="Times New Roman"/>
          <w:b/>
          <w:sz w:val="24"/>
          <w:szCs w:val="24"/>
          <w:lang w:val="en-US"/>
        </w:rPr>
      </w:r>
      <w:r>
        <w:br w:type="page"/>
      </w:r>
    </w:p>
    <w:p>
      <w:pPr>
        <w:pStyle w:val="Nadpis1"/>
        <w:rPr/>
      </w:pPr>
      <w:r>
        <w:rPr/>
        <w:t>2.3     Kvalita předškolního vzdělávání</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Úřad pro kontrolu vzdělávání (ERO) poskytuje vnější evaluaci kvality služeb. Posouzení jsou prováděna pravidelně ve tříletých intervalech ve všech licencovaných provozech. Hlášení dávají zpětnou vazbu o tom, co je v daném zařízení v pořádku, a nabízí návrhy řešení          pro zlepšení. Kontrolní hlášení by měla být k dispozici v jednotlivých centrech anebo jsou přístupná na webových stránkách Úřadu pro kontrolu vzdělávání.</w:t>
      </w:r>
    </w:p>
    <w:p>
      <w:pPr>
        <w:pStyle w:val="Normal"/>
        <w:spacing w:lineRule="auto" w:line="360"/>
        <w:ind w:firstLine="360"/>
        <w:jc w:val="both"/>
        <w:rPr>
          <w:rFonts w:ascii="Times New Roman" w:hAnsi="Times New Roman" w:cs="Times New Roman"/>
          <w:b/>
          <w:b/>
          <w:sz w:val="24"/>
          <w:szCs w:val="24"/>
        </w:rPr>
      </w:pPr>
      <w:r>
        <w:rPr>
          <w:rFonts w:cs="Times New Roman" w:ascii="Times New Roman" w:hAnsi="Times New Roman"/>
          <w:b/>
          <w:sz w:val="24"/>
          <w:szCs w:val="24"/>
        </w:rPr>
        <w:t>2.3.1     Řetězec kvality předškolního vzdělávání</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rPr>
        <w:t xml:space="preserve">V řetězci kvality předškolního vzdělávání se odrážejí zjištění Úřadu pro kontrolu vzdělávání shromažďovaná po dobu mnoha let. Používají se jako nástroj ke zjištění a identifikaci výsledků, výstupů dětí a nejdůležitějších procesů, které by mohly k těmto výstupům přispívat. </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Evaluace je proces využíváný ke zjištění kvality programu, prostředí, interakcí a výsledků pro děti i jejich rodiny. </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Sebereflexe, autoevaluace je forma vnitřního zhodnocení, při kterém se zařízení soustředí na sebe a na to, co dělá. Zjištěné informace se poté využívají ke stanovení cílů pro zlepšení kvality.</w:t>
      </w:r>
    </w:p>
    <w:p>
      <w:pPr>
        <w:pStyle w:val="Normal"/>
        <w:spacing w:lineRule="auto" w:line="360"/>
        <w:jc w:val="both"/>
        <w:rPr>
          <w:rFonts w:ascii="Times New Roman" w:hAnsi="Times New Roman" w:cs="Times New Roman"/>
          <w:sz w:val="24"/>
          <w:szCs w:val="24"/>
        </w:rPr>
      </w:pPr>
      <w:r>
        <w:rPr/>
        <w:drawing>
          <wp:inline distT="0" distB="6985" distL="0" distR="8255">
            <wp:extent cx="5840730" cy="2679700"/>
            <wp:effectExtent l="0" t="0" r="0" b="0"/>
            <wp:docPr id="4" name="Obráze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
                    <pic:cNvPicPr>
                      <a:picLocks noChangeAspect="1" noChangeArrowheads="1"/>
                    </pic:cNvPicPr>
                  </pic:nvPicPr>
                  <pic:blipFill>
                    <a:blip r:embed="rId6"/>
                    <a:srcRect l="18846" t="51279" r="37826" b="13389"/>
                    <a:stretch>
                      <a:fillRect/>
                    </a:stretch>
                  </pic:blipFill>
                  <pic:spPr bwMode="auto">
                    <a:xfrm>
                      <a:off x="0" y="0"/>
                      <a:ext cx="5840730" cy="2679700"/>
                    </a:xfrm>
                    <a:prstGeom prst="rect">
                      <a:avLst/>
                    </a:prstGeom>
                  </pic:spPr>
                </pic:pic>
              </a:graphicData>
            </a:graphic>
          </wp:inline>
        </w:drawing>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Obrázek 4. Řetězec kvality ERO (Education review office = Úřad pro kontrolu vzdělávání) </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 xml:space="preserve">Diagram řetězce kvality ukazuje vazby mezi klíčovými prvky raného vzdělávacího procesu a pozitivními výsledky dětí. Mezi klíčové součásti řetězce kvality patří: </w:t>
      </w:r>
    </w:p>
    <w:p>
      <w:pPr>
        <w:pStyle w:val="ListParagraph"/>
        <w:numPr>
          <w:ilvl w:val="0"/>
          <w:numId w:val="17"/>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efektivní řízení, </w:t>
      </w:r>
    </w:p>
    <w:p>
      <w:pPr>
        <w:pStyle w:val="ListParagraph"/>
        <w:numPr>
          <w:ilvl w:val="0"/>
          <w:numId w:val="17"/>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vysoce kvalitní pedagogové a odborné vedení, </w:t>
      </w:r>
    </w:p>
    <w:p>
      <w:pPr>
        <w:pStyle w:val="ListParagraph"/>
        <w:numPr>
          <w:ilvl w:val="0"/>
          <w:numId w:val="17"/>
        </w:numPr>
        <w:spacing w:lineRule="auto" w:line="360"/>
        <w:jc w:val="both"/>
        <w:rPr>
          <w:rFonts w:ascii="Times New Roman" w:hAnsi="Times New Roman" w:cs="Times New Roman"/>
          <w:sz w:val="24"/>
          <w:szCs w:val="24"/>
        </w:rPr>
      </w:pPr>
      <w:r>
        <w:rPr>
          <w:rFonts w:cs="Times New Roman" w:ascii="Times New Roman" w:hAnsi="Times New Roman"/>
          <w:sz w:val="24"/>
          <w:szCs w:val="24"/>
        </w:rPr>
        <w:t>vysoce kvalitní programy, prostředí a spolupráce.</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 xml:space="preserve">2.3.2     </w:t>
      </w:r>
      <w:r>
        <w:rPr>
          <w:rFonts w:cs="Times New Roman" w:ascii="Times New Roman" w:hAnsi="Times New Roman"/>
          <w:b/>
          <w:sz w:val="28"/>
          <w:szCs w:val="28"/>
        </w:rPr>
        <w:t>Efektivní řízení</w:t>
      </w:r>
    </w:p>
    <w:p>
      <w:pPr>
        <w:pStyle w:val="Normal"/>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t>Do aspektů efektivního řízení jsou dle Education review office (2007) zahrnuty následující podmínky:</w:t>
      </w:r>
    </w:p>
    <w:p>
      <w:pPr>
        <w:pStyle w:val="Normal"/>
        <w:spacing w:lineRule="auto" w:line="360"/>
        <w:jc w:val="both"/>
        <w:rPr>
          <w:rFonts w:ascii="Times New Roman" w:hAnsi="Times New Roman" w:cs="Times New Roman"/>
          <w:b/>
          <w:b/>
          <w:sz w:val="24"/>
          <w:szCs w:val="24"/>
        </w:rPr>
      </w:pPr>
      <w:r>
        <w:rPr>
          <w:rFonts w:cs="Times New Roman" w:ascii="Times New Roman" w:hAnsi="Times New Roman"/>
          <w:b/>
          <w:sz w:val="24"/>
          <w:szCs w:val="24"/>
        </w:rPr>
        <w:t xml:space="preserve">Financování </w:t>
      </w:r>
    </w:p>
    <w:p>
      <w:pPr>
        <w:pStyle w:val="Normal"/>
        <w:spacing w:lineRule="auto" w:line="360"/>
        <w:jc w:val="both"/>
        <w:rPr>
          <w:rFonts w:ascii="Times New Roman" w:hAnsi="Times New Roman" w:cs="Times New Roman"/>
          <w:sz w:val="24"/>
          <w:szCs w:val="24"/>
        </w:rPr>
      </w:pPr>
      <w:r>
        <w:rPr>
          <w:rFonts w:cs="Times New Roman" w:ascii="Times New Roman" w:hAnsi="Times New Roman"/>
          <w:b/>
          <w:sz w:val="24"/>
          <w:szCs w:val="24"/>
        </w:rPr>
        <w:t>Struktura řízení</w:t>
      </w:r>
      <w:r>
        <w:rPr>
          <w:rFonts w:cs="Times New Roman" w:ascii="Times New Roman" w:hAnsi="Times New Roman"/>
          <w:sz w:val="24"/>
          <w:szCs w:val="24"/>
        </w:rPr>
        <w:t xml:space="preserve"> - zastřešující organizace, řídící komise, majitelé, společnosti atd. Ve všech druzích zařízení by rodiče měli mít možnost se plánovíní, rozhodování a řízení účastnit. Struktury vedení se mohou lišit zařízení od zařízení, a také na základě typu zařízení - služby vedené rodiči nebo služby vedené učiteli.</w:t>
      </w:r>
    </w:p>
    <w:p>
      <w:pPr>
        <w:pStyle w:val="Normal"/>
        <w:spacing w:lineRule="auto" w:line="360"/>
        <w:jc w:val="both"/>
        <w:rPr>
          <w:rFonts w:ascii="Times New Roman" w:hAnsi="Times New Roman" w:cs="Times New Roman"/>
          <w:sz w:val="24"/>
          <w:szCs w:val="24"/>
        </w:rPr>
      </w:pPr>
      <w:r>
        <w:rPr>
          <w:rFonts w:cs="Times New Roman" w:ascii="Times New Roman" w:hAnsi="Times New Roman"/>
          <w:b/>
          <w:sz w:val="24"/>
          <w:szCs w:val="24"/>
        </w:rPr>
        <w:t xml:space="preserve">Zdraví a bezpečnost </w:t>
      </w:r>
      <w:r>
        <w:rPr>
          <w:rFonts w:cs="Times New Roman" w:ascii="Times New Roman" w:hAnsi="Times New Roman"/>
          <w:sz w:val="24"/>
          <w:szCs w:val="24"/>
        </w:rPr>
        <w:t xml:space="preserve"> -  zařízení jsou zodpovědná za zdraví a bezpečnost dětí během pobytu. </w:t>
      </w:r>
    </w:p>
    <w:p>
      <w:pPr>
        <w:pStyle w:val="Normal"/>
        <w:spacing w:lineRule="auto" w:line="360"/>
        <w:jc w:val="both"/>
        <w:rPr>
          <w:rFonts w:ascii="Times New Roman" w:hAnsi="Times New Roman" w:cs="Times New Roman"/>
          <w:sz w:val="24"/>
          <w:szCs w:val="24"/>
        </w:rPr>
      </w:pPr>
      <w:r>
        <w:rPr>
          <w:rFonts w:cs="Times New Roman" w:ascii="Times New Roman" w:hAnsi="Times New Roman"/>
          <w:b/>
          <w:sz w:val="24"/>
          <w:szCs w:val="24"/>
        </w:rPr>
        <w:t>Licence, akreditace</w:t>
      </w:r>
      <w:r>
        <w:rPr>
          <w:rFonts w:cs="Times New Roman" w:ascii="Times New Roman" w:hAnsi="Times New Roman"/>
          <w:sz w:val="24"/>
          <w:szCs w:val="24"/>
        </w:rPr>
        <w:t xml:space="preserve"> - všechna zařízení, kromě těch, která mají výjimku, musí být držiteli licence. Ta musí být umístěna viditelně a musí na ní být uvedeny následující informace - adresa zařízení, kapacita míst pro děti, jméno licence atd.</w:t>
      </w:r>
    </w:p>
    <w:p>
      <w:pPr>
        <w:pStyle w:val="Normal"/>
        <w:spacing w:lineRule="auto" w:line="360"/>
        <w:jc w:val="both"/>
        <w:rPr>
          <w:rFonts w:ascii="Times New Roman" w:hAnsi="Times New Roman" w:cs="Times New Roman"/>
          <w:sz w:val="24"/>
          <w:szCs w:val="24"/>
        </w:rPr>
      </w:pPr>
      <w:r>
        <w:rPr>
          <w:rFonts w:cs="Times New Roman" w:ascii="Times New Roman" w:hAnsi="Times New Roman"/>
          <w:b/>
          <w:sz w:val="24"/>
          <w:szCs w:val="24"/>
        </w:rPr>
        <w:t>Zpětná vazba</w:t>
      </w:r>
      <w:r>
        <w:rPr>
          <w:rFonts w:cs="Times New Roman" w:ascii="Times New Roman" w:hAnsi="Times New Roman"/>
          <w:sz w:val="24"/>
          <w:szCs w:val="24"/>
        </w:rPr>
        <w:t xml:space="preserve"> - všechna zařízení by měla mít zpracovaný systém zpětné vazby stížností. Je to písemný dokument vysvětlující jak postupovat při podávání stížnosti. Dokument by měl být snadno k nalezení.</w:t>
      </w:r>
    </w:p>
    <w:p>
      <w:pPr>
        <w:pStyle w:val="Normal"/>
        <w:spacing w:lineRule="auto" w:line="360"/>
        <w:jc w:val="both"/>
        <w:rPr>
          <w:rFonts w:ascii="Times New Roman" w:hAnsi="Times New Roman" w:cs="Times New Roman"/>
          <w:sz w:val="24"/>
          <w:szCs w:val="24"/>
        </w:rPr>
      </w:pPr>
      <w:r>
        <w:rPr>
          <w:rFonts w:cs="Times New Roman" w:ascii="Times New Roman" w:hAnsi="Times New Roman"/>
          <w:b/>
          <w:sz w:val="24"/>
          <w:szCs w:val="24"/>
        </w:rPr>
        <w:t>Zodpovědná osoba</w:t>
      </w:r>
      <w:r>
        <w:rPr>
          <w:rFonts w:cs="Times New Roman" w:ascii="Times New Roman" w:hAnsi="Times New Roman"/>
          <w:sz w:val="24"/>
          <w:szCs w:val="24"/>
        </w:rPr>
        <w:t xml:space="preserve"> - podle předpisů zodpovědná osoba musí dohlížet na pracovníky a děti  po celou dobu přítomnosti v zařízení.</w:t>
      </w:r>
    </w:p>
    <w:p>
      <w:pPr>
        <w:pStyle w:val="Normal"/>
        <w:spacing w:lineRule="auto" w:line="360"/>
        <w:jc w:val="both"/>
        <w:rPr>
          <w:rFonts w:ascii="Times New Roman" w:hAnsi="Times New Roman" w:cs="Times New Roman"/>
          <w:sz w:val="24"/>
          <w:szCs w:val="24"/>
        </w:rPr>
      </w:pPr>
      <w:r>
        <w:rPr>
          <w:rFonts w:cs="Times New Roman" w:ascii="Times New Roman" w:hAnsi="Times New Roman"/>
          <w:b/>
          <w:sz w:val="24"/>
          <w:szCs w:val="24"/>
        </w:rPr>
        <w:t>Poměry a velikost skupiny</w:t>
      </w:r>
      <w:r>
        <w:rPr>
          <w:rFonts w:cs="Times New Roman" w:ascii="Times New Roman" w:hAnsi="Times New Roman"/>
          <w:sz w:val="24"/>
          <w:szCs w:val="24"/>
        </w:rPr>
        <w:t xml:space="preserve"> - v předškolním vzdělávání je termín „poměr, koeficient“ užíván pro určení počtu dětí na jednoho dospělého. Zařízení s vyšším poměrem (dostatek dospělých osob) obvykle poskytují lepší péči a vzdělání než ta, která mají nízký koeficient. Velikostí skupiny se rozumí počet dětí přítomných v určitém čase, přičemž menší skupiny jsou obecně lepší.</w:t>
      </w:r>
    </w:p>
    <w:p>
      <w:pPr>
        <w:pStyle w:val="Normal"/>
        <w:spacing w:lineRule="auto" w:line="360"/>
        <w:jc w:val="both"/>
        <w:rPr>
          <w:rFonts w:ascii="Times New Roman" w:hAnsi="Times New Roman" w:cs="Times New Roman"/>
          <w:sz w:val="24"/>
          <w:szCs w:val="24"/>
        </w:rPr>
      </w:pPr>
      <w:r>
        <w:rPr>
          <w:rFonts w:cs="Times New Roman" w:ascii="Times New Roman" w:hAnsi="Times New Roman"/>
          <w:b/>
          <w:sz w:val="24"/>
          <w:szCs w:val="24"/>
        </w:rPr>
        <w:t>Listiny a formuláře docházky</w:t>
      </w:r>
      <w:r>
        <w:rPr>
          <w:rFonts w:cs="Times New Roman" w:ascii="Times New Roman" w:hAnsi="Times New Roman"/>
          <w:sz w:val="24"/>
          <w:szCs w:val="24"/>
        </w:rPr>
        <w:t xml:space="preserve"> - všechna zařízení jsou povinna zaznamenávat, kdo je navštěvuje, jak dlouho jsou přítomni a kdo si je vyzvedne. Pro bezpečnost dětí je důležité mít tyto informace co nejpřesnější. Tyto formuláře, registry jsou využívány nejen pro bezpečnost, ale také pro financování (viz sekce 20 předškolních hodin).</w:t>
      </w:r>
    </w:p>
    <w:p>
      <w:pPr>
        <w:pStyle w:val="Normal"/>
        <w:spacing w:lineRule="auto" w:line="360"/>
        <w:jc w:val="both"/>
        <w:rPr>
          <w:rFonts w:ascii="Times New Roman" w:hAnsi="Times New Roman" w:cs="Times New Roman"/>
          <w:sz w:val="24"/>
          <w:szCs w:val="24"/>
        </w:rPr>
      </w:pPr>
      <w:r>
        <w:rPr>
          <w:rFonts w:cs="Times New Roman" w:ascii="Times New Roman" w:hAnsi="Times New Roman"/>
          <w:b/>
          <w:sz w:val="24"/>
          <w:szCs w:val="24"/>
        </w:rPr>
        <w:t xml:space="preserve">Příspěvky </w:t>
      </w:r>
      <w:r>
        <w:rPr>
          <w:rFonts w:cs="Times New Roman" w:ascii="Times New Roman" w:hAnsi="Times New Roman"/>
          <w:sz w:val="24"/>
          <w:szCs w:val="24"/>
        </w:rPr>
        <w:t xml:space="preserve">- rodiče, kteří mají platy nízké či střední úrovně, si mohou zažádat o příspěvek     na předškolní vzdělávání. Pro tento účel mohou kontaktovat nejbližší WINZ kancelář - Work and Income New Zealand.  </w:t>
      </w:r>
    </w:p>
    <w:p>
      <w:pPr>
        <w:pStyle w:val="Normal"/>
        <w:tabs>
          <w:tab w:val="left" w:pos="4996" w:leader="none"/>
        </w:tabs>
        <w:spacing w:lineRule="auto" w:line="360"/>
        <w:jc w:val="both"/>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 xml:space="preserve">2.3.3     </w:t>
      </w:r>
      <w:r>
        <w:rPr>
          <w:rFonts w:cs="Times New Roman" w:ascii="Times New Roman" w:hAnsi="Times New Roman"/>
          <w:b/>
          <w:sz w:val="28"/>
          <w:szCs w:val="28"/>
        </w:rPr>
        <w:t>Vysoce kvalitní pedagogové a odborné vedení</w:t>
      </w:r>
      <w:r>
        <w:rPr>
          <w:rFonts w:cs="Times New Roman" w:ascii="Times New Roman" w:hAnsi="Times New Roman"/>
          <w:b/>
          <w:sz w:val="24"/>
          <w:szCs w:val="24"/>
        </w:rPr>
        <w:tab/>
      </w:r>
    </w:p>
    <w:p>
      <w:pPr>
        <w:pStyle w:val="Normal"/>
        <w:tabs>
          <w:tab w:val="left" w:pos="4996" w:leader="none"/>
        </w:tabs>
        <w:spacing w:lineRule="auto" w:line="360"/>
        <w:jc w:val="both"/>
        <w:rPr>
          <w:rFonts w:ascii="Times New Roman" w:hAnsi="Times New Roman" w:cs="Times New Roman"/>
          <w:sz w:val="24"/>
          <w:szCs w:val="24"/>
        </w:rPr>
      </w:pPr>
      <w:r>
        <w:rPr>
          <w:rFonts w:cs="Times New Roman" w:ascii="Times New Roman" w:hAnsi="Times New Roman"/>
          <w:b/>
          <w:sz w:val="24"/>
          <w:szCs w:val="24"/>
        </w:rPr>
        <w:t>Průběžné vzdělávání</w:t>
      </w:r>
      <w:r>
        <w:rPr>
          <w:rFonts w:cs="Times New Roman" w:ascii="Times New Roman" w:hAnsi="Times New Roman"/>
          <w:sz w:val="24"/>
          <w:szCs w:val="24"/>
        </w:rPr>
        <w:t xml:space="preserve"> - pedagogové by si měli udržovat povědomí o aktuálních myšlenkách, teoriích a přístupech k vzdělávání a moderních trendech.</w:t>
      </w:r>
    </w:p>
    <w:p>
      <w:pPr>
        <w:pStyle w:val="Normal"/>
        <w:tabs>
          <w:tab w:val="left" w:pos="4996" w:leader="none"/>
        </w:tabs>
        <w:spacing w:lineRule="auto" w:line="360"/>
        <w:jc w:val="both"/>
        <w:rPr>
          <w:rFonts w:ascii="Times New Roman" w:hAnsi="Times New Roman" w:cs="Times New Roman"/>
          <w:sz w:val="24"/>
          <w:szCs w:val="24"/>
        </w:rPr>
      </w:pPr>
      <w:r>
        <w:rPr>
          <w:rFonts w:cs="Times New Roman" w:ascii="Times New Roman" w:hAnsi="Times New Roman"/>
          <w:b/>
          <w:sz w:val="24"/>
          <w:szCs w:val="24"/>
        </w:rPr>
        <w:t>Společné vyučování</w:t>
      </w:r>
      <w:r>
        <w:rPr>
          <w:rFonts w:cs="Times New Roman" w:ascii="Times New Roman" w:hAnsi="Times New Roman"/>
          <w:sz w:val="24"/>
          <w:szCs w:val="24"/>
        </w:rPr>
        <w:t xml:space="preserve"> - pedagogové vzájemně diskutují o chápání dětského učení, provádějí reflexe na dětské práce a sdílí hodnocení vzdělávání dětí. Pracují dobře jako tým a děti tak cítí ve vztazích s pedagogy soudržnost.</w:t>
      </w:r>
    </w:p>
    <w:p>
      <w:pPr>
        <w:pStyle w:val="Normal"/>
        <w:tabs>
          <w:tab w:val="left" w:pos="4996" w:leader="none"/>
        </w:tabs>
        <w:spacing w:lineRule="auto" w:line="360"/>
        <w:jc w:val="both"/>
        <w:rPr>
          <w:rFonts w:ascii="Times New Roman" w:hAnsi="Times New Roman" w:cs="Times New Roman"/>
          <w:sz w:val="24"/>
          <w:szCs w:val="24"/>
        </w:rPr>
      </w:pPr>
      <w:r>
        <w:rPr>
          <w:rFonts w:cs="Times New Roman" w:ascii="Times New Roman" w:hAnsi="Times New Roman"/>
          <w:b/>
          <w:sz w:val="24"/>
          <w:szCs w:val="24"/>
        </w:rPr>
        <w:t>Vzdělávání rodičů</w:t>
      </w:r>
      <w:r>
        <w:rPr>
          <w:rFonts w:cs="Times New Roman" w:ascii="Times New Roman" w:hAnsi="Times New Roman"/>
          <w:sz w:val="24"/>
          <w:szCs w:val="24"/>
        </w:rPr>
        <w:t xml:space="preserve"> - všechna zařízení poskytují příležitost, aby si rodiče prohloubili své dovednosti a pochopili lépe dětské učení. Některá zařízení nabízejí rodičům trénink, aby mohli pomáhat organizovat nebo vést programy. V některých zařízeních se rodiče mohou zúčastnit tréninkových programů, které jsou ukončené kvalifikací předškolního vzdělávání.</w:t>
      </w:r>
    </w:p>
    <w:p>
      <w:pPr>
        <w:pStyle w:val="Normal"/>
        <w:tabs>
          <w:tab w:val="left" w:pos="1703" w:leader="none"/>
        </w:tabs>
        <w:spacing w:lineRule="auto" w:line="360"/>
        <w:jc w:val="both"/>
        <w:rPr>
          <w:rFonts w:ascii="Times New Roman" w:hAnsi="Times New Roman" w:cs="Times New Roman"/>
          <w:b/>
          <w:b/>
          <w:sz w:val="24"/>
          <w:szCs w:val="24"/>
        </w:rPr>
      </w:pPr>
      <w:r>
        <w:rPr>
          <w:rFonts w:cs="Times New Roman" w:ascii="Times New Roman" w:hAnsi="Times New Roman"/>
          <w:b/>
          <w:sz w:val="24"/>
          <w:szCs w:val="24"/>
        </w:rPr>
        <w:t xml:space="preserve">Pedagogika </w:t>
        <w:tab/>
      </w:r>
    </w:p>
    <w:p>
      <w:pPr>
        <w:pStyle w:val="Normal"/>
        <w:tabs>
          <w:tab w:val="left" w:pos="1703" w:leader="none"/>
        </w:tabs>
        <w:spacing w:lineRule="auto" w:line="360"/>
        <w:jc w:val="both"/>
        <w:rPr>
          <w:rFonts w:ascii="Times New Roman" w:hAnsi="Times New Roman" w:cs="Times New Roman"/>
          <w:sz w:val="24"/>
          <w:szCs w:val="24"/>
        </w:rPr>
      </w:pPr>
      <w:r>
        <w:rPr>
          <w:rFonts w:cs="Times New Roman" w:ascii="Times New Roman" w:hAnsi="Times New Roman"/>
          <w:b/>
          <w:sz w:val="24"/>
          <w:szCs w:val="24"/>
        </w:rPr>
        <w:t xml:space="preserve">Profesionální rozvoj, růst - </w:t>
      </w:r>
      <w:r>
        <w:rPr>
          <w:rFonts w:cs="Times New Roman" w:ascii="Times New Roman" w:hAnsi="Times New Roman"/>
          <w:sz w:val="24"/>
          <w:szCs w:val="24"/>
        </w:rPr>
        <w:t>kurzy, kterých se účastní vedoucí pracovníci a pedagogové, aby se zlepšili a posunuli v pedagogických i manažerských dovednostech.</w:t>
      </w:r>
    </w:p>
    <w:p>
      <w:pPr>
        <w:pStyle w:val="Normal"/>
        <w:tabs>
          <w:tab w:val="left" w:pos="1703" w:leader="none"/>
        </w:tabs>
        <w:spacing w:lineRule="auto" w:line="360"/>
        <w:jc w:val="both"/>
        <w:rPr>
          <w:rFonts w:ascii="Times New Roman" w:hAnsi="Times New Roman" w:cs="Times New Roman"/>
          <w:sz w:val="24"/>
          <w:szCs w:val="24"/>
        </w:rPr>
      </w:pPr>
      <w:r>
        <w:rPr>
          <w:rFonts w:cs="Times New Roman" w:ascii="Times New Roman" w:hAnsi="Times New Roman"/>
          <w:b/>
          <w:sz w:val="24"/>
          <w:szCs w:val="24"/>
        </w:rPr>
        <w:t>Kvalifikace vzdělání</w:t>
      </w:r>
      <w:r>
        <w:rPr>
          <w:rFonts w:cs="Times New Roman" w:ascii="Times New Roman" w:hAnsi="Times New Roman"/>
          <w:sz w:val="24"/>
          <w:szCs w:val="24"/>
        </w:rPr>
        <w:t xml:space="preserve"> - pro zařízení vedená učitelem je minimální kvalifikace Diploma         of Education for ECE - tedy ekvivalence našeho vyššího odborného vzdělání. Ve většině předškolních zařízeních jsou někteří plně kvalifikovaní a další jsou v tzv. tréninku. Kvalifikace učitelů by měly být k nahlédnutí na informační tabuli.</w:t>
      </w:r>
    </w:p>
    <w:p>
      <w:pPr>
        <w:pStyle w:val="Normal"/>
        <w:tabs>
          <w:tab w:val="left" w:pos="1703" w:leader="none"/>
        </w:tabs>
        <w:spacing w:lineRule="auto" w:line="360"/>
        <w:jc w:val="both"/>
        <w:rPr>
          <w:rFonts w:ascii="Times New Roman" w:hAnsi="Times New Roman" w:cs="Times New Roman"/>
          <w:sz w:val="24"/>
          <w:szCs w:val="24"/>
        </w:rPr>
      </w:pPr>
      <w:r>
        <w:rPr>
          <w:rFonts w:cs="Times New Roman" w:ascii="Times New Roman" w:hAnsi="Times New Roman"/>
          <w:b/>
          <w:sz w:val="24"/>
          <w:szCs w:val="24"/>
        </w:rPr>
        <w:t xml:space="preserve">Registrace </w:t>
      </w:r>
      <w:r>
        <w:rPr>
          <w:rFonts w:cs="Times New Roman" w:ascii="Times New Roman" w:hAnsi="Times New Roman"/>
          <w:sz w:val="24"/>
          <w:szCs w:val="24"/>
        </w:rPr>
        <w:t>- učitelé, kteří dosáhli alespoň Diploma of Education nebo ekvivalentního vzdělání, mohou zažádat Radu učitelů, aby je uznala jako registrované učitele. Učitel pracuje alespoň dva roky jako předběžně registrovaný učitel pod vedením registrovaných vedoucích, supervizorů. Pokud je jejich pokrok ve dvouletém období uspokojivý, na konci dvouleté lhůty se stávají plně registrovaným učitelem. Od prosince 2007 musí být alespoň polovina učitelů v zařízeních vedených učitelem registrována.</w:t>
      </w:r>
    </w:p>
    <w:p>
      <w:pPr>
        <w:pStyle w:val="Normal"/>
        <w:tabs>
          <w:tab w:val="left" w:pos="1703"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1703"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1703" w:leader="none"/>
        </w:tabs>
        <w:spacing w:lineRule="auto" w:line="360"/>
        <w:jc w:val="both"/>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 xml:space="preserve">2.3.4     </w:t>
      </w:r>
      <w:r>
        <w:rPr>
          <w:rFonts w:cs="Times New Roman" w:ascii="Times New Roman" w:hAnsi="Times New Roman"/>
          <w:b/>
          <w:sz w:val="28"/>
          <w:szCs w:val="28"/>
        </w:rPr>
        <w:t>Vysoce kvalitní programy, prostředí a spolupráce</w:t>
      </w:r>
    </w:p>
    <w:p>
      <w:pPr>
        <w:pStyle w:val="Normal"/>
        <w:tabs>
          <w:tab w:val="left" w:pos="1703" w:leader="none"/>
        </w:tabs>
        <w:spacing w:lineRule="auto" w:line="360"/>
        <w:jc w:val="both"/>
        <w:rPr>
          <w:rFonts w:ascii="Times New Roman" w:hAnsi="Times New Roman" w:cs="Times New Roman"/>
          <w:sz w:val="24"/>
          <w:szCs w:val="24"/>
        </w:rPr>
      </w:pPr>
      <w:r>
        <w:rPr>
          <w:rFonts w:cs="Times New Roman" w:ascii="Times New Roman" w:hAnsi="Times New Roman"/>
          <w:b/>
          <w:sz w:val="24"/>
          <w:szCs w:val="24"/>
        </w:rPr>
        <w:t>Posouzení, hodnocení</w:t>
      </w:r>
      <w:r>
        <w:rPr>
          <w:rFonts w:cs="Times New Roman" w:ascii="Times New Roman" w:hAnsi="Times New Roman"/>
          <w:sz w:val="24"/>
          <w:szCs w:val="24"/>
        </w:rPr>
        <w:t xml:space="preserve"> - kompetentní pedagogové jsou všímaví, rozpoznají a reagují            na přednosti a zájmy dětí. Efektivní hodnocení bere v potaz dítě jako celek a zahrnuje i rodinu. Děti přispívají k hodnocení a je jim poskytována zpětná vazba o jejich učení. Portfolio je dobrý způsob záznamu hodnocení. Portfolio může obsahovat kolekci výkresů, prací          se jménem a datem, fotografickou dokumentaci vybranou dítětem či dospělým. Mohou obsahovat i materiály pro vzdělávání rodičů, učební příběhy a popisná hodnocení. Popisná, výpravná hodnocení popisují učení dětí během hry ze vztahů, které při hře vznikají.</w:t>
      </w:r>
    </w:p>
    <w:p>
      <w:pPr>
        <w:pStyle w:val="Normal"/>
        <w:tabs>
          <w:tab w:val="left" w:pos="1703" w:leader="none"/>
        </w:tabs>
        <w:spacing w:lineRule="auto" w:line="360"/>
        <w:jc w:val="both"/>
        <w:rPr>
          <w:rFonts w:ascii="Times New Roman" w:hAnsi="Times New Roman" w:cs="Times New Roman"/>
          <w:sz w:val="24"/>
          <w:szCs w:val="24"/>
          <w:lang w:val="en-US"/>
        </w:rPr>
      </w:pPr>
      <w:r>
        <w:rPr>
          <w:rFonts w:cs="Times New Roman" w:ascii="Times New Roman" w:hAnsi="Times New Roman"/>
          <w:b/>
          <w:sz w:val="24"/>
          <w:szCs w:val="24"/>
        </w:rPr>
        <w:t xml:space="preserve">Kurikulum </w:t>
      </w:r>
      <w:r>
        <w:rPr>
          <w:rFonts w:cs="Times New Roman" w:ascii="Times New Roman" w:hAnsi="Times New Roman"/>
          <w:sz w:val="24"/>
          <w:szCs w:val="24"/>
        </w:rPr>
        <w:t xml:space="preserve">- kurikulum je chápáno jako souhrn veškerých zkušeností, činností a událostí, ať už přímých nebo nepřímých, které jsou součástí prostředí určeného k podpoře vzdělávání a rozvoje dětí. </w:t>
      </w:r>
      <w:r>
        <w:rPr>
          <w:rFonts w:cs="Times New Roman" w:ascii="Times New Roman" w:hAnsi="Times New Roman"/>
          <w:sz w:val="24"/>
          <w:szCs w:val="24"/>
          <w:lang w:val="en-US"/>
        </w:rPr>
        <w:t>Te Whāriki je kurikulární dokument Ministerstva školství, v jehož souladu musí být poskytováno vzdělávání ve všech licencovaných zařízeních. Te Whāriki zdůrazňuje partnerství mezi dětmi, učiteli a rodinou (Ritchie, 2003; Tesar, 2015; Education review office, 2007</w:t>
      </w:r>
      <w:r>
        <w:rPr>
          <w:rFonts w:cs="Times New Roman" w:ascii="Times New Roman" w:hAnsi="Times New Roman"/>
          <w:sz w:val="24"/>
          <w:szCs w:val="24"/>
        </w:rPr>
        <w:t>)</w:t>
      </w:r>
      <w:r>
        <w:rPr>
          <w:rFonts w:cs="Times New Roman" w:ascii="Times New Roman" w:hAnsi="Times New Roman"/>
          <w:sz w:val="24"/>
          <w:szCs w:val="24"/>
          <w:lang w:val="en-US"/>
        </w:rPr>
        <w:t>.</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b/>
          <w:sz w:val="24"/>
          <w:szCs w:val="24"/>
          <w:lang w:val="en-US"/>
        </w:rPr>
        <w:t>Speciální vzdělávací potřeby</w:t>
      </w:r>
      <w:r>
        <w:rPr>
          <w:rFonts w:cs="Times New Roman" w:ascii="Times New Roman" w:hAnsi="Times New Roman"/>
          <w:sz w:val="24"/>
          <w:szCs w:val="24"/>
          <w:lang w:val="en-US"/>
        </w:rPr>
        <w:t xml:space="preserve"> - dítě s odlišnými nebo speciálními vzdělávacími potřebami může vyžadovat buď zvláštní péči, nebo péči navíc, aby se mohlo účastnit programu. Potřeby mohou vycházet z fyzického či intelektuálního znevýhodnění, z poruch chování nebo jiných, neobvyklých okolností. Děti se speciálními potřebami mají stejné právo na dobré vzdělání a zařízení by mělo plánovat opatření, která pomohou zahrnout děti do běžného programu. Ministerstvo školství zaměstnává pracovníky se speciálním vzděláním, kteří pomáhají vzdělávacím institucím poskytovat individuální podporu dětem se speciálními vzdělávacími potřebami.</w:t>
      </w:r>
      <w:r>
        <w:rPr>
          <w:rFonts w:cs="Times New Roman" w:ascii="Times New Roman" w:hAnsi="Times New Roman"/>
          <w:color w:val="FF0000"/>
          <w:sz w:val="24"/>
          <w:szCs w:val="24"/>
          <w:lang w:val="en-US"/>
        </w:rPr>
        <w:t xml:space="preserve"> </w:t>
      </w:r>
      <w:r>
        <w:rPr>
          <w:rFonts w:cs="Times New Roman" w:ascii="Times New Roman" w:hAnsi="Times New Roman"/>
          <w:sz w:val="24"/>
          <w:szCs w:val="24"/>
          <w:lang w:val="en-US"/>
        </w:rPr>
        <w:t>Pro d</w:t>
      </w:r>
      <w:r>
        <w:rPr>
          <w:rFonts w:cs="Times New Roman" w:ascii="Times New Roman" w:hAnsi="Times New Roman"/>
          <w:sz w:val="24"/>
          <w:szCs w:val="24"/>
        </w:rPr>
        <w:t xml:space="preserve">ěti, které potřebují péči navíc, je možné sestavit individuální plán.  </w:t>
      </w:r>
      <w:r>
        <w:rPr>
          <w:rFonts w:cs="Times New Roman" w:ascii="Times New Roman" w:hAnsi="Times New Roman"/>
          <w:sz w:val="24"/>
          <w:szCs w:val="24"/>
          <w:lang w:val="en-US"/>
        </w:rPr>
        <w:t>Individuální plán (IP) je plán pro velmi malé dítě, které ještě nanastoupilo školní docházku. Individuální vzdělávací plán (IEP) je plán, který je vyvinut pro dítě, které již nastoupilo školní docházku. Rodiče a další odborníci spolupracující s dítětem se podílí na vývoji většinou písemných plánů, které stanovují cíle.</w:t>
      </w:r>
    </w:p>
    <w:p>
      <w:pPr>
        <w:pStyle w:val="Normal"/>
        <w:tabs>
          <w:tab w:val="left" w:pos="1703" w:leader="none"/>
        </w:tabs>
        <w:spacing w:lineRule="auto" w:line="360"/>
        <w:jc w:val="both"/>
        <w:rPr>
          <w:rFonts w:ascii="Times New Roman" w:hAnsi="Times New Roman" w:cs="Times New Roman"/>
          <w:sz w:val="24"/>
          <w:szCs w:val="24"/>
          <w:lang w:val="en-US"/>
        </w:rPr>
      </w:pPr>
      <w:r>
        <w:rPr>
          <w:rFonts w:cs="Times New Roman" w:ascii="Times New Roman" w:hAnsi="Times New Roman"/>
          <w:b/>
          <w:sz w:val="24"/>
          <w:szCs w:val="24"/>
          <w:lang w:val="en-US"/>
        </w:rPr>
        <w:t xml:space="preserve">Prostředí </w:t>
      </w:r>
      <w:r>
        <w:rPr>
          <w:rFonts w:cs="Times New Roman" w:ascii="Times New Roman" w:hAnsi="Times New Roman"/>
          <w:sz w:val="24"/>
          <w:szCs w:val="24"/>
          <w:lang w:val="en-US"/>
        </w:rPr>
        <w:t>- prostředí předškolního vzdělávání zahrnuje nejen vlastní umístění zařízení           v rámci města, vesnice, ale také učební zdroje, vztahy mezi dětmi navzájem, mezi dětmi a dospělými a rodinami. Podnětné a příjemné prostředí podněcuje dětskou zvídavost a touhu   po objevování.</w:t>
      </w:r>
    </w:p>
    <w:p>
      <w:pPr>
        <w:pStyle w:val="Normal"/>
        <w:tabs>
          <w:tab w:val="left" w:pos="1703" w:leader="none"/>
        </w:tabs>
        <w:spacing w:lineRule="auto" w:line="360"/>
        <w:jc w:val="both"/>
        <w:rPr>
          <w:rFonts w:ascii="Times New Roman" w:hAnsi="Times New Roman" w:cs="Times New Roman"/>
          <w:b/>
          <w:b/>
          <w:sz w:val="24"/>
          <w:szCs w:val="24"/>
          <w:lang w:val="en-US"/>
        </w:rPr>
      </w:pPr>
      <w:r>
        <w:rPr>
          <w:rFonts w:cs="Times New Roman" w:ascii="Times New Roman" w:hAnsi="Times New Roman"/>
          <w:b/>
          <w:sz w:val="24"/>
          <w:szCs w:val="24"/>
          <w:lang w:val="en-US"/>
        </w:rPr>
      </w:r>
    </w:p>
    <w:p>
      <w:pPr>
        <w:pStyle w:val="Normal"/>
        <w:tabs>
          <w:tab w:val="left" w:pos="1703" w:leader="none"/>
        </w:tabs>
        <w:spacing w:lineRule="auto" w:line="360"/>
        <w:jc w:val="both"/>
        <w:rPr>
          <w:rFonts w:ascii="Times New Roman" w:hAnsi="Times New Roman" w:cs="Times New Roman"/>
          <w:sz w:val="24"/>
          <w:szCs w:val="24"/>
          <w:lang w:val="en-US"/>
        </w:rPr>
      </w:pPr>
      <w:r>
        <w:rPr>
          <w:rFonts w:cs="Times New Roman" w:ascii="Times New Roman" w:hAnsi="Times New Roman"/>
          <w:b/>
          <w:sz w:val="24"/>
          <w:szCs w:val="24"/>
          <w:lang w:val="en-US"/>
        </w:rPr>
        <w:t>Skupinové vzdělávací programy, pravidelné činnosti, rutiny</w:t>
      </w:r>
      <w:r>
        <w:rPr>
          <w:rFonts w:cs="Times New Roman" w:ascii="Times New Roman" w:hAnsi="Times New Roman"/>
          <w:sz w:val="24"/>
          <w:szCs w:val="24"/>
          <w:lang w:val="en-US"/>
        </w:rPr>
        <w:t xml:space="preserve"> - pravidelné činnosti by         v předškolním zařízení měly být přizpůsobeny individuální preferenci dětí, nikoliv podléhat pohodlnosti dospělých, např. děti by měly mít možnost se najíst a vyspat, když potřebují. Pravidelně se opakující rutiny by měly mít co nejmenší dopad na hry, které děti iniciují. Skupinové programy by neměly zabírat většinu času z programu nebo dne a zároveň by děti měly mít možnost si vybrat, zda se budou aktivity účastnit, nebo nebudou.</w:t>
      </w:r>
    </w:p>
    <w:p>
      <w:pPr>
        <w:pStyle w:val="Normal"/>
        <w:tabs>
          <w:tab w:val="left" w:pos="1703" w:leader="none"/>
        </w:tabs>
        <w:spacing w:lineRule="auto" w:line="360"/>
        <w:jc w:val="both"/>
        <w:rPr>
          <w:rFonts w:ascii="Times New Roman" w:hAnsi="Times New Roman" w:cs="Times New Roman"/>
          <w:sz w:val="24"/>
          <w:szCs w:val="24"/>
          <w:lang w:val="en-US"/>
        </w:rPr>
      </w:pPr>
      <w:r>
        <w:rPr>
          <w:rFonts w:cs="Times New Roman" w:ascii="Times New Roman" w:hAnsi="Times New Roman"/>
          <w:b/>
          <w:sz w:val="24"/>
          <w:szCs w:val="24"/>
          <w:lang w:val="en-US"/>
        </w:rPr>
        <w:t>Psaní a počítání</w:t>
      </w:r>
      <w:r>
        <w:rPr>
          <w:rFonts w:cs="Times New Roman" w:ascii="Times New Roman" w:hAnsi="Times New Roman"/>
          <w:sz w:val="24"/>
          <w:szCs w:val="24"/>
          <w:lang w:val="en-US"/>
        </w:rPr>
        <w:t xml:space="preserve"> - v předškolních zařízeních si děti osvojují základní znalosti a dovednosti, které předcházejí čtení, psaní a počítání, tzv. předčtenářskou gramotnost a předmatematické představy.  Tyto dovednosti se rozvíjejí prostřednictvím používání bohaté slovní zásoby, hrátek s jazykem, čtení příběhů, používání názvů - jmenovek, cedulek, různých označení, seznamování s čísly a písmeny, velkého množství kvalitních puzzle, knih, stavebnic, kostek, pískovišť či experimentů.</w:t>
      </w:r>
    </w:p>
    <w:p>
      <w:pPr>
        <w:pStyle w:val="Normal"/>
        <w:tabs>
          <w:tab w:val="left" w:pos="1703" w:leader="none"/>
        </w:tabs>
        <w:spacing w:lineRule="auto" w:line="360"/>
        <w:jc w:val="both"/>
        <w:rPr>
          <w:rFonts w:ascii="Times New Roman" w:hAnsi="Times New Roman" w:cs="Times New Roman"/>
          <w:sz w:val="24"/>
          <w:szCs w:val="24"/>
          <w:lang w:val="en-US"/>
        </w:rPr>
      </w:pPr>
      <w:r>
        <w:rPr>
          <w:rFonts w:cs="Times New Roman" w:ascii="Times New Roman" w:hAnsi="Times New Roman"/>
          <w:b/>
          <w:sz w:val="24"/>
          <w:szCs w:val="24"/>
          <w:lang w:val="en-US"/>
        </w:rPr>
        <w:t>Vycházky, výlety, exkurze</w:t>
      </w:r>
      <w:r>
        <w:rPr>
          <w:rFonts w:cs="Times New Roman" w:ascii="Times New Roman" w:hAnsi="Times New Roman"/>
          <w:sz w:val="24"/>
          <w:szCs w:val="24"/>
          <w:lang w:val="en-US"/>
        </w:rPr>
        <w:t xml:space="preserve"> - výlety mohou zahrnovat návštěvy ZOO, farem, parků, pláží, knihoven či hasičských stanic. Zařízení by měla mít nastavené postupy a nařízení, jak postupovat s dětmi na výletě.</w:t>
      </w:r>
    </w:p>
    <w:p>
      <w:pPr>
        <w:pStyle w:val="Normal"/>
        <w:tabs>
          <w:tab w:val="left" w:pos="1703" w:leader="none"/>
        </w:tabs>
        <w:spacing w:lineRule="auto" w:line="360"/>
        <w:jc w:val="both"/>
        <w:rPr>
          <w:rFonts w:ascii="Times New Roman" w:hAnsi="Times New Roman" w:cs="Times New Roman"/>
          <w:sz w:val="24"/>
          <w:szCs w:val="24"/>
          <w:lang w:val="en-US"/>
        </w:rPr>
      </w:pPr>
      <w:r>
        <w:rPr>
          <w:rFonts w:cs="Times New Roman" w:ascii="Times New Roman" w:hAnsi="Times New Roman"/>
          <w:b/>
          <w:sz w:val="24"/>
          <w:szCs w:val="24"/>
          <w:lang w:val="en-US"/>
        </w:rPr>
        <w:t>Pozitivní vedení</w:t>
      </w:r>
      <w:r>
        <w:rPr>
          <w:rFonts w:cs="Times New Roman" w:ascii="Times New Roman" w:hAnsi="Times New Roman"/>
          <w:sz w:val="24"/>
          <w:szCs w:val="24"/>
          <w:lang w:val="en-US"/>
        </w:rPr>
        <w:t xml:space="preserve"> - dospělí by měli využívat pozitivního vedení a motivace při ovlivňování dětského chování. Podpora dobrého chování většinou funguje lépe než zaměření se na špatné chování. Přesměrování či odvrácení pozornosti je náležitý způsob, jak zvládat špatné chování. Je protiprávní používat fyzické tresty nebo dětem odpírat stravu či vodu. </w:t>
      </w:r>
    </w:p>
    <w:p>
      <w:pPr>
        <w:pStyle w:val="Normal"/>
        <w:tabs>
          <w:tab w:val="left" w:pos="1703" w:leader="none"/>
        </w:tabs>
        <w:spacing w:lineRule="auto" w:line="360"/>
        <w:jc w:val="both"/>
        <w:rPr>
          <w:rFonts w:ascii="Times New Roman" w:hAnsi="Times New Roman" w:cs="Times New Roman"/>
          <w:sz w:val="24"/>
          <w:szCs w:val="24"/>
          <w:lang w:val="en-US"/>
        </w:rPr>
      </w:pPr>
      <w:r>
        <w:rPr>
          <w:rFonts w:cs="Times New Roman" w:ascii="Times New Roman" w:hAnsi="Times New Roman"/>
          <w:b/>
          <w:sz w:val="24"/>
          <w:szCs w:val="24"/>
          <w:lang w:val="en-US"/>
        </w:rPr>
        <w:t>Sociokulturní koncept</w:t>
      </w:r>
      <w:r>
        <w:rPr>
          <w:rFonts w:cs="Times New Roman" w:ascii="Times New Roman" w:hAnsi="Times New Roman"/>
          <w:sz w:val="24"/>
          <w:szCs w:val="24"/>
          <w:lang w:val="en-US"/>
        </w:rPr>
        <w:t xml:space="preserve"> - sociokulturní přístup vyučování a učení zohledňuje širší oblast, svět ve kterém se děti učí a rozvíjejí.</w:t>
      </w:r>
    </w:p>
    <w:p>
      <w:pPr>
        <w:pStyle w:val="Normal"/>
        <w:tabs>
          <w:tab w:val="left" w:pos="1703" w:leader="none"/>
        </w:tabs>
        <w:spacing w:lineRule="auto" w:line="360"/>
        <w:jc w:val="both"/>
        <w:rPr>
          <w:rFonts w:ascii="Times New Roman" w:hAnsi="Times New Roman" w:cs="Times New Roman"/>
          <w:sz w:val="24"/>
          <w:szCs w:val="24"/>
        </w:rPr>
      </w:pPr>
      <w:r>
        <w:rPr>
          <w:rFonts w:cs="Times New Roman" w:ascii="Times New Roman" w:hAnsi="Times New Roman"/>
          <w:b/>
          <w:sz w:val="24"/>
          <w:szCs w:val="24"/>
        </w:rPr>
        <w:t>Te reo me ng</w:t>
      </w:r>
      <w:r>
        <w:rPr>
          <w:rFonts w:cs="Times New Roman" w:ascii="Times New Roman" w:hAnsi="Times New Roman"/>
          <w:b/>
          <w:sz w:val="24"/>
          <w:szCs w:val="24"/>
          <w:lang w:val="en-US"/>
        </w:rPr>
        <w:t>ā</w:t>
      </w:r>
      <w:r>
        <w:rPr>
          <w:rFonts w:cs="Times New Roman" w:ascii="Times New Roman" w:hAnsi="Times New Roman"/>
          <w:b/>
          <w:sz w:val="24"/>
          <w:szCs w:val="24"/>
        </w:rPr>
        <w:t xml:space="preserve"> tikanga Maori</w:t>
      </w:r>
      <w:r>
        <w:rPr>
          <w:rFonts w:cs="Times New Roman" w:ascii="Times New Roman" w:hAnsi="Times New Roman"/>
          <w:sz w:val="24"/>
          <w:szCs w:val="24"/>
        </w:rPr>
        <w:t xml:space="preserve"> -  je maorský jazyk a kultura. Zařízení jsou povinná uznávat a respektovat partnerství zakotvené v Treaty of Waitangi  - dohoda mezi britskou korunou a Maory jako původními obyvateli a vlastníky půdy, kulturního dědictví a nemovitostí, podepsaná 6. února 1840 ve Waitangi (Williams, 2012</w:t>
      </w:r>
      <w:r>
        <w:rPr>
          <w:rFonts w:cs="Times New Roman" w:ascii="Times New Roman" w:hAnsi="Times New Roman"/>
          <w:sz w:val="24"/>
          <w:szCs w:val="24"/>
          <w:lang w:val="en-US"/>
        </w:rPr>
        <w:t xml:space="preserve">; Orange, 2011; </w:t>
      </w:r>
      <w:r>
        <w:rPr>
          <w:rFonts w:cs="Times New Roman" w:ascii="Times New Roman" w:hAnsi="Times New Roman"/>
          <w:sz w:val="24"/>
          <w:szCs w:val="24"/>
        </w:rPr>
        <w:t xml:space="preserve">Tesar, 2016). </w:t>
      </w:r>
    </w:p>
    <w:p>
      <w:pPr>
        <w:pStyle w:val="Normal"/>
        <w:spacing w:lineRule="auto" w:line="360"/>
        <w:jc w:val="both"/>
        <w:rPr>
          <w:rFonts w:ascii="Times New Roman" w:hAnsi="Times New Roman" w:cs="Times New Roman"/>
          <w:color w:val="FF0000"/>
          <w:sz w:val="24"/>
          <w:szCs w:val="24"/>
          <w:lang w:val="en-US"/>
        </w:rPr>
      </w:pPr>
      <w:r>
        <w:rPr>
          <w:rFonts w:cs="Times New Roman" w:ascii="Times New Roman" w:hAnsi="Times New Roman"/>
          <w:color w:val="FF0000"/>
          <w:sz w:val="24"/>
          <w:szCs w:val="24"/>
          <w:lang w:val="en-US"/>
        </w:rPr>
      </w:r>
    </w:p>
    <w:p>
      <w:pPr>
        <w:pStyle w:val="Normal"/>
        <w:spacing w:lineRule="auto" w:line="360"/>
        <w:jc w:val="both"/>
        <w:rPr>
          <w:rFonts w:ascii="Times New Roman" w:hAnsi="Times New Roman" w:cs="Times New Roman"/>
          <w:color w:val="FF0000"/>
          <w:sz w:val="24"/>
          <w:szCs w:val="24"/>
          <w:lang w:val="en-US"/>
        </w:rPr>
      </w:pPr>
      <w:r>
        <w:rPr>
          <w:rFonts w:cs="Times New Roman" w:ascii="Times New Roman" w:hAnsi="Times New Roman"/>
          <w:color w:val="FF0000"/>
          <w:sz w:val="24"/>
          <w:szCs w:val="24"/>
          <w:lang w:val="en-US"/>
        </w:rPr>
      </w:r>
      <w:r>
        <w:br w:type="page"/>
      </w:r>
    </w:p>
    <w:p>
      <w:pPr>
        <w:pStyle w:val="Nadpis1"/>
        <w:rPr/>
      </w:pPr>
      <w:r>
        <w:rPr/>
        <w:t>2.4    Speciální vzdělávací potřeby</w:t>
      </w:r>
    </w:p>
    <w:p>
      <w:pPr>
        <w:pStyle w:val="Normal"/>
        <w:spacing w:lineRule="auto" w:line="360"/>
        <w:ind w:firstLine="360"/>
        <w:jc w:val="both"/>
        <w:rPr>
          <w:rFonts w:ascii="Times New Roman" w:hAnsi="Times New Roman" w:cs="Times New Roman"/>
          <w:b/>
          <w:b/>
          <w:sz w:val="24"/>
          <w:szCs w:val="24"/>
          <w:lang w:val="en-US"/>
        </w:rPr>
      </w:pPr>
      <w:r>
        <w:rPr>
          <w:rFonts w:cs="Times New Roman" w:ascii="Times New Roman" w:hAnsi="Times New Roman"/>
          <w:b/>
          <w:sz w:val="24"/>
          <w:szCs w:val="24"/>
          <w:lang w:val="en-US"/>
        </w:rPr>
        <w:t>2.4.1     Vzdělávání nevidomých, neslyšících či slabozrakých</w:t>
      </w:r>
    </w:p>
    <w:p>
      <w:pPr>
        <w:pStyle w:val="Normal"/>
        <w:spacing w:lineRule="auto" w:line="360"/>
        <w:ind w:firstLine="708"/>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Na Novém Zélandě existují speciální školy, které poskytují předškolní vzdělávací služby pro děti neslyšící, nedoslýchavé, nevidomé či slabozraké. </w:t>
      </w:r>
    </w:p>
    <w:p>
      <w:pPr>
        <w:pStyle w:val="Normal"/>
        <w:spacing w:lineRule="auto" w:line="360"/>
        <w:ind w:firstLine="708"/>
        <w:jc w:val="both"/>
        <w:rPr>
          <w:rFonts w:ascii="Times New Roman" w:hAnsi="Times New Roman" w:cs="Times New Roman"/>
          <w:sz w:val="24"/>
          <w:szCs w:val="24"/>
          <w:lang w:val="en-US"/>
        </w:rPr>
      </w:pPr>
      <w:r>
        <w:rPr>
          <w:rFonts w:cs="Times New Roman" w:ascii="Times New Roman" w:hAnsi="Times New Roman"/>
          <w:sz w:val="24"/>
          <w:szCs w:val="24"/>
          <w:lang w:val="en-US"/>
        </w:rPr>
        <w:t>Pro neslyšící a nedoslýchavé děti jsou k dispozici dvě hlavní zařízení, první je v Aucklandu, pod které spadají děti a studenti ze severní poloviny severního ostrova a druhé zařízení je v Christchurch, které obstarává jižní část severního ostrova a celý méně obydlený jižní ostrov. Obě tato zařízení mají internátní školu a specializovaná předškolní zařízení a pečují o děti ve věku od dvou do 21 let.</w:t>
      </w:r>
    </w:p>
    <w:p>
      <w:pPr>
        <w:pStyle w:val="Normal"/>
        <w:spacing w:lineRule="auto" w:line="360"/>
        <w:ind w:firstLine="708"/>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O nevidomé a slabozraké se na Novém Zélandě stará sít vzdělávacích středisek BLENNZ – Blind and low vision education network NZ. </w:t>
      </w:r>
    </w:p>
    <w:p>
      <w:pPr>
        <w:pStyle w:val="Normal"/>
        <w:spacing w:lineRule="auto" w:line="360"/>
        <w:jc w:val="both"/>
        <w:rPr>
          <w:rFonts w:ascii="Times New Roman" w:hAnsi="Times New Roman" w:cs="Times New Roman"/>
          <w:b/>
          <w:b/>
          <w:sz w:val="24"/>
          <w:szCs w:val="24"/>
          <w:lang w:val="en-US"/>
        </w:rPr>
      </w:pPr>
      <w:r>
        <w:rPr>
          <w:rFonts w:cs="Times New Roman" w:ascii="Times New Roman" w:hAnsi="Times New Roman"/>
          <w:b/>
          <w:sz w:val="30"/>
          <w:szCs w:val="30"/>
          <w:lang w:val="en-US"/>
        </w:rPr>
        <w:t xml:space="preserve">     </w:t>
      </w:r>
      <w:r>
        <w:rPr>
          <w:rFonts w:cs="Times New Roman" w:ascii="Times New Roman" w:hAnsi="Times New Roman"/>
          <w:b/>
          <w:sz w:val="24"/>
          <w:szCs w:val="24"/>
          <w:lang w:val="en-US"/>
        </w:rPr>
        <w:t>2.4.2     Early intervention service</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Early intervention service je slu</w:t>
      </w:r>
      <w:r>
        <w:rPr>
          <w:rFonts w:cs="Times New Roman" w:ascii="Times New Roman" w:hAnsi="Times New Roman"/>
          <w:sz w:val="24"/>
          <w:szCs w:val="24"/>
        </w:rPr>
        <w:t xml:space="preserve">žba poskytovaná Ministerstvem školství </w:t>
      </w:r>
      <w:r>
        <w:rPr>
          <w:rFonts w:cs="Times New Roman" w:ascii="Times New Roman" w:hAnsi="Times New Roman"/>
          <w:sz w:val="24"/>
          <w:szCs w:val="24"/>
          <w:lang w:val="en-US"/>
        </w:rPr>
        <w:t>poskytující speciální podporu a péči dětem s poruchami chování, komunikace, s řečovými vadami, opožděným vývojem nebo problémy v oblasti učení. Je určen dětem od narození do pěti let a je bezplatný, plně financovaný státem.</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 xml:space="preserve">Samotný proces funguje tak, že rodiče dítěte podají žádost, na </w:t>
      </w:r>
      <w:r>
        <w:rPr>
          <w:rFonts w:cs="Times New Roman" w:ascii="Times New Roman" w:hAnsi="Times New Roman"/>
          <w:sz w:val="24"/>
          <w:szCs w:val="24"/>
        </w:rPr>
        <w:t xml:space="preserve">základě které se s nimi spojí </w:t>
      </w:r>
      <w:r>
        <w:rPr>
          <w:rFonts w:cs="Times New Roman" w:ascii="Times New Roman" w:hAnsi="Times New Roman"/>
          <w:sz w:val="24"/>
          <w:szCs w:val="24"/>
          <w:lang w:val="en-US"/>
        </w:rPr>
        <w:t>Early intervention team a zjistí podrobnosti - jaké oblasti by se intervence měla týkat a prodiskutují s rodiči další kroky. Ty mohou zahrnovat kontaktování dalších odborníků, například zdravotnického personálu nebo učitelů předškolního vzdělávání. Společně se poté vytváří plán učení a rozvoje dítěte.</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Tyto týmy úzce spolupracují se specialisty z Ministerstva zdravotnictví a zahrnují následující profese: fyzioterapeuty, poradce dětí se ztrátou sluchu (nárok na tlumočníka mají až děti školou povinné), speciální pedagogy, Kaitakawaenga - zprostředkovatele, mediatory odlišných kultur, psychology, logopedy.</w:t>
      </w:r>
    </w:p>
    <w:p>
      <w:pPr>
        <w:pStyle w:val="Normal"/>
        <w:spacing w:lineRule="auto" w:line="360"/>
        <w:jc w:val="both"/>
        <w:rPr>
          <w:rFonts w:ascii="Times New Roman" w:hAnsi="Times New Roman" w:cs="Times New Roman"/>
          <w:b/>
          <w:b/>
          <w:sz w:val="24"/>
          <w:szCs w:val="24"/>
          <w:lang w:val="en-US"/>
        </w:rPr>
      </w:pPr>
      <w:r>
        <w:rPr>
          <w:rFonts w:cs="Times New Roman" w:ascii="Times New Roman" w:hAnsi="Times New Roman"/>
          <w:b/>
          <w:sz w:val="30"/>
          <w:szCs w:val="30"/>
          <w:lang w:val="en-US"/>
        </w:rPr>
        <w:t xml:space="preserve">     </w:t>
      </w:r>
      <w:r>
        <w:rPr>
          <w:rFonts w:cs="Times New Roman" w:ascii="Times New Roman" w:hAnsi="Times New Roman"/>
          <w:b/>
          <w:sz w:val="24"/>
          <w:szCs w:val="24"/>
          <w:lang w:val="en-US"/>
        </w:rPr>
        <w:t>2.4.3     Program incredible years</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Tento program zastřešuje Ministerstvo školství a poskytuje podporu rodičům dětí, které mají výchovné problémy. Posiluje rodiny zlepšováním rodičovských dovedností, a také učí děti samostatnosti v řešení problémů.</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V rámci tohoto programu se rodiče naučí hrát si a trávit čas společně s vlastními dětmi, chválit a odměňovat, pozitivně komunikovat, nastavovat hranice, zvládat neposlušnost, pomoci dětem s řešením problémů.</w:t>
      </w:r>
    </w:p>
    <w:p>
      <w:pPr>
        <w:pStyle w:val="Normal"/>
        <w:spacing w:lineRule="auto" w:line="360"/>
        <w:jc w:val="both"/>
        <w:rPr>
          <w:rFonts w:ascii="Times New Roman" w:hAnsi="Times New Roman" w:cs="Times New Roman"/>
          <w:color w:val="FF0000"/>
          <w:sz w:val="24"/>
          <w:szCs w:val="24"/>
          <w:lang w:val="en-US"/>
        </w:rPr>
      </w:pPr>
      <w:r>
        <w:rPr>
          <w:rFonts w:cs="Times New Roman" w:ascii="Times New Roman" w:hAnsi="Times New Roman"/>
          <w:color w:val="FF0000"/>
          <w:sz w:val="24"/>
          <w:szCs w:val="24"/>
          <w:lang w:val="en-US"/>
        </w:rPr>
      </w:r>
      <w:r>
        <w:br w:type="page"/>
      </w:r>
    </w:p>
    <w:p>
      <w:pPr>
        <w:pStyle w:val="Nadpis1"/>
        <w:rPr/>
      </w:pPr>
      <w:r>
        <w:rPr/>
        <w:t xml:space="preserve">2.5     Evaluace </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Po roce 1990, kdy učitelé začali implementovat Te Whāriki do praxe, se zjistilo, že existuje výrazná neshoda mezi stávajícími hodnotícími strategiemi a obsahem a účelem kurikula. Existující strategie se zaměřovaly spíše na další rozvojové modely učení a na dítě jakožto jednotlivce, což nekorespondovalo s teoriemi učení - zejména s těmi sociokulturními. Proto se v procesu hodnocení začaly používat tzv. </w:t>
      </w:r>
      <w:r>
        <w:rPr>
          <w:rFonts w:cs="Times New Roman" w:ascii="Times New Roman" w:hAnsi="Times New Roman"/>
          <w:b/>
          <w:sz w:val="24"/>
          <w:szCs w:val="24"/>
          <w:lang w:val="en-US"/>
        </w:rPr>
        <w:t>learning stories</w:t>
      </w:r>
      <w:r>
        <w:rPr>
          <w:rFonts w:cs="Times New Roman" w:ascii="Times New Roman" w:hAnsi="Times New Roman"/>
          <w:sz w:val="24"/>
          <w:szCs w:val="24"/>
          <w:lang w:val="en-US"/>
        </w:rPr>
        <w:t xml:space="preserve"> - učební příběhy, jejichž zásadními znaky a hodnotami jsou pohled dítěte, rodina a učitelé v kontextu prostředí,          ve kterém učební proces probíhá. Právě z tohoto důvodu je přístup učebních příběhů natolik odlišný od dosavadních diagnostických nástrojů, jako jsou kontrolní seznamy či standardizované škály a testy. Principem učebních příběhů je zaměření na to, co dítě umí, nikoliv na to, co nezvládá, čímž se liší od prostého pozorování jakožto diagnostického prostředku. Při pozorování se přesně a účelov</w:t>
      </w:r>
      <w:r>
        <w:rPr>
          <w:rFonts w:cs="Times New Roman" w:ascii="Times New Roman" w:hAnsi="Times New Roman"/>
          <w:sz w:val="24"/>
          <w:szCs w:val="24"/>
        </w:rPr>
        <w:t>ě</w:t>
      </w:r>
      <w:r>
        <w:rPr>
          <w:rFonts w:cs="Times New Roman" w:ascii="Times New Roman" w:hAnsi="Times New Roman"/>
          <w:sz w:val="24"/>
          <w:szCs w:val="24"/>
          <w:lang w:val="en-US"/>
        </w:rPr>
        <w:t xml:space="preserve"> popisuje daná činnost, např: David uchopil tužku do levé ruky dlaňovým úchopem a začal čmárat po papíře……. Tatáž situace jakožto součást příběhu by mohla znít takto: David se již nemohl dočkat až si vybere pastelku a namaluje obrázek pro maminku….. Učební příběhy jsou v podstatě texty příběhového, výpravného charakteru, které popisují dítě nebo skupinu dětí v průběhu vykonávání nějaké aktivity nebo vzájemné interakce. Sledují rozhodovací proces dítěte a jeho důsledky. Jsou zároveň nástrojem pro interpretaci učebních návyků dětí. Sociokulturní přístup k hodnocení pobízí učitele k lepšímu pochopení silných stránek dětí a jejich zájmů a k využití těchto informací k obohacení, posílení a dalšímu prohlubování dětského učení (Monica Cameron, 2014).</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Na Novém Zélandě tedy v předškolním vzdělávacím systému neexistují formální testy. Namísto toho se jako záznam o pokrocích dětí používají fotografie, výše zmíněné učební příběhy a výtvory, díla k prezentaci a ukázce rodičům a jiným učitelům. Každý rodič si může výtvarné práce a díla prohlédnout na webových stránkách (např. Educa a Storypark), kam se každý z nich přihlásí přes jméno a heslo. Learning stories - učební příběhy zaznamenávají učitelé o jednotlivých žácích na základě jejich nově získaných dovedností a zkušeností (viz příloha č. 1). </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Většina vzdělávacích zařízení vlastní digitální </w:t>
      </w:r>
      <w:r>
        <w:rPr>
          <w:rFonts w:cs="Times New Roman" w:ascii="Times New Roman" w:hAnsi="Times New Roman"/>
          <w:b/>
          <w:sz w:val="24"/>
          <w:szCs w:val="24"/>
          <w:lang w:val="en-US"/>
        </w:rPr>
        <w:t>fotoaparáty a kamery</w:t>
      </w:r>
      <w:r>
        <w:rPr>
          <w:rFonts w:cs="Times New Roman" w:ascii="Times New Roman" w:hAnsi="Times New Roman"/>
          <w:sz w:val="24"/>
          <w:szCs w:val="24"/>
          <w:lang w:val="en-US"/>
        </w:rPr>
        <w:t xml:space="preserve">, které mohou být používány i dětmi. Děti si mohou vybrat, co vyfotí, a rodiče se následně mohou podívat, co celý den probíhalo. Všechna zařízení pro předškolní vzdělávání shromažďují </w:t>
      </w:r>
      <w:r>
        <w:rPr>
          <w:rFonts w:cs="Times New Roman" w:ascii="Times New Roman" w:hAnsi="Times New Roman"/>
          <w:b/>
          <w:sz w:val="24"/>
          <w:szCs w:val="24"/>
          <w:lang w:val="en-US"/>
        </w:rPr>
        <w:t>dětské práce</w:t>
      </w:r>
      <w:r>
        <w:rPr>
          <w:rFonts w:cs="Times New Roman" w:ascii="Times New Roman" w:hAnsi="Times New Roman"/>
          <w:sz w:val="24"/>
          <w:szCs w:val="24"/>
          <w:lang w:val="en-US"/>
        </w:rPr>
        <w:t xml:space="preserve"> a vytváří</w:t>
      </w:r>
      <w:r>
        <w:rPr>
          <w:rFonts w:cs="Times New Roman" w:ascii="Times New Roman" w:hAnsi="Times New Roman"/>
          <w:color w:val="FF0000"/>
          <w:sz w:val="24"/>
          <w:szCs w:val="24"/>
          <w:lang w:val="en-US"/>
        </w:rPr>
        <w:t xml:space="preserve"> </w:t>
      </w:r>
      <w:r>
        <w:rPr>
          <w:rFonts w:cs="Times New Roman" w:ascii="Times New Roman" w:hAnsi="Times New Roman"/>
          <w:sz w:val="24"/>
          <w:szCs w:val="24"/>
          <w:lang w:val="en-US"/>
        </w:rPr>
        <w:t xml:space="preserve">portfolio. Osobní profil, portfolio je tedy soubor informací, které učitel posbíral a zaznamenal během pobytu dítěte v předškolním zařízení. Rodiče i širší rodina jsou povzbuzováni k přispívání domácími příběhy a fotografiemi zvláštních událostí a volnočasových aktivit jejich dítěte. Děti je rády sdílí s učitelkami i se spolužáky. Do portfolia každého dítěte přispívají učebními příběhy všichni učitelé. Kromě toho se píší pravidelné </w:t>
      </w:r>
      <w:r>
        <w:rPr>
          <w:rFonts w:cs="Times New Roman" w:ascii="Times New Roman" w:hAnsi="Times New Roman"/>
          <w:b/>
          <w:sz w:val="24"/>
          <w:szCs w:val="24"/>
          <w:lang w:val="en-US"/>
        </w:rPr>
        <w:t>souhrny</w:t>
      </w:r>
      <w:r>
        <w:rPr>
          <w:rFonts w:cs="Times New Roman" w:ascii="Times New Roman" w:hAnsi="Times New Roman"/>
          <w:sz w:val="24"/>
          <w:szCs w:val="24"/>
          <w:lang w:val="en-US"/>
        </w:rPr>
        <w:t xml:space="preserve"> o tom, co se každé dítě učí (viz příloha č. 2). </w:t>
      </w:r>
      <w:r>
        <w:rPr>
          <w:rFonts w:cs="Times New Roman" w:ascii="Times New Roman" w:hAnsi="Times New Roman"/>
          <w:sz w:val="24"/>
          <w:szCs w:val="24"/>
        </w:rPr>
        <w:t>Souhrny jsou členěny do pěti částí, jejichž hlavní body odpovídají základním principům kurikula - tedy komunikaci, objevování, zdraví, sounáležitosti a přispívání. V rámci jednotlivých základních principů jsou popisovány dílčí schopnosti či dovednosti, kterým se dítě v daném období naučilo, např. pro oblast komunikace - sebevědomě vyjádřit vlastní pocit, myšlenku či názor</w:t>
      </w:r>
      <w:r>
        <w:rPr>
          <w:rFonts w:cs="Times New Roman" w:ascii="Times New Roman" w:hAnsi="Times New Roman"/>
          <w:sz w:val="24"/>
          <w:szCs w:val="24"/>
          <w:lang w:val="en-US"/>
        </w:rPr>
        <w:t>;</w:t>
      </w:r>
      <w:r>
        <w:rPr>
          <w:rFonts w:cs="Times New Roman" w:ascii="Times New Roman" w:hAnsi="Times New Roman"/>
          <w:sz w:val="24"/>
          <w:szCs w:val="24"/>
        </w:rPr>
        <w:t xml:space="preserve"> v přispívání - přebrat zodpovědnost, zohlednit názor druhého</w:t>
      </w:r>
      <w:r>
        <w:rPr>
          <w:rFonts w:cs="Times New Roman" w:ascii="Times New Roman" w:hAnsi="Times New Roman"/>
          <w:sz w:val="24"/>
          <w:szCs w:val="24"/>
          <w:lang w:val="en-US"/>
        </w:rPr>
        <w:t>;</w:t>
      </w:r>
      <w:r>
        <w:rPr>
          <w:rFonts w:cs="Times New Roman" w:ascii="Times New Roman" w:hAnsi="Times New Roman"/>
          <w:sz w:val="24"/>
          <w:szCs w:val="24"/>
        </w:rPr>
        <w:t xml:space="preserve"> pro oblast objevování - vytrvalost při překonávání překážek a nejistot</w:t>
      </w:r>
      <w:r>
        <w:rPr>
          <w:rFonts w:cs="Times New Roman" w:ascii="Times New Roman" w:hAnsi="Times New Roman"/>
          <w:sz w:val="24"/>
          <w:szCs w:val="24"/>
          <w:lang w:val="en-US"/>
        </w:rPr>
        <w:t>;</w:t>
      </w:r>
      <w:r>
        <w:rPr>
          <w:rFonts w:cs="Times New Roman" w:ascii="Times New Roman" w:hAnsi="Times New Roman"/>
          <w:sz w:val="24"/>
          <w:szCs w:val="24"/>
        </w:rPr>
        <w:t xml:space="preserve"> v oblasti zdraví - důvěra a hravost</w:t>
      </w:r>
      <w:r>
        <w:rPr>
          <w:rFonts w:cs="Times New Roman" w:ascii="Times New Roman" w:hAnsi="Times New Roman"/>
          <w:sz w:val="24"/>
          <w:szCs w:val="24"/>
          <w:lang w:val="en-US"/>
        </w:rPr>
        <w:t>;</w:t>
      </w:r>
      <w:r>
        <w:rPr>
          <w:rFonts w:cs="Times New Roman" w:ascii="Times New Roman" w:hAnsi="Times New Roman"/>
          <w:sz w:val="24"/>
          <w:szCs w:val="24"/>
        </w:rPr>
        <w:t xml:space="preserve"> ve sféře sounáležitosti - odvaha a zájem o něco nového. </w:t>
      </w:r>
      <w:r>
        <w:rPr>
          <w:rFonts w:cs="Times New Roman" w:ascii="Times New Roman" w:hAnsi="Times New Roman"/>
          <w:sz w:val="24"/>
          <w:szCs w:val="24"/>
          <w:lang w:val="en-US"/>
        </w:rPr>
        <w:t>Rodiče se pravidelně informují na pokroky svého dítěte u učitele.</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lang w:val="en-US"/>
        </w:rPr>
        <w:t>Když dítě dokončí předškolní vzdělávání, obdrží záznam o učení a složku, která může být sdílena s učiteli v další úrovni vzdělávání, tedy základní školou.</w:t>
      </w:r>
    </w:p>
    <w:p>
      <w:pPr>
        <w:pStyle w:val="Normal"/>
        <w:spacing w:lineRule="auto" w:line="360"/>
        <w:jc w:val="both"/>
        <w:rPr>
          <w:rFonts w:ascii="Times New Roman" w:hAnsi="Times New Roman" w:cs="Times New Roman"/>
          <w:b/>
          <w:b/>
          <w:sz w:val="28"/>
          <w:szCs w:val="28"/>
        </w:rPr>
      </w:pPr>
      <w:r>
        <w:rPr>
          <w:rFonts w:cs="Times New Roman" w:ascii="Times New Roman" w:hAnsi="Times New Roman"/>
          <w:b/>
          <w:sz w:val="24"/>
          <w:szCs w:val="24"/>
        </w:rPr>
        <w:t xml:space="preserve">2.5.1     </w:t>
      </w:r>
      <w:r>
        <w:rPr>
          <w:rFonts w:cs="Times New Roman" w:ascii="Times New Roman" w:hAnsi="Times New Roman"/>
          <w:b/>
          <w:sz w:val="28"/>
          <w:szCs w:val="28"/>
        </w:rPr>
        <w:t>Pozitivní výsledky učení</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Dle Education review office (2007) pozitivní výsledky učení dětí v předškolním vzdělávání zahrnují:</w:t>
      </w:r>
    </w:p>
    <w:p>
      <w:pPr>
        <w:pStyle w:val="ListParagraph"/>
        <w:numPr>
          <w:ilvl w:val="0"/>
          <w:numId w:val="20"/>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znalosti dětí (např. fakta, koncepty, nápady, slovní zásobu); </w:t>
      </w:r>
    </w:p>
    <w:p>
      <w:pPr>
        <w:pStyle w:val="ListParagraph"/>
        <w:numPr>
          <w:ilvl w:val="0"/>
          <w:numId w:val="20"/>
        </w:numPr>
        <w:spacing w:lineRule="auto" w:line="360"/>
        <w:jc w:val="both"/>
        <w:rPr>
          <w:rFonts w:ascii="Times New Roman" w:hAnsi="Times New Roman" w:cs="Times New Roman"/>
          <w:sz w:val="24"/>
          <w:szCs w:val="24"/>
        </w:rPr>
      </w:pPr>
      <w:r>
        <w:rPr>
          <w:rFonts w:cs="Times New Roman" w:ascii="Times New Roman" w:hAnsi="Times New Roman"/>
          <w:sz w:val="24"/>
          <w:szCs w:val="24"/>
        </w:rPr>
        <w:t>dovednosti dětí (fyzické, duševní, jazykové, emoční, sociální);</w:t>
      </w:r>
    </w:p>
    <w:p>
      <w:pPr>
        <w:pStyle w:val="ListParagraph"/>
        <w:numPr>
          <w:ilvl w:val="0"/>
          <w:numId w:val="20"/>
        </w:numPr>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dispozice (např. zvědavost, vytrvalost, hravost, odolnost); </w:t>
      </w:r>
    </w:p>
    <w:p>
      <w:pPr>
        <w:pStyle w:val="ListParagraph"/>
        <w:numPr>
          <w:ilvl w:val="0"/>
          <w:numId w:val="20"/>
        </w:numPr>
        <w:spacing w:lineRule="auto" w:line="360"/>
        <w:jc w:val="both"/>
        <w:rPr>
          <w:rFonts w:ascii="Times New Roman" w:hAnsi="Times New Roman" w:cs="Times New Roman"/>
          <w:sz w:val="24"/>
          <w:szCs w:val="24"/>
        </w:rPr>
      </w:pPr>
      <w:r>
        <w:rPr>
          <w:rFonts w:cs="Times New Roman" w:ascii="Times New Roman" w:hAnsi="Times New Roman"/>
          <w:sz w:val="24"/>
          <w:szCs w:val="24"/>
        </w:rPr>
        <w:t>přístupy, postoje (např. důvěra, sounáležitost, participace, požitek);</w:t>
      </w:r>
    </w:p>
    <w:p>
      <w:pPr>
        <w:pStyle w:val="ListParagraph"/>
        <w:numPr>
          <w:ilvl w:val="0"/>
          <w:numId w:val="20"/>
        </w:numPr>
        <w:spacing w:lineRule="auto" w:line="360"/>
        <w:jc w:val="both"/>
        <w:rPr>
          <w:rFonts w:ascii="Times New Roman" w:hAnsi="Times New Roman" w:cs="Times New Roman"/>
          <w:sz w:val="24"/>
          <w:szCs w:val="24"/>
        </w:rPr>
      </w:pPr>
      <w:r>
        <w:rPr>
          <w:rFonts w:cs="Times New Roman" w:ascii="Times New Roman" w:hAnsi="Times New Roman"/>
          <w:sz w:val="24"/>
          <w:szCs w:val="24"/>
        </w:rPr>
        <w:t>kulturní aspekt (např. aspirace, jazyk, zkušenosti, zvyklosti, tradice).</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jc w:val="both"/>
        <w:rPr>
          <w:rFonts w:ascii="Times New Roman" w:hAnsi="Times New Roman" w:cs="Times New Roman"/>
          <w:b/>
          <w:b/>
          <w:sz w:val="24"/>
          <w:szCs w:val="24"/>
          <w:lang w:val="en-US"/>
        </w:rPr>
      </w:pPr>
      <w:r>
        <w:rPr>
          <w:rFonts w:cs="Times New Roman" w:ascii="Times New Roman" w:hAnsi="Times New Roman"/>
          <w:b/>
          <w:sz w:val="24"/>
          <w:szCs w:val="24"/>
          <w:lang w:val="en-US"/>
        </w:rPr>
      </w:r>
      <w:r>
        <w:br w:type="page"/>
      </w:r>
    </w:p>
    <w:p>
      <w:pPr>
        <w:pStyle w:val="Nadpis1"/>
        <w:rPr/>
      </w:pPr>
      <w:r>
        <w:rPr/>
        <w:t xml:space="preserve">  </w:t>
      </w:r>
      <w:r>
        <w:rPr/>
        <w:t>2.6     Náklady na předškolní vzdělávání</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Předškolní vzdělávání je fundamentální součást celoživotního vzdělávání a i proto jej země finančně podporuje. Vláda Nového Zélandu zvolila formu částečného financování. Prvních </w:t>
      </w:r>
      <w:r>
        <w:rPr>
          <w:rFonts w:cs="Times New Roman" w:ascii="Times New Roman" w:hAnsi="Times New Roman"/>
          <w:b/>
          <w:sz w:val="24"/>
          <w:szCs w:val="24"/>
          <w:lang w:val="en-US"/>
        </w:rPr>
        <w:t>20 hodin týdně</w:t>
      </w:r>
      <w:r>
        <w:rPr>
          <w:rFonts w:cs="Times New Roman" w:ascii="Times New Roman" w:hAnsi="Times New Roman"/>
          <w:sz w:val="24"/>
          <w:szCs w:val="24"/>
          <w:lang w:val="en-US"/>
        </w:rPr>
        <w:t xml:space="preserve"> je hrazeno plně vládou a je tedy zdarma pro děti od tří let až            do nástupu do školy (obvykle následující den po dosažení pěti let a současně nejpozději před jejich šestými narozeninami. Posledním dnem nároku na program “20 hodin” je den          před šestými narozeninami). To platí pro všechny děti na Novém Zélandu, bez ohledu na jejich vízovou situaci, sociální zázemí či finanční možnosti. Tento program se nazývá 20 hodin předškolního vzdělávání. Zařízení nejsou ze zákona povinna nabízet dotovaný dvacetihodinový program, nicméně všechna akreditovaná zařízení a </w:t>
      </w:r>
      <w:r>
        <w:rPr>
          <w:rFonts w:cs="Times New Roman" w:ascii="Times New Roman" w:hAnsi="Times New Roman"/>
          <w:sz w:val="24"/>
          <w:szCs w:val="24"/>
        </w:rPr>
        <w:t>Kōhanga reo jej poskytují (Education review office, 2007).</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Zatímco financování vlády pokrývá pouze povinné platby, mnoho vzdělávacích zařízení požaduje další poplatky. Některá zařízení mají hodinové poplatky, jiná poplatky za den, týden nebo určité období. Zajímavostí je, že zařízení obecně neposkytují dětem stravu. Tu rodiče dětem zajišťují samy, nejčastěji formou sandwiche. Kromě oběda přinesou ovoce jako příspěvek do ranní ovocné mísy sloužící jako ranní svačinka.</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Pokud děti tráví v zařízeních více než 20 hodin týdně nebo pokud jsou příliš mladé, čímž nesplňují kvalifikační nároky, poskytovatelé si účtují další poplatky. Ačkoliv prvních 20 hodin je plně dotovaných, instituce mohou žádat o další dobrovolné poplatky. Poplatky navíc mohou být použity na extra služby, předměty nebo na zájmové činnosti nespadající              do standardního programu. Rodiče nemusí souhlasit s nadstandardní službou, a zařízení je povinno zajistit dětem standardní službu, na kterou mají děti nárok v rámci běžné platby.  </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Mezi dobrovolné poplatky navíc patří:</w:t>
      </w:r>
    </w:p>
    <w:p>
      <w:pPr>
        <w:pStyle w:val="ListParagraph"/>
        <w:numPr>
          <w:ilvl w:val="0"/>
          <w:numId w:val="11"/>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Vyšší počet personálu nad stanovené minimum poměru dospělý/dítě;</w:t>
      </w:r>
    </w:p>
    <w:p>
      <w:pPr>
        <w:pStyle w:val="ListParagraph"/>
        <w:numPr>
          <w:ilvl w:val="0"/>
          <w:numId w:val="11"/>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Zájmové činnosti - taneční kroužek, hudební kroužek ;</w:t>
      </w:r>
    </w:p>
    <w:p>
      <w:pPr>
        <w:pStyle w:val="ListParagraph"/>
        <w:numPr>
          <w:ilvl w:val="0"/>
          <w:numId w:val="11"/>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Doprava;</w:t>
      </w:r>
    </w:p>
    <w:p>
      <w:pPr>
        <w:pStyle w:val="ListParagraph"/>
        <w:numPr>
          <w:ilvl w:val="0"/>
          <w:numId w:val="11"/>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Opalovací krém;</w:t>
      </w:r>
    </w:p>
    <w:p>
      <w:pPr>
        <w:pStyle w:val="ListParagraph"/>
        <w:numPr>
          <w:ilvl w:val="0"/>
          <w:numId w:val="11"/>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Části oblečení jako sluneční klobouky;</w:t>
      </w:r>
    </w:p>
    <w:p>
      <w:pPr>
        <w:pStyle w:val="ListParagraph"/>
        <w:numPr>
          <w:ilvl w:val="0"/>
          <w:numId w:val="11"/>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Jídlo;</w:t>
      </w:r>
    </w:p>
    <w:p>
      <w:pPr>
        <w:pStyle w:val="ListParagraph"/>
        <w:numPr>
          <w:ilvl w:val="0"/>
          <w:numId w:val="11"/>
        </w:numPr>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Výlety, exkurze, vstupní poplatky.</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Rodiče musí být informováni písemně o tom, že poplatky navíc nejsou povinné a nebudou tedy pokutováni, pokud si nezvolí nabízený program navíc. </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V případě, že instituce veden</w:t>
      </w:r>
      <w:r>
        <w:rPr>
          <w:rFonts w:cs="Times New Roman" w:ascii="Times New Roman" w:hAnsi="Times New Roman"/>
          <w:sz w:val="24"/>
          <w:szCs w:val="24"/>
        </w:rPr>
        <w:t xml:space="preserve">é učiteli </w:t>
      </w:r>
      <w:r>
        <w:rPr>
          <w:rFonts w:cs="Times New Roman" w:ascii="Times New Roman" w:hAnsi="Times New Roman"/>
          <w:sz w:val="24"/>
          <w:szCs w:val="24"/>
          <w:lang w:val="en-US"/>
        </w:rPr>
        <w:t>mají více než 80%</w:t>
      </w:r>
      <w:r>
        <w:rPr>
          <w:rFonts w:cs="Times New Roman" w:ascii="Times New Roman" w:hAnsi="Times New Roman"/>
          <w:sz w:val="24"/>
          <w:szCs w:val="24"/>
        </w:rPr>
        <w:t xml:space="preserve"> registrovaných pedagogů,</w:t>
      </w:r>
      <w:r>
        <w:rPr>
          <w:rFonts w:cs="Times New Roman" w:ascii="Times New Roman" w:hAnsi="Times New Roman"/>
          <w:sz w:val="24"/>
          <w:szCs w:val="24"/>
          <w:lang w:val="en-US"/>
        </w:rPr>
        <w:t xml:space="preserve"> mohou být rodiny požádány o příspěvky navíc.</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Poplatky se liší, ale obecně plat</w:t>
      </w:r>
      <w:r>
        <w:rPr>
          <w:rFonts w:cs="Times New Roman" w:ascii="Times New Roman" w:hAnsi="Times New Roman"/>
          <w:sz w:val="24"/>
          <w:szCs w:val="24"/>
        </w:rPr>
        <w:t>í</w:t>
      </w:r>
      <w:r>
        <w:rPr>
          <w:rFonts w:cs="Times New Roman" w:ascii="Times New Roman" w:hAnsi="Times New Roman"/>
          <w:sz w:val="24"/>
          <w:szCs w:val="24"/>
          <w:lang w:val="en-US"/>
        </w:rPr>
        <w:t>, že v roce 2015 bylo ve velké většině mateřských škol účtovaných mezi $ 5-6 za hodinu, Playcentra účtovala až $ 50 za desetitýdenní semestr a zařízení domácí péče si účtovala kolem 4-6 $ za hodinu. Poplatky nemohou být účtovány       v době prázdnin či svátků ani jako správní poplatek za nabízenou službu.</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Rodiče mohou centra různě kombinovat a během jednoho dne třeba využít dvě zařízení. To jim umožňuje využít různé časy provozu. Většina center totiž funguje pouze po dobu 4-6 hodin, což pracujícím rodičům nevyhovuje, a tak rodiče zapisují své děti do v</w:t>
      </w:r>
      <w:r>
        <w:rPr>
          <w:rFonts w:cs="Times New Roman" w:ascii="Times New Roman" w:hAnsi="Times New Roman"/>
          <w:sz w:val="24"/>
          <w:szCs w:val="24"/>
        </w:rPr>
        <w:t>í</w:t>
      </w:r>
      <w:r>
        <w:rPr>
          <w:rFonts w:cs="Times New Roman" w:ascii="Times New Roman" w:hAnsi="Times New Roman"/>
          <w:sz w:val="24"/>
          <w:szCs w:val="24"/>
          <w:lang w:val="en-US"/>
        </w:rPr>
        <w:t>ce vzdělávacích institucí. Zajímavé je, že nejmenším časovým úsekem není 60 minut, nýbrž 30 minut. To znamená, že dítě může pobývat v jednom zařízení 2,5 hodiny a stejnou dobu v jiném. Celý 20 hodinový systém si organizují centra samotná. Rodiče vyplňují formuláře (viz příloha č. 3)    v daných centrech, kolik hodin tam jejich děti tráví. Také jsou povinni zapsat všechna další centra, kam jejich dítě dochází a dobu, kterou tam pobývá. Formulář musí být vyplněn před vlastním odesláním, zpětně 20 hodin nárokovat nelze. Centra poté zasílají tyto formuláře ministerstvu, které jim proplácí příspěvky dle oprávněného nároku. V případě překročení dotovaného limitu dvaceti hodin rodiče platí poplatky přímo v centru.</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Účelem programu 20 hodin předškolního vzdělávání je zpřístupnit vzdělávání více rodinám, respektive dětem.</w:t>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360"/>
        <w:jc w:val="both"/>
        <w:rPr>
          <w:rFonts w:ascii="Times New Roman" w:hAnsi="Times New Roman" w:cs="Times New Roman"/>
          <w:b/>
          <w:b/>
          <w:sz w:val="24"/>
          <w:szCs w:val="24"/>
          <w:lang w:val="en-US"/>
        </w:rPr>
      </w:pPr>
      <w:r>
        <w:rPr>
          <w:rFonts w:cs="Times New Roman" w:ascii="Times New Roman" w:hAnsi="Times New Roman"/>
          <w:b/>
          <w:sz w:val="24"/>
          <w:szCs w:val="24"/>
          <w:lang w:val="en-US"/>
        </w:rPr>
      </w:r>
      <w:r>
        <w:br w:type="page"/>
      </w:r>
    </w:p>
    <w:p>
      <w:pPr>
        <w:pStyle w:val="Nadpis1"/>
        <w:rPr/>
      </w:pPr>
      <w:r>
        <w:rPr/>
        <w:t xml:space="preserve">  </w:t>
      </w:r>
      <w:r>
        <w:rPr/>
        <w:t xml:space="preserve">2.7     Učitelé předškolního vzdělávání </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Nový Zéland disponuje v</w:t>
      </w:r>
      <w:r>
        <w:rPr>
          <w:rFonts w:cs="Times New Roman" w:ascii="Times New Roman" w:hAnsi="Times New Roman"/>
          <w:sz w:val="24"/>
          <w:szCs w:val="24"/>
        </w:rPr>
        <w:t>í</w:t>
      </w:r>
      <w:r>
        <w:rPr>
          <w:rFonts w:cs="Times New Roman" w:ascii="Times New Roman" w:hAnsi="Times New Roman"/>
          <w:sz w:val="24"/>
          <w:szCs w:val="24"/>
          <w:lang w:val="en-US"/>
        </w:rPr>
        <w:t>ce než 21000 registrovaných učitelů, z nichž 98% tvoří ženy (Education council, 2015). Dle výsledků Ministerstva školství se počet učitelů od roku 2002 více než zdvojnásobil.</w:t>
      </w:r>
    </w:p>
    <w:p>
      <w:pPr>
        <w:pStyle w:val="Normal"/>
        <w:spacing w:lineRule="auto" w:line="360"/>
        <w:ind w:firstLine="360"/>
        <w:jc w:val="both"/>
        <w:rPr>
          <w:rFonts w:ascii="Times New Roman" w:hAnsi="Times New Roman" w:cs="Times New Roman"/>
          <w:sz w:val="24"/>
          <w:szCs w:val="24"/>
          <w:lang w:val="en-US"/>
        </w:rPr>
      </w:pPr>
      <w:r>
        <w:rPr>
          <w:rFonts w:cs="Times New Roman" w:ascii="Times New Roman" w:hAnsi="Times New Roman"/>
          <w:sz w:val="24"/>
          <w:szCs w:val="24"/>
          <w:lang w:val="en-US"/>
        </w:rPr>
        <w:t>Ministerstvo školství spustilo program 5 z 5. Cílem tohoto programu je zajistit, aby se 5   z 5 dětí účastnilo předškolního vzdělávání a mělo z něj prospěch. Účelem tohoto nástroje je zajistit natolik příznivé prostředí a klima, aby všechny děti a jejich rodiny pocítily úspěch       z učení. Hlavními atributy v kontextu pěti z pěti jsou: uvědomění si, na čem záleží, vybudování silného  rodičovského zájmu,  angažovanosti - zapojení rodiny, individuální přístup, pozornost každému dítěti, zabezpečení úspěšných přechodů a umožnění růstu ostatních, přičemž za efektivního a dobrého vedoucího se považuje ten, který uvážlivě řídí a propojuje výše uvedené postupy.</w:t>
      </w:r>
    </w:p>
    <w:p>
      <w:pPr>
        <w:pStyle w:val="Nadpis2"/>
        <w:numPr>
          <w:ilvl w:val="2"/>
          <w:numId w:val="23"/>
        </w:numPr>
        <w:rPr/>
      </w:pPr>
      <w:r>
        <w:rPr/>
        <w:t xml:space="preserve"> </w:t>
      </w:r>
      <w:r>
        <w:rPr/>
        <w:t>Vzdělávání předškolních učitelů</w:t>
      </w:r>
    </w:p>
    <w:p>
      <w:pPr>
        <w:pStyle w:val="Normal"/>
        <w:rPr>
          <w:lang w:val="en-US"/>
        </w:rPr>
      </w:pPr>
      <w:r>
        <w:rPr>
          <w:lang w:val="en-US"/>
        </w:rPr>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 xml:space="preserve">Pedagogové na Novém Zélandě mají různé funkce i vzdělání. V následující kapitole bude obojí popsáno. </w:t>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 xml:space="preserve">Nejnižší, základní podmínkou kvalifikace předškolního učitele je </w:t>
      </w:r>
      <w:r>
        <w:rPr>
          <w:rFonts w:cs="Times New Roman" w:ascii="Times New Roman" w:hAnsi="Times New Roman"/>
          <w:b/>
          <w:sz w:val="24"/>
          <w:szCs w:val="24"/>
          <w:lang w:val="en-US"/>
        </w:rPr>
        <w:t>Diploma of Teaching</w:t>
      </w:r>
      <w:r>
        <w:rPr>
          <w:rFonts w:cs="Times New Roman" w:ascii="Times New Roman" w:hAnsi="Times New Roman"/>
          <w:sz w:val="24"/>
          <w:szCs w:val="24"/>
          <w:lang w:val="en-US"/>
        </w:rPr>
        <w:t xml:space="preserve">, jež se nachází na sedmé úrovni (z deseti) národní kvalifakční tabulky - NZQF - New Zealand qualification framework. Český ekvivalent k výše uvedenému akademickému titulu není známý, ale nejblíže je to zřejmě našemu vyššímu odbornému pedagogickému vzdělání. Společně s Diploma of Teaching mají stejnou kvalifikační úroveň ješte </w:t>
      </w:r>
      <w:r>
        <w:rPr>
          <w:rFonts w:cs="Times New Roman" w:ascii="Times New Roman" w:hAnsi="Times New Roman"/>
          <w:b/>
          <w:sz w:val="24"/>
          <w:szCs w:val="24"/>
          <w:lang w:val="en-US"/>
        </w:rPr>
        <w:t>Graduate Certificate</w:t>
      </w:r>
      <w:r>
        <w:rPr>
          <w:rFonts w:cs="Times New Roman" w:ascii="Times New Roman" w:hAnsi="Times New Roman"/>
          <w:sz w:val="24"/>
          <w:szCs w:val="24"/>
          <w:lang w:val="en-US"/>
        </w:rPr>
        <w:t xml:space="preserve"> a </w:t>
      </w:r>
      <w:r>
        <w:rPr>
          <w:rFonts w:cs="Times New Roman" w:ascii="Times New Roman" w:hAnsi="Times New Roman"/>
          <w:b/>
          <w:sz w:val="24"/>
          <w:szCs w:val="24"/>
          <w:lang w:val="en-US"/>
        </w:rPr>
        <w:t>Bachelor’s degree</w:t>
      </w:r>
      <w:r>
        <w:rPr>
          <w:rFonts w:cs="Times New Roman" w:ascii="Times New Roman" w:hAnsi="Times New Roman"/>
          <w:sz w:val="24"/>
          <w:szCs w:val="24"/>
          <w:lang w:val="en-US"/>
        </w:rPr>
        <w:t xml:space="preserve">. </w:t>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Předškolní vzdělávací instituce na Novém Zélandě mohou zaměstnat i nekvalifikované, vyškolené nebo studující zaměstnance, přičemž musí brát v úvahu minimální počet kvalifikovaných učitelů, který potřebují pro účely získání či udržení licence nebo                pro navýšení financování. Např. ve službách vedených učiteli dle Ministry of Education (1996) musí být 50 % učitelů kvalifikovaných a registrovaných.</w:t>
      </w:r>
    </w:p>
    <w:p>
      <w:pPr>
        <w:pStyle w:val="Normal"/>
        <w:tabs>
          <w:tab w:val="left" w:pos="2367" w:leader="none"/>
        </w:tabs>
        <w:spacing w:lineRule="auto" w:line="360"/>
        <w:jc w:val="both"/>
        <w:rPr>
          <w:rFonts w:ascii="Times New Roman" w:hAnsi="Times New Roman" w:cs="Times New Roman"/>
          <w:sz w:val="24"/>
          <w:szCs w:val="24"/>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Sedm</w:t>
      </w:r>
      <w:r>
        <w:rPr>
          <w:rFonts w:cs="Times New Roman" w:ascii="Times New Roman" w:hAnsi="Times New Roman"/>
          <w:sz w:val="24"/>
          <w:szCs w:val="24"/>
        </w:rPr>
        <w:t>á kvalifikační úroveň je charakterizována hlubokými specializovanými technickými nebo teoretickými znalostmi jednoho oboru nebo předmětu studia. Z dovedností potřebných k dosažení sedmé úrovně jsou uváděny - analýza, dovednost vymyslet řešení neznámých, komplexních problémů. Vybrat, přizpůsobit a aplikovat škálu procesů relevantních danému oboru. Absolvent této úrovně umí aplikovat do praxe pokročilé obecné dovednosti a/nebo specializované znalosti a dovednosti.</w:t>
      </w:r>
    </w:p>
    <w:p>
      <w:pPr>
        <w:pStyle w:val="Normal"/>
        <w:tabs>
          <w:tab w:val="left" w:pos="2367"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Pro srovnání jsou uvedeny nároky na první kvalifikační úroveň, která požaduje základní všeobecné znalosti. Z dovedností je zde zahrnuto základní řešení jednoduchých problémů a využití základních dovedností k provedení jednoduchých zadání. Implementace se týká především spolupráce s ostatními a zodpovědnosti za seberozvoj a vlastní učení.</w:t>
      </w:r>
    </w:p>
    <w:p>
      <w:pPr>
        <w:pStyle w:val="Normal"/>
        <w:tabs>
          <w:tab w:val="left" w:pos="2367"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b/>
          <w:sz w:val="24"/>
          <w:szCs w:val="24"/>
        </w:rPr>
        <w:t>Graduate diploma</w:t>
      </w:r>
      <w:r>
        <w:rPr>
          <w:rFonts w:cs="Times New Roman" w:ascii="Times New Roman" w:hAnsi="Times New Roman"/>
          <w:sz w:val="24"/>
          <w:szCs w:val="24"/>
        </w:rPr>
        <w:t xml:space="preserve"> umožňuje absolventům pokračovat ve studiích pokročilé vysokoškolské úrovně. Je typickou kvalifikací k pokračujícímu postgraduálnímu studiu a také zároveň rozšiřuje znalosti a dovednosti v již známém oboru nebo rozvíjí znalosti v nových oborech.</w:t>
      </w:r>
    </w:p>
    <w:p>
      <w:pPr>
        <w:pStyle w:val="Normal"/>
        <w:tabs>
          <w:tab w:val="left" w:pos="2367"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b/>
          <w:sz w:val="24"/>
          <w:szCs w:val="24"/>
        </w:rPr>
        <w:t>Graduate certificate</w:t>
      </w:r>
      <w:r>
        <w:rPr>
          <w:rFonts w:cs="Times New Roman" w:ascii="Times New Roman" w:hAnsi="Times New Roman"/>
          <w:sz w:val="24"/>
          <w:szCs w:val="24"/>
        </w:rPr>
        <w:t xml:space="preserve"> je určen především jako prostředek k dalšímu studiu na pokročilé vysokoškolské úrovni. Je kvalifikací pro postgraduální studia v oblasti vzdělávání, </w:t>
      </w:r>
      <w:r>
        <w:rPr>
          <w:rFonts w:cs="Times New Roman" w:ascii="Times New Roman" w:hAnsi="Times New Roman"/>
          <w:sz w:val="24"/>
          <w:szCs w:val="24"/>
          <w:lang w:val="en-US"/>
        </w:rPr>
        <w:t>odborných vědomostí v nové disciplíně či oboru a/nebo rozšíření a prohloubení dovedností či znalostí již získaných v předchozím studiu.</w:t>
      </w:r>
      <w:r>
        <w:rPr>
          <w:rFonts w:cs="Times New Roman" w:ascii="Times New Roman" w:hAnsi="Times New Roman"/>
          <w:sz w:val="24"/>
          <w:szCs w:val="24"/>
        </w:rPr>
        <w:t xml:space="preserve"> </w:t>
      </w:r>
    </w:p>
    <w:p>
      <w:pPr>
        <w:pStyle w:val="Normal"/>
        <w:tabs>
          <w:tab w:val="left" w:pos="2367"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b/>
          <w:sz w:val="24"/>
          <w:szCs w:val="24"/>
        </w:rPr>
        <w:t>Bachelor’s degree</w:t>
      </w:r>
      <w:r>
        <w:rPr>
          <w:rFonts w:cs="Times New Roman" w:ascii="Times New Roman" w:hAnsi="Times New Roman"/>
          <w:sz w:val="24"/>
          <w:szCs w:val="24"/>
        </w:rPr>
        <w:t xml:space="preserve"> poskytuje studentům systematicky a souvisle základní znalosti hlavního předmětu (nebo předmětů v případě dvojité aprobace), základní techniky sebeřízení a řízení práce a učení. Absolvent bakalářského studia je schopen prokázat myšlenkovou nezávislost a kritické myšlení, zapojit se do sebevzdělávání, prokázat znalosti a dovednosti související s principy, koncepty, hlavními výzkumnými metodami a metodami řešení problémů vybraného předmětu</w:t>
      </w:r>
      <w:r>
        <w:rPr>
          <w:rFonts w:cs="Times New Roman" w:ascii="Times New Roman" w:hAnsi="Times New Roman"/>
          <w:sz w:val="24"/>
          <w:szCs w:val="24"/>
          <w:lang w:val="en-US"/>
        </w:rPr>
        <w:t>,</w:t>
      </w:r>
      <w:r>
        <w:rPr>
          <w:rFonts w:cs="Times New Roman" w:ascii="Times New Roman" w:hAnsi="Times New Roman"/>
          <w:sz w:val="24"/>
          <w:szCs w:val="24"/>
        </w:rPr>
        <w:t xml:space="preserve"> prokázat dovednosti potřebné k získání, pochopení a vyhodnocení informací z různých zdrojů</w:t>
      </w:r>
      <w:r>
        <w:rPr>
          <w:rFonts w:cs="Times New Roman" w:ascii="Times New Roman" w:hAnsi="Times New Roman"/>
          <w:sz w:val="24"/>
          <w:szCs w:val="24"/>
          <w:lang w:val="en-US"/>
        </w:rPr>
        <w:t>,</w:t>
      </w:r>
      <w:r>
        <w:rPr>
          <w:rFonts w:cs="Times New Roman" w:ascii="Times New Roman" w:hAnsi="Times New Roman"/>
          <w:sz w:val="24"/>
          <w:szCs w:val="24"/>
        </w:rPr>
        <w:t xml:space="preserve"> ukázat komunikační a kooperační schopnosti (New Zealand government, 2016, NZQF dostupné z </w:t>
      </w:r>
      <w:r>
        <w:rPr>
          <w:rFonts w:cs="Times New Roman" w:ascii="Times New Roman" w:hAnsi="Times New Roman"/>
          <w:sz w:val="24"/>
          <w:szCs w:val="24"/>
          <w:lang w:val="en-US"/>
        </w:rPr>
        <w:t>&lt;</w:t>
      </w:r>
      <w:r>
        <w:rPr>
          <w:rFonts w:cs="Times New Roman" w:ascii="Times New Roman" w:hAnsi="Times New Roman"/>
          <w:sz w:val="24"/>
          <w:szCs w:val="24"/>
        </w:rPr>
        <w:t>http://www.nzqa.govt.nz/studying-in-new-zealand/understand-nz-quals/&gt;).</w:t>
      </w:r>
    </w:p>
    <w:p>
      <w:pPr>
        <w:pStyle w:val="Normal"/>
        <w:tabs>
          <w:tab w:val="left" w:pos="2367"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b/>
          <w:sz w:val="24"/>
          <w:szCs w:val="24"/>
        </w:rPr>
        <w:t>Pedagogické vzdělání</w:t>
      </w:r>
      <w:r>
        <w:rPr>
          <w:rFonts w:cs="Times New Roman" w:ascii="Times New Roman" w:hAnsi="Times New Roman"/>
          <w:sz w:val="24"/>
          <w:szCs w:val="24"/>
        </w:rPr>
        <w:t xml:space="preserve"> lze na Novém Zélandě získat na několika univerzitách, např. na Auckland university, Wellington university, Otago university, Waikato university v H/amiltonu, Canterburry university nebo Massey university v Palmerstonu.</w:t>
      </w:r>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ListParagraph"/>
        <w:numPr>
          <w:ilvl w:val="2"/>
          <w:numId w:val="23"/>
        </w:numPr>
        <w:rPr>
          <w:rFonts w:ascii="Times New Roman" w:hAnsi="Times New Roman" w:cs="Times New Roman"/>
          <w:b/>
          <w:b/>
          <w:sz w:val="28"/>
          <w:szCs w:val="28"/>
        </w:rPr>
      </w:pPr>
      <w:r>
        <w:rPr>
          <w:rFonts w:cs="Times New Roman" w:ascii="Times New Roman" w:hAnsi="Times New Roman"/>
          <w:b/>
          <w:sz w:val="28"/>
          <w:szCs w:val="28"/>
        </w:rPr>
        <w:t>Rozděl</w:t>
      </w:r>
      <w:r>
        <w:rPr>
          <w:rFonts w:cs="Times New Roman" w:ascii="Times New Roman" w:hAnsi="Times New Roman"/>
          <w:b/>
          <w:sz w:val="28"/>
          <w:szCs w:val="28"/>
        </w:rPr>
        <w:t>e</w:t>
      </w:r>
      <w:r>
        <w:rPr>
          <w:rFonts w:cs="Times New Roman" w:ascii="Times New Roman" w:hAnsi="Times New Roman"/>
          <w:b/>
          <w:sz w:val="28"/>
          <w:szCs w:val="28"/>
        </w:rPr>
        <w:t xml:space="preserve">ní předškolních učitelů </w:t>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 xml:space="preserve">Dle New Zealand Educational Institute </w:t>
      </w:r>
      <w:r>
        <w:rPr>
          <w:rFonts w:cs="Times New Roman" w:ascii="Times New Roman" w:hAnsi="Times New Roman"/>
          <w:sz w:val="24"/>
          <w:szCs w:val="24"/>
        </w:rPr>
        <w:t>(</w:t>
      </w:r>
      <w:r>
        <w:rPr>
          <w:rFonts w:cs="Times New Roman" w:ascii="Times New Roman" w:hAnsi="Times New Roman"/>
          <w:sz w:val="24"/>
          <w:szCs w:val="24"/>
          <w:lang w:val="en-US"/>
        </w:rPr>
        <w:t>2016) je rozdělení učitelů následující:</w:t>
      </w:r>
    </w:p>
    <w:p>
      <w:pPr>
        <w:pStyle w:val="Normal"/>
        <w:tabs>
          <w:tab w:val="left" w:pos="2367" w:leader="none"/>
        </w:tabs>
        <w:spacing w:lineRule="auto" w:line="360"/>
        <w:jc w:val="both"/>
        <w:rPr>
          <w:rFonts w:ascii="Times New Roman" w:hAnsi="Times New Roman" w:cs="Times New Roman"/>
          <w:b/>
          <w:b/>
          <w:sz w:val="24"/>
          <w:szCs w:val="24"/>
          <w:lang w:val="en-US"/>
        </w:rPr>
      </w:pPr>
      <w:r>
        <w:rPr>
          <w:rFonts w:cs="Times New Roman" w:ascii="Times New Roman" w:hAnsi="Times New Roman"/>
          <w:b/>
          <w:sz w:val="24"/>
          <w:szCs w:val="24"/>
          <w:lang w:val="en-US"/>
        </w:rPr>
        <w:t>Senior Učitel</w:t>
      </w:r>
      <w:r>
        <w:rPr>
          <w:rFonts w:cs="Times New Roman" w:ascii="Times New Roman" w:hAnsi="Times New Roman"/>
          <w:sz w:val="24"/>
          <w:szCs w:val="24"/>
          <w:lang w:val="en-US"/>
        </w:rPr>
        <w:t xml:space="preserve"> /</w:t>
      </w:r>
      <w:r>
        <w:rPr>
          <w:rFonts w:cs="Times New Roman" w:ascii="Times New Roman" w:hAnsi="Times New Roman"/>
          <w:b/>
          <w:sz w:val="24"/>
          <w:szCs w:val="24"/>
          <w:lang w:val="en-US"/>
        </w:rPr>
        <w:t xml:space="preserve"> Tumuaki</w:t>
      </w:r>
      <w:r>
        <w:rPr>
          <w:rFonts w:cs="Times New Roman" w:ascii="Times New Roman" w:hAnsi="Times New Roman"/>
          <w:sz w:val="24"/>
          <w:szCs w:val="24"/>
          <w:lang w:val="en-US"/>
        </w:rPr>
        <w:t xml:space="preserve"> je kvalifikovaný a certifikovaný učitel, který je nejvýše postaveným učitelem v oblasti předškolního vzdělávání. Je pedagogickým vůdcem a nese největší zodpovědnost za každodenní provoz.</w:t>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b/>
          <w:sz w:val="24"/>
          <w:szCs w:val="24"/>
          <w:lang w:val="en-US"/>
        </w:rPr>
        <w:t>Hlavní učitel / Kaiako Kaiarahi</w:t>
      </w:r>
      <w:r>
        <w:rPr>
          <w:rFonts w:cs="Times New Roman" w:ascii="Times New Roman" w:hAnsi="Times New Roman"/>
          <w:sz w:val="24"/>
          <w:szCs w:val="24"/>
          <w:lang w:val="en-US"/>
        </w:rPr>
        <w:t xml:space="preserve"> je kvalifikovaný a certifikovaný učitel, který je přímo zodpovědný za zaměstnance, ať již v rámci svého pracovního místa nebo detašovaného pracoviště. Senior učitel deleguje hlavnímu učiteli úkoly. Ne každé centrum vzdělávání disponuje touto pozicí.</w:t>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b/>
          <w:sz w:val="24"/>
          <w:szCs w:val="24"/>
          <w:lang w:val="en-US"/>
        </w:rPr>
        <w:t>Asistent hlavního učitele / Kaiako</w:t>
      </w:r>
      <w:r>
        <w:rPr>
          <w:rFonts w:cs="Times New Roman" w:ascii="Times New Roman" w:hAnsi="Times New Roman"/>
          <w:sz w:val="24"/>
          <w:szCs w:val="24"/>
          <w:lang w:val="en-US"/>
        </w:rPr>
        <w:t xml:space="preserve"> Tuatahi je kvalifikovaný a certifikovaný učitel, který spadá přímo pod senior a hlavního učitele. Ani asistenti hlavního učitele nemusí být v každém vzdělávacím zařízení.</w:t>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b/>
          <w:sz w:val="24"/>
          <w:szCs w:val="24"/>
          <w:lang w:val="en-US"/>
        </w:rPr>
        <w:t>Učitel předškolního vzdělávání / Kaiako</w:t>
      </w:r>
      <w:r>
        <w:rPr>
          <w:rFonts w:cs="Times New Roman" w:ascii="Times New Roman" w:hAnsi="Times New Roman"/>
          <w:sz w:val="24"/>
          <w:szCs w:val="24"/>
          <w:lang w:val="en-US"/>
        </w:rPr>
        <w:t xml:space="preserve"> je zapojen do vzdělávání a péče o děti                    v předškolním zařízení.</w:t>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b/>
          <w:sz w:val="24"/>
          <w:szCs w:val="24"/>
          <w:lang w:val="en-US"/>
        </w:rPr>
        <w:t>Vedoucí vzdělávání</w:t>
      </w:r>
      <w:r>
        <w:rPr>
          <w:rFonts w:cs="Times New Roman" w:ascii="Times New Roman" w:hAnsi="Times New Roman"/>
          <w:sz w:val="24"/>
          <w:szCs w:val="24"/>
          <w:lang w:val="en-US"/>
        </w:rPr>
        <w:t xml:space="preserve"> v domácím prostředí je kvalifikovaný a certifikovaný učitel, který je přímo zodpovědný za zaměstnance a který má odpovědnost za průběh domácího vzdělávání. </w:t>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b/>
          <w:sz w:val="24"/>
          <w:szCs w:val="24"/>
          <w:lang w:val="en-US"/>
        </w:rPr>
        <w:t>Hostující pedagog</w:t>
      </w:r>
      <w:r>
        <w:rPr>
          <w:rFonts w:cs="Times New Roman" w:ascii="Times New Roman" w:hAnsi="Times New Roman"/>
          <w:sz w:val="24"/>
          <w:szCs w:val="24"/>
          <w:lang w:val="en-US"/>
        </w:rPr>
        <w:t xml:space="preserve"> je kvalifikovaný a certifikovaný učitel, jehož povinnosti zahrnují výběr, monitorování a podporu pečovatelům a vychovatelům působícím v rámci sítě domácího vzdělávání.</w:t>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b/>
          <w:sz w:val="24"/>
          <w:szCs w:val="24"/>
          <w:lang w:val="en-US"/>
        </w:rPr>
        <w:t>Kvalifikovanou</w:t>
      </w:r>
      <w:r>
        <w:rPr>
          <w:rFonts w:cs="Times New Roman" w:ascii="Times New Roman" w:hAnsi="Times New Roman"/>
          <w:sz w:val="24"/>
          <w:szCs w:val="24"/>
          <w:lang w:val="en-US"/>
        </w:rPr>
        <w:t xml:space="preserve"> se rozumí taková osoba, která má aprobaci pro předškolní vzdělávání uznanou Radou pro vzdělávání na Novém Zélandu. Učitel p</w:t>
      </w:r>
      <w:r>
        <w:rPr>
          <w:rFonts w:cs="Times New Roman" w:ascii="Times New Roman" w:hAnsi="Times New Roman"/>
          <w:sz w:val="24"/>
          <w:szCs w:val="24"/>
        </w:rPr>
        <w:t>ř</w:t>
      </w:r>
      <w:r>
        <w:rPr>
          <w:rFonts w:cs="Times New Roman" w:ascii="Times New Roman" w:hAnsi="Times New Roman"/>
          <w:sz w:val="24"/>
          <w:szCs w:val="24"/>
          <w:lang w:val="en-US"/>
        </w:rPr>
        <w:t xml:space="preserve">edškolního vzdělávání je klasifikován jako kvalifikovaný pouze, když je držitelem platného osvědčení. </w:t>
      </w:r>
    </w:p>
    <w:p>
      <w:pPr>
        <w:pStyle w:val="Normal"/>
        <w:tabs>
          <w:tab w:val="left" w:pos="2367" w:leader="none"/>
        </w:tabs>
        <w:spacing w:lineRule="auto" w:line="360"/>
        <w:jc w:val="both"/>
        <w:rPr>
          <w:rFonts w:ascii="Times New Roman" w:hAnsi="Times New Roman" w:cs="Times New Roman"/>
          <w:sz w:val="24"/>
          <w:szCs w:val="24"/>
          <w:highlight w:val="white"/>
        </w:rPr>
      </w:pPr>
      <w:r>
        <w:rPr>
          <w:rFonts w:cs="Times New Roman" w:ascii="Times New Roman" w:hAnsi="Times New Roman"/>
          <w:sz w:val="24"/>
          <w:szCs w:val="24"/>
          <w:shd w:fill="FFFFFF" w:val="clear"/>
        </w:rPr>
        <w:t xml:space="preserve">     </w:t>
      </w:r>
      <w:r>
        <w:rPr>
          <w:rFonts w:cs="Times New Roman" w:ascii="Times New Roman" w:hAnsi="Times New Roman"/>
          <w:sz w:val="24"/>
          <w:szCs w:val="24"/>
          <w:shd w:fill="FFFFFF" w:val="clear"/>
        </w:rPr>
        <w:t xml:space="preserve">Pracovní doba učitelů je 40 hodin týdně (nejsou v ní zahrnuty pracovní porady). Mají ji rozdělenou na „contact time“ a „non-contact time“, tedy přímou a nepřímou práci s dětmi. Pracovní doba se vztahuje na pracovní týden, tedy od pondělí do pátku mezi sedmou hodinou ranní a šestou hodinou večerní. Nepřímá pracovní doba tvoří 12,5 % celkového času               a při plném úvazku 40 hodin tak činí 5 hodin týdně. V rámci nepřímé pracovní náplně učitel provádí hodnocení práce, plánuje, připravuje aktivity, ale také čas využívá k administraci či kontaktu s rodiči. Pracovní doba je nepřetržitá se dvěma desetiminutovými osvěžovacími přestávkami - ráno a odpoledne </w:t>
      </w:r>
      <w:r>
        <w:rPr>
          <w:rFonts w:cs="Times New Roman" w:ascii="Times New Roman" w:hAnsi="Times New Roman"/>
          <w:sz w:val="24"/>
          <w:szCs w:val="24"/>
          <w:shd w:fill="FFFFFF" w:val="clear"/>
          <w:lang w:val="en-US"/>
        </w:rPr>
        <w:t>-</w:t>
      </w:r>
      <w:r>
        <w:rPr>
          <w:rFonts w:cs="Times New Roman" w:ascii="Times New Roman" w:hAnsi="Times New Roman"/>
          <w:sz w:val="24"/>
          <w:szCs w:val="24"/>
          <w:shd w:fill="FFFFFF" w:val="clear"/>
        </w:rPr>
        <w:t xml:space="preserve"> a hodinovou pauzou na oběd. Pauzu na oběd si učitel musí vybrat mezi jedenáctou hodinou dopolední a půl třetí odpoledne. Žádný učitel nesmí být déle než tři hodiny bez osvěžovací pauzy a déle než pět hodin bez přestávky na oběd (New Zealand Educational Institute, 2016).</w:t>
      </w:r>
    </w:p>
    <w:p>
      <w:pPr>
        <w:pStyle w:val="Normal"/>
        <w:tabs>
          <w:tab w:val="left" w:pos="2367" w:leader="none"/>
        </w:tabs>
        <w:spacing w:lineRule="auto" w:line="360"/>
        <w:jc w:val="both"/>
        <w:rPr>
          <w:rFonts w:ascii="Times New Roman" w:hAnsi="Times New Roman" w:cs="Times New Roman"/>
          <w:sz w:val="24"/>
          <w:szCs w:val="24"/>
          <w:highlight w:val="white"/>
        </w:rPr>
      </w:pPr>
      <w:r>
        <w:rPr>
          <w:rFonts w:cs="Times New Roman" w:ascii="Times New Roman" w:hAnsi="Times New Roman"/>
          <w:sz w:val="24"/>
          <w:szCs w:val="24"/>
          <w:shd w:fill="FFFFFF" w:val="clear"/>
        </w:rPr>
        <w:t xml:space="preserve">     </w:t>
      </w:r>
      <w:r>
        <w:rPr>
          <w:rFonts w:cs="Times New Roman" w:ascii="Times New Roman" w:hAnsi="Times New Roman"/>
          <w:sz w:val="24"/>
          <w:szCs w:val="24"/>
          <w:shd w:fill="FFFFFF" w:val="clear"/>
        </w:rPr>
        <w:t xml:space="preserve">Každý z učitelů pracujících na plný úvazek má nárok na </w:t>
      </w:r>
      <w:r>
        <w:rPr>
          <w:rFonts w:cs="Times New Roman" w:ascii="Times New Roman" w:hAnsi="Times New Roman"/>
          <w:b/>
          <w:sz w:val="24"/>
          <w:szCs w:val="24"/>
          <w:shd w:fill="FFFFFF" w:val="clear"/>
        </w:rPr>
        <w:t>4 týdny dovolené</w:t>
      </w:r>
      <w:r>
        <w:rPr>
          <w:rFonts w:cs="Times New Roman" w:ascii="Times New Roman" w:hAnsi="Times New Roman"/>
          <w:sz w:val="24"/>
          <w:szCs w:val="24"/>
          <w:shd w:fill="FFFFFF" w:val="clear"/>
        </w:rPr>
        <w:t>, přičemž mu zaměstnavatel musí umožnit využít dva týdny vcelku „ibid“. Vzhledem k tomu, že předškolní instituce jsou v provozu čtyřicet týdnů v roce, část volna mezi jednolivými semestry je taktéž „dovolená“ pro učitele. Množství volna se liší zařízení od zařízení, kupříkladu statní instituce mají volna více, soukromá předškolní zařízení fungují víceméně celoročně.</w:t>
      </w:r>
    </w:p>
    <w:p>
      <w:pPr>
        <w:pStyle w:val="Normal"/>
        <w:tabs>
          <w:tab w:val="left" w:pos="2367" w:leader="none"/>
        </w:tabs>
        <w:spacing w:lineRule="auto" w:line="360"/>
        <w:jc w:val="both"/>
        <w:rPr>
          <w:rFonts w:ascii="Times New Roman" w:hAnsi="Times New Roman" w:cs="Times New Roman"/>
          <w:sz w:val="24"/>
          <w:szCs w:val="24"/>
          <w:highlight w:val="white"/>
        </w:rPr>
      </w:pPr>
      <w:r>
        <w:rPr>
          <w:rFonts w:cs="Times New Roman" w:ascii="Times New Roman" w:hAnsi="Times New Roman"/>
          <w:sz w:val="24"/>
          <w:szCs w:val="24"/>
          <w:shd w:fill="FFFFFF" w:val="clear"/>
        </w:rPr>
        <w:t xml:space="preserve">     </w:t>
      </w:r>
      <w:r>
        <w:rPr>
          <w:rFonts w:cs="Times New Roman" w:ascii="Times New Roman" w:hAnsi="Times New Roman"/>
          <w:b/>
          <w:sz w:val="24"/>
          <w:szCs w:val="24"/>
          <w:shd w:fill="FFFFFF" w:val="clear"/>
        </w:rPr>
        <w:t>Platy učitelů</w:t>
      </w:r>
      <w:r>
        <w:rPr>
          <w:rFonts w:cs="Times New Roman" w:ascii="Times New Roman" w:hAnsi="Times New Roman"/>
          <w:sz w:val="24"/>
          <w:szCs w:val="24"/>
          <w:shd w:fill="FFFFFF" w:val="clear"/>
        </w:rPr>
        <w:t xml:space="preserve"> jsou ovlivněny několika faktory - kromě kvalifikace ještě záleží na počtu dětí, počtu podřízených pracovníků a také na délce předchozí profesní zkušenosti. Pro představu: průměrný roční plat učitele na seniorské pozici se pohybuje mezi </w:t>
      </w:r>
      <w:r>
        <w:rPr>
          <w:rFonts w:cs="Times New Roman" w:ascii="Times New Roman" w:hAnsi="Times New Roman"/>
          <w:sz w:val="24"/>
          <w:szCs w:val="24"/>
        </w:rPr>
        <w:t>$73,572 a $96,776, což je více než jeden a čtvrt milionu korun v prvním případě. Průměrný plat řadového učitele / Kaiako se pohybuje mezi $40,863 a $69,710 při dosažení nejvyšší možné kvalifikace.</w:t>
      </w:r>
      <w:r>
        <w:rPr/>
        <w:t xml:space="preserve"> </w:t>
      </w:r>
      <w:r>
        <w:rPr>
          <w:rFonts w:cs="Times New Roman" w:ascii="Times New Roman" w:hAnsi="Times New Roman"/>
          <w:sz w:val="24"/>
          <w:szCs w:val="24"/>
        </w:rPr>
        <w:t xml:space="preserve"> Dle NZEI plánů platy v roce 2017 porostou „ibid“.</w:t>
      </w:r>
    </w:p>
    <w:p>
      <w:pPr>
        <w:pStyle w:val="Normal"/>
        <w:tabs>
          <w:tab w:val="left" w:pos="2367" w:leader="none"/>
        </w:tabs>
        <w:spacing w:lineRule="auto" w:line="360"/>
        <w:jc w:val="both"/>
        <w:rPr>
          <w:rFonts w:ascii="Times New Roman" w:hAnsi="Times New Roman" w:cs="Times New Roman"/>
          <w:sz w:val="24"/>
          <w:szCs w:val="24"/>
          <w:shd w:fill="FFFFFF" w:val="clear"/>
          <w:lang w:val="en-US"/>
        </w:rPr>
      </w:pPr>
      <w:r>
        <w:rPr>
          <w:rFonts w:cs="Times New Roman" w:ascii="Times New Roman" w:hAnsi="Times New Roman"/>
          <w:sz w:val="24"/>
          <w:szCs w:val="24"/>
          <w:shd w:fill="FFFFFF" w:val="clear"/>
          <w:lang w:val="en-US"/>
        </w:rPr>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r>
      <w:r>
        <w:br w:type="page"/>
      </w:r>
    </w:p>
    <w:p>
      <w:pPr>
        <w:pStyle w:val="Nadpis1"/>
        <w:rPr/>
      </w:pPr>
      <w:bookmarkStart w:id="0" w:name="_GoBack"/>
      <w:bookmarkEnd w:id="0"/>
      <w:r>
        <w:rPr/>
        <w:t>2.8     Srovnání českého a novozélandského vzdělávacího systému</w:t>
      </w:r>
    </w:p>
    <w:p>
      <w:pPr>
        <w:pStyle w:val="Normal"/>
        <w:spacing w:lineRule="auto" w:line="360"/>
        <w:ind w:firstLine="360"/>
        <w:jc w:val="both"/>
        <w:rPr>
          <w:rFonts w:ascii="Times New Roman" w:hAnsi="Times New Roman" w:cs="Times New Roman"/>
          <w:sz w:val="24"/>
          <w:szCs w:val="24"/>
        </w:rPr>
      </w:pPr>
      <w:r>
        <w:rPr>
          <w:rFonts w:cs="Times New Roman" w:ascii="Times New Roman" w:hAnsi="Times New Roman"/>
          <w:sz w:val="24"/>
          <w:szCs w:val="24"/>
        </w:rPr>
        <w:t xml:space="preserve">První rozdíl je ve </w:t>
      </w:r>
      <w:r>
        <w:rPr>
          <w:rFonts w:cs="Times New Roman" w:ascii="Times New Roman" w:hAnsi="Times New Roman"/>
          <w:b/>
          <w:sz w:val="24"/>
          <w:szCs w:val="24"/>
        </w:rPr>
        <w:t>věku</w:t>
      </w:r>
      <w:r>
        <w:rPr>
          <w:rFonts w:cs="Times New Roman" w:ascii="Times New Roman" w:hAnsi="Times New Roman"/>
          <w:sz w:val="24"/>
          <w:szCs w:val="24"/>
        </w:rPr>
        <w:t>, ve kterém jsou děti přijímany k předškolnímu vzdělávání. Zatímco u nás bude povinností přijímat dvouleté děti až od roku 2020, na Novém Zélandě je to již standard u státních vzdělávacích institucí. Někeré organizace přijímají i děti mladší dvou let. Do školy děti zpravidla nastupují následující den po dovršení pátých narozenin, ale je možné nastoupit kdykoliv mezi pátým a šestým rokem, nejpozději však před dovršením šesti let. Díky tomu se běžně stává, že děti opouší předškolní vzdělávání v průběhu roku a stejně tak průběžně přicházejí do školy, do první třídy, z čehož vyplývá, že učitelé prvních tříd skutečně musejí k dětem a učení přistupovat velmi individuálně.</w:t>
      </w:r>
    </w:p>
    <w:p>
      <w:pPr>
        <w:pStyle w:val="Normal"/>
        <w:spacing w:lineRule="auto" w:line="36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Školní rok</w:t>
      </w:r>
      <w:r>
        <w:rPr>
          <w:rFonts w:cs="Times New Roman" w:ascii="Times New Roman" w:hAnsi="Times New Roman"/>
          <w:sz w:val="24"/>
          <w:szCs w:val="24"/>
        </w:rPr>
        <w:t xml:space="preserve"> má na Novém Zélandě jiné časové členění a v podstatě koresponduje se školními semestry. Vzdělávací období, semestry, jsou čtyři, obvykle trvají deset týdnů a        po každém semestru následují dva týdny volna. Koncem prosince začínají delší prázdniny, které trvají jeden měsíc.</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Dalším podstatným rozdílem a v podstatě světovým unikátem je </w:t>
      </w:r>
      <w:r>
        <w:rPr>
          <w:rFonts w:cs="Times New Roman" w:ascii="Times New Roman" w:hAnsi="Times New Roman"/>
          <w:b/>
          <w:sz w:val="24"/>
          <w:szCs w:val="24"/>
        </w:rPr>
        <w:t>bikulturalita novozélandského kurikula</w:t>
      </w:r>
      <w:r>
        <w:rPr>
          <w:rFonts w:cs="Times New Roman" w:ascii="Times New Roman" w:hAnsi="Times New Roman"/>
          <w:sz w:val="24"/>
          <w:szCs w:val="24"/>
        </w:rPr>
        <w:t xml:space="preserve"> vycházející ze sociokulturního prostředí a historie země. Zrovnoprávňuje vzdělávání Maorů a Pākehā (Novozélanďanů nemaorského původu), respektive váží si tradic a historie Maorů a má zájem na tom, aby se jejch kulturní bohatsví, včetně jazyka, předávalo dalším generacím, což je zajištěno především tím, že učitelé kromě standardních předmětů skládají zkoušku i z maorštiny, ze znalostí maorské kultury a zvyků. Vše zmíněné je poté používáno a aplikováno v předškolních zařízeních, kde jsou děti jak maorské, tak pākehā. Z rozhovoru s Jenny Ritchie (univerzitní profesorkou zabývající se podporou vzdělávání učitelů, autorkou mnoha publikací se zaměřením na předškolní vzdělávání a výchovu a zkušenou předškolní pedagožkou) vyplývá, že ani zkoušky               na univerzitách nezaručují dostatečnou znalost maorštiny a maorské kultury a tudíž není        ve skutečnosti zaručeno zachování kulturního dědictví Maorů v rozsahu, jak je o něm psáno. Maoři tvoří pouze 15 % populace a pouze 18 % Maorů plynule hovoří vlastním jazykem důsledkem kolonizace, pročež je obtížné zaručit vysokou úroveň maorštiny dokonce v Kohanga Reo. Stejně jako v České republice je kurikulum pouze rámcové, nepředepisuje, pouze nabízí možnosti a dává prostor učitelům. </w:t>
      </w:r>
    </w:p>
    <w:p>
      <w:pPr>
        <w:pStyle w:val="Normal"/>
        <w:spacing w:lineRule="auto" w:line="360"/>
        <w:ind w:firstLine="708"/>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360"/>
        <w:jc w:val="both"/>
        <w:rPr>
          <w:rFonts w:ascii="Times New Roman" w:hAnsi="Times New Roman" w:cs="Times New Roman"/>
          <w:sz w:val="24"/>
          <w:szCs w:val="24"/>
          <w:lang w:val="en-US"/>
        </w:rPr>
      </w:pPr>
      <w:r>
        <w:rPr>
          <w:rFonts w:cs="Times New Roman" w:ascii="Times New Roman" w:hAnsi="Times New Roman"/>
          <w:sz w:val="24"/>
          <w:szCs w:val="24"/>
        </w:rPr>
        <w:t xml:space="preserve">     </w:t>
      </w:r>
      <w:r>
        <w:rPr>
          <w:rFonts w:cs="Times New Roman" w:ascii="Times New Roman" w:hAnsi="Times New Roman"/>
          <w:sz w:val="24"/>
          <w:szCs w:val="24"/>
        </w:rPr>
        <w:t>Jak Nový Zéland, tak Česká republika mají různorodou škálu předškolních výchovně vzdělávacích, či pečovatelských zařízení. Na Novém Zélandě je základním kritériem členění na služby vedené učiteli a služby vedené rodiči, konkrétně tedy Mateřské školy, vzdělávání v domácím prostředí, centra pro vzdělávání a péči, respektive hrací centra, Te Kōhanga reo, dětské kroužky, Nga Puna Kōhungahunga či společenství tichomořských ostrovů. Většina z výše uvedených zařízení vlastní licenci a spadá tak pod ministerstvo školství. V naší zemi do vzdělávacích předškolních zařízení patří kromě státních mateřských škol, kterých je nejvíce, i soukromé mateřské školy, Montessori, Waldorfské či lesní školy. Pro děti ve věku od šesti měsíců do čtyř let věku existují mikrojesle spadající pod ministerstvo práce a sociálních věcí a dále jsou to jesle, dříve spadající pod ministerstvo zdravotnictví, které se sarají o děti od šesti měsíců do tří let. Mezi předškolní zařízení výchovného či vzdělávacího charakteru patří dále mateřská centra, která po revoluci založila Rút Kolínská a bezpochyby i rodinná centra.</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Obě země, a troufám si říci, že i každá jiná, se snaží o </w:t>
      </w:r>
      <w:r>
        <w:rPr>
          <w:rFonts w:cs="Times New Roman" w:ascii="Times New Roman" w:hAnsi="Times New Roman"/>
          <w:b/>
          <w:sz w:val="24"/>
          <w:szCs w:val="24"/>
        </w:rPr>
        <w:t>výchovu sebevědomých lidí,</w:t>
      </w:r>
      <w:r>
        <w:rPr>
          <w:rFonts w:cs="Times New Roman" w:ascii="Times New Roman" w:hAnsi="Times New Roman"/>
          <w:sz w:val="24"/>
          <w:szCs w:val="24"/>
        </w:rPr>
        <w:t xml:space="preserve"> samostatných jak v myšlení, tak v jednání, se schopností řešit problémy a rozhodovat se samostatně. Nový Zéland k tomu používá trochu jiných způsobů, respektive cesta k výše uvedenému vede přes hluboký, opravdový a tolerantní vztah v rámci rodiny a šířeji i v rámci okolí, ve kterém se dítě pohybuje, tedy i v rámci předškolního vzdělávání.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Dle Tesar (2016) by obsah vzdělávání konkrétních společenství měl odrážet místní zvláštnosti, měl by reagovat na názory rodičů i samotných učitelů a v neposlední řadě by měl zohledňovat děti, které svými nápady přizpůsobují či mění směr vzdělávacího obsahu. Děti spoluutvářejí program. </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To, co se u nás teprve buduje, je na Novém Zélandě zažitý standard - </w:t>
      </w:r>
      <w:r>
        <w:rPr>
          <w:rFonts w:cs="Times New Roman" w:ascii="Times New Roman" w:hAnsi="Times New Roman"/>
          <w:b/>
          <w:sz w:val="24"/>
          <w:szCs w:val="24"/>
        </w:rPr>
        <w:t>rodiče</w:t>
      </w:r>
      <w:r>
        <w:rPr>
          <w:rFonts w:cs="Times New Roman" w:ascii="Times New Roman" w:hAnsi="Times New Roman"/>
          <w:sz w:val="24"/>
          <w:szCs w:val="24"/>
        </w:rPr>
        <w:t xml:space="preserve"> jsou pevnou a neodmyslitelnou součástí předškolního i školního vzdělávání. Rodiče mohou navštěvovat vzdělávací prostory, mohou se kdykoliv zúčastnit programu a často promlouvají s učiteli. Dle Tesar (2016) je nutné vytvořit prostor spolupráce tak, aby rodiče chtěli být součástí, což je dle mého názoru inspirující.</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Kromě rozdílného přístupu rodičů a rodin ke vzdělání se systémy liší také v hodnocení dětí. U nás jsou převážně používány standardizované diagnostické archy, jejichž části korespondují s hlavními oblastmi RVP PV - Dítě a jeho tělo, Dítě a jeho psychika, Dítě a ten druhý, Dítě a svět a Dítě a společnost, které jsou doplněny o kresby či pracovní listy. Dle věku jsou jednotlivé nároky přizpůsobeny. Nový Zéland v zásadě nemá obdobu standardizovaného diagnostického nástroje. Na Novém Zélandě se používají zejména fotografie, výtvarné práce, ale především učební příběhy a souhrny toho, co se dítě učí. V souhrnech je zahrnuto pět částí, které korespondují se základními principy kurikula - komunikace, objevování, zdraví, sounáležitost, přispívání.</w:t>
      </w:r>
    </w:p>
    <w:p>
      <w:pPr>
        <w:pStyle w:val="Normal"/>
        <w:spacing w:lineRule="auto" w:line="36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Učební příběhy</w:t>
      </w:r>
      <w:r>
        <w:rPr>
          <w:rFonts w:cs="Times New Roman" w:ascii="Times New Roman" w:hAnsi="Times New Roman"/>
          <w:sz w:val="24"/>
          <w:szCs w:val="24"/>
        </w:rPr>
        <w:t xml:space="preserve"> jsou komplexnější formulací stavu, neboť pouze holý fakt nevypoví  o dovednostech a průběhu zlepšování tolik, co příběh, ze kterého se dá vyčíst počáteční stav, průběh i závěrečná, „výstupní“ fáze. Na druhou stranu je nutno říci, že v podmínkách (poměr počtu dítě-učitel), které jsou u nás nastaveny, to není dost dobře možné. Tím se dostáváme k dalšímu zásadnímu rozdílu mezi našimi systémy, a tím jsou již zmíněné poměry. Zatímco   u nás je jeden učitel zodpovědný za 24 dětí, na Novém Zélandě je </w:t>
      </w:r>
      <w:r>
        <w:rPr>
          <w:rFonts w:cs="Times New Roman" w:ascii="Times New Roman" w:hAnsi="Times New Roman"/>
          <w:b/>
          <w:sz w:val="24"/>
          <w:szCs w:val="24"/>
        </w:rPr>
        <w:t>poměr 1 učitel na 10 dětí</w:t>
      </w:r>
      <w:r>
        <w:rPr>
          <w:rFonts w:cs="Times New Roman" w:ascii="Times New Roman" w:hAnsi="Times New Roman"/>
          <w:sz w:val="24"/>
          <w:szCs w:val="24"/>
        </w:rPr>
        <w:t xml:space="preserve"> starších dvou let a v případě, že instituce přijímají i mladší děti, poměr je 1 učitel na 5 dětí, které nedosáhly dvou let věku. Kvalitnější instituce se snaží udržovat starší normy, které byly ještě přívětivější, a to 1 učitel na 8 dětí nad dva roky a 1 učitel na 4 děti, které nedosáhly druhého roku. Např. při počtu 25 dětí, z nichž 6 je mladších dvou let, jsou tedy přítomni 4 učitelé, což je v České republice utopií.</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Od osmdesátých let dochazí k postupnému vzestupu neoliberalismu, který pobízí a nutí ženy několik měsíců po porodu zpět do práce. Důsledkem jsou mladší a </w:t>
      </w:r>
      <w:r>
        <w:rPr>
          <w:rFonts w:cs="Times New Roman" w:ascii="Times New Roman" w:hAnsi="Times New Roman"/>
          <w:b/>
          <w:sz w:val="24"/>
          <w:szCs w:val="24"/>
        </w:rPr>
        <w:t>mladší děti v předškolních zařízeních</w:t>
      </w:r>
      <w:r>
        <w:rPr>
          <w:rFonts w:cs="Times New Roman" w:ascii="Times New Roman" w:hAnsi="Times New Roman"/>
          <w:sz w:val="24"/>
          <w:szCs w:val="24"/>
        </w:rPr>
        <w:t>. Toto téma, stejně jako u nás, je předmětem mnohých debat a rozmluv vyvolávajících nejednotné názory a zjitřujících emoce.</w:t>
      </w:r>
    </w:p>
    <w:p>
      <w:pPr>
        <w:pStyle w:val="Normal"/>
        <w:spacing w:lineRule="auto" w:line="36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Financování</w:t>
      </w:r>
      <w:r>
        <w:rPr>
          <w:rFonts w:cs="Times New Roman" w:ascii="Times New Roman" w:hAnsi="Times New Roman"/>
          <w:sz w:val="24"/>
          <w:szCs w:val="24"/>
        </w:rPr>
        <w:t xml:space="preserve"> předškolního vzdělávání se také liší. Na Novém Zélandě běží program 20 předškolních hodin, který zajišťuje a hradí každému dítěti ve věku od dvou do pěti let 20 bezplatných hodin týdně v předškolních zařízeních. Děti, případně rodiče s dětmi mohou tato zařízení kombinovat během dne a nejkratší čaosvý interval započítávaný do 20 předškolních hodin je půl hodiny. Je možné tedy dát dítě např. do Kindergarten na 2,5 hodiny a pak s ním zajít na 1,5 hodiny do hrací skupiny.</w:t>
      </w:r>
    </w:p>
    <w:p>
      <w:pPr>
        <w:pStyle w:val="Normal"/>
        <w:spacing w:lineRule="auto" w:line="360"/>
        <w:jc w:val="both"/>
        <w:rPr>
          <w:rFonts w:ascii="Times New Roman" w:hAnsi="Times New Roman" w:cs="Times New Roman"/>
          <w:b/>
          <w:b/>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Podíváme-li se na </w:t>
      </w:r>
      <w:r>
        <w:rPr>
          <w:rFonts w:cs="Times New Roman" w:ascii="Times New Roman" w:hAnsi="Times New Roman"/>
          <w:b/>
          <w:sz w:val="24"/>
          <w:szCs w:val="24"/>
        </w:rPr>
        <w:t>rozdělení pedagogů</w:t>
      </w:r>
      <w:r>
        <w:rPr>
          <w:rFonts w:cs="Times New Roman" w:ascii="Times New Roman" w:hAnsi="Times New Roman"/>
          <w:sz w:val="24"/>
          <w:szCs w:val="24"/>
        </w:rPr>
        <w:t>, na Novém Zélandě mají podrobnější dělení. V České republice máme vyučujícího ředitele, zástupce ředitele, učitele s podílem na ŠVP či TVP či řadového učitele. Všichni výše uvedení mesjí být v dnešní době kvalifikovaní a liší se kompetencemi, léty praxe a platovou třídou. V ČR se dle §6 zákona č.563/2004 Sb.              za kvalifikovaného učitele pro mateřské školy považuje osoba, která má odbornou kvalifikaci v oblasti pedagogických věd zaměřenou na přípravu učitelů MŠ, vychovatelství nebo speciální pedagogiku ať už na středoškolské, vyšší odborné, vysokoškolské úrovni či v rámci celoživotního vzdělávání. Za kvalifikovaného učitele se zároveň považuje i osoba, která studium některého výše uvedeného oboru započala do 31.12.2014. Pedagogové na Novém Zélandě mohou mít následující zařazení: senior učitel, hlavní učitel, asistent hlavního učitele, učitel předškolního vzdělávání, vedoucí vzdělávání v domácím prostředí či hostující pedagog. Dále učitelé mohou být registrovaní, nebo v procesu čekání na registraci, která trvá nejméně dva roky a vydává ji New Zealand Teachers Council.</w:t>
      </w:r>
    </w:p>
    <w:p>
      <w:pPr>
        <w:pStyle w:val="Normal"/>
        <w:spacing w:lineRule="auto" w:line="360"/>
        <w:jc w:val="both"/>
        <w:rPr>
          <w:rFonts w:ascii="Times New Roman" w:hAnsi="Times New Roman" w:cs="Times New Roman"/>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Pracovní doba</w:t>
      </w:r>
      <w:r>
        <w:rPr>
          <w:rFonts w:cs="Times New Roman" w:ascii="Times New Roman" w:hAnsi="Times New Roman"/>
          <w:sz w:val="24"/>
          <w:szCs w:val="24"/>
        </w:rPr>
        <w:t xml:space="preserve"> učitelů je stejně dlouhá jako pracovní doba českých učitelů, tedy 40 hodin týdně jakožto plný úvazek. Čas je stejně jako u nás rozdělen na přímou a nepřímou práci - na Novém Zélandě nazývanou „contact time“ a „non-contact time“. Novozélandští učitelé mají oficiálně hodinovou pauzu na oběd, kterou si musí vybrat mezi jedenáctou hodinou dopoledne a půl třetí odpoledne a mají nárok na dvě desetiminutové osvěžovací přestávky, jednu dopoledne a druhou odpoledne. V rámci nepřímé pracovní náplně učitel provádí administrativu, ale také hodnocení, přípravy a komunikuje s rodiči.</w:t>
      </w:r>
    </w:p>
    <w:p>
      <w:pPr>
        <w:pStyle w:val="Normal"/>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Přes veškeré odlišnosti je snaha Nového Zélandu, stejně jako snaha České republiky poskytovat pestrou škálu kvalitních služeb v oblasti předškolního vzdělávání a zprostředkovat ho co největšímu množství rodin. Vychovávat uvědomělé, sebevědomé, samostatné a aktivní jedince je zásadní nejen pro děti samotné, ale především pro společnost a národ a předškolní vzdělávání na tom má neoddiskutovatelný podíl.</w:t>
      </w:r>
    </w:p>
    <w:p>
      <w:pPr>
        <w:pStyle w:val="Normal"/>
        <w:spacing w:lineRule="auto" w:line="360"/>
        <w:jc w:val="both"/>
        <w:rPr>
          <w:rFonts w:ascii="Times New Roman" w:hAnsi="Times New Roman" w:cs="Times New Roman"/>
          <w:b/>
          <w:b/>
          <w:color w:val="0070C0"/>
          <w:sz w:val="24"/>
          <w:szCs w:val="24"/>
          <w:lang w:val="en-US"/>
        </w:rPr>
      </w:pPr>
      <w:r>
        <w:rPr>
          <w:rFonts w:cs="Times New Roman" w:ascii="Times New Roman" w:hAnsi="Times New Roman"/>
          <w:b/>
          <w:color w:val="0070C0"/>
          <w:sz w:val="24"/>
          <w:szCs w:val="24"/>
          <w:lang w:val="en-US"/>
        </w:rPr>
        <w:tab/>
      </w:r>
      <w:r>
        <w:br w:type="page"/>
      </w:r>
    </w:p>
    <w:p>
      <w:pPr>
        <w:pStyle w:val="Normal"/>
        <w:tabs>
          <w:tab w:val="left" w:pos="2367" w:leader="none"/>
        </w:tabs>
        <w:spacing w:lineRule="auto" w:line="360"/>
        <w:jc w:val="both"/>
        <w:rPr>
          <w:rFonts w:ascii="Times New Roman" w:hAnsi="Times New Roman" w:cs="Times New Roman"/>
          <w:b/>
          <w:b/>
          <w:sz w:val="28"/>
          <w:szCs w:val="28"/>
        </w:rPr>
      </w:pPr>
      <w:r>
        <w:rPr>
          <w:rFonts w:cs="Times New Roman" w:ascii="Times New Roman" w:hAnsi="Times New Roman"/>
          <w:b/>
          <w:sz w:val="28"/>
          <w:szCs w:val="28"/>
        </w:rPr>
        <w:t>Závěr</w:t>
      </w:r>
    </w:p>
    <w:p>
      <w:pPr>
        <w:pStyle w:val="Normal"/>
        <w:tabs>
          <w:tab w:val="left" w:pos="2367" w:leader="none"/>
        </w:tabs>
        <w:spacing w:lineRule="auto" w:line="360"/>
        <w:jc w:val="both"/>
        <w:rPr>
          <w:rFonts w:ascii="Times New Roman" w:hAnsi="Times New Roman" w:cs="Times New Roman"/>
          <w:sz w:val="24"/>
          <w:szCs w:val="24"/>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Hlavním cílem této bakalářské práce bylo zjistit co nejv</w:t>
      </w:r>
      <w:r>
        <w:rPr>
          <w:rFonts w:cs="Times New Roman" w:ascii="Times New Roman" w:hAnsi="Times New Roman"/>
          <w:sz w:val="24"/>
          <w:szCs w:val="24"/>
        </w:rPr>
        <w:t xml:space="preserve">íce informací o novozélandském vzdělávacím systému. Studijních materiálů je velké množství a informace z nich by se daly použít i pro rozsáhlejší a podrobnější práci, nicméně pro účely bakálářské práce byly vybrány základní, zároveň však směrodatné informace. </w:t>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Dílčím cílem práce byla snaha přispět k poznání a pochopení náplně novozélandského kurikulárního dokumentu pro předškolní vzdělávání. Chtěla jsem také seznámit s novo</w:t>
      </w:r>
      <w:r>
        <w:rPr>
          <w:rFonts w:cs="Times New Roman" w:ascii="Times New Roman" w:hAnsi="Times New Roman"/>
          <w:sz w:val="24"/>
          <w:szCs w:val="24"/>
        </w:rPr>
        <w:t>zélandským</w:t>
      </w:r>
      <w:r>
        <w:rPr>
          <w:rFonts w:cs="Times New Roman" w:ascii="Times New Roman" w:hAnsi="Times New Roman"/>
          <w:sz w:val="24"/>
          <w:szCs w:val="24"/>
          <w:lang w:val="en-US"/>
        </w:rPr>
        <w:t xml:space="preserve"> kurikulárním dokumentem zájemce bez dostatečné znalosti anglického jazyka potřebného k porozumění dokumentu v jeho komplexnosti.</w:t>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Tato práce by mohla být zdrojem inspirace a informací pro předškolní pedagogy, ale nejen pro ně, neboť slova jako multikulturalismus, inkluze či migrace jsou stale častějšími tématy řešení různých oblastí života. Domnívám se, že je možné se nechat inspirovat zemí, která má se všemi výše zmíněnými termíny letitou zkušenost a získat tak případnou výhodu.</w:t>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Omezení práce vidím v tom, že zkoumám statický dokument, zatímco každodenní realita může být zcela odlišná. Např. autorka publikací a vysokoškolská profesorka Jenny Ritchie potvrdila, že množství a úroveň reálně používané maorštiny a skutečných možností seznámit se s maorskou kulturou v předškolním vzdělávání se značně liší od předepsaných a domnělých teoretických kvót. Kvalita dokumentu nemusí nutně korelovat s kvalitou předškolního vzdělávání reálně se odehrávajícího v předškolních institucích. Pokud bychom chtěli srovnat skutečnou, každodenní kvalitu předškolního vzdělávání, bylo by potřeba analyzovat reálný průběh vzdělávání v různých předškolních institucích a diskutovat se zkušenými pedagogy nad konkrétními situacemi.</w:t>
        <w:tab/>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r>
      <w:r>
        <w:br w:type="page"/>
      </w:r>
    </w:p>
    <w:p>
      <w:pPr>
        <w:pStyle w:val="Normal"/>
        <w:spacing w:lineRule="auto" w:line="360"/>
        <w:jc w:val="both"/>
        <w:rPr>
          <w:rFonts w:ascii="Times New Roman" w:hAnsi="Times New Roman" w:cs="Times New Roman"/>
          <w:sz w:val="28"/>
          <w:szCs w:val="28"/>
          <w:lang w:val="en-US"/>
        </w:rPr>
      </w:pPr>
      <w:r>
        <w:rPr>
          <w:rFonts w:cs="Times New Roman" w:ascii="Times New Roman" w:hAnsi="Times New Roman"/>
          <w:b/>
          <w:sz w:val="28"/>
          <w:szCs w:val="28"/>
          <w:lang w:val="en-US"/>
        </w:rPr>
        <w:t>Seznam literatury</w:t>
      </w:r>
    </w:p>
    <w:p>
      <w:pPr>
        <w:pStyle w:val="ListParagraph"/>
        <w:numPr>
          <w:ilvl w:val="0"/>
          <w:numId w:val="12"/>
        </w:numPr>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BOWMAN, B. T., Donovan, M. S. &amp; Burns, M. S. (Ed.): Eager to Learn: Educating Our Preschoolers. Washington, D.C.: National Academy Press, 2001. I</w:t>
      </w:r>
      <w:r>
        <w:rPr>
          <w:rStyle w:val="Zdraznn"/>
          <w:rFonts w:cs="Times New Roman" w:ascii="Times New Roman" w:hAnsi="Times New Roman"/>
          <w:bCs/>
          <w:i w:val="false"/>
          <w:iCs w:val="false"/>
          <w:sz w:val="24"/>
          <w:szCs w:val="24"/>
          <w:shd w:fill="FFFFFF" w:val="clear"/>
        </w:rPr>
        <w:t>SBN</w:t>
      </w:r>
      <w:r>
        <w:rPr>
          <w:rStyle w:val="Appleconvertedspace"/>
          <w:rFonts w:cs="Times New Roman" w:ascii="Times New Roman" w:hAnsi="Times New Roman"/>
          <w:sz w:val="24"/>
          <w:szCs w:val="24"/>
          <w:shd w:fill="FFFFFF" w:val="clear"/>
        </w:rPr>
        <w:t> </w:t>
      </w:r>
      <w:r>
        <w:rPr>
          <w:rFonts w:cs="Times New Roman" w:ascii="Times New Roman" w:hAnsi="Times New Roman"/>
          <w:sz w:val="24"/>
          <w:szCs w:val="24"/>
          <w:shd w:fill="FFFFFF" w:val="clear"/>
        </w:rPr>
        <w:t>0-309-06836-3. Dostupné z &lt;http://files.eric.ed.gov/fulltext/ED447963.pdf</w:t>
      </w:r>
      <w:r>
        <w:rPr>
          <w:rFonts w:cs="Times New Roman" w:ascii="Times New Roman" w:hAnsi="Times New Roman"/>
          <w:sz w:val="24"/>
          <w:szCs w:val="24"/>
          <w:shd w:fill="FFFFFF" w:val="clear"/>
          <w:lang w:val="en-US"/>
        </w:rPr>
        <w:t>&gt;.</w:t>
      </w:r>
    </w:p>
    <w:p>
      <w:pPr>
        <w:pStyle w:val="ListParagraph"/>
        <w:numPr>
          <w:ilvl w:val="0"/>
          <w:numId w:val="12"/>
        </w:numPr>
        <w:tabs>
          <w:tab w:val="left" w:pos="2367" w:leader="none"/>
        </w:tabs>
        <w:spacing w:lineRule="auto" w:line="360"/>
        <w:jc w:val="both"/>
        <w:rPr>
          <w:rFonts w:ascii="Times New Roman" w:hAnsi="Times New Roman" w:cs="Times New Roman"/>
          <w:sz w:val="24"/>
          <w:szCs w:val="24"/>
          <w:highlight w:val="white"/>
        </w:rPr>
      </w:pPr>
      <w:r>
        <w:rPr>
          <w:rFonts w:cs="Times New Roman" w:ascii="Times New Roman" w:hAnsi="Times New Roman"/>
          <w:sz w:val="24"/>
          <w:szCs w:val="24"/>
        </w:rPr>
        <w:t>CAMERON, M. 2014. Keeping learning stories complex. Early education journal. vol. 55, pp. 30-31. Auckland University of Technology, ISSN 1172-9112.</w:t>
      </w:r>
      <w:r>
        <w:rPr>
          <w:rFonts w:cs="Times New Roman" w:ascii="Times New Roman" w:hAnsi="Times New Roman"/>
          <w:sz w:val="24"/>
          <w:szCs w:val="24"/>
          <w:shd w:fill="FFFFFF" w:val="clear"/>
        </w:rPr>
        <w:t xml:space="preserve"> </w:t>
      </w:r>
    </w:p>
    <w:p>
      <w:pPr>
        <w:pStyle w:val="ListParagraph"/>
        <w:numPr>
          <w:ilvl w:val="0"/>
          <w:numId w:val="12"/>
        </w:numPr>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DALE, R.: Globalization and education in Aotearoa/New Zealand in V.Carpenter, J.Jason, P. Roberts and M.Stephenson, Nga Kaupapa here: Connections and contradictions in education. North Shore, New Zealand: Cengage learning New Zealand, pp.25-35. 2008.</w:t>
      </w:r>
    </w:p>
    <w:p>
      <w:pPr>
        <w:pStyle w:val="ListParagraph"/>
        <w:numPr>
          <w:ilvl w:val="0"/>
          <w:numId w:val="12"/>
        </w:numPr>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EDUCATION REVIEW OFFICE: Early Childhood Education: A Guide for parents. Wellington, 2007. ISBN 978-0-478-30808-2. Dostupn</w:t>
      </w:r>
      <w:r>
        <w:rPr>
          <w:rFonts w:cs="Times New Roman" w:ascii="Times New Roman" w:hAnsi="Times New Roman"/>
          <w:sz w:val="24"/>
          <w:szCs w:val="24"/>
        </w:rPr>
        <w:t xml:space="preserve">é z </w:t>
      </w:r>
      <w:r>
        <w:rPr>
          <w:rFonts w:cs="Times New Roman" w:ascii="Times New Roman" w:hAnsi="Times New Roman"/>
          <w:sz w:val="24"/>
          <w:szCs w:val="24"/>
          <w:lang w:val="en-US"/>
        </w:rPr>
        <w:t>&lt;</w:t>
      </w:r>
      <w:r>
        <w:rPr>
          <w:rFonts w:cs="Times New Roman" w:ascii="Times New Roman" w:hAnsi="Times New Roman"/>
          <w:sz w:val="24"/>
          <w:szCs w:val="24"/>
        </w:rPr>
        <w:t xml:space="preserve"> </w:t>
      </w:r>
      <w:r>
        <w:rPr>
          <w:rFonts w:cs="Times New Roman" w:ascii="Times New Roman" w:hAnsi="Times New Roman"/>
          <w:sz w:val="24"/>
          <w:szCs w:val="24"/>
          <w:lang w:val="en-US"/>
        </w:rPr>
        <w:t xml:space="preserve">http://www.ero.govt.nz/assets/Uploads/ece-guide-jun07.pdf&gt;. </w:t>
      </w:r>
    </w:p>
    <w:p>
      <w:pPr>
        <w:pStyle w:val="ListParagraph"/>
        <w:numPr>
          <w:ilvl w:val="0"/>
          <w:numId w:val="12"/>
        </w:numPr>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rPr>
        <w:t>GREY, A.; Clark, B. 2014. The complexity and connectedness of e.c. teaching. Early education journal. vol. 55, pp. 33-34. Auckland University of Technology, ISSN 1172-9112.</w:t>
      </w:r>
      <w:r>
        <w:rPr>
          <w:rFonts w:cs="Times New Roman" w:ascii="Times New Roman" w:hAnsi="Times New Roman"/>
          <w:sz w:val="24"/>
          <w:szCs w:val="24"/>
          <w:lang w:val="en-US"/>
        </w:rPr>
        <w:t xml:space="preserve"> </w:t>
      </w:r>
    </w:p>
    <w:p>
      <w:pPr>
        <w:pStyle w:val="ListParagraph"/>
        <w:numPr>
          <w:ilvl w:val="0"/>
          <w:numId w:val="12"/>
        </w:numPr>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IHIMAERA, W., Plant, T.: This is New Zealand. Auckland: Reed press, 1998. ISBN 0790006456.</w:t>
      </w:r>
    </w:p>
    <w:p>
      <w:pPr>
        <w:pStyle w:val="ListParagraph"/>
        <w:numPr>
          <w:ilvl w:val="0"/>
          <w:numId w:val="12"/>
        </w:numPr>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KOLEKTIV AUTORŮ: Nový Zéland. Praha: Svojtka&amp;</w:t>
      </w:r>
      <w:r>
        <w:rPr>
          <w:rFonts w:cs="Times New Roman" w:ascii="Times New Roman" w:hAnsi="Times New Roman"/>
          <w:sz w:val="24"/>
          <w:szCs w:val="24"/>
        </w:rPr>
        <w:t xml:space="preserve">Co, </w:t>
      </w:r>
      <w:r>
        <w:rPr>
          <w:rFonts w:cs="Times New Roman" w:ascii="Times New Roman" w:hAnsi="Times New Roman"/>
          <w:sz w:val="24"/>
          <w:szCs w:val="24"/>
          <w:lang w:val="en-US"/>
        </w:rPr>
        <w:t>2013. ISBN 978-80-256-0903-3.</w:t>
      </w:r>
    </w:p>
    <w:p>
      <w:pPr>
        <w:pStyle w:val="ListParagraph"/>
        <w:numPr>
          <w:ilvl w:val="0"/>
          <w:numId w:val="12"/>
        </w:numPr>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LOEB, S., Fuller, B., Kagan, S. L. &amp; Carrol, B.: Child care in poor communities: Early learning effects of type, quality, and stability. Child Development, vol. 75, 47-65. 2004. </w:t>
      </w:r>
      <w:r>
        <w:rPr>
          <w:rFonts w:cs="Times New Roman" w:ascii="Times New Roman" w:hAnsi="Times New Roman"/>
          <w:color w:val="000000"/>
          <w:sz w:val="24"/>
          <w:szCs w:val="24"/>
          <w:shd w:fill="FFFFFF" w:val="clear"/>
        </w:rPr>
        <w:t>DOI: 10.1111/j.1467-8624.2004.00653</w:t>
      </w:r>
      <w:r>
        <w:rPr>
          <w:rFonts w:cs="Arial" w:ascii="Arial" w:hAnsi="Arial"/>
          <w:color w:val="000000"/>
          <w:sz w:val="18"/>
          <w:szCs w:val="18"/>
          <w:shd w:fill="FFFFFF" w:val="clear"/>
        </w:rPr>
        <w:t>.</w:t>
      </w:r>
    </w:p>
    <w:p>
      <w:pPr>
        <w:pStyle w:val="ListParagraph"/>
        <w:numPr>
          <w:ilvl w:val="0"/>
          <w:numId w:val="12"/>
        </w:numPr>
        <w:shd w:val="clear" w:color="auto" w:fill="FFFFFF"/>
        <w:spacing w:lineRule="auto" w:line="360" w:before="0" w:after="0"/>
        <w:jc w:val="both"/>
        <w:rPr>
          <w:rFonts w:ascii="Times New Roman" w:hAnsi="Times New Roman" w:eastAsia="Times New Roman" w:cs="Times New Roman"/>
          <w:sz w:val="24"/>
          <w:szCs w:val="24"/>
          <w:lang w:eastAsia="cs-CZ"/>
        </w:rPr>
      </w:pPr>
      <w:r>
        <w:rPr>
          <w:rFonts w:cs="Times New Roman" w:ascii="Times New Roman" w:hAnsi="Times New Roman"/>
          <w:sz w:val="24"/>
          <w:szCs w:val="24"/>
          <w:lang w:val="en-US"/>
        </w:rPr>
        <w:t>LOVE, J. M., Harrison, L., Sagi-Schwartz, A., Van Ijzendoorn, M. H., Ross, C, Ungerer, J. A., Raikes, H., Brady-Smith, C., Böller, K., Brooks-Gunn, I., Constantine, I., Kiskar, E. E., Pausell, D. &amp; Chazan-Cohen, R. 2003. Child care quality matters: How conclusions may vary with context. In Vandell, D. Early Child Care: The Known and the Unknown. Merrill-Palmer Quarterly, vol. 50, pp. 387-414.</w:t>
      </w:r>
    </w:p>
    <w:p>
      <w:pPr>
        <w:pStyle w:val="ListParagraph"/>
        <w:numPr>
          <w:ilvl w:val="0"/>
          <w:numId w:val="12"/>
        </w:numPr>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MINISTRY OF EDUCATION: Te Whāriki: Early childhood curriculum. Wellington: Learning Media Ltd., 1996. ISBN 0478029802. Dostupn</w:t>
      </w:r>
      <w:r>
        <w:rPr>
          <w:rFonts w:cs="Times New Roman" w:ascii="Times New Roman" w:hAnsi="Times New Roman"/>
          <w:sz w:val="24"/>
          <w:szCs w:val="24"/>
        </w:rPr>
        <w:t xml:space="preserve">é z </w:t>
      </w:r>
      <w:r>
        <w:rPr>
          <w:rFonts w:cs="Times New Roman" w:ascii="Times New Roman" w:hAnsi="Times New Roman"/>
          <w:sz w:val="24"/>
          <w:szCs w:val="24"/>
          <w:lang w:val="en-US"/>
        </w:rPr>
        <w:t>&lt;http://www.education.govt.nz/early-childhood/teaching-and-learning/ece-curriculum/te-whariki/&gt;.</w:t>
      </w:r>
    </w:p>
    <w:p>
      <w:pPr>
        <w:pStyle w:val="ListParagraph"/>
        <w:numPr>
          <w:ilvl w:val="0"/>
          <w:numId w:val="12"/>
        </w:numPr>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MITCHELL, L., Wylie, C. and Carr, M.: Outcomes of Early Childhood Education:  Literature Review. Auckland, 2008. ISBN 978-0-478-13840-5.</w:t>
      </w:r>
    </w:p>
    <w:p>
      <w:pPr>
        <w:pStyle w:val="ListParagraph"/>
        <w:numPr>
          <w:ilvl w:val="0"/>
          <w:numId w:val="12"/>
        </w:numPr>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OMBLER, K.: Národní parky a další přírodní památky Nového Zélandu. Praha: BETA, 2001. ISBN 80-7306-203-8.</w:t>
      </w:r>
    </w:p>
    <w:p>
      <w:pPr>
        <w:pStyle w:val="ListParagraph"/>
        <w:numPr>
          <w:ilvl w:val="0"/>
          <w:numId w:val="12"/>
        </w:numPr>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ORANGE, C.: The Treaty of Waitangi. Wellington: Bridget Williams Books, 2011. ISBN 9780868616261.</w:t>
      </w:r>
    </w:p>
    <w:p>
      <w:pPr>
        <w:pStyle w:val="ListParagraph"/>
        <w:numPr>
          <w:ilvl w:val="0"/>
          <w:numId w:val="12"/>
        </w:numPr>
        <w:shd w:val="clear" w:color="auto" w:fill="FFFFFF"/>
        <w:spacing w:lineRule="auto" w:line="360" w:before="0" w:after="0"/>
        <w:jc w:val="both"/>
        <w:rPr>
          <w:rFonts w:ascii="Times New Roman" w:hAnsi="Times New Roman" w:eastAsia="Times New Roman" w:cs="Times New Roman"/>
          <w:color w:val="222222"/>
          <w:sz w:val="24"/>
          <w:szCs w:val="24"/>
          <w:lang w:val="en-AU" w:eastAsia="cs-CZ"/>
        </w:rPr>
      </w:pPr>
      <w:r>
        <w:rPr>
          <w:rFonts w:eastAsia="Times New Roman" w:cs="Times New Roman" w:ascii="Times New Roman" w:hAnsi="Times New Roman"/>
          <w:color w:val="222222"/>
          <w:sz w:val="24"/>
          <w:szCs w:val="24"/>
          <w:lang w:val="en-AU" w:eastAsia="cs-CZ"/>
        </w:rPr>
        <w:t>TESAR, M. 2015. New Zealand perspectives on early childhood education: Naku te rourou nau te rourou ka ora ai te iwi. </w:t>
      </w:r>
      <w:r>
        <w:rPr>
          <w:rFonts w:eastAsia="Times New Roman" w:cs="Times New Roman" w:ascii="Times New Roman" w:hAnsi="Times New Roman"/>
          <w:iCs/>
          <w:color w:val="222222"/>
          <w:sz w:val="24"/>
          <w:szCs w:val="24"/>
          <w:lang w:val="en-AU" w:eastAsia="cs-CZ"/>
        </w:rPr>
        <w:t>Journal of Pedagogy</w:t>
      </w:r>
      <w:r>
        <w:rPr>
          <w:rFonts w:eastAsia="Times New Roman" w:cs="Times New Roman" w:ascii="Times New Roman" w:hAnsi="Times New Roman"/>
          <w:color w:val="222222"/>
          <w:sz w:val="24"/>
          <w:szCs w:val="24"/>
          <w:lang w:val="en-AU" w:eastAsia="cs-CZ"/>
        </w:rPr>
        <w:t>, </w:t>
      </w:r>
      <w:r>
        <w:rPr>
          <w:rFonts w:eastAsia="Times New Roman" w:cs="Times New Roman" w:ascii="Times New Roman" w:hAnsi="Times New Roman"/>
          <w:iCs/>
          <w:color w:val="222222"/>
          <w:sz w:val="24"/>
          <w:szCs w:val="24"/>
          <w:lang w:val="en-AU" w:eastAsia="cs-CZ"/>
        </w:rPr>
        <w:t>6</w:t>
      </w:r>
      <w:r>
        <w:rPr>
          <w:rFonts w:eastAsia="Times New Roman" w:cs="Times New Roman" w:ascii="Times New Roman" w:hAnsi="Times New Roman"/>
          <w:color w:val="222222"/>
          <w:sz w:val="24"/>
          <w:szCs w:val="24"/>
          <w:lang w:val="en-AU" w:eastAsia="cs-CZ"/>
        </w:rPr>
        <w:t>(2), pp. 9–18. doi: 10.1515/jped-2015-0010.</w:t>
      </w:r>
    </w:p>
    <w:p>
      <w:pPr>
        <w:pStyle w:val="ListParagraph"/>
        <w:numPr>
          <w:ilvl w:val="0"/>
          <w:numId w:val="12"/>
        </w:numPr>
        <w:tabs>
          <w:tab w:val="left" w:pos="2367" w:leader="none"/>
        </w:tabs>
        <w:spacing w:lineRule="auto" w:line="360"/>
        <w:jc w:val="both"/>
        <w:rPr>
          <w:rFonts w:ascii="Times New Roman" w:hAnsi="Times New Roman" w:cs="Times New Roman"/>
          <w:sz w:val="24"/>
          <w:szCs w:val="24"/>
        </w:rPr>
      </w:pPr>
      <w:r>
        <w:rPr>
          <w:rFonts w:eastAsia="Times New Roman" w:cs="Times New Roman" w:ascii="Times New Roman" w:hAnsi="Times New Roman"/>
          <w:color w:val="222222"/>
          <w:sz w:val="24"/>
          <w:szCs w:val="24"/>
          <w:lang w:val="en-AU" w:eastAsia="cs-CZ"/>
        </w:rPr>
        <w:t xml:space="preserve">TESAR, M. 2015. </w:t>
      </w:r>
      <w:r>
        <w:rPr>
          <w:rFonts w:eastAsia="Times New Roman" w:cs="Times New Roman" w:ascii="Times New Roman" w:hAnsi="Times New Roman"/>
          <w:iCs/>
          <w:color w:val="222222"/>
          <w:sz w:val="24"/>
          <w:szCs w:val="24"/>
          <w:lang w:val="en-AU" w:eastAsia="cs-CZ"/>
        </w:rPr>
        <w:t>Te Whāriki </w:t>
      </w:r>
      <w:r>
        <w:rPr>
          <w:rFonts w:eastAsia="Times New Roman" w:cs="Times New Roman" w:ascii="Times New Roman" w:hAnsi="Times New Roman"/>
          <w:color w:val="222222"/>
          <w:sz w:val="24"/>
          <w:szCs w:val="24"/>
          <w:lang w:val="en-AU" w:eastAsia="cs-CZ"/>
        </w:rPr>
        <w:t>in Aotearoa New Zealand: Witnessing and resisting neoliberal and neo-colonial discourses in early childhood education. [Invited chapter]. In V. Pacini-Ketchabaw &amp; A. Taylor (Eds.), </w:t>
      </w:r>
      <w:r>
        <w:rPr>
          <w:rFonts w:eastAsia="Times New Roman" w:cs="Times New Roman" w:ascii="Times New Roman" w:hAnsi="Times New Roman"/>
          <w:iCs/>
          <w:color w:val="222222"/>
          <w:sz w:val="24"/>
          <w:szCs w:val="24"/>
          <w:lang w:val="en-AU" w:eastAsia="cs-CZ"/>
        </w:rPr>
        <w:t>Unsettling the colonial places and spaces of early childhood education</w:t>
      </w:r>
      <w:r>
        <w:rPr>
          <w:rFonts w:eastAsia="Times New Roman" w:cs="Times New Roman" w:ascii="Times New Roman" w:hAnsi="Times New Roman"/>
          <w:color w:val="222222"/>
          <w:sz w:val="24"/>
          <w:szCs w:val="24"/>
          <w:lang w:val="en-AU" w:eastAsia="cs-CZ"/>
        </w:rPr>
        <w:t>. pp. 145–170. New York, NY: Routledge.</w:t>
      </w:r>
    </w:p>
    <w:p>
      <w:pPr>
        <w:pStyle w:val="ListParagraph"/>
        <w:numPr>
          <w:ilvl w:val="0"/>
          <w:numId w:val="12"/>
        </w:numPr>
        <w:tabs>
          <w:tab w:val="left" w:pos="2367"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TESAR, M. 2016. Pedagogika. Slovenská pedagogická spoločnosť pri SAV, Trnava, ročník 7. str. 61-65. ISSN 1338 – 0982. </w:t>
      </w:r>
    </w:p>
    <w:p>
      <w:pPr>
        <w:pStyle w:val="ListParagraph"/>
        <w:numPr>
          <w:ilvl w:val="0"/>
          <w:numId w:val="12"/>
        </w:numPr>
        <w:tabs>
          <w:tab w:val="left" w:pos="2367" w:leader="none"/>
        </w:tabs>
        <w:spacing w:lineRule="auto" w:line="360"/>
        <w:jc w:val="both"/>
        <w:rPr>
          <w:rFonts w:ascii="Times New Roman" w:hAnsi="Times New Roman" w:cs="Times New Roman"/>
          <w:sz w:val="24"/>
          <w:szCs w:val="24"/>
          <w:highlight w:val="white"/>
        </w:rPr>
      </w:pPr>
      <w:r>
        <w:rPr>
          <w:rFonts w:eastAsia="Times New Roman" w:cs="Times New Roman" w:ascii="Times New Roman" w:hAnsi="Times New Roman"/>
          <w:sz w:val="24"/>
          <w:szCs w:val="24"/>
          <w:lang w:eastAsia="cs-CZ"/>
        </w:rPr>
        <w:t xml:space="preserve">VANDELL, D. 2004. Early Child Care: The Known and the Unknown. Merrill-Palmer Quarterly, vol. 50, pp. 387-414. </w:t>
      </w:r>
    </w:p>
    <w:p>
      <w:pPr>
        <w:pStyle w:val="ListParagraph"/>
        <w:numPr>
          <w:ilvl w:val="0"/>
          <w:numId w:val="12"/>
        </w:numPr>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WILLIAMS N. M., Broadley M. and Lawson Te-Aho, K.: Bicultural competence in early childhood education. Wellington: Ako Aotearoa, 2012. ISBN 978-927202-03-6</w:t>
      </w:r>
    </w:p>
    <w:p>
      <w:pPr>
        <w:pStyle w:val="Normal"/>
        <w:tabs>
          <w:tab w:val="left" w:pos="2367" w:leader="none"/>
        </w:tabs>
        <w:spacing w:lineRule="auto" w:line="360"/>
        <w:ind w:left="360" w:hanging="0"/>
        <w:jc w:val="both"/>
        <w:rPr>
          <w:rFonts w:ascii="Times New Roman" w:hAnsi="Times New Roman" w:cs="Times New Roman"/>
          <w:b/>
          <w:b/>
          <w:sz w:val="24"/>
          <w:szCs w:val="24"/>
          <w:highlight w:val="white"/>
        </w:rPr>
      </w:pPr>
      <w:r>
        <w:rPr>
          <w:rFonts w:cs="Times New Roman" w:ascii="Times New Roman" w:hAnsi="Times New Roman"/>
          <w:b/>
          <w:sz w:val="24"/>
          <w:szCs w:val="24"/>
          <w:shd w:fill="FFFFFF" w:val="clear"/>
        </w:rPr>
        <w:t>Internetové zdroje</w:t>
      </w:r>
    </w:p>
    <w:p>
      <w:pPr>
        <w:pStyle w:val="ListParagraph"/>
        <w:numPr>
          <w:ilvl w:val="0"/>
          <w:numId w:val="12"/>
        </w:numPr>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EDUCATION COUNCIL</w:t>
      </w:r>
      <w:r>
        <w:rPr>
          <w:rFonts w:cs="Times New Roman" w:ascii="Times New Roman" w:hAnsi="Times New Roman"/>
          <w:sz w:val="24"/>
          <w:szCs w:val="24"/>
        </w:rPr>
        <w:t xml:space="preserve">. Fast Facts. 2015. Dostupné z </w:t>
      </w:r>
      <w:r>
        <w:rPr>
          <w:rFonts w:cs="Times New Roman" w:ascii="Times New Roman" w:hAnsi="Times New Roman"/>
          <w:sz w:val="24"/>
          <w:szCs w:val="24"/>
          <w:lang w:val="en-US"/>
        </w:rPr>
        <w:t>&lt;http://educationcouncil.org.nz/news-events/news/fast-facts&gt;.</w:t>
      </w:r>
    </w:p>
    <w:p>
      <w:pPr>
        <w:pStyle w:val="ListParagraph"/>
        <w:numPr>
          <w:ilvl w:val="0"/>
          <w:numId w:val="12"/>
        </w:numPr>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SMITHA, F. 2009. The Maori and colonial New Zealand. Dostupné z &lt;http://www.fsmitha.com/h3/h43-pa4.htm&gt;.</w:t>
      </w:r>
    </w:p>
    <w:p>
      <w:pPr>
        <w:pStyle w:val="ListParagraph"/>
        <w:numPr>
          <w:ilvl w:val="0"/>
          <w:numId w:val="12"/>
        </w:numPr>
        <w:tabs>
          <w:tab w:val="left" w:pos="2367" w:leader="none"/>
        </w:tabs>
        <w:spacing w:lineRule="auto" w:line="360"/>
        <w:jc w:val="both"/>
        <w:rPr>
          <w:rFonts w:ascii="Times New Roman" w:hAnsi="Times New Roman" w:cs="Times New Roman"/>
          <w:sz w:val="24"/>
          <w:szCs w:val="24"/>
          <w:lang w:val="en-US"/>
        </w:rPr>
      </w:pPr>
      <w:r>
        <w:rPr>
          <w:rFonts w:cs="Times New Roman" w:ascii="Times New Roman" w:hAnsi="Times New Roman"/>
          <w:sz w:val="24"/>
          <w:szCs w:val="24"/>
          <w:lang w:val="en-US"/>
        </w:rPr>
        <w:t>NEW ZEALAND EDUCATIONAL INSTITUTE. 2016. The Early Childhood Education Collective Agreement of Aotearoa New Zealand. Dostupné z &lt;http://www.nzei.org.nz/AgreementDoc/ECEA.pdf&gt;.</w:t>
      </w:r>
    </w:p>
    <w:p>
      <w:pPr>
        <w:pStyle w:val="ListParagraph"/>
        <w:numPr>
          <w:ilvl w:val="0"/>
          <w:numId w:val="12"/>
        </w:numPr>
        <w:tabs>
          <w:tab w:val="left" w:pos="2367" w:leader="none"/>
        </w:tabs>
        <w:spacing w:lineRule="auto" w:line="360"/>
        <w:jc w:val="both"/>
        <w:rPr>
          <w:rFonts w:ascii="Times New Roman" w:hAnsi="Times New Roman" w:cs="Times New Roman"/>
          <w:sz w:val="24"/>
          <w:szCs w:val="24"/>
        </w:rPr>
      </w:pPr>
      <w:r>
        <w:rPr>
          <w:rFonts w:cs="Times New Roman" w:ascii="Times New Roman" w:hAnsi="Times New Roman"/>
          <w:sz w:val="24"/>
          <w:szCs w:val="24"/>
        </w:rPr>
        <w:t xml:space="preserve">NEW ZEALAND GOVERNMENT. 2016. NZQF dostupné z </w:t>
      </w:r>
      <w:r>
        <w:rPr>
          <w:rFonts w:cs="Times New Roman" w:ascii="Times New Roman" w:hAnsi="Times New Roman"/>
          <w:sz w:val="24"/>
          <w:szCs w:val="24"/>
          <w:lang w:val="en-US"/>
        </w:rPr>
        <w:t>&lt;</w:t>
      </w:r>
      <w:r>
        <w:rPr>
          <w:rFonts w:cs="Times New Roman" w:ascii="Times New Roman" w:hAnsi="Times New Roman"/>
          <w:sz w:val="24"/>
          <w:szCs w:val="24"/>
        </w:rPr>
        <w:t>http://www.nzqa.govt.nz/studying-in-new-zealand/understand-nz-quals/&gt;).</w:t>
      </w:r>
    </w:p>
    <w:p>
      <w:pPr>
        <w:pStyle w:val="ListParagraph"/>
        <w:numPr>
          <w:ilvl w:val="0"/>
          <w:numId w:val="12"/>
        </w:numPr>
        <w:tabs>
          <w:tab w:val="left" w:pos="2367" w:leader="none"/>
        </w:tabs>
        <w:spacing w:lineRule="auto" w:line="360"/>
        <w:rPr/>
      </w:pPr>
      <w:r>
        <w:rPr>
          <w:rFonts w:cs="Times New Roman" w:ascii="Times New Roman" w:hAnsi="Times New Roman"/>
          <w:sz w:val="24"/>
          <w:szCs w:val="24"/>
        </w:rPr>
        <w:t>NUTTALL, J. 2003. Weaving Te Wh</w:t>
      </w:r>
      <w:r>
        <w:rPr>
          <w:rFonts w:eastAsia="Times New Roman" w:cs="Times New Roman" w:ascii="Times New Roman" w:hAnsi="Times New Roman"/>
          <w:iCs/>
          <w:sz w:val="24"/>
          <w:szCs w:val="24"/>
          <w:lang w:val="en-AU" w:eastAsia="cs-CZ"/>
        </w:rPr>
        <w:t>ā</w:t>
      </w:r>
      <w:r>
        <w:rPr>
          <w:rFonts w:cs="Times New Roman" w:ascii="Times New Roman" w:hAnsi="Times New Roman"/>
          <w:sz w:val="24"/>
          <w:szCs w:val="24"/>
        </w:rPr>
        <w:t>riki: Aotearoa New Zealand’s early childhood curriculum document in theory and practice. Wellington: New Zealand Council for Educational</w:t>
      </w:r>
      <w:r>
        <w:rPr/>
        <w:t xml:space="preserve"> </w:t>
      </w:r>
      <w:r>
        <w:rPr>
          <w:rFonts w:cs="Times New Roman" w:ascii="Times New Roman" w:hAnsi="Times New Roman"/>
          <w:sz w:val="24"/>
          <w:szCs w:val="24"/>
        </w:rPr>
        <w:t>Research.</w:t>
      </w:r>
      <w:r>
        <w:rPr/>
        <w:t xml:space="preserve"> </w:t>
      </w:r>
      <w:r>
        <w:rPr>
          <w:rFonts w:cs="Times New Roman" w:ascii="Times New Roman" w:hAnsi="Times New Roman"/>
          <w:sz w:val="24"/>
          <w:szCs w:val="24"/>
          <w:shd w:fill="FFFFFF" w:val="clear"/>
        </w:rPr>
        <w:t xml:space="preserve">Dostupné z </w:t>
      </w:r>
      <w:r>
        <w:rPr>
          <w:rFonts w:eastAsia="Times New Roman" w:cs="Times New Roman" w:ascii="Times New Roman" w:hAnsi="Times New Roman"/>
          <w:iCs/>
          <w:sz w:val="24"/>
          <w:szCs w:val="24"/>
          <w:lang w:val="en-US" w:eastAsia="cs-CZ"/>
        </w:rPr>
        <w:t>&lt;</w:t>
      </w:r>
      <w:hyperlink r:id="rId7">
        <w:r>
          <w:rPr>
            <w:rStyle w:val="Internetovodkaz"/>
            <w:rFonts w:cs="Times New Roman" w:ascii="Times New Roman" w:hAnsi="Times New Roman"/>
            <w:color w:val="00000A"/>
            <w:sz w:val="24"/>
            <w:szCs w:val="24"/>
            <w:highlight w:val="white"/>
            <w:u w:val="none"/>
          </w:rPr>
          <w:t>http://www.teacherswork.ac.nz/journal/volume2_issue1/scrivens.pdf</w:t>
        </w:r>
      </w:hyperlink>
      <w:r>
        <w:rPr>
          <w:rFonts w:eastAsia="Times New Roman" w:cs="Times New Roman" w:ascii="Times New Roman" w:hAnsi="Times New Roman"/>
          <w:iCs/>
          <w:sz w:val="24"/>
          <w:szCs w:val="24"/>
          <w:lang w:val="en-US" w:eastAsia="cs-CZ"/>
        </w:rPr>
        <w:t>&gt;.</w:t>
      </w:r>
    </w:p>
    <w:p>
      <w:pPr>
        <w:pStyle w:val="ListParagraph"/>
        <w:numPr>
          <w:ilvl w:val="0"/>
          <w:numId w:val="12"/>
        </w:numPr>
        <w:tabs>
          <w:tab w:val="left" w:pos="2367" w:leader="none"/>
        </w:tabs>
        <w:spacing w:lineRule="auto" w:line="360"/>
        <w:rPr/>
      </w:pPr>
      <w:r>
        <w:rPr>
          <w:rFonts w:cs="Times New Roman" w:ascii="Times New Roman" w:hAnsi="Times New Roman"/>
          <w:sz w:val="24"/>
          <w:szCs w:val="24"/>
          <w:lang w:val="en-US"/>
        </w:rPr>
        <w:t xml:space="preserve">RITCHIE, J. 2003. </w:t>
      </w:r>
      <w:r>
        <w:rPr>
          <w:rFonts w:eastAsia="Times New Roman" w:cs="Times New Roman" w:ascii="Times New Roman" w:hAnsi="Times New Roman"/>
          <w:iCs/>
          <w:sz w:val="24"/>
          <w:szCs w:val="24"/>
          <w:lang w:val="en-AU" w:eastAsia="cs-CZ"/>
        </w:rPr>
        <w:t>Te Whāriki as a potential lever for bicultural development. Waikato.</w:t>
      </w:r>
      <w:r>
        <w:rPr>
          <w:rFonts w:cs="Times New Roman" w:ascii="Times New Roman" w:hAnsi="Times New Roman"/>
          <w:sz w:val="24"/>
          <w:szCs w:val="24"/>
          <w:lang w:val="en-US"/>
        </w:rPr>
        <w:t xml:space="preserve"> </w:t>
      </w:r>
      <w:r>
        <w:rPr>
          <w:rFonts w:eastAsia="Times New Roman" w:cs="Times New Roman" w:ascii="Times New Roman" w:hAnsi="Times New Roman"/>
          <w:iCs/>
          <w:sz w:val="24"/>
          <w:szCs w:val="24"/>
          <w:lang w:val="en-AU" w:eastAsia="cs-CZ"/>
        </w:rPr>
        <w:t xml:space="preserve">Dostupné z </w:t>
      </w:r>
      <w:r>
        <w:rPr>
          <w:rFonts w:eastAsia="Times New Roman" w:cs="Times New Roman" w:ascii="Times New Roman" w:hAnsi="Times New Roman"/>
          <w:iCs/>
          <w:sz w:val="24"/>
          <w:szCs w:val="24"/>
          <w:lang w:val="en-US" w:eastAsia="cs-CZ"/>
        </w:rPr>
        <w:t>&lt;</w:t>
      </w:r>
      <w:hyperlink r:id="rId8">
        <w:r>
          <w:rPr>
            <w:rStyle w:val="Internetovodkaz"/>
            <w:rFonts w:eastAsia="Times New Roman" w:cs="Times New Roman" w:ascii="Times New Roman" w:hAnsi="Times New Roman"/>
            <w:iCs/>
            <w:color w:val="00000A"/>
            <w:sz w:val="24"/>
            <w:szCs w:val="24"/>
            <w:u w:val="none"/>
            <w:lang w:val="en-US" w:eastAsia="cs-CZ"/>
          </w:rPr>
          <w:t>http://campus.openpolytechnic.ac.nz/resources/readings/75201/Ritchie2003.pdf</w:t>
        </w:r>
      </w:hyperlink>
      <w:r>
        <w:rPr>
          <w:rFonts w:eastAsia="Times New Roman" w:cs="Times New Roman" w:ascii="Times New Roman" w:hAnsi="Times New Roman"/>
          <w:iCs/>
          <w:sz w:val="24"/>
          <w:szCs w:val="24"/>
          <w:lang w:val="en-US" w:eastAsia="cs-CZ"/>
        </w:rPr>
        <w:t>&gt;.</w:t>
      </w:r>
    </w:p>
    <w:p>
      <w:pPr>
        <w:pStyle w:val="ListParagraph"/>
        <w:tabs>
          <w:tab w:val="left" w:pos="2367" w:leader="none"/>
        </w:tabs>
        <w:spacing w:lineRule="auto" w:line="360"/>
        <w:jc w:val="both"/>
        <w:rPr>
          <w:rFonts w:ascii="Times New Roman" w:hAnsi="Times New Roman" w:cs="Times New Roman"/>
          <w:sz w:val="24"/>
          <w:szCs w:val="24"/>
          <w:shd w:fill="FFFFFF" w:val="clear"/>
        </w:rPr>
      </w:pPr>
      <w:r>
        <w:rPr>
          <w:rFonts w:cs="Times New Roman" w:ascii="Times New Roman" w:hAnsi="Times New Roman"/>
          <w:sz w:val="24"/>
          <w:szCs w:val="24"/>
          <w:shd w:fill="FFFFFF" w:val="clear"/>
        </w:rPr>
      </w:r>
    </w:p>
    <w:p>
      <w:pPr>
        <w:pStyle w:val="Normal"/>
        <w:tabs>
          <w:tab w:val="left" w:pos="2367" w:leader="none"/>
        </w:tabs>
        <w:spacing w:lineRule="auto" w:line="360"/>
        <w:jc w:val="both"/>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 xml:space="preserve">Legislativa </w:t>
      </w:r>
    </w:p>
    <w:p>
      <w:pPr>
        <w:pStyle w:val="ListParagraph"/>
        <w:numPr>
          <w:ilvl w:val="0"/>
          <w:numId w:val="18"/>
        </w:numPr>
        <w:tabs>
          <w:tab w:val="left" w:pos="2367" w:leader="none"/>
        </w:tabs>
        <w:spacing w:lineRule="auto" w:line="360"/>
        <w:jc w:val="both"/>
        <w:rPr>
          <w:rFonts w:ascii="Times New Roman" w:hAnsi="Times New Roman" w:cs="Times New Roman"/>
          <w:sz w:val="24"/>
          <w:szCs w:val="24"/>
          <w:lang w:val="en-US" w:eastAsia="cs-CZ"/>
        </w:rPr>
      </w:pPr>
      <w:r>
        <w:rPr>
          <w:rFonts w:cs="Times New Roman" w:ascii="Times New Roman" w:hAnsi="Times New Roman"/>
          <w:sz w:val="24"/>
          <w:szCs w:val="24"/>
        </w:rPr>
        <w:t xml:space="preserve">Zákon č. </w:t>
      </w:r>
      <w:r>
        <w:rPr>
          <w:rFonts w:cs="Times New Roman" w:ascii="Times New Roman" w:hAnsi="Times New Roman"/>
          <w:iCs/>
          <w:color w:val="070707"/>
          <w:sz w:val="24"/>
          <w:szCs w:val="24"/>
          <w:shd w:fill="FFFFFF" w:val="clear"/>
        </w:rPr>
        <w:t>Zákon o pedagogických pracovnících a o změně některých zákonů</w:t>
      </w:r>
      <w:r>
        <w:rPr>
          <w:rFonts w:cs="Times New Roman" w:ascii="Times New Roman" w:hAnsi="Times New Roman"/>
          <w:sz w:val="24"/>
          <w:szCs w:val="24"/>
        </w:rPr>
        <w:t>. ISSN 2336-4114.</w:t>
      </w:r>
      <w:r>
        <w:br w:type="page"/>
      </w:r>
    </w:p>
    <w:p>
      <w:pPr>
        <w:pStyle w:val="ListParagraph"/>
        <w:numPr>
          <w:ilvl w:val="0"/>
          <w:numId w:val="18"/>
        </w:numPr>
        <w:rPr>
          <w:rFonts w:ascii="Times New Roman" w:hAnsi="Times New Roman" w:cs="Times New Roman"/>
          <w:b/>
          <w:b/>
          <w:sz w:val="32"/>
          <w:szCs w:val="32"/>
        </w:rPr>
      </w:pPr>
      <w:r>
        <w:rPr>
          <w:rFonts w:cs="Times New Roman" w:ascii="Times New Roman" w:hAnsi="Times New Roman"/>
          <w:b/>
          <w:sz w:val="32"/>
          <w:szCs w:val="32"/>
        </w:rPr>
        <w:t>Seznam zkratek</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ECE – early childhood education</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ERO – Education review office</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BLENNZ – Blind and low vision education network</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NZQF –New Zealand qualification framework</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NZEI – New Zealand educational Institute</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WINZ – Work and Income New Zealand</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Ibid – ibidem</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IP – individuální plán</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IEP – individuální vzdělávací plán</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Např. – například</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RVP PV – rámcový vzdělávací program pro předškolní vzdělávání</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TVP – třídní vzdělávací program</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ŠVP – školní vzdělávací program</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ČR –  Česká republika</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NZ – Nový Zéland</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MŠ – Mateřská škola</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Mt -  Mount</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vol - volume</w:t>
      </w:r>
    </w:p>
    <w:p>
      <w:pPr>
        <w:pStyle w:val="ListParagraph"/>
        <w:rPr>
          <w:rFonts w:ascii="Times New Roman" w:hAnsi="Times New Roman" w:cs="Times New Roman"/>
          <w:sz w:val="24"/>
          <w:szCs w:val="24"/>
        </w:rPr>
      </w:pPr>
      <w:r>
        <w:rPr>
          <w:rFonts w:cs="Times New Roman" w:ascii="Times New Roman" w:hAnsi="Times New Roman"/>
          <w:sz w:val="24"/>
          <w:szCs w:val="24"/>
        </w:rPr>
      </w:r>
    </w:p>
    <w:p>
      <w:pPr>
        <w:pStyle w:val="ListParagraph"/>
        <w:ind w:hanging="0"/>
        <w:rPr>
          <w:rFonts w:ascii="Times New Roman" w:hAnsi="Times New Roman" w:cs="Times New Roman"/>
          <w:sz w:val="24"/>
          <w:szCs w:val="24"/>
        </w:rPr>
      </w:pPr>
      <w:r>
        <w:rPr>
          <w:rFonts w:cs="Times New Roman" w:ascii="Times New Roman" w:hAnsi="Times New Roman"/>
          <w:sz w:val="24"/>
          <w:szCs w:val="24"/>
        </w:rPr>
      </w:r>
      <w:r>
        <w:br w:type="page"/>
      </w:r>
    </w:p>
    <w:p>
      <w:pPr>
        <w:pStyle w:val="ListParagraph"/>
        <w:numPr>
          <w:ilvl w:val="0"/>
          <w:numId w:val="18"/>
        </w:numPr>
        <w:rPr>
          <w:rFonts w:ascii="Times New Roman" w:hAnsi="Times New Roman" w:cs="Times New Roman"/>
          <w:b/>
          <w:b/>
          <w:sz w:val="32"/>
          <w:szCs w:val="32"/>
        </w:rPr>
      </w:pPr>
      <w:r>
        <w:rPr>
          <w:rFonts w:cs="Times New Roman" w:ascii="Times New Roman" w:hAnsi="Times New Roman"/>
          <w:b/>
          <w:sz w:val="32"/>
          <w:szCs w:val="32"/>
        </w:rPr>
        <w:t>Seznam příloh</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Příloha 1 – Jacksonův učební příběh</w:t>
      </w:r>
    </w:p>
    <w:p>
      <w:pPr>
        <w:pStyle w:val="ListParagraph"/>
        <w:numPr>
          <w:ilvl w:val="0"/>
          <w:numId w:val="18"/>
        </w:numPr>
        <w:rPr>
          <w:rFonts w:ascii="Times New Roman" w:hAnsi="Times New Roman" w:cs="Times New Roman"/>
          <w:sz w:val="24"/>
          <w:szCs w:val="24"/>
        </w:rPr>
      </w:pPr>
      <w:r>
        <w:rPr>
          <w:rFonts w:cs="Times New Roman" w:ascii="Times New Roman" w:hAnsi="Times New Roman"/>
          <w:sz w:val="24"/>
          <w:szCs w:val="24"/>
        </w:rPr>
        <w:t>Příloha 2 – Jacksonův evaluační souhrn</w:t>
      </w:r>
    </w:p>
    <w:p>
      <w:pPr>
        <w:sectPr>
          <w:footerReference w:type="default" r:id="rId9"/>
          <w:type w:val="nextPage"/>
          <w:pgSz w:w="11906" w:h="16838"/>
          <w:pgMar w:left="1985" w:right="851" w:header="0" w:top="1418" w:footer="709" w:bottom="1418" w:gutter="0"/>
          <w:pgNumType w:start="4" w:fmt="decimal"/>
          <w:formProt w:val="false"/>
          <w:textDirection w:val="lrTb"/>
          <w:docGrid w:type="default" w:linePitch="360" w:charSpace="4294965247"/>
        </w:sectPr>
        <w:pStyle w:val="ListParagraph"/>
        <w:numPr>
          <w:ilvl w:val="0"/>
          <w:numId w:val="18"/>
        </w:numPr>
        <w:spacing w:lineRule="auto" w:line="360"/>
        <w:jc w:val="both"/>
        <w:rPr>
          <w:rFonts w:ascii="Times New Roman" w:hAnsi="Times New Roman" w:cs="Times New Roman"/>
          <w:sz w:val="24"/>
          <w:szCs w:val="24"/>
          <w:lang w:val="en-US" w:eastAsia="cs-CZ"/>
        </w:rPr>
      </w:pPr>
      <w:r>
        <w:rPr>
          <w:rFonts w:cs="Times New Roman" w:ascii="Times New Roman" w:hAnsi="Times New Roman"/>
          <w:sz w:val="24"/>
          <w:szCs w:val="24"/>
        </w:rPr>
        <w:t xml:space="preserve">Příloha 3 – Formulář 20 hodin předškolního vzdělávání </w:t>
      </w:r>
    </w:p>
    <w:p>
      <w:pPr>
        <w:pStyle w:val="Normal"/>
        <w:tabs>
          <w:tab w:val="left" w:pos="2367" w:leader="none"/>
        </w:tabs>
        <w:spacing w:lineRule="auto" w:line="360"/>
        <w:jc w:val="both"/>
        <w:rPr/>
      </w:pPr>
      <w:r>
        <w:rPr>
          <w:b/>
          <w:sz w:val="28"/>
          <w:szCs w:val="28"/>
          <w:lang w:eastAsia="cs-CZ"/>
        </w:rPr>
        <w:t>Přílohy</w:t>
      </w:r>
      <w:r>
        <w:rPr>
          <w:color w:val="353535"/>
          <w:shd w:fill="FFFFFF" w:val="clear"/>
        </w:rPr>
        <w:t xml:space="preserve"> </w:t>
      </w:r>
    </w:p>
    <w:p>
      <w:pPr>
        <w:pStyle w:val="Normal"/>
        <w:tabs>
          <w:tab w:val="left" w:pos="2367" w:leader="none"/>
        </w:tabs>
        <w:spacing w:lineRule="auto" w:line="360"/>
        <w:jc w:val="both"/>
        <w:rPr/>
      </w:pPr>
      <w:r>
        <w:rPr>
          <w:color w:val="353535"/>
          <w:shd w:fill="FFFFFF" w:val="clear"/>
        </w:rPr>
        <w:t>Příloha 1 - Jacksonův učební příběh</w:t>
      </w:r>
    </w:p>
    <w:p>
      <w:pPr>
        <w:pStyle w:val="Normal"/>
        <w:tabs>
          <w:tab w:val="left" w:pos="2367" w:leader="none"/>
        </w:tabs>
        <w:spacing w:lineRule="auto" w:line="360"/>
        <w:jc w:val="both"/>
        <w:rPr/>
      </w:pPr>
      <w:r>
        <w:rPr/>
        <w:drawing>
          <wp:inline distT="0" distB="0" distL="0" distR="0">
            <wp:extent cx="4577715" cy="6839585"/>
            <wp:effectExtent l="0" t="0" r="0" b="0"/>
            <wp:docPr id="5" name="Obrázek 6" descr="C:\Users\petra_000\Documents\Bakalarka\16425637_10154631769798110_162993802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6" descr="C:\Users\petra_000\Documents\Bakalarka\16425637_10154631769798110_1629938025_n (1).jpg"/>
                    <pic:cNvPicPr>
                      <a:picLocks noChangeAspect="1" noChangeArrowheads="1"/>
                    </pic:cNvPicPr>
                  </pic:nvPicPr>
                  <pic:blipFill>
                    <a:blip r:embed="rId10"/>
                    <a:srcRect l="0" t="9515" r="0" b="6425"/>
                    <a:stretch>
                      <a:fillRect/>
                    </a:stretch>
                  </pic:blipFill>
                  <pic:spPr bwMode="auto">
                    <a:xfrm>
                      <a:off x="0" y="0"/>
                      <a:ext cx="4577715" cy="6839585"/>
                    </a:xfrm>
                    <a:prstGeom prst="rect">
                      <a:avLst/>
                    </a:prstGeom>
                  </pic:spPr>
                </pic:pic>
              </a:graphicData>
            </a:graphic>
          </wp:inline>
        </w:drawing>
      </w:r>
    </w:p>
    <w:p>
      <w:pPr>
        <w:pStyle w:val="Normal"/>
        <w:tabs>
          <w:tab w:val="left" w:pos="2367" w:leader="none"/>
        </w:tabs>
        <w:spacing w:lineRule="auto" w:line="360"/>
        <w:jc w:val="both"/>
        <w:rPr>
          <w:color w:val="353535"/>
          <w:shd w:fill="FFFFFF" w:val="clear"/>
        </w:rPr>
      </w:pPr>
      <w:r>
        <w:rPr>
          <w:color w:val="353535"/>
          <w:shd w:fill="FFFFFF" w:val="clear"/>
        </w:rPr>
      </w:r>
    </w:p>
    <w:p>
      <w:pPr>
        <w:pStyle w:val="Normal"/>
        <w:tabs>
          <w:tab w:val="left" w:pos="2367" w:leader="none"/>
        </w:tabs>
        <w:spacing w:lineRule="auto" w:line="360"/>
        <w:jc w:val="both"/>
        <w:rPr>
          <w:color w:val="353535"/>
          <w:shd w:fill="FFFFFF" w:val="clear"/>
        </w:rPr>
      </w:pPr>
      <w:r>
        <w:rPr>
          <w:color w:val="353535"/>
          <w:shd w:fill="FFFFFF" w:val="clear"/>
        </w:rPr>
      </w:r>
    </w:p>
    <w:p>
      <w:pPr>
        <w:pStyle w:val="Normal"/>
        <w:tabs>
          <w:tab w:val="left" w:pos="2367" w:leader="none"/>
        </w:tabs>
        <w:spacing w:lineRule="auto" w:line="360"/>
        <w:jc w:val="both"/>
        <w:rPr>
          <w:color w:val="353535"/>
          <w:shd w:fill="FFFFFF" w:val="clear"/>
        </w:rPr>
      </w:pPr>
      <w:r>
        <w:rPr>
          <w:color w:val="353535"/>
          <w:shd w:fill="FFFFFF" w:val="clear"/>
        </w:rPr>
      </w:r>
    </w:p>
    <w:p>
      <w:pPr>
        <w:pStyle w:val="Normal"/>
        <w:spacing w:lineRule="auto" w:line="360"/>
        <w:jc w:val="both"/>
        <w:rPr/>
      </w:pPr>
      <w:r>
        <w:rPr/>
        <w:t>Příloha 2  – Jacksonův evaluační souhrn</w:t>
      </w:r>
    </w:p>
    <w:p>
      <w:pPr>
        <w:pStyle w:val="Normal"/>
        <w:tabs>
          <w:tab w:val="left" w:pos="2367" w:leader="none"/>
        </w:tabs>
        <w:spacing w:lineRule="auto" w:line="360"/>
        <w:jc w:val="both"/>
        <w:rPr/>
      </w:pPr>
      <w:r>
        <w:rPr/>
        <w:drawing>
          <wp:inline distT="0" distB="8890" distL="0" distR="1905">
            <wp:extent cx="5141595" cy="6315710"/>
            <wp:effectExtent l="0" t="0" r="0" b="0"/>
            <wp:docPr id="6" name="Obrázek 5" descr="C:\Users\petra_000\Documents\Bakalarka\16359300_10154631769698110_153075950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descr="C:\Users\petra_000\Documents\Bakalarka\16359300_10154631769698110_1530759501_n (1).jpg"/>
                    <pic:cNvPicPr>
                      <a:picLocks noChangeAspect="1" noChangeArrowheads="1"/>
                    </pic:cNvPicPr>
                  </pic:nvPicPr>
                  <pic:blipFill>
                    <a:blip r:embed="rId11"/>
                    <a:srcRect l="0" t="12326" r="0" b="18602"/>
                    <a:stretch>
                      <a:fillRect/>
                    </a:stretch>
                  </pic:blipFill>
                  <pic:spPr bwMode="auto">
                    <a:xfrm>
                      <a:off x="0" y="0"/>
                      <a:ext cx="5141595" cy="6315710"/>
                    </a:xfrm>
                    <a:prstGeom prst="rect">
                      <a:avLst/>
                    </a:prstGeom>
                  </pic:spPr>
                </pic:pic>
              </a:graphicData>
            </a:graphic>
          </wp:inline>
        </w:drawing>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spacing w:lineRule="auto" w:line="360"/>
        <w:jc w:val="both"/>
        <w:rPr/>
      </w:pPr>
      <w:r>
        <w:rPr/>
      </w:r>
    </w:p>
    <w:p>
      <w:pPr>
        <w:pStyle w:val="Normal"/>
        <w:rPr/>
      </w:pPr>
      <w:r>
        <w:rPr/>
        <w:t>Příloha 3 – formulář 20 hodin předškolního vzdělávání</w:t>
      </w:r>
    </w:p>
    <w:tbl>
      <w:tblPr>
        <w:tblW w:w="10076" w:type="dxa"/>
        <w:jc w:val="left"/>
        <w:tblInd w:w="-6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3399"/>
        <w:gridCol w:w="1610"/>
        <w:gridCol w:w="799"/>
        <w:gridCol w:w="486"/>
        <w:gridCol w:w="305"/>
        <w:gridCol w:w="64"/>
        <w:gridCol w:w="1138"/>
        <w:gridCol w:w="440"/>
        <w:gridCol w:w="1269"/>
        <w:gridCol w:w="289"/>
        <w:gridCol w:w="1"/>
        <w:gridCol w:w="54"/>
        <w:gridCol w:w="1"/>
        <w:gridCol w:w="67"/>
        <w:gridCol w:w="1"/>
        <w:gridCol w:w="1"/>
        <w:gridCol w:w="151"/>
      </w:tblGrid>
      <w:tr>
        <w:trPr/>
        <w:tc>
          <w:tcPr>
            <w:tcW w:w="9923" w:type="dxa"/>
            <w:gridSpan w:val="1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120" w:after="120"/>
              <w:rPr/>
            </w:pPr>
            <w:r>
              <w:rPr>
                <w:rFonts w:cs="Arial" w:ascii="Arial" w:hAnsi="Arial"/>
                <w:b/>
                <w:i/>
                <w:sz w:val="20"/>
              </w:rPr>
              <w:t>Administration Records</w:t>
            </w:r>
            <w:r>
              <w:rPr>
                <w:rFonts w:cs="Arial" w:ascii="Arial" w:hAnsi="Arial"/>
                <w:sz w:val="28"/>
              </w:rPr>
              <w:t xml:space="preserve"> </w:t>
              <w:tab/>
              <w:t xml:space="preserve">   Enrolment  Agreement  Form       </w:t>
            </w:r>
            <w:r>
              <w:rPr>
                <w:rFonts w:cs="Arial" w:ascii="Arial" w:hAnsi="Arial"/>
                <w:sz w:val="20"/>
              </w:rPr>
              <w:t xml:space="preserve">[INSERT NAME OF SERVICE] </w:t>
            </w:r>
            <w:r>
              <w:rPr>
                <w:rFonts w:cs="Arial" w:ascii="Arial" w:hAnsi="Arial"/>
                <w:sz w:val="28"/>
              </w:rPr>
              <w:t xml:space="preserve"> </w:t>
            </w:r>
          </w:p>
        </w:tc>
        <w:tc>
          <w:tcPr>
            <w:tcW w:w="152" w:type="dxa"/>
            <w:gridSpan w:val="2"/>
            <w:tcBorders/>
            <w:shd w:fill="auto" w:val="clear"/>
          </w:tcPr>
          <w:p>
            <w:pPr>
              <w:pStyle w:val="Normal"/>
              <w:spacing w:before="0" w:after="200"/>
              <w:rPr/>
            </w:pPr>
            <w:r>
              <w:rPr/>
            </w:r>
          </w:p>
        </w:tc>
      </w:tr>
      <w:tr>
        <w:trPr>
          <w:trHeight w:val="1986" w:hRule="atLeast"/>
        </w:trPr>
        <w:tc>
          <w:tcPr>
            <w:tcW w:w="9923" w:type="dxa"/>
            <w:gridSpan w:val="1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tcPr>
          <w:p>
            <w:pPr>
              <w:pStyle w:val="Normal"/>
              <w:spacing w:before="120" w:after="0"/>
              <w:jc w:val="center"/>
              <w:rPr/>
            </w:pPr>
            <w:r>
              <w:rPr>
                <w:rFonts w:cs="Arial" w:ascii="Arial" w:hAnsi="Arial"/>
                <w:b/>
                <w:sz w:val="20"/>
                <w:szCs w:val="20"/>
              </w:rPr>
              <w:t>A SAMPLE THAT COVERS THE NECESSARY FUNDING AND LICENSING REQUIREMENTS</w:t>
            </w:r>
          </w:p>
          <w:p>
            <w:pPr>
              <w:pStyle w:val="Nadpis9"/>
              <w:jc w:val="center"/>
              <w:rPr/>
            </w:pPr>
            <w:r>
              <w:rPr>
                <w:color w:val="00000A"/>
                <w:sz w:val="18"/>
                <w:szCs w:val="18"/>
              </w:rPr>
              <w:t>Enrolment Information,</w:t>
            </w:r>
            <w:r>
              <w:rPr>
                <w:i/>
                <w:color w:val="00000A"/>
                <w:sz w:val="18"/>
                <w:szCs w:val="18"/>
              </w:rPr>
              <w:t xml:space="preserve"> </w:t>
            </w:r>
            <w:r>
              <w:rPr>
                <w:b/>
                <w:color w:val="00000A"/>
                <w:sz w:val="18"/>
                <w:szCs w:val="18"/>
              </w:rPr>
              <w:t xml:space="preserve">20 Hours ECE </w:t>
            </w:r>
            <w:r>
              <w:rPr>
                <w:color w:val="00000A"/>
                <w:sz w:val="18"/>
                <w:szCs w:val="18"/>
              </w:rPr>
              <w:t xml:space="preserve">Enrolment Hours and Attestation Information for Early Childhood Education Services  </w:t>
            </w:r>
          </w:p>
          <w:p>
            <w:pPr>
              <w:pStyle w:val="Normal"/>
              <w:jc w:val="center"/>
              <w:rPr/>
            </w:pPr>
            <w:r>
              <w:rPr>
                <w:rFonts w:eastAsia="Wingdings" w:cs="Wingdings" w:ascii="Wingdings" w:hAnsi="Wingdings"/>
                <w:b/>
              </w:rPr>
              <w:t></w:t>
            </w:r>
            <w:r>
              <w:rPr>
                <w:rFonts w:cs="Arial" w:ascii="Arial" w:hAnsi="Arial"/>
                <w:b/>
                <w:sz w:val="28"/>
                <w:szCs w:val="28"/>
              </w:rPr>
              <w:t xml:space="preserve"> </w:t>
            </w:r>
            <w:r>
              <w:rPr>
                <w:rFonts w:cs="Arial" w:ascii="Arial" w:hAnsi="Arial"/>
                <w:sz w:val="18"/>
                <w:szCs w:val="18"/>
              </w:rPr>
              <w:t xml:space="preserve">Sections marked with this symbol are required to be included in every Enrolment Agreement Form              </w:t>
            </w:r>
          </w:p>
          <w:p>
            <w:pPr>
              <w:pStyle w:val="Normal"/>
              <w:jc w:val="center"/>
              <w:rPr/>
            </w:pPr>
            <w:r>
              <w:rPr>
                <w:rFonts w:cs="Arial" w:ascii="Arial" w:hAnsi="Arial"/>
                <w:sz w:val="18"/>
                <w:szCs w:val="18"/>
              </w:rPr>
              <w:t xml:space="preserve"> </w:t>
            </w:r>
            <w:r>
              <w:rPr>
                <w:rFonts w:cs="Arial" w:ascii="Arial" w:hAnsi="Arial"/>
                <w:sz w:val="18"/>
                <w:szCs w:val="18"/>
              </w:rPr>
              <w:t xml:space="preserve">(20 Hours ECE sections are not applicable if the service does not offer 20 Hours ECE). </w:t>
            </w:r>
          </w:p>
          <w:p>
            <w:pPr>
              <w:pStyle w:val="Normal"/>
              <w:jc w:val="center"/>
              <w:rPr>
                <w:rFonts w:ascii="Arial" w:hAnsi="Arial" w:cs="Arial"/>
                <w:sz w:val="18"/>
                <w:szCs w:val="18"/>
              </w:rPr>
            </w:pPr>
            <w:r>
              <w:rPr>
                <w:rFonts w:cs="Arial" w:ascii="Arial" w:hAnsi="Arial"/>
                <w:sz w:val="18"/>
                <w:szCs w:val="18"/>
              </w:rPr>
            </w:r>
          </w:p>
          <w:p>
            <w:pPr>
              <w:pStyle w:val="Normal"/>
              <w:spacing w:before="0" w:after="200"/>
              <w:jc w:val="center"/>
              <w:rPr/>
            </w:pPr>
            <w:r>
              <w:rPr>
                <w:rFonts w:cs="Arial" w:ascii="Arial" w:hAnsi="Arial"/>
                <w:sz w:val="18"/>
                <w:szCs w:val="18"/>
              </w:rPr>
              <w:t xml:space="preserve">Wording cannot be changed in sections marked with </w:t>
            </w:r>
            <w:r>
              <w:rPr>
                <w:rFonts w:eastAsia="Wingdings" w:cs="Wingdings" w:ascii="Wingdings" w:hAnsi="Wingdings"/>
                <w:b/>
                <w:sz w:val="18"/>
                <w:szCs w:val="18"/>
              </w:rPr>
              <w:t></w:t>
            </w:r>
            <w:r>
              <w:rPr>
                <w:rFonts w:cs="Arial" w:ascii="Arial" w:hAnsi="Arial"/>
                <w:sz w:val="18"/>
                <w:szCs w:val="18"/>
              </w:rPr>
              <w:t>, except to add relevant details for your service.</w:t>
            </w:r>
          </w:p>
        </w:tc>
        <w:tc>
          <w:tcPr>
            <w:tcW w:w="152" w:type="dxa"/>
            <w:gridSpan w:val="2"/>
            <w:tcBorders/>
            <w:shd w:fill="auto" w:val="clear"/>
          </w:tcPr>
          <w:p>
            <w:pPr>
              <w:pStyle w:val="Normal"/>
              <w:spacing w:before="0" w:after="200"/>
              <w:rPr/>
            </w:pPr>
            <w:r>
              <w:rPr/>
            </w:r>
          </w:p>
        </w:tc>
      </w:tr>
      <w:tr>
        <w:trPr>
          <w:trHeight w:val="566" w:hRule="atLeast"/>
        </w:trPr>
        <w:tc>
          <w:tcPr>
            <w:tcW w:w="9923" w:type="dxa"/>
            <w:gridSpan w:val="15"/>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color="auto" w:fill="F3F3F3" w:val="clear"/>
            <w:tcMar>
              <w:left w:w="108" w:type="dxa"/>
            </w:tcMar>
            <w:vAlign w:val="center"/>
          </w:tcPr>
          <w:p>
            <w:pPr>
              <w:pStyle w:val="Normal"/>
              <w:spacing w:before="60" w:after="60"/>
              <w:rPr/>
            </w:pPr>
            <w:r>
              <w:rPr>
                <w:rFonts w:eastAsia="Wingdings" w:cs="Wingdings" w:ascii="Wingdings" w:hAnsi="Wingdings"/>
                <w:b/>
              </w:rPr>
              <w:t></w:t>
            </w:r>
            <w:r>
              <w:rPr>
                <w:rFonts w:cs="Arial" w:ascii="Arial" w:hAnsi="Arial"/>
                <w:b/>
              </w:rPr>
              <w:t xml:space="preserve"> </w:t>
            </w:r>
            <w:r>
              <w:rPr>
                <w:rFonts w:cs="Arial" w:ascii="Arial" w:hAnsi="Arial"/>
                <w:b/>
              </w:rPr>
              <w:t>Child’s details:</w:t>
            </w:r>
          </w:p>
        </w:tc>
        <w:tc>
          <w:tcPr>
            <w:tcW w:w="152" w:type="dxa"/>
            <w:gridSpan w:val="2"/>
            <w:tcBorders/>
            <w:shd w:fill="auto" w:val="clear"/>
          </w:tcPr>
          <w:p>
            <w:pPr>
              <w:pStyle w:val="Normal"/>
              <w:spacing w:before="0" w:after="200"/>
              <w:rPr/>
            </w:pPr>
            <w:r>
              <w:rPr/>
            </w:r>
          </w:p>
        </w:tc>
      </w:tr>
      <w:tr>
        <w:trPr/>
        <w:tc>
          <w:tcPr>
            <w:tcW w:w="9923" w:type="dxa"/>
            <w:gridSpan w:val="15"/>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 xml:space="preserve">Child’s </w:t>
            </w:r>
            <w:r>
              <w:rPr>
                <w:rFonts w:cs="Arial" w:ascii="Arial" w:hAnsi="Arial"/>
                <w:b/>
                <w:sz w:val="20"/>
                <w:szCs w:val="20"/>
              </w:rPr>
              <w:t xml:space="preserve">official surname </w:t>
            </w:r>
            <w:r>
              <w:rPr>
                <w:rFonts w:cs="Arial" w:ascii="Arial" w:hAnsi="Arial"/>
                <w:sz w:val="20"/>
                <w:szCs w:val="20"/>
              </w:rPr>
              <w:t xml:space="preserve">or </w:t>
            </w:r>
            <w:r>
              <w:rPr>
                <w:rFonts w:cs="Arial" w:ascii="Arial" w:hAnsi="Arial"/>
                <w:b/>
                <w:sz w:val="20"/>
                <w:szCs w:val="20"/>
              </w:rPr>
              <w:t>family name</w:t>
            </w:r>
            <w:r>
              <w:rPr>
                <w:rFonts w:cs="Arial" w:ascii="Arial" w:hAnsi="Arial"/>
                <w:sz w:val="20"/>
                <w:szCs w:val="20"/>
              </w:rPr>
              <w:t>:</w:t>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C0C0C0"/>
              <w:insideH w:val="single" w:sz="4" w:space="0" w:color="C0C0C0"/>
            </w:tcBorders>
            <w:shd w:fill="auto" w:val="clear"/>
            <w:tcMar>
              <w:left w:w="108" w:type="dxa"/>
            </w:tcMar>
          </w:tcPr>
          <w:p>
            <w:pPr>
              <w:pStyle w:val="Normal"/>
              <w:spacing w:before="80" w:after="80"/>
              <w:rPr/>
            </w:pPr>
            <w:r>
              <w:rPr>
                <w:rFonts w:cs="Arial" w:ascii="Arial" w:hAnsi="Arial"/>
                <w:sz w:val="20"/>
                <w:szCs w:val="20"/>
              </w:rPr>
              <w:t xml:space="preserve">Child’s </w:t>
            </w:r>
            <w:r>
              <w:rPr>
                <w:rFonts w:cs="Arial" w:ascii="Arial" w:hAnsi="Arial"/>
                <w:b/>
                <w:sz w:val="20"/>
                <w:szCs w:val="20"/>
              </w:rPr>
              <w:t>official</w:t>
            </w:r>
            <w:r>
              <w:rPr>
                <w:rFonts w:cs="Arial" w:ascii="Arial" w:hAnsi="Arial"/>
                <w:sz w:val="20"/>
                <w:szCs w:val="20"/>
              </w:rPr>
              <w:t xml:space="preserve"> </w:t>
            </w:r>
            <w:r>
              <w:rPr>
                <w:rFonts w:cs="Arial" w:ascii="Arial" w:hAnsi="Arial"/>
                <w:b/>
                <w:sz w:val="20"/>
                <w:szCs w:val="20"/>
              </w:rPr>
              <w:t>given name</w:t>
            </w:r>
            <w:r>
              <w:rPr>
                <w:rFonts w:cs="Arial" w:ascii="Arial" w:hAnsi="Arial"/>
                <w:sz w:val="20"/>
                <w:szCs w:val="20"/>
              </w:rPr>
              <w:t>:</w:t>
            </w:r>
          </w:p>
        </w:tc>
        <w:tc>
          <w:tcPr>
            <w:tcW w:w="4914" w:type="dxa"/>
            <w:gridSpan w:val="13"/>
            <w:tcBorders>
              <w:top w:val="single" w:sz="4" w:space="0" w:color="C0C0C0"/>
              <w:right w:val="single" w:sz="4" w:space="0" w:color="00000A"/>
              <w:insideV w:val="single" w:sz="4" w:space="0" w:color="00000A"/>
            </w:tcBorders>
            <w:shd w:fill="auto" w:val="clear"/>
          </w:tcPr>
          <w:p>
            <w:pPr>
              <w:pStyle w:val="Normal"/>
              <w:spacing w:before="80" w:after="80"/>
              <w:rPr>
                <w:rFonts w:ascii="Arial" w:hAnsi="Arial" w:cs="Arial"/>
                <w:sz w:val="20"/>
                <w:szCs w:val="20"/>
              </w:rPr>
            </w:pPr>
            <w:r>
              <w:rPr>
                <w:rFonts w:cs="Arial" w:ascii="Arial" w:hAnsi="Arial"/>
                <w:sz w:val="20"/>
                <w:szCs w:val="20"/>
              </w:rPr>
            </w:r>
          </w:p>
        </w:tc>
        <w:tc>
          <w:tcPr>
            <w:tcW w:w="152" w:type="dxa"/>
            <w:gridSpan w:val="2"/>
            <w:tcBorders/>
            <w:shd w:fill="auto" w:val="clear"/>
          </w:tcPr>
          <w:p>
            <w:pPr>
              <w:pStyle w:val="Normal"/>
              <w:spacing w:before="0" w:after="200"/>
              <w:rPr/>
            </w:pPr>
            <w:r>
              <w:rPr/>
            </w:r>
          </w:p>
        </w:tc>
      </w:tr>
      <w:tr>
        <w:trPr/>
        <w:tc>
          <w:tcPr>
            <w:tcW w:w="5808" w:type="dxa"/>
            <w:gridSpan w:val="3"/>
            <w:tcBorders>
              <w:top w:val="single" w:sz="4" w:space="0" w:color="C0C0C0"/>
              <w:left w:val="single" w:sz="4" w:space="0" w:color="00000A"/>
              <w:bottom w:val="single" w:sz="4" w:space="0" w:color="C0C0C0"/>
              <w:insideH w:val="single" w:sz="4" w:space="0" w:color="C0C0C0"/>
            </w:tcBorders>
            <w:shd w:fill="auto" w:val="clear"/>
            <w:tcMar>
              <w:left w:w="108" w:type="dxa"/>
            </w:tcMar>
          </w:tcPr>
          <w:p>
            <w:pPr>
              <w:pStyle w:val="Normal"/>
              <w:spacing w:before="80" w:after="80"/>
              <w:rPr/>
            </w:pPr>
            <w:r>
              <w:rPr>
                <w:rFonts w:cs="Arial" w:ascii="Arial" w:hAnsi="Arial"/>
                <w:sz w:val="20"/>
                <w:szCs w:val="20"/>
              </w:rPr>
              <w:t xml:space="preserve">Child’s </w:t>
            </w:r>
            <w:r>
              <w:rPr>
                <w:rFonts w:cs="Arial" w:ascii="Arial" w:hAnsi="Arial"/>
                <w:b/>
                <w:sz w:val="20"/>
                <w:szCs w:val="20"/>
              </w:rPr>
              <w:t>official other names</w:t>
            </w:r>
            <w:r>
              <w:rPr>
                <w:rFonts w:cs="Arial" w:ascii="Arial" w:hAnsi="Arial"/>
                <w:sz w:val="20"/>
                <w:szCs w:val="20"/>
              </w:rPr>
              <w:t xml:space="preserve"> / </w:t>
            </w:r>
            <w:r>
              <w:rPr>
                <w:rFonts w:cs="Arial" w:ascii="Arial" w:hAnsi="Arial"/>
                <w:b/>
                <w:sz w:val="20"/>
                <w:szCs w:val="20"/>
              </w:rPr>
              <w:t xml:space="preserve">middle names:                  </w:t>
            </w:r>
            <w:r>
              <w:rPr>
                <w:rFonts w:cs="Arial" w:ascii="Arial" w:hAnsi="Arial"/>
                <w:sz w:val="20"/>
                <w:szCs w:val="20"/>
              </w:rPr>
              <w:t xml:space="preserve">(please separate names with a comma):  </w:t>
            </w:r>
          </w:p>
        </w:tc>
        <w:tc>
          <w:tcPr>
            <w:tcW w:w="4115" w:type="dxa"/>
            <w:gridSpan w:val="12"/>
            <w:tcBorders>
              <w:top w:val="single" w:sz="4" w:space="0" w:color="C0C0C0"/>
              <w:right w:val="single" w:sz="4" w:space="0" w:color="00000A"/>
              <w:insideV w:val="single" w:sz="4" w:space="0" w:color="00000A"/>
            </w:tcBorders>
            <w:shd w:fill="auto" w:val="clear"/>
          </w:tcPr>
          <w:p>
            <w:pPr>
              <w:pStyle w:val="Normal"/>
              <w:spacing w:before="80" w:after="80"/>
              <w:rPr>
                <w:rFonts w:ascii="Arial" w:hAnsi="Arial" w:cs="Arial"/>
                <w:sz w:val="20"/>
                <w:szCs w:val="20"/>
              </w:rPr>
            </w:pPr>
            <w:r>
              <w:rPr>
                <w:rFonts w:cs="Arial" w:ascii="Arial" w:hAnsi="Arial"/>
                <w:sz w:val="20"/>
                <w:szCs w:val="20"/>
              </w:rPr>
            </w:r>
          </w:p>
        </w:tc>
        <w:tc>
          <w:tcPr>
            <w:tcW w:w="152" w:type="dxa"/>
            <w:gridSpan w:val="2"/>
            <w:tcBorders/>
            <w:shd w:fill="auto" w:val="clear"/>
          </w:tcPr>
          <w:p>
            <w:pPr>
              <w:pStyle w:val="Normal"/>
              <w:spacing w:before="0" w:after="200"/>
              <w:rPr/>
            </w:pPr>
            <w:r>
              <w:rPr/>
            </w:r>
          </w:p>
        </w:tc>
      </w:tr>
      <w:tr>
        <w:trPr/>
        <w:tc>
          <w:tcPr>
            <w:tcW w:w="6294" w:type="dxa"/>
            <w:gridSpan w:val="4"/>
            <w:tcBorders>
              <w:top w:val="single" w:sz="4" w:space="0" w:color="C0C0C0"/>
              <w:left w:val="single" w:sz="4" w:space="0" w:color="00000A"/>
              <w:bottom w:val="single" w:sz="4" w:space="0" w:color="C0C0C0"/>
              <w:insideH w:val="single" w:sz="4" w:space="0" w:color="C0C0C0"/>
            </w:tcBorders>
            <w:shd w:fill="auto" w:val="clear"/>
            <w:tcMar>
              <w:left w:w="108" w:type="dxa"/>
            </w:tcMar>
          </w:tcPr>
          <w:p>
            <w:pPr>
              <w:pStyle w:val="Normal"/>
              <w:spacing w:before="80" w:after="80"/>
              <w:rPr/>
            </w:pPr>
            <w:r>
              <w:rPr>
                <w:rFonts w:cs="Arial" w:ascii="Arial" w:hAnsi="Arial"/>
                <w:b/>
                <w:sz w:val="20"/>
                <w:szCs w:val="20"/>
              </w:rPr>
              <w:t>Name your child is known by / preferred name:</w:t>
            </w:r>
          </w:p>
          <w:p>
            <w:pPr>
              <w:pStyle w:val="Normal"/>
              <w:spacing w:before="80" w:after="80"/>
              <w:rPr/>
            </w:pPr>
            <w:r>
              <w:rPr>
                <w:rFonts w:cs="Arial" w:ascii="Arial" w:hAnsi="Arial"/>
                <w:sz w:val="20"/>
                <w:szCs w:val="20"/>
              </w:rPr>
              <w:t>Surname / family name:                                                     Given name:</w:t>
            </w:r>
          </w:p>
        </w:tc>
        <w:tc>
          <w:tcPr>
            <w:tcW w:w="3630" w:type="dxa"/>
            <w:gridSpan w:val="12"/>
            <w:tcBorders>
              <w:top w:val="single" w:sz="4" w:space="0" w:color="C0C0C0"/>
              <w:bottom w:val="single" w:sz="4" w:space="0" w:color="C0C0C0"/>
              <w:right w:val="single" w:sz="4" w:space="0" w:color="00000A"/>
              <w:insideH w:val="single" w:sz="4" w:space="0" w:color="C0C0C0"/>
              <w:insideV w:val="single" w:sz="4" w:space="0" w:color="00000A"/>
            </w:tcBorders>
            <w:shd w:fill="auto" w:val="clear"/>
          </w:tcPr>
          <w:p>
            <w:pPr>
              <w:pStyle w:val="Normal"/>
              <w:spacing w:before="80" w:after="80"/>
              <w:rPr>
                <w:rFonts w:ascii="Arial" w:hAnsi="Arial" w:cs="Arial"/>
                <w:sz w:val="20"/>
                <w:szCs w:val="20"/>
              </w:rPr>
            </w:pPr>
            <w:r>
              <w:rPr>
                <w:rFonts w:cs="Arial" w:ascii="Arial" w:hAnsi="Arial"/>
                <w:sz w:val="20"/>
                <w:szCs w:val="20"/>
              </w:rPr>
            </w:r>
          </w:p>
        </w:tc>
        <w:tc>
          <w:tcPr>
            <w:tcW w:w="151" w:type="dxa"/>
            <w:tcBorders/>
            <w:shd w:fill="auto" w:val="clear"/>
          </w:tcPr>
          <w:p>
            <w:pPr>
              <w:pStyle w:val="Normal"/>
              <w:spacing w:before="0" w:after="200"/>
              <w:rPr/>
            </w:pPr>
            <w:r>
              <w:rPr/>
            </w:r>
          </w:p>
        </w:tc>
      </w:tr>
      <w:tr>
        <w:trPr/>
        <w:tc>
          <w:tcPr>
            <w:tcW w:w="9923" w:type="dxa"/>
            <w:gridSpan w:val="15"/>
            <w:tcBorders>
              <w:top w:val="single" w:sz="4" w:space="0" w:color="C0C0C0"/>
              <w:left w:val="single" w:sz="4" w:space="0" w:color="00000A"/>
              <w:right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Copy of official identity verification document* collected by staff:</w:t>
            </w:r>
          </w:p>
        </w:tc>
        <w:tc>
          <w:tcPr>
            <w:tcW w:w="152" w:type="dxa"/>
            <w:gridSpan w:val="2"/>
            <w:tcBorders/>
            <w:shd w:fill="auto" w:val="clear"/>
          </w:tcPr>
          <w:p>
            <w:pPr>
              <w:pStyle w:val="Normal"/>
              <w:spacing w:before="0" w:after="200"/>
              <w:rPr/>
            </w:pPr>
            <w:r>
              <w:rPr/>
            </w:r>
          </w:p>
        </w:tc>
      </w:tr>
      <w:tr>
        <w:trPr/>
        <w:tc>
          <w:tcPr>
            <w:tcW w:w="5009" w:type="dxa"/>
            <w:gridSpan w:val="2"/>
            <w:tcBorders>
              <w:left w:val="single" w:sz="4" w:space="0" w:color="00000A"/>
              <w:bottom w:val="single" w:sz="4" w:space="0" w:color="C0C0C0"/>
              <w:insideH w:val="single" w:sz="4" w:space="0" w:color="C0C0C0"/>
            </w:tcBorders>
            <w:shd w:fill="auto" w:val="clear"/>
            <w:tcMar>
              <w:left w:w="108" w:type="dxa"/>
            </w:tcMar>
          </w:tcPr>
          <w:p>
            <w:pPr>
              <w:pStyle w:val="Normal"/>
              <w:spacing w:before="100" w:after="100"/>
              <w:rPr/>
            </w:pPr>
            <w:r>
              <w:rPr>
                <w:rFonts w:eastAsia="Wingdings" w:cs="Wingdings" w:ascii="Wingdings" w:hAnsi="Wingdings"/>
                <w:sz w:val="20"/>
                <w:szCs w:val="20"/>
              </w:rPr>
              <w:t></w:t>
            </w:r>
            <w:r>
              <w:rPr>
                <w:rFonts w:cs="Arial" w:ascii="Arial" w:hAnsi="Arial"/>
                <w:sz w:val="20"/>
                <w:szCs w:val="20"/>
              </w:rPr>
              <w:t xml:space="preserve"> </w:t>
            </w:r>
            <w:r>
              <w:rPr>
                <w:rFonts w:cs="Arial" w:ascii="Arial" w:hAnsi="Arial"/>
                <w:sz w:val="20"/>
                <w:szCs w:val="20"/>
              </w:rPr>
              <w:t xml:space="preserve">New Zealand birth certificate     </w:t>
            </w:r>
          </w:p>
          <w:p>
            <w:pPr>
              <w:pStyle w:val="Normal"/>
              <w:spacing w:before="100" w:after="100"/>
              <w:rPr/>
            </w:pPr>
            <w:r>
              <w:rPr>
                <w:rFonts w:eastAsia="Wingdings" w:cs="Wingdings" w:ascii="Wingdings" w:hAnsi="Wingdings"/>
                <w:sz w:val="20"/>
                <w:szCs w:val="20"/>
              </w:rPr>
              <w:t></w:t>
            </w:r>
            <w:r>
              <w:rPr>
                <w:rFonts w:cs="Arial" w:ascii="Arial" w:hAnsi="Arial"/>
                <w:sz w:val="20"/>
                <w:szCs w:val="20"/>
              </w:rPr>
              <w:t xml:space="preserve"> </w:t>
            </w:r>
            <w:r>
              <w:rPr>
                <w:rFonts w:cs="Arial" w:ascii="Arial" w:hAnsi="Arial"/>
                <w:sz w:val="20"/>
                <w:szCs w:val="20"/>
              </w:rPr>
              <w:t>New Zealand passport</w:t>
            </w:r>
          </w:p>
          <w:p>
            <w:pPr>
              <w:pStyle w:val="Normal"/>
              <w:spacing w:before="100" w:after="100"/>
              <w:rPr/>
            </w:pPr>
            <w:r>
              <w:rPr>
                <w:rFonts w:eastAsia="Wingdings" w:cs="Wingdings" w:ascii="Wingdings" w:hAnsi="Wingdings"/>
                <w:sz w:val="20"/>
                <w:szCs w:val="20"/>
              </w:rPr>
              <w:t></w:t>
            </w:r>
            <w:r>
              <w:rPr>
                <w:rFonts w:cs="Arial" w:ascii="Arial" w:hAnsi="Arial"/>
                <w:sz w:val="20"/>
                <w:szCs w:val="20"/>
              </w:rPr>
              <w:t xml:space="preserve"> </w:t>
            </w:r>
            <w:r>
              <w:rPr>
                <w:rFonts w:cs="Arial" w:ascii="Arial" w:hAnsi="Arial"/>
                <w:sz w:val="20"/>
                <w:szCs w:val="20"/>
              </w:rPr>
              <w:t>Other ____________________________________</w:t>
            </w:r>
          </w:p>
        </w:tc>
        <w:tc>
          <w:tcPr>
            <w:tcW w:w="4914" w:type="dxa"/>
            <w:gridSpan w:val="13"/>
            <w:tcBorders>
              <w:right w:val="single" w:sz="4" w:space="0" w:color="00000A"/>
              <w:insideV w:val="single" w:sz="4" w:space="0" w:color="00000A"/>
            </w:tcBorders>
            <w:shd w:fill="auto" w:val="clear"/>
          </w:tcPr>
          <w:p>
            <w:pPr>
              <w:pStyle w:val="Normal"/>
              <w:spacing w:before="100" w:after="100"/>
              <w:rPr/>
            </w:pPr>
            <w:r>
              <w:rPr>
                <w:rFonts w:eastAsia="Wingdings" w:cs="Wingdings" w:ascii="Wingdings" w:hAnsi="Wingdings"/>
                <w:sz w:val="20"/>
                <w:szCs w:val="20"/>
              </w:rPr>
              <w:t></w:t>
            </w:r>
            <w:r>
              <w:rPr>
                <w:rFonts w:cs="Arial" w:ascii="Arial" w:hAnsi="Arial"/>
                <w:sz w:val="20"/>
                <w:szCs w:val="20"/>
              </w:rPr>
              <w:t xml:space="preserve"> </w:t>
            </w:r>
            <w:r>
              <w:rPr>
                <w:rFonts w:cs="Arial" w:ascii="Arial" w:hAnsi="Arial"/>
                <w:sz w:val="20"/>
                <w:szCs w:val="20"/>
              </w:rPr>
              <w:t>Foreign birth certificate</w:t>
            </w:r>
          </w:p>
          <w:p>
            <w:pPr>
              <w:pStyle w:val="Normal"/>
              <w:spacing w:before="100" w:after="100"/>
              <w:rPr/>
            </w:pPr>
            <w:r>
              <w:rPr>
                <w:rFonts w:eastAsia="Wingdings" w:cs="Wingdings" w:ascii="Wingdings" w:hAnsi="Wingdings"/>
                <w:sz w:val="20"/>
                <w:szCs w:val="20"/>
              </w:rPr>
              <w:t></w:t>
            </w:r>
            <w:r>
              <w:rPr>
                <w:rFonts w:cs="Arial" w:ascii="Arial" w:hAnsi="Arial"/>
                <w:sz w:val="20"/>
                <w:szCs w:val="20"/>
              </w:rPr>
              <w:t xml:space="preserve"> </w:t>
            </w:r>
            <w:r>
              <w:rPr>
                <w:rFonts w:cs="Arial" w:ascii="Arial" w:hAnsi="Arial"/>
                <w:sz w:val="20"/>
                <w:szCs w:val="20"/>
              </w:rPr>
              <w:t>Foreign passport</w:t>
            </w:r>
          </w:p>
          <w:p>
            <w:pPr>
              <w:pStyle w:val="Normal"/>
              <w:spacing w:before="80" w:after="80"/>
              <w:jc w:val="right"/>
              <w:rPr/>
            </w:pPr>
            <w:r>
              <w:rPr>
                <w:rFonts w:cs="Arial" w:ascii="Arial" w:hAnsi="Arial"/>
                <w:b/>
                <w:sz w:val="20"/>
                <w:szCs w:val="20"/>
              </w:rPr>
              <w:t>Staff initials</w:t>
            </w:r>
            <w:r>
              <w:rPr>
                <w:rFonts w:cs="Arial" w:ascii="Arial" w:hAnsi="Arial"/>
                <w:sz w:val="20"/>
                <w:szCs w:val="20"/>
              </w:rPr>
              <w:t xml:space="preserve">: _______________                                     </w:t>
            </w:r>
          </w:p>
        </w:tc>
        <w:tc>
          <w:tcPr>
            <w:tcW w:w="152" w:type="dxa"/>
            <w:gridSpan w:val="2"/>
            <w:tcBorders/>
            <w:shd w:fill="auto" w:val="clear"/>
          </w:tcPr>
          <w:p>
            <w:pPr>
              <w:pStyle w:val="Normal"/>
              <w:spacing w:before="0" w:after="200"/>
              <w:rPr/>
            </w:pPr>
            <w:r>
              <w:rPr/>
            </w:r>
          </w:p>
        </w:tc>
      </w:tr>
      <w:tr>
        <w:trPr>
          <w:trHeight w:val="409" w:hRule="atLeast"/>
        </w:trPr>
        <w:tc>
          <w:tcPr>
            <w:tcW w:w="6663" w:type="dxa"/>
            <w:gridSpan w:val="6"/>
            <w:tcBorders>
              <w:top w:val="single" w:sz="4" w:space="0" w:color="C0C0C0"/>
              <w:left w:val="single" w:sz="4" w:space="0" w:color="00000A"/>
              <w:bottom w:val="single" w:sz="4" w:space="0" w:color="C0C0C0"/>
              <w:insideH w:val="single" w:sz="4" w:space="0" w:color="C0C0C0"/>
            </w:tcBorders>
            <w:shd w:fill="auto" w:val="clear"/>
            <w:tcMar>
              <w:left w:w="108" w:type="dxa"/>
            </w:tcMar>
            <w:vAlign w:val="center"/>
          </w:tcPr>
          <w:p>
            <w:pPr>
              <w:pStyle w:val="Normal"/>
              <w:spacing w:before="80" w:after="80"/>
              <w:rPr/>
            </w:pPr>
            <w:r>
              <w:rPr>
                <w:rFonts w:cs="Arial" w:ascii="Arial" w:hAnsi="Arial"/>
                <w:sz w:val="20"/>
                <w:szCs w:val="20"/>
              </w:rPr>
              <w:t xml:space="preserve">Child’s date of birth:       </w:t>
            </w:r>
            <w:r>
              <w:rPr>
                <w:rFonts w:cs="Arial" w:ascii="Arial" w:hAnsi="Arial"/>
                <w:color w:val="BFBFBF"/>
                <w:sz w:val="20"/>
                <w:szCs w:val="20"/>
              </w:rPr>
              <w:t>d d</w:t>
            </w:r>
            <w:r>
              <w:rPr>
                <w:rFonts w:cs="Arial" w:ascii="Arial" w:hAnsi="Arial"/>
                <w:sz w:val="20"/>
                <w:szCs w:val="20"/>
              </w:rPr>
              <w:t xml:space="preserve">     /     </w:t>
            </w:r>
            <w:r>
              <w:rPr>
                <w:rFonts w:cs="Arial" w:ascii="Arial" w:hAnsi="Arial"/>
                <w:color w:val="BFBFBF"/>
                <w:sz w:val="20"/>
                <w:szCs w:val="20"/>
              </w:rPr>
              <w:t>m m</w:t>
            </w:r>
            <w:r>
              <w:rPr>
                <w:rFonts w:cs="Arial" w:ascii="Arial" w:hAnsi="Arial"/>
                <w:sz w:val="20"/>
                <w:szCs w:val="20"/>
              </w:rPr>
              <w:t xml:space="preserve">     /     </w:t>
            </w:r>
            <w:r>
              <w:rPr>
                <w:rFonts w:cs="Arial" w:ascii="Arial" w:hAnsi="Arial"/>
                <w:color w:val="BFBFBF"/>
                <w:sz w:val="20"/>
                <w:szCs w:val="20"/>
              </w:rPr>
              <w:t>y y y y</w:t>
            </w:r>
          </w:p>
        </w:tc>
        <w:tc>
          <w:tcPr>
            <w:tcW w:w="1138" w:type="dxa"/>
            <w:tcBorders>
              <w:top w:val="single" w:sz="4" w:space="0" w:color="C0C0C0"/>
              <w:right w:val="single" w:sz="12" w:space="0" w:color="00000A"/>
              <w:insideV w:val="single" w:sz="12" w:space="0" w:color="00000A"/>
            </w:tcBorders>
            <w:shd w:fill="auto" w:val="clear"/>
            <w:vAlign w:val="center"/>
          </w:tcPr>
          <w:p>
            <w:pPr>
              <w:pStyle w:val="Normal"/>
              <w:spacing w:before="80" w:after="80"/>
              <w:jc w:val="right"/>
              <w:rPr/>
            </w:pPr>
            <w:r>
              <w:rPr>
                <w:rFonts w:cs="Arial" w:ascii="Arial" w:hAnsi="Arial"/>
                <w:sz w:val="20"/>
                <w:szCs w:val="20"/>
              </w:rPr>
              <w:t xml:space="preserve">Male          </w:t>
            </w:r>
          </w:p>
        </w:tc>
        <w:tc>
          <w:tcPr>
            <w:tcW w:w="440"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vAlign w:val="center"/>
          </w:tcPr>
          <w:p>
            <w:pPr>
              <w:pStyle w:val="Normal"/>
              <w:spacing w:before="80" w:after="80"/>
              <w:rPr>
                <w:rFonts w:ascii="Arial" w:hAnsi="Arial" w:cs="Arial"/>
                <w:sz w:val="20"/>
                <w:szCs w:val="20"/>
              </w:rPr>
            </w:pPr>
            <w:r>
              <w:rPr>
                <w:rFonts w:cs="Arial" w:ascii="Arial" w:hAnsi="Arial"/>
                <w:sz w:val="20"/>
                <w:szCs w:val="20"/>
              </w:rPr>
            </w:r>
          </w:p>
        </w:tc>
        <w:tc>
          <w:tcPr>
            <w:tcW w:w="1269" w:type="dxa"/>
            <w:tcBorders>
              <w:top w:val="single" w:sz="4" w:space="0" w:color="C0C0C0"/>
              <w:left w:val="single" w:sz="12" w:space="0" w:color="00000A"/>
              <w:right w:val="single" w:sz="12" w:space="0" w:color="00000A"/>
              <w:insideV w:val="single" w:sz="12" w:space="0" w:color="00000A"/>
            </w:tcBorders>
            <w:shd w:fill="auto" w:val="clear"/>
            <w:tcMar>
              <w:left w:w="98" w:type="dxa"/>
            </w:tcMar>
            <w:vAlign w:val="center"/>
          </w:tcPr>
          <w:p>
            <w:pPr>
              <w:pStyle w:val="Normal"/>
              <w:spacing w:before="80" w:after="80"/>
              <w:rPr/>
            </w:pPr>
            <w:r>
              <w:rPr>
                <w:rFonts w:cs="Arial" w:ascii="Arial" w:hAnsi="Arial"/>
                <w:sz w:val="20"/>
                <w:szCs w:val="20"/>
              </w:rPr>
              <w:t>Female</w:t>
            </w:r>
          </w:p>
        </w:tc>
        <w:tc>
          <w:tcPr>
            <w:tcW w:w="344" w:type="dxa"/>
            <w:gridSpan w:val="3"/>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vAlign w:val="center"/>
          </w:tcPr>
          <w:p>
            <w:pPr>
              <w:pStyle w:val="Normal"/>
              <w:spacing w:before="80" w:after="80"/>
              <w:rPr>
                <w:rFonts w:ascii="Arial" w:hAnsi="Arial" w:cs="Arial"/>
              </w:rPr>
            </w:pPr>
            <w:r>
              <w:rPr>
                <w:rFonts w:cs="Arial" w:ascii="Arial" w:hAnsi="Arial"/>
              </w:rPr>
            </w:r>
          </w:p>
        </w:tc>
        <w:tc>
          <w:tcPr>
            <w:tcW w:w="221" w:type="dxa"/>
            <w:gridSpan w:val="5"/>
            <w:tcBorders>
              <w:top w:val="single" w:sz="4" w:space="0" w:color="C0C0C0"/>
              <w:left w:val="single" w:sz="12"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before="80" w:after="80"/>
              <w:rPr>
                <w:rFonts w:ascii="Arial" w:hAnsi="Arial" w:cs="Arial"/>
              </w:rPr>
            </w:pPr>
            <w:r>
              <w:rPr>
                <w:rFonts w:cs="Arial" w:ascii="Arial" w:hAnsi="Arial"/>
              </w:rPr>
            </w:r>
          </w:p>
        </w:tc>
      </w:tr>
      <w:tr>
        <w:trPr>
          <w:trHeight w:val="1380" w:hRule="atLeast"/>
        </w:trPr>
        <w:tc>
          <w:tcPr>
            <w:tcW w:w="3399" w:type="dxa"/>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 xml:space="preserve">Child’s ethnic origin/s: </w:t>
            </w:r>
          </w:p>
          <w:p>
            <w:pPr>
              <w:pStyle w:val="Normal"/>
              <w:spacing w:before="80" w:after="80"/>
              <w:rPr/>
            </w:pPr>
            <w:r>
              <w:rPr>
                <w:rFonts w:cs="Arial" w:ascii="Arial" w:hAnsi="Arial"/>
                <w:sz w:val="20"/>
                <w:szCs w:val="20"/>
              </w:rPr>
              <w:t>___________________________</w:t>
            </w:r>
          </w:p>
          <w:p>
            <w:pPr>
              <w:pStyle w:val="Normal"/>
              <w:spacing w:before="80" w:after="80"/>
              <w:rPr/>
            </w:pPr>
            <w:r>
              <w:rPr>
                <w:rFonts w:cs="Arial" w:ascii="Arial" w:hAnsi="Arial"/>
                <w:sz w:val="20"/>
                <w:szCs w:val="20"/>
              </w:rPr>
              <w:t>___________________________</w:t>
            </w:r>
          </w:p>
          <w:p>
            <w:pPr>
              <w:pStyle w:val="Normal"/>
              <w:spacing w:before="80" w:after="80"/>
              <w:rPr/>
            </w:pPr>
            <w:r>
              <w:rPr>
                <w:rFonts w:cs="Arial" w:ascii="Arial" w:hAnsi="Arial"/>
                <w:sz w:val="20"/>
                <w:szCs w:val="20"/>
              </w:rPr>
              <w:t>___________________________</w:t>
            </w:r>
          </w:p>
        </w:tc>
        <w:tc>
          <w:tcPr>
            <w:tcW w:w="3200" w:type="dxa"/>
            <w:gridSpan w:val="4"/>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Iwi your child belongs to:</w:t>
            </w:r>
          </w:p>
          <w:p>
            <w:pPr>
              <w:pStyle w:val="Normal"/>
              <w:spacing w:before="80" w:after="80"/>
              <w:rPr/>
            </w:pPr>
            <w:r>
              <w:rPr>
                <w:rFonts w:cs="Arial" w:ascii="Arial" w:hAnsi="Arial"/>
                <w:sz w:val="20"/>
                <w:szCs w:val="20"/>
              </w:rPr>
              <w:t>___________________________</w:t>
            </w:r>
          </w:p>
          <w:p>
            <w:pPr>
              <w:pStyle w:val="Normal"/>
              <w:spacing w:before="80" w:after="80"/>
              <w:rPr/>
            </w:pPr>
            <w:r>
              <w:rPr>
                <w:rFonts w:cs="Arial" w:ascii="Arial" w:hAnsi="Arial"/>
                <w:sz w:val="20"/>
                <w:szCs w:val="20"/>
              </w:rPr>
              <w:t>___________________________</w:t>
            </w:r>
          </w:p>
          <w:p>
            <w:pPr>
              <w:pStyle w:val="Normal"/>
              <w:spacing w:before="80" w:after="80"/>
              <w:rPr/>
            </w:pPr>
            <w:r>
              <w:rPr>
                <w:rFonts w:cs="Arial" w:ascii="Arial" w:hAnsi="Arial"/>
                <w:sz w:val="20"/>
                <w:szCs w:val="20"/>
              </w:rPr>
              <w:t>___________________________</w:t>
            </w:r>
          </w:p>
        </w:tc>
        <w:tc>
          <w:tcPr>
            <w:tcW w:w="3200" w:type="dxa"/>
            <w:gridSpan w:val="5"/>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Language/s spoken at home:</w:t>
            </w:r>
          </w:p>
          <w:p>
            <w:pPr>
              <w:pStyle w:val="Normal"/>
              <w:spacing w:before="80" w:after="80"/>
              <w:rPr/>
            </w:pPr>
            <w:r>
              <w:rPr>
                <w:rFonts w:cs="Arial" w:ascii="Arial" w:hAnsi="Arial"/>
                <w:sz w:val="20"/>
                <w:szCs w:val="20"/>
              </w:rPr>
              <w:t>___________________________</w:t>
            </w:r>
          </w:p>
          <w:p>
            <w:pPr>
              <w:pStyle w:val="Normal"/>
              <w:spacing w:before="80" w:after="80"/>
              <w:rPr/>
            </w:pPr>
            <w:r>
              <w:rPr>
                <w:rFonts w:cs="Arial" w:ascii="Arial" w:hAnsi="Arial"/>
                <w:sz w:val="20"/>
                <w:szCs w:val="20"/>
              </w:rPr>
              <w:t>___________________________</w:t>
            </w:r>
          </w:p>
          <w:p>
            <w:pPr>
              <w:pStyle w:val="Normal"/>
              <w:spacing w:before="80" w:after="80"/>
              <w:rPr/>
            </w:pPr>
            <w:r>
              <w:rPr>
                <w:rFonts w:cs="Arial" w:ascii="Arial" w:hAnsi="Arial"/>
                <w:sz w:val="20"/>
                <w:szCs w:val="20"/>
              </w:rPr>
              <w:t>___________________________</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3" w:type="dxa"/>
            <w:gridSpan w:val="3"/>
            <w:tcBorders/>
            <w:shd w:fill="auto" w:val="clear"/>
          </w:tcPr>
          <w:p>
            <w:pPr>
              <w:pStyle w:val="Normal"/>
              <w:spacing w:before="0" w:after="200"/>
              <w:rPr/>
            </w:pPr>
            <w:r>
              <w:rPr/>
            </w:r>
          </w:p>
        </w:tc>
      </w:tr>
      <w:tr>
        <w:trPr/>
        <w:tc>
          <w:tcPr>
            <w:tcW w:w="9800" w:type="dxa"/>
            <w:gridSpan w:val="11"/>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Child’s primary residential address:</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9800" w:type="dxa"/>
            <w:gridSpan w:val="11"/>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9800" w:type="dxa"/>
            <w:gridSpan w:val="11"/>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ab/>
              <w:tab/>
              <w:tab/>
              <w:tab/>
              <w:tab/>
              <w:tab/>
              <w:tab/>
              <w:t xml:space="preserve">                                           Post Code:</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rHeight w:val="609" w:hRule="atLeast"/>
        </w:trPr>
        <w:tc>
          <w:tcPr>
            <w:tcW w:w="9800" w:type="dxa"/>
            <w:gridSpan w:val="11"/>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val="clear"/>
            <w:tcMar>
              <w:left w:w="108" w:type="dxa"/>
            </w:tcMar>
            <w:vAlign w:val="center"/>
          </w:tcPr>
          <w:p>
            <w:pPr>
              <w:pStyle w:val="Normal"/>
              <w:spacing w:before="80" w:after="80"/>
              <w:rPr/>
            </w:pPr>
            <w:r>
              <w:rPr>
                <w:rFonts w:eastAsia="Wingdings" w:cs="Wingdings" w:ascii="Wingdings" w:hAnsi="Wingdings"/>
                <w:b/>
              </w:rPr>
              <w:t></w:t>
            </w:r>
            <w:r>
              <w:rPr>
                <w:rFonts w:cs="Arial" w:ascii="Arial" w:hAnsi="Arial"/>
                <w:b/>
              </w:rPr>
              <w:t xml:space="preserve"> </w:t>
            </w:r>
            <w:r>
              <w:rPr>
                <w:rFonts w:cs="Arial" w:ascii="Arial" w:hAnsi="Arial"/>
                <w:b/>
              </w:rPr>
              <w:t>Privacy Statement:</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9800" w:type="dxa"/>
            <w:gridSpan w:val="11"/>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We are collecting personal information on this enrolment form for the purposes of providing early childhood education for your child.</w:t>
            </w:r>
          </w:p>
          <w:p>
            <w:pPr>
              <w:pStyle w:val="Normal"/>
              <w:spacing w:before="80" w:after="80"/>
              <w:rPr/>
            </w:pPr>
            <w:r>
              <w:rPr>
                <w:rFonts w:cs="Arial" w:ascii="Arial" w:hAnsi="Arial"/>
                <w:sz w:val="20"/>
                <w:szCs w:val="20"/>
              </w:rPr>
              <w:t>We will use and disclose your child’s information only in accordance with the Privacy Act 1993. Under that Act you have the right to access and request correction of any personal information we hold about you or your child.</w:t>
            </w:r>
          </w:p>
          <w:p>
            <w:pPr>
              <w:pStyle w:val="Normal"/>
              <w:spacing w:before="80" w:after="80"/>
              <w:rPr/>
            </w:pPr>
            <w:r>
              <w:rPr>
                <w:rFonts w:cs="Arial" w:ascii="Arial" w:hAnsi="Arial"/>
                <w:sz w:val="20"/>
                <w:szCs w:val="20"/>
              </w:rPr>
              <w:t xml:space="preserve">Details about your child’s identity will be shared with the Ministry of Education so that it can allocate a national student number for your child. This unique identifier will be used for research, statistics, funding, and the measurement of educational outcomes. </w:t>
            </w:r>
          </w:p>
          <w:p>
            <w:pPr>
              <w:pStyle w:val="Normal"/>
              <w:spacing w:before="80" w:after="80"/>
              <w:rPr/>
            </w:pPr>
            <w:r>
              <w:rPr>
                <w:rFonts w:cs="Arial" w:ascii="Arial" w:hAnsi="Arial"/>
                <w:sz w:val="20"/>
                <w:szCs w:val="20"/>
              </w:rPr>
              <w:t>You can find more information about national student numbers at:</w:t>
            </w:r>
            <w:r>
              <w:rPr>
                <w:color w:val="000000"/>
              </w:rPr>
              <w:t xml:space="preserve"> </w:t>
            </w:r>
            <w:hyperlink r:id="rId12">
              <w:r>
                <w:rPr>
                  <w:rStyle w:val="Internetovodkaz"/>
                  <w:rFonts w:cs="Arial" w:ascii="Arial" w:hAnsi="Arial"/>
                  <w:sz w:val="20"/>
                  <w:szCs w:val="20"/>
                </w:rPr>
                <w:t>eli.education.govt.nz</w:t>
              </w:r>
            </w:hyperlink>
            <w:r>
              <w:rPr>
                <w:rFonts w:cs="Arial" w:ascii="Arial" w:hAnsi="Arial"/>
                <w:sz w:val="20"/>
                <w:szCs w:val="20"/>
              </w:rPr>
              <w:t xml:space="preserve"> </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rHeight w:val="790" w:hRule="atLeast"/>
        </w:trPr>
        <w:tc>
          <w:tcPr>
            <w:tcW w:w="9800" w:type="dxa"/>
            <w:gridSpan w:val="11"/>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jc w:val="center"/>
              <w:rPr/>
            </w:pPr>
            <w:r>
              <w:rPr>
                <w:rFonts w:cs="Arial" w:ascii="Arial" w:hAnsi="Arial"/>
                <w:b/>
                <w:sz w:val="18"/>
                <w:szCs w:val="18"/>
              </w:rPr>
              <w:t xml:space="preserve">* </w:t>
            </w:r>
            <w:r>
              <w:rPr>
                <w:rFonts w:cs="Arial" w:ascii="Arial" w:hAnsi="Arial"/>
                <w:sz w:val="18"/>
                <w:szCs w:val="18"/>
              </w:rPr>
              <w:t xml:space="preserve">Information about acceptable identity verification documents is available online at </w:t>
            </w:r>
            <w:hyperlink r:id="rId13">
              <w:r>
                <w:rPr>
                  <w:rStyle w:val="Internetovodkaz"/>
                  <w:rFonts w:cs="Arial" w:ascii="Arial" w:hAnsi="Arial"/>
                  <w:sz w:val="20"/>
                  <w:szCs w:val="20"/>
                </w:rPr>
                <w:t>eli.education.govt.nz</w:t>
              </w:r>
            </w:hyperlink>
          </w:p>
          <w:p>
            <w:pPr>
              <w:pStyle w:val="Normal"/>
              <w:spacing w:before="80" w:after="80"/>
              <w:jc w:val="center"/>
              <w:rPr/>
            </w:pPr>
            <w:r>
              <w:rPr>
                <w:rFonts w:cs="Arial" w:ascii="Arial" w:hAnsi="Arial"/>
                <w:b/>
                <w:sz w:val="18"/>
                <w:szCs w:val="18"/>
              </w:rPr>
              <w:t>The Ministry recommends that all services keep a copy of the identity                                                                    verification document of each child who is enrolled at the service.</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9800" w:type="dxa"/>
            <w:gridSpan w:val="11"/>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tcPr>
          <w:p>
            <w:pPr>
              <w:pStyle w:val="Normal"/>
              <w:spacing w:before="60" w:after="60"/>
              <w:rPr/>
            </w:pPr>
            <w:r>
              <w:rPr>
                <w:rFonts w:cs="Arial" w:ascii="Arial" w:hAnsi="Arial"/>
                <w:b/>
              </w:rPr>
              <w:t>Parents / Guardians:</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1. Given names:</w:t>
            </w:r>
          </w:p>
        </w:tc>
        <w:tc>
          <w:tcPr>
            <w:tcW w:w="4791" w:type="dxa"/>
            <w:gridSpan w:val="9"/>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2. Given names:</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Surname / family name:</w:t>
            </w:r>
          </w:p>
        </w:tc>
        <w:tc>
          <w:tcPr>
            <w:tcW w:w="4791" w:type="dxa"/>
            <w:gridSpan w:val="9"/>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Surname / family name:</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Address:</w:t>
            </w:r>
          </w:p>
        </w:tc>
        <w:tc>
          <w:tcPr>
            <w:tcW w:w="4791" w:type="dxa"/>
            <w:gridSpan w:val="9"/>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Address:</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80" w:after="80"/>
              <w:rPr/>
            </w:pPr>
            <w:r>
              <w:rPr>
                <w:rFonts w:cs="Arial" w:ascii="Arial" w:hAnsi="Arial"/>
                <w:sz w:val="20"/>
                <w:szCs w:val="20"/>
              </w:rPr>
              <w:t xml:space="preserve">                                                       </w:t>
            </w:r>
            <w:r>
              <w:rPr>
                <w:rFonts w:cs="Arial" w:ascii="Arial" w:hAnsi="Arial"/>
                <w:sz w:val="16"/>
                <w:szCs w:val="16"/>
              </w:rPr>
              <w:t>Post Code:</w:t>
            </w:r>
          </w:p>
        </w:tc>
        <w:tc>
          <w:tcPr>
            <w:tcW w:w="4791" w:type="dxa"/>
            <w:gridSpan w:val="9"/>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80" w:after="80"/>
              <w:rPr/>
            </w:pPr>
            <w:r>
              <w:rPr>
                <w:rFonts w:cs="Arial" w:ascii="Arial" w:hAnsi="Arial"/>
                <w:sz w:val="20"/>
                <w:szCs w:val="20"/>
              </w:rPr>
              <w:t xml:space="preserve">                                                       </w:t>
            </w:r>
            <w:r>
              <w:rPr>
                <w:rFonts w:cs="Arial" w:ascii="Arial" w:hAnsi="Arial"/>
                <w:sz w:val="16"/>
                <w:szCs w:val="16"/>
              </w:rPr>
              <w:t>Post Code:</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(Home):</w:t>
            </w:r>
          </w:p>
        </w:tc>
        <w:tc>
          <w:tcPr>
            <w:tcW w:w="4791" w:type="dxa"/>
            <w:gridSpan w:val="9"/>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(Home):</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(Work):</w:t>
            </w:r>
          </w:p>
        </w:tc>
        <w:tc>
          <w:tcPr>
            <w:tcW w:w="4791" w:type="dxa"/>
            <w:gridSpan w:val="9"/>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(Work):</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(Mobile):</w:t>
            </w:r>
          </w:p>
        </w:tc>
        <w:tc>
          <w:tcPr>
            <w:tcW w:w="4791" w:type="dxa"/>
            <w:gridSpan w:val="9"/>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(Mobile):</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Email:</w:t>
            </w:r>
          </w:p>
        </w:tc>
        <w:tc>
          <w:tcPr>
            <w:tcW w:w="4791" w:type="dxa"/>
            <w:gridSpan w:val="9"/>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Email:</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Relationship to child:</w:t>
            </w:r>
          </w:p>
        </w:tc>
        <w:tc>
          <w:tcPr>
            <w:tcW w:w="4791" w:type="dxa"/>
            <w:gridSpan w:val="9"/>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Relationship to child:</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3. Given names:</w:t>
            </w:r>
          </w:p>
        </w:tc>
        <w:tc>
          <w:tcPr>
            <w:tcW w:w="4791" w:type="dxa"/>
            <w:gridSpan w:val="9"/>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4. Given names:</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Surname / family name:</w:t>
            </w:r>
          </w:p>
        </w:tc>
        <w:tc>
          <w:tcPr>
            <w:tcW w:w="4791" w:type="dxa"/>
            <w:gridSpan w:val="9"/>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Surname / family name:</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Address:</w:t>
            </w:r>
          </w:p>
        </w:tc>
        <w:tc>
          <w:tcPr>
            <w:tcW w:w="4791" w:type="dxa"/>
            <w:gridSpan w:val="9"/>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Address:</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80" w:after="80"/>
              <w:rPr/>
            </w:pPr>
            <w:r>
              <w:rPr>
                <w:rFonts w:cs="Arial" w:ascii="Arial" w:hAnsi="Arial"/>
                <w:sz w:val="20"/>
                <w:szCs w:val="20"/>
              </w:rPr>
              <w:t xml:space="preserve">                                                       </w:t>
            </w:r>
            <w:r>
              <w:rPr>
                <w:rFonts w:cs="Arial" w:ascii="Arial" w:hAnsi="Arial"/>
                <w:sz w:val="16"/>
                <w:szCs w:val="16"/>
              </w:rPr>
              <w:t>Post Code:</w:t>
            </w:r>
          </w:p>
        </w:tc>
        <w:tc>
          <w:tcPr>
            <w:tcW w:w="4791" w:type="dxa"/>
            <w:gridSpan w:val="9"/>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80" w:after="80"/>
              <w:rPr/>
            </w:pPr>
            <w:r>
              <w:rPr>
                <w:rFonts w:cs="Arial" w:ascii="Arial" w:hAnsi="Arial"/>
                <w:sz w:val="20"/>
                <w:szCs w:val="20"/>
              </w:rPr>
              <w:t xml:space="preserve">                                                       </w:t>
            </w:r>
            <w:r>
              <w:rPr>
                <w:rFonts w:cs="Arial" w:ascii="Arial" w:hAnsi="Arial"/>
                <w:sz w:val="16"/>
                <w:szCs w:val="16"/>
              </w:rPr>
              <w:t>Post Code:</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(Home):</w:t>
            </w:r>
          </w:p>
        </w:tc>
        <w:tc>
          <w:tcPr>
            <w:tcW w:w="4791" w:type="dxa"/>
            <w:gridSpan w:val="9"/>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(Home):</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(Work):</w:t>
            </w:r>
          </w:p>
        </w:tc>
        <w:tc>
          <w:tcPr>
            <w:tcW w:w="4791" w:type="dxa"/>
            <w:gridSpan w:val="9"/>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(Work):</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(Mobile):</w:t>
            </w:r>
          </w:p>
        </w:tc>
        <w:tc>
          <w:tcPr>
            <w:tcW w:w="4791" w:type="dxa"/>
            <w:gridSpan w:val="9"/>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(Mobile):</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Email:</w:t>
            </w:r>
          </w:p>
        </w:tc>
        <w:tc>
          <w:tcPr>
            <w:tcW w:w="4791" w:type="dxa"/>
            <w:gridSpan w:val="9"/>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Email:</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r>
        <w:trPr/>
        <w:tc>
          <w:tcPr>
            <w:tcW w:w="5009" w:type="dxa"/>
            <w:gridSpan w:val="2"/>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Relationship to child:</w:t>
            </w:r>
          </w:p>
        </w:tc>
        <w:tc>
          <w:tcPr>
            <w:tcW w:w="4791" w:type="dxa"/>
            <w:gridSpan w:val="9"/>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Relationship to child:</w:t>
            </w:r>
          </w:p>
        </w:tc>
        <w:tc>
          <w:tcPr>
            <w:tcW w:w="55" w:type="dxa"/>
            <w:gridSpan w:val="2"/>
            <w:tcBorders/>
            <w:shd w:fill="auto" w:val="clear"/>
          </w:tcPr>
          <w:p>
            <w:pPr>
              <w:pStyle w:val="Normal"/>
              <w:spacing w:before="0" w:after="200"/>
              <w:rPr/>
            </w:pPr>
            <w:r>
              <w:rPr/>
            </w:r>
          </w:p>
        </w:tc>
        <w:tc>
          <w:tcPr>
            <w:tcW w:w="68" w:type="dxa"/>
            <w:gridSpan w:val="2"/>
            <w:tcBorders/>
            <w:shd w:fill="auto" w:val="clear"/>
          </w:tcPr>
          <w:p>
            <w:pPr>
              <w:pStyle w:val="Normal"/>
              <w:spacing w:before="0" w:after="200"/>
              <w:rPr/>
            </w:pPr>
            <w:r>
              <w:rPr/>
            </w:r>
          </w:p>
        </w:tc>
        <w:tc>
          <w:tcPr>
            <w:tcW w:w="152" w:type="dxa"/>
            <w:gridSpan w:val="2"/>
            <w:tcBorders/>
            <w:shd w:fill="auto" w:val="clear"/>
          </w:tcPr>
          <w:p>
            <w:pPr>
              <w:pStyle w:val="Normal"/>
              <w:spacing w:before="0" w:after="200"/>
              <w:rPr/>
            </w:pPr>
            <w:r>
              <w:rPr/>
            </w:r>
          </w:p>
        </w:tc>
      </w:tr>
    </w:tbl>
    <w:p>
      <w:pPr>
        <w:pStyle w:val="Normal"/>
        <w:rPr/>
      </w:pPr>
      <w:r>
        <w:rPr/>
      </w:r>
    </w:p>
    <w:tbl>
      <w:tblPr>
        <w:tblW w:w="9792" w:type="dxa"/>
        <w:jc w:val="left"/>
        <w:tblInd w:w="-6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5034"/>
        <w:gridCol w:w="4757"/>
      </w:tblGrid>
      <w:tr>
        <w:trPr/>
        <w:tc>
          <w:tcPr>
            <w:tcW w:w="97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b/>
                <w:sz w:val="20"/>
                <w:szCs w:val="20"/>
              </w:rPr>
              <w:t>Additional person/s who can pick up your child:</w:t>
            </w:r>
          </w:p>
        </w:tc>
      </w:tr>
      <w:tr>
        <w:trPr>
          <w:trHeight w:val="407" w:hRule="atLeast"/>
        </w:trPr>
        <w:tc>
          <w:tcPr>
            <w:tcW w:w="5034" w:type="dxa"/>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Given names:</w:t>
            </w:r>
          </w:p>
        </w:tc>
        <w:tc>
          <w:tcPr>
            <w:tcW w:w="4757" w:type="dxa"/>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Given names:</w:t>
            </w:r>
          </w:p>
        </w:tc>
      </w:tr>
      <w:tr>
        <w:trPr>
          <w:trHeight w:val="398" w:hRule="atLeast"/>
        </w:trPr>
        <w:tc>
          <w:tcPr>
            <w:tcW w:w="5034"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Surname / family name:</w:t>
            </w:r>
          </w:p>
        </w:tc>
        <w:tc>
          <w:tcPr>
            <w:tcW w:w="4757"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Surname / family name:</w:t>
            </w:r>
          </w:p>
        </w:tc>
      </w:tr>
      <w:tr>
        <w:trPr>
          <w:trHeight w:val="398" w:hRule="atLeast"/>
        </w:trPr>
        <w:tc>
          <w:tcPr>
            <w:tcW w:w="5034"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Address:</w:t>
            </w:r>
          </w:p>
        </w:tc>
        <w:tc>
          <w:tcPr>
            <w:tcW w:w="4757"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Address:</w:t>
            </w:r>
          </w:p>
        </w:tc>
      </w:tr>
      <w:tr>
        <w:trPr>
          <w:trHeight w:val="398" w:hRule="atLeast"/>
        </w:trPr>
        <w:tc>
          <w:tcPr>
            <w:tcW w:w="5034"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80" w:after="80"/>
              <w:rPr/>
            </w:pPr>
            <w:r>
              <w:rPr>
                <w:rFonts w:cs="Arial" w:ascii="Arial" w:hAnsi="Arial"/>
                <w:sz w:val="20"/>
                <w:szCs w:val="20"/>
              </w:rPr>
              <w:t xml:space="preserve">                                                       </w:t>
            </w:r>
            <w:r>
              <w:rPr>
                <w:rFonts w:cs="Arial" w:ascii="Arial" w:hAnsi="Arial"/>
                <w:sz w:val="16"/>
                <w:szCs w:val="16"/>
              </w:rPr>
              <w:t>Post Code:</w:t>
            </w:r>
          </w:p>
        </w:tc>
        <w:tc>
          <w:tcPr>
            <w:tcW w:w="4757"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80" w:after="80"/>
              <w:rPr/>
            </w:pPr>
            <w:r>
              <w:rPr>
                <w:rFonts w:cs="Arial" w:ascii="Arial" w:hAnsi="Arial"/>
                <w:sz w:val="20"/>
                <w:szCs w:val="20"/>
              </w:rPr>
              <w:t xml:space="preserve">                                                       </w:t>
            </w:r>
            <w:r>
              <w:rPr>
                <w:rFonts w:cs="Arial" w:ascii="Arial" w:hAnsi="Arial"/>
                <w:sz w:val="16"/>
                <w:szCs w:val="16"/>
              </w:rPr>
              <w:t>Post Code:</w:t>
            </w:r>
          </w:p>
        </w:tc>
      </w:tr>
      <w:tr>
        <w:trPr>
          <w:trHeight w:val="398" w:hRule="atLeast"/>
        </w:trPr>
        <w:tc>
          <w:tcPr>
            <w:tcW w:w="5034"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(Home):</w:t>
            </w:r>
          </w:p>
        </w:tc>
        <w:tc>
          <w:tcPr>
            <w:tcW w:w="4757"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(Home):</w:t>
            </w:r>
          </w:p>
        </w:tc>
      </w:tr>
      <w:tr>
        <w:trPr>
          <w:trHeight w:val="398" w:hRule="atLeast"/>
        </w:trPr>
        <w:tc>
          <w:tcPr>
            <w:tcW w:w="5034" w:type="dxa"/>
            <w:tcBorders>
              <w:top w:val="single" w:sz="4" w:space="0" w:color="C0C0C0"/>
              <w:left w:val="single" w:sz="4" w:space="0" w:color="00000A"/>
              <w:bottom w:val="single" w:sz="2" w:space="0" w:color="00000A"/>
              <w:right w:val="single" w:sz="4" w:space="0" w:color="00000A"/>
              <w:insideH w:val="single" w:sz="2"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Phone (Work):</w:t>
            </w:r>
          </w:p>
        </w:tc>
        <w:tc>
          <w:tcPr>
            <w:tcW w:w="4757" w:type="dxa"/>
            <w:tcBorders>
              <w:top w:val="single" w:sz="4" w:space="0" w:color="C0C0C0"/>
              <w:left w:val="single" w:sz="4" w:space="0" w:color="00000A"/>
              <w:bottom w:val="single" w:sz="2" w:space="0" w:color="00000A"/>
              <w:right w:val="single" w:sz="4" w:space="0" w:color="00000A"/>
              <w:insideH w:val="single" w:sz="2"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Phone (Work):</w:t>
            </w:r>
          </w:p>
        </w:tc>
      </w:tr>
    </w:tbl>
    <w:p>
      <w:pPr>
        <w:pStyle w:val="Normal"/>
        <w:rPr/>
      </w:pPr>
      <w:r>
        <w:rPr/>
      </w:r>
    </w:p>
    <w:tbl>
      <w:tblPr>
        <w:tblW w:w="9509" w:type="dxa"/>
        <w:jc w:val="left"/>
        <w:tblInd w:w="-6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5034"/>
        <w:gridCol w:w="5"/>
        <w:gridCol w:w="4469"/>
      </w:tblGrid>
      <w:tr>
        <w:trPr/>
        <w:tc>
          <w:tcPr>
            <w:tcW w:w="950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tcPr>
          <w:p>
            <w:pPr>
              <w:pStyle w:val="Normal"/>
              <w:spacing w:before="80" w:after="80"/>
              <w:rPr/>
            </w:pPr>
            <w:r>
              <w:rPr>
                <w:rFonts w:cs="Arial" w:ascii="Arial" w:hAnsi="Arial"/>
                <w:b/>
              </w:rPr>
              <w:t xml:space="preserve">Custodial Statement </w:t>
            </w:r>
          </w:p>
        </w:tc>
      </w:tr>
      <w:tr>
        <w:trPr/>
        <w:tc>
          <w:tcPr>
            <w:tcW w:w="950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Are there any custodial arrangements concerning your child?</w:t>
            </w:r>
          </w:p>
        </w:tc>
      </w:tr>
      <w:tr>
        <w:trPr/>
        <w:tc>
          <w:tcPr>
            <w:tcW w:w="9508" w:type="dxa"/>
            <w:gridSpan w:val="3"/>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 xml:space="preserve">If </w:t>
            </w:r>
            <w:r>
              <w:rPr>
                <w:rFonts w:cs="Arial" w:ascii="Arial" w:hAnsi="Arial"/>
                <w:b/>
                <w:sz w:val="20"/>
                <w:szCs w:val="20"/>
              </w:rPr>
              <w:t>YES</w:t>
            </w:r>
            <w:r>
              <w:rPr>
                <w:rFonts w:cs="Arial" w:ascii="Arial" w:hAnsi="Arial"/>
                <w:sz w:val="20"/>
                <w:szCs w:val="20"/>
              </w:rPr>
              <w:t>, please give details of any custodial arrangements or court orders (a copy of any court order is required)</w:t>
            </w:r>
          </w:p>
        </w:tc>
      </w:tr>
      <w:tr>
        <w:trPr/>
        <w:tc>
          <w:tcPr>
            <w:tcW w:w="9508" w:type="dxa"/>
            <w:gridSpan w:val="3"/>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r>
      <w:tr>
        <w:trPr/>
        <w:tc>
          <w:tcPr>
            <w:tcW w:w="9508" w:type="dxa"/>
            <w:gridSpan w:val="3"/>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r>
      <w:tr>
        <w:trPr>
          <w:trHeight w:val="398" w:hRule="atLeast"/>
        </w:trPr>
        <w:tc>
          <w:tcPr>
            <w:tcW w:w="950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b/>
                <w:sz w:val="20"/>
                <w:szCs w:val="20"/>
              </w:rPr>
              <w:t xml:space="preserve">Person/s who </w:t>
            </w:r>
            <w:r>
              <w:rPr>
                <w:rFonts w:cs="Arial" w:ascii="Arial" w:hAnsi="Arial"/>
                <w:b/>
                <w:sz w:val="20"/>
                <w:szCs w:val="20"/>
                <w:u w:val="single"/>
              </w:rPr>
              <w:t>cannot</w:t>
            </w:r>
            <w:r>
              <w:rPr>
                <w:rFonts w:cs="Arial" w:ascii="Arial" w:hAnsi="Arial"/>
                <w:b/>
                <w:sz w:val="20"/>
                <w:szCs w:val="20"/>
              </w:rPr>
              <w:t xml:space="preserve"> pick up your child</w:t>
            </w:r>
            <w:r>
              <w:rPr>
                <w:rFonts w:cs="Arial" w:ascii="Arial" w:hAnsi="Arial"/>
                <w:sz w:val="20"/>
                <w:szCs w:val="20"/>
              </w:rPr>
              <w:t>:</w:t>
            </w:r>
          </w:p>
        </w:tc>
      </w:tr>
      <w:tr>
        <w:trPr>
          <w:trHeight w:val="413" w:hRule="atLeast"/>
        </w:trPr>
        <w:tc>
          <w:tcPr>
            <w:tcW w:w="5034" w:type="dxa"/>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Name:</w:t>
            </w:r>
          </w:p>
        </w:tc>
        <w:tc>
          <w:tcPr>
            <w:tcW w:w="4474" w:type="dxa"/>
            <w:gridSpan w:val="2"/>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Name:</w:t>
            </w:r>
          </w:p>
        </w:tc>
      </w:tr>
      <w:tr>
        <w:trPr>
          <w:trHeight w:val="412" w:hRule="atLeast"/>
        </w:trPr>
        <w:tc>
          <w:tcPr>
            <w:tcW w:w="5034" w:type="dxa"/>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Name:</w:t>
            </w:r>
          </w:p>
        </w:tc>
        <w:tc>
          <w:tcPr>
            <w:tcW w:w="4474" w:type="dxa"/>
            <w:gridSpan w:val="2"/>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Name:</w:t>
            </w:r>
          </w:p>
        </w:tc>
      </w:tr>
      <w:tr>
        <w:trPr/>
        <w:tc>
          <w:tcPr>
            <w:tcW w:w="9508"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tcPr>
          <w:p>
            <w:pPr>
              <w:pStyle w:val="Normal"/>
              <w:spacing w:before="60" w:after="60"/>
              <w:rPr/>
            </w:pPr>
            <w:r>
              <w:rPr>
                <w:rFonts w:cs="Arial" w:ascii="Arial" w:hAnsi="Arial"/>
                <w:b/>
              </w:rPr>
              <w:t>Additional Emergency Contacts (also able to pick up child):</w:t>
            </w:r>
          </w:p>
        </w:tc>
      </w:tr>
      <w:tr>
        <w:trPr/>
        <w:tc>
          <w:tcPr>
            <w:tcW w:w="5039" w:type="dxa"/>
            <w:gridSpan w:val="2"/>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1. Given names:</w:t>
            </w:r>
          </w:p>
        </w:tc>
        <w:tc>
          <w:tcPr>
            <w:tcW w:w="4469" w:type="dxa"/>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2. Given names:</w:t>
            </w:r>
          </w:p>
        </w:tc>
      </w:tr>
      <w:tr>
        <w:trPr/>
        <w:tc>
          <w:tcPr>
            <w:tcW w:w="503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Surname / family name:</w:t>
            </w:r>
          </w:p>
        </w:tc>
        <w:tc>
          <w:tcPr>
            <w:tcW w:w="4469"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Surname / family name:</w:t>
            </w:r>
          </w:p>
        </w:tc>
      </w:tr>
      <w:tr>
        <w:trPr/>
        <w:tc>
          <w:tcPr>
            <w:tcW w:w="503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Address:</w:t>
            </w:r>
          </w:p>
        </w:tc>
        <w:tc>
          <w:tcPr>
            <w:tcW w:w="4469"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Address:</w:t>
            </w:r>
          </w:p>
        </w:tc>
      </w:tr>
      <w:tr>
        <w:trPr/>
        <w:tc>
          <w:tcPr>
            <w:tcW w:w="503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80" w:after="80"/>
              <w:rPr/>
            </w:pPr>
            <w:r>
              <w:rPr>
                <w:rFonts w:cs="Arial" w:ascii="Arial" w:hAnsi="Arial"/>
                <w:sz w:val="20"/>
                <w:szCs w:val="20"/>
              </w:rPr>
              <w:t xml:space="preserve">                                                       </w:t>
            </w:r>
            <w:r>
              <w:rPr>
                <w:rFonts w:cs="Arial" w:ascii="Arial" w:hAnsi="Arial"/>
                <w:sz w:val="16"/>
                <w:szCs w:val="16"/>
              </w:rPr>
              <w:t>Post Code:</w:t>
            </w:r>
          </w:p>
        </w:tc>
        <w:tc>
          <w:tcPr>
            <w:tcW w:w="4469"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80" w:after="80"/>
              <w:rPr/>
            </w:pPr>
            <w:r>
              <w:rPr>
                <w:rFonts w:cs="Arial" w:ascii="Arial" w:hAnsi="Arial"/>
                <w:sz w:val="20"/>
                <w:szCs w:val="20"/>
              </w:rPr>
              <w:t xml:space="preserve">                                                       </w:t>
            </w:r>
            <w:r>
              <w:rPr>
                <w:rFonts w:cs="Arial" w:ascii="Arial" w:hAnsi="Arial"/>
                <w:sz w:val="16"/>
                <w:szCs w:val="16"/>
              </w:rPr>
              <w:t>Post Code:</w:t>
            </w:r>
          </w:p>
        </w:tc>
      </w:tr>
      <w:tr>
        <w:trPr/>
        <w:tc>
          <w:tcPr>
            <w:tcW w:w="503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(Home):</w:t>
            </w:r>
          </w:p>
        </w:tc>
        <w:tc>
          <w:tcPr>
            <w:tcW w:w="4469"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(Home):</w:t>
            </w:r>
          </w:p>
        </w:tc>
      </w:tr>
      <w:tr>
        <w:trPr/>
        <w:tc>
          <w:tcPr>
            <w:tcW w:w="503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(Work):</w:t>
            </w:r>
          </w:p>
        </w:tc>
        <w:tc>
          <w:tcPr>
            <w:tcW w:w="4469"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(Work):</w:t>
            </w:r>
          </w:p>
        </w:tc>
      </w:tr>
      <w:tr>
        <w:trPr/>
        <w:tc>
          <w:tcPr>
            <w:tcW w:w="503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(Mobile):</w:t>
            </w:r>
          </w:p>
        </w:tc>
        <w:tc>
          <w:tcPr>
            <w:tcW w:w="4469"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(Mobile):</w:t>
            </w:r>
          </w:p>
        </w:tc>
      </w:tr>
      <w:tr>
        <w:trPr/>
        <w:tc>
          <w:tcPr>
            <w:tcW w:w="5039" w:type="dxa"/>
            <w:gridSpan w:val="2"/>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Email:</w:t>
            </w:r>
          </w:p>
        </w:tc>
        <w:tc>
          <w:tcPr>
            <w:tcW w:w="4469" w:type="dxa"/>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Email:</w:t>
            </w:r>
          </w:p>
        </w:tc>
      </w:tr>
      <w:tr>
        <w:trPr/>
        <w:tc>
          <w:tcPr>
            <w:tcW w:w="5039" w:type="dxa"/>
            <w:gridSpan w:val="2"/>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3. Given names:</w:t>
            </w:r>
          </w:p>
        </w:tc>
        <w:tc>
          <w:tcPr>
            <w:tcW w:w="4469" w:type="dxa"/>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4. Given names:</w:t>
            </w:r>
          </w:p>
        </w:tc>
      </w:tr>
      <w:tr>
        <w:trPr/>
        <w:tc>
          <w:tcPr>
            <w:tcW w:w="503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Surname / family name:</w:t>
            </w:r>
          </w:p>
        </w:tc>
        <w:tc>
          <w:tcPr>
            <w:tcW w:w="4469"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b/>
                <w:sz w:val="20"/>
                <w:szCs w:val="20"/>
              </w:rPr>
              <w:t>Surname / family name:</w:t>
            </w:r>
          </w:p>
        </w:tc>
      </w:tr>
      <w:tr>
        <w:trPr/>
        <w:tc>
          <w:tcPr>
            <w:tcW w:w="503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Address:</w:t>
            </w:r>
          </w:p>
        </w:tc>
        <w:tc>
          <w:tcPr>
            <w:tcW w:w="4469"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Address:</w:t>
            </w:r>
          </w:p>
        </w:tc>
      </w:tr>
      <w:tr>
        <w:trPr/>
        <w:tc>
          <w:tcPr>
            <w:tcW w:w="503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80" w:after="80"/>
              <w:rPr/>
            </w:pPr>
            <w:r>
              <w:rPr>
                <w:rFonts w:cs="Arial" w:ascii="Arial" w:hAnsi="Arial"/>
                <w:sz w:val="20"/>
                <w:szCs w:val="20"/>
              </w:rPr>
              <w:t xml:space="preserve">                                                       </w:t>
            </w:r>
            <w:r>
              <w:rPr>
                <w:rFonts w:cs="Arial" w:ascii="Arial" w:hAnsi="Arial"/>
                <w:sz w:val="16"/>
                <w:szCs w:val="16"/>
              </w:rPr>
              <w:t>Post Code:</w:t>
            </w:r>
          </w:p>
        </w:tc>
        <w:tc>
          <w:tcPr>
            <w:tcW w:w="4469"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80" w:after="80"/>
              <w:rPr/>
            </w:pPr>
            <w:r>
              <w:rPr>
                <w:rFonts w:cs="Arial" w:ascii="Arial" w:hAnsi="Arial"/>
                <w:sz w:val="20"/>
                <w:szCs w:val="20"/>
              </w:rPr>
              <w:t xml:space="preserve">                                                       </w:t>
            </w:r>
            <w:r>
              <w:rPr>
                <w:rFonts w:cs="Arial" w:ascii="Arial" w:hAnsi="Arial"/>
                <w:sz w:val="16"/>
                <w:szCs w:val="16"/>
              </w:rPr>
              <w:t>Post Code:</w:t>
            </w:r>
          </w:p>
        </w:tc>
      </w:tr>
      <w:tr>
        <w:trPr/>
        <w:tc>
          <w:tcPr>
            <w:tcW w:w="503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(Home):</w:t>
            </w:r>
          </w:p>
        </w:tc>
        <w:tc>
          <w:tcPr>
            <w:tcW w:w="4469"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(Home):</w:t>
            </w:r>
          </w:p>
        </w:tc>
      </w:tr>
      <w:tr>
        <w:trPr/>
        <w:tc>
          <w:tcPr>
            <w:tcW w:w="503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(Work):</w:t>
            </w:r>
          </w:p>
        </w:tc>
        <w:tc>
          <w:tcPr>
            <w:tcW w:w="4469"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(Work):</w:t>
            </w:r>
          </w:p>
        </w:tc>
      </w:tr>
      <w:tr>
        <w:trPr/>
        <w:tc>
          <w:tcPr>
            <w:tcW w:w="5039"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(Mobile):</w:t>
            </w:r>
          </w:p>
        </w:tc>
        <w:tc>
          <w:tcPr>
            <w:tcW w:w="4469"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Phone (Mobile):</w:t>
            </w:r>
          </w:p>
        </w:tc>
      </w:tr>
      <w:tr>
        <w:trPr/>
        <w:tc>
          <w:tcPr>
            <w:tcW w:w="5039" w:type="dxa"/>
            <w:gridSpan w:val="2"/>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Email:</w:t>
            </w:r>
          </w:p>
        </w:tc>
        <w:tc>
          <w:tcPr>
            <w:tcW w:w="4469" w:type="dxa"/>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Email:</w:t>
            </w:r>
          </w:p>
        </w:tc>
      </w:tr>
    </w:tbl>
    <w:p>
      <w:pPr>
        <w:pStyle w:val="Normal"/>
        <w:rPr/>
      </w:pPr>
      <w:r>
        <w:rPr/>
      </w:r>
    </w:p>
    <w:tbl>
      <w:tblPr>
        <w:tblW w:w="9651" w:type="dxa"/>
        <w:jc w:val="left"/>
        <w:tblInd w:w="-6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5039"/>
        <w:gridCol w:w="4611"/>
      </w:tblGrid>
      <w:tr>
        <w:trPr/>
        <w:tc>
          <w:tcPr>
            <w:tcW w:w="96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tcPr>
          <w:p>
            <w:pPr>
              <w:pStyle w:val="Normal"/>
              <w:spacing w:before="60" w:after="60"/>
              <w:rPr/>
            </w:pPr>
            <w:r>
              <w:rPr>
                <w:rFonts w:cs="Arial" w:ascii="Arial" w:hAnsi="Arial"/>
                <w:b/>
              </w:rPr>
              <w:t>Child’s doctor:</w:t>
            </w:r>
          </w:p>
        </w:tc>
      </w:tr>
      <w:tr>
        <w:trPr/>
        <w:tc>
          <w:tcPr>
            <w:tcW w:w="503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Name:</w:t>
            </w:r>
          </w:p>
          <w:p>
            <w:pPr>
              <w:pStyle w:val="Normal"/>
              <w:spacing w:before="80" w:after="80"/>
              <w:rPr>
                <w:rFonts w:ascii="Arial" w:hAnsi="Arial" w:cs="Arial"/>
                <w:sz w:val="20"/>
                <w:szCs w:val="20"/>
              </w:rPr>
            </w:pPr>
            <w:r>
              <w:rPr>
                <w:rFonts w:cs="Arial" w:ascii="Arial" w:hAnsi="Arial"/>
                <w:sz w:val="20"/>
                <w:szCs w:val="20"/>
              </w:rPr>
            </w:r>
          </w:p>
        </w:tc>
        <w:tc>
          <w:tcPr>
            <w:tcW w:w="46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Phone:</w:t>
            </w:r>
          </w:p>
        </w:tc>
      </w:tr>
      <w:tr>
        <w:trPr/>
        <w:tc>
          <w:tcPr>
            <w:tcW w:w="96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Name of medical centre:</w:t>
            </w:r>
          </w:p>
          <w:p>
            <w:pPr>
              <w:pStyle w:val="Normal"/>
              <w:spacing w:before="80" w:after="80"/>
              <w:rPr>
                <w:rFonts w:ascii="Arial" w:hAnsi="Arial" w:cs="Arial"/>
                <w:sz w:val="20"/>
                <w:szCs w:val="20"/>
              </w:rPr>
            </w:pPr>
            <w:r>
              <w:rPr>
                <w:rFonts w:cs="Arial" w:ascii="Arial" w:hAnsi="Arial"/>
                <w:sz w:val="20"/>
                <w:szCs w:val="20"/>
              </w:rPr>
            </w:r>
          </w:p>
        </w:tc>
      </w:tr>
    </w:tbl>
    <w:p>
      <w:pPr>
        <w:pStyle w:val="Normal"/>
        <w:rPr/>
      </w:pPr>
      <w:r>
        <w:rPr/>
      </w:r>
    </w:p>
    <w:tbl>
      <w:tblPr>
        <w:tblW w:w="9957" w:type="dxa"/>
        <w:jc w:val="left"/>
        <w:tblInd w:w="-6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6850"/>
        <w:gridCol w:w="895"/>
        <w:gridCol w:w="562"/>
        <w:gridCol w:w="337"/>
        <w:gridCol w:w="717"/>
        <w:gridCol w:w="290"/>
        <w:gridCol w:w="69"/>
        <w:gridCol w:w="1"/>
        <w:gridCol w:w="235"/>
      </w:tblGrid>
      <w:tr>
        <w:trPr>
          <w:trHeight w:val="398" w:hRule="atLeast"/>
        </w:trPr>
        <w:tc>
          <w:tcPr>
            <w:tcW w:w="9651"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tcPr>
          <w:p>
            <w:pPr>
              <w:pStyle w:val="Normal"/>
              <w:spacing w:before="80" w:after="80"/>
              <w:rPr/>
            </w:pPr>
            <w:r>
              <w:rPr>
                <w:rFonts w:cs="Arial" w:ascii="Arial" w:hAnsi="Arial"/>
                <w:b/>
              </w:rPr>
              <w:t>Health</w:t>
            </w:r>
          </w:p>
        </w:tc>
        <w:tc>
          <w:tcPr>
            <w:tcW w:w="70" w:type="dxa"/>
            <w:gridSpan w:val="2"/>
            <w:tcBorders/>
            <w:shd w:fill="auto" w:val="clear"/>
          </w:tcPr>
          <w:p>
            <w:pPr>
              <w:pStyle w:val="Normal"/>
              <w:spacing w:before="0" w:after="200"/>
              <w:rPr/>
            </w:pPr>
            <w:r>
              <w:rPr/>
            </w:r>
          </w:p>
        </w:tc>
        <w:tc>
          <w:tcPr>
            <w:tcW w:w="235" w:type="dxa"/>
            <w:tcBorders/>
            <w:shd w:fill="auto" w:val="clear"/>
          </w:tcPr>
          <w:p>
            <w:pPr>
              <w:pStyle w:val="Normal"/>
              <w:spacing w:before="0" w:after="200"/>
              <w:rPr/>
            </w:pPr>
            <w:r>
              <w:rPr/>
            </w:r>
          </w:p>
        </w:tc>
      </w:tr>
      <w:tr>
        <w:trPr>
          <w:trHeight w:val="398" w:hRule="atLeast"/>
        </w:trPr>
        <w:tc>
          <w:tcPr>
            <w:tcW w:w="9651" w:type="dxa"/>
            <w:gridSpan w:val="6"/>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Illness/allergies:</w:t>
            </w:r>
          </w:p>
          <w:p>
            <w:pPr>
              <w:pStyle w:val="Normal"/>
              <w:spacing w:before="80" w:after="80"/>
              <w:rPr>
                <w:rFonts w:ascii="Arial" w:hAnsi="Arial" w:cs="Arial"/>
                <w:sz w:val="20"/>
                <w:szCs w:val="20"/>
              </w:rPr>
            </w:pPr>
            <w:r>
              <w:rPr>
                <w:rFonts w:cs="Arial" w:ascii="Arial" w:hAnsi="Arial"/>
                <w:sz w:val="20"/>
                <w:szCs w:val="20"/>
              </w:rPr>
            </w:r>
          </w:p>
          <w:p>
            <w:pPr>
              <w:pStyle w:val="Normal"/>
              <w:spacing w:before="80" w:after="80"/>
              <w:rPr>
                <w:rFonts w:ascii="Arial" w:hAnsi="Arial" w:cs="Arial"/>
                <w:sz w:val="20"/>
                <w:szCs w:val="20"/>
              </w:rPr>
            </w:pPr>
            <w:r>
              <w:rPr>
                <w:rFonts w:cs="Arial" w:ascii="Arial" w:hAnsi="Arial"/>
                <w:sz w:val="20"/>
                <w:szCs w:val="20"/>
              </w:rPr>
            </w:r>
          </w:p>
        </w:tc>
        <w:tc>
          <w:tcPr>
            <w:tcW w:w="70" w:type="dxa"/>
            <w:gridSpan w:val="2"/>
            <w:tcBorders/>
            <w:shd w:fill="auto" w:val="clear"/>
          </w:tcPr>
          <w:p>
            <w:pPr>
              <w:pStyle w:val="Normal"/>
              <w:spacing w:before="0" w:after="200"/>
              <w:rPr/>
            </w:pPr>
            <w:r>
              <w:rPr/>
            </w:r>
          </w:p>
        </w:tc>
        <w:tc>
          <w:tcPr>
            <w:tcW w:w="235" w:type="dxa"/>
            <w:tcBorders/>
            <w:shd w:fill="auto" w:val="clear"/>
          </w:tcPr>
          <w:p>
            <w:pPr>
              <w:pStyle w:val="Normal"/>
              <w:spacing w:before="0" w:after="200"/>
              <w:rPr/>
            </w:pPr>
            <w:r>
              <w:rPr/>
            </w:r>
          </w:p>
        </w:tc>
      </w:tr>
      <w:tr>
        <w:trPr>
          <w:trHeight w:val="398" w:hRule="atLeast"/>
        </w:trPr>
        <w:tc>
          <w:tcPr>
            <w:tcW w:w="6850" w:type="dxa"/>
            <w:tcBorders>
              <w:top w:val="single" w:sz="4" w:space="0" w:color="C0C0C0"/>
              <w:left w:val="single" w:sz="4" w:space="0" w:color="00000A"/>
              <w:bottom w:val="single" w:sz="4" w:space="0" w:color="C0C0C0"/>
              <w:insideH w:val="single" w:sz="4" w:space="0" w:color="C0C0C0"/>
            </w:tcBorders>
            <w:shd w:fill="auto" w:val="clear"/>
            <w:tcMar>
              <w:left w:w="108" w:type="dxa"/>
            </w:tcMar>
          </w:tcPr>
          <w:p>
            <w:pPr>
              <w:pStyle w:val="Normal"/>
              <w:spacing w:before="80" w:after="80"/>
              <w:rPr/>
            </w:pPr>
            <w:r>
              <w:rPr>
                <w:rFonts w:cs="Arial" w:ascii="Arial" w:hAnsi="Arial"/>
                <w:sz w:val="20"/>
                <w:szCs w:val="20"/>
              </w:rPr>
              <w:t xml:space="preserve">Is your child up-to-date with immunisations? </w:t>
            </w:r>
          </w:p>
        </w:tc>
        <w:tc>
          <w:tcPr>
            <w:tcW w:w="895" w:type="dxa"/>
            <w:tcBorders>
              <w:top w:val="single" w:sz="4" w:space="0" w:color="C0C0C0"/>
              <w:bottom w:val="single" w:sz="4" w:space="0" w:color="C0C0C0"/>
              <w:insideH w:val="single" w:sz="4" w:space="0" w:color="C0C0C0"/>
            </w:tcBorders>
            <w:shd w:fill="auto" w:val="clear"/>
            <w:vAlign w:val="center"/>
          </w:tcPr>
          <w:p>
            <w:pPr>
              <w:pStyle w:val="Normal"/>
              <w:spacing w:before="80" w:after="80"/>
              <w:rPr/>
            </w:pPr>
            <w:r>
              <w:rPr>
                <w:rFonts w:cs="Arial" w:ascii="Arial" w:hAnsi="Arial"/>
                <w:i/>
                <w:sz w:val="16"/>
                <w:szCs w:val="16"/>
              </w:rPr>
              <w:t>Tick One</w:t>
            </w:r>
          </w:p>
        </w:tc>
        <w:tc>
          <w:tcPr>
            <w:tcW w:w="562" w:type="dxa"/>
            <w:tcBorders>
              <w:top w:val="single" w:sz="4" w:space="0" w:color="C0C0C0"/>
              <w:bottom w:val="single" w:sz="4" w:space="0" w:color="C0C0C0"/>
              <w:right w:val="single" w:sz="12" w:space="0" w:color="00000A"/>
              <w:insideH w:val="single" w:sz="4" w:space="0" w:color="C0C0C0"/>
              <w:insideV w:val="single" w:sz="12" w:space="0" w:color="00000A"/>
            </w:tcBorders>
            <w:shd w:fill="auto" w:val="clear"/>
          </w:tcPr>
          <w:p>
            <w:pPr>
              <w:pStyle w:val="Normal"/>
              <w:spacing w:before="80" w:after="80"/>
              <w:jc w:val="right"/>
              <w:rPr/>
            </w:pPr>
            <w:r>
              <w:rPr>
                <w:rFonts w:cs="Arial" w:ascii="Arial" w:hAnsi="Arial"/>
                <w:sz w:val="20"/>
                <w:szCs w:val="20"/>
              </w:rPr>
              <w:t>Yes</w:t>
            </w:r>
          </w:p>
        </w:tc>
        <w:tc>
          <w:tcPr>
            <w:tcW w:w="337"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before="80" w:after="80"/>
              <w:rPr>
                <w:rFonts w:ascii="Arial" w:hAnsi="Arial" w:cs="Arial"/>
                <w:sz w:val="20"/>
                <w:szCs w:val="20"/>
              </w:rPr>
            </w:pPr>
            <w:r>
              <w:rPr>
                <w:rFonts w:cs="Arial" w:ascii="Arial" w:hAnsi="Arial"/>
                <w:sz w:val="20"/>
                <w:szCs w:val="20"/>
              </w:rPr>
            </w:r>
          </w:p>
        </w:tc>
        <w:tc>
          <w:tcPr>
            <w:tcW w:w="717" w:type="dxa"/>
            <w:tcBorders>
              <w:top w:val="single" w:sz="4" w:space="0" w:color="C0C0C0"/>
              <w:left w:val="single" w:sz="12" w:space="0" w:color="00000A"/>
              <w:bottom w:val="single" w:sz="4" w:space="0" w:color="C0C0C0"/>
              <w:right w:val="single" w:sz="12" w:space="0" w:color="00000A"/>
              <w:insideH w:val="single" w:sz="4" w:space="0" w:color="C0C0C0"/>
              <w:insideV w:val="single" w:sz="12" w:space="0" w:color="00000A"/>
            </w:tcBorders>
            <w:shd w:fill="auto" w:val="clear"/>
            <w:tcMar>
              <w:left w:w="98" w:type="dxa"/>
            </w:tcMar>
          </w:tcPr>
          <w:p>
            <w:pPr>
              <w:pStyle w:val="Normal"/>
              <w:spacing w:before="80" w:after="80"/>
              <w:jc w:val="right"/>
              <w:rPr/>
            </w:pPr>
            <w:r>
              <w:rPr>
                <w:rFonts w:cs="Arial" w:ascii="Arial" w:hAnsi="Arial"/>
                <w:sz w:val="20"/>
                <w:szCs w:val="20"/>
              </w:rPr>
              <w:t>No</w:t>
            </w:r>
          </w:p>
        </w:tc>
        <w:tc>
          <w:tcPr>
            <w:tcW w:w="359" w:type="dxa"/>
            <w:gridSpan w:val="2"/>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before="80" w:after="80"/>
              <w:rPr>
                <w:rFonts w:ascii="Arial" w:hAnsi="Arial" w:cs="Arial"/>
                <w:sz w:val="20"/>
                <w:szCs w:val="20"/>
              </w:rPr>
            </w:pPr>
            <w:r>
              <w:rPr>
                <w:rFonts w:cs="Arial" w:ascii="Arial" w:hAnsi="Arial"/>
                <w:sz w:val="20"/>
                <w:szCs w:val="20"/>
              </w:rPr>
            </w:r>
          </w:p>
        </w:tc>
        <w:tc>
          <w:tcPr>
            <w:tcW w:w="236" w:type="dxa"/>
            <w:gridSpan w:val="2"/>
            <w:tcBorders>
              <w:top w:val="single" w:sz="4" w:space="0" w:color="C0C0C0"/>
              <w:left w:val="single" w:sz="12" w:space="0" w:color="00000A"/>
              <w:bottom w:val="single" w:sz="4" w:space="0" w:color="C0C0C0"/>
              <w:right w:val="single" w:sz="4" w:space="0" w:color="00000A"/>
              <w:insideH w:val="single" w:sz="4" w:space="0" w:color="C0C0C0"/>
              <w:insideV w:val="single" w:sz="4" w:space="0" w:color="00000A"/>
            </w:tcBorders>
            <w:shd w:fill="auto" w:val="clear"/>
            <w:tcMar>
              <w:left w:w="98" w:type="dxa"/>
            </w:tcMar>
          </w:tcPr>
          <w:p>
            <w:pPr>
              <w:pStyle w:val="Normal"/>
              <w:spacing w:before="80" w:after="80"/>
              <w:rPr>
                <w:rFonts w:ascii="Arial" w:hAnsi="Arial" w:cs="Arial"/>
                <w:sz w:val="20"/>
                <w:szCs w:val="20"/>
              </w:rPr>
            </w:pPr>
            <w:r>
              <w:rPr>
                <w:rFonts w:cs="Arial" w:ascii="Arial" w:hAnsi="Arial"/>
                <w:sz w:val="20"/>
                <w:szCs w:val="20"/>
              </w:rPr>
            </w:r>
          </w:p>
        </w:tc>
      </w:tr>
      <w:tr>
        <w:trPr>
          <w:trHeight w:val="398" w:hRule="atLeast"/>
        </w:trPr>
        <w:tc>
          <w:tcPr>
            <w:tcW w:w="9651" w:type="dxa"/>
            <w:gridSpan w:val="6"/>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(Please provide verification of all immunisations)</w:t>
            </w:r>
          </w:p>
        </w:tc>
        <w:tc>
          <w:tcPr>
            <w:tcW w:w="70" w:type="dxa"/>
            <w:gridSpan w:val="2"/>
            <w:tcBorders/>
            <w:shd w:fill="auto" w:val="clear"/>
          </w:tcPr>
          <w:p>
            <w:pPr>
              <w:pStyle w:val="Normal"/>
              <w:spacing w:before="0" w:after="200"/>
              <w:rPr/>
            </w:pPr>
            <w:r>
              <w:rPr/>
            </w:r>
          </w:p>
        </w:tc>
        <w:tc>
          <w:tcPr>
            <w:tcW w:w="235" w:type="dxa"/>
            <w:tcBorders/>
            <w:shd w:fill="auto" w:val="clear"/>
          </w:tcPr>
          <w:p>
            <w:pPr>
              <w:pStyle w:val="Normal"/>
              <w:spacing w:before="0" w:after="200"/>
              <w:rPr/>
            </w:pPr>
            <w:r>
              <w:rPr/>
            </w:r>
          </w:p>
        </w:tc>
      </w:tr>
      <w:tr>
        <w:trPr>
          <w:trHeight w:val="398" w:hRule="atLeast"/>
        </w:trPr>
        <w:tc>
          <w:tcPr>
            <w:tcW w:w="6850" w:type="dxa"/>
            <w:tcBorders>
              <w:top w:val="single" w:sz="4" w:space="0" w:color="C0C0C0"/>
              <w:left w:val="single" w:sz="4" w:space="0" w:color="00000A"/>
              <w:bottom w:val="single" w:sz="4" w:space="0" w:color="00000A"/>
              <w:insideH w:val="single" w:sz="4" w:space="0" w:color="00000A"/>
            </w:tcBorders>
            <w:shd w:fill="auto" w:val="clear"/>
            <w:tcMar>
              <w:left w:w="108" w:type="dxa"/>
            </w:tcMar>
          </w:tcPr>
          <w:p>
            <w:pPr>
              <w:pStyle w:val="Normal"/>
              <w:spacing w:before="80" w:after="80"/>
              <w:rPr/>
            </w:pPr>
            <w:r>
              <w:rPr>
                <w:rFonts w:cs="Arial" w:ascii="Arial" w:hAnsi="Arial"/>
                <w:b/>
                <w:sz w:val="20"/>
              </w:rPr>
              <w:t>For staff:</w:t>
            </w:r>
            <w:r>
              <w:rPr>
                <w:rFonts w:cs="Arial" w:ascii="Arial" w:hAnsi="Arial"/>
                <w:sz w:val="20"/>
              </w:rPr>
              <w:t xml:space="preserve"> </w:t>
            </w:r>
            <w:r>
              <w:rPr>
                <w:rFonts w:cs="Arial" w:ascii="Arial" w:hAnsi="Arial"/>
                <w:sz w:val="20"/>
                <w:szCs w:val="20"/>
              </w:rPr>
              <w:t xml:space="preserve">Immunisation records sighted and details recorded: </w:t>
            </w:r>
          </w:p>
        </w:tc>
        <w:tc>
          <w:tcPr>
            <w:tcW w:w="895" w:type="dxa"/>
            <w:tcBorders>
              <w:top w:val="single" w:sz="4" w:space="0" w:color="C0C0C0"/>
              <w:bottom w:val="single" w:sz="4" w:space="0" w:color="00000A"/>
              <w:insideH w:val="single" w:sz="4" w:space="0" w:color="00000A"/>
            </w:tcBorders>
            <w:shd w:fill="auto" w:val="clear"/>
            <w:vAlign w:val="center"/>
          </w:tcPr>
          <w:p>
            <w:pPr>
              <w:pStyle w:val="Normal"/>
              <w:spacing w:before="80" w:after="80"/>
              <w:rPr/>
            </w:pPr>
            <w:r>
              <w:rPr>
                <w:rFonts w:cs="Arial" w:ascii="Arial" w:hAnsi="Arial"/>
                <w:i/>
                <w:sz w:val="16"/>
                <w:szCs w:val="16"/>
              </w:rPr>
              <w:t>Tick One</w:t>
            </w:r>
          </w:p>
        </w:tc>
        <w:tc>
          <w:tcPr>
            <w:tcW w:w="562" w:type="dxa"/>
            <w:tcBorders>
              <w:top w:val="single" w:sz="4" w:space="0" w:color="C0C0C0"/>
              <w:bottom w:val="single" w:sz="4" w:space="0" w:color="00000A"/>
              <w:right w:val="single" w:sz="12" w:space="0" w:color="00000A"/>
              <w:insideH w:val="single" w:sz="4" w:space="0" w:color="00000A"/>
              <w:insideV w:val="single" w:sz="12" w:space="0" w:color="00000A"/>
            </w:tcBorders>
            <w:shd w:fill="auto" w:val="clear"/>
          </w:tcPr>
          <w:p>
            <w:pPr>
              <w:pStyle w:val="Normal"/>
              <w:spacing w:before="80" w:after="80"/>
              <w:jc w:val="right"/>
              <w:rPr/>
            </w:pPr>
            <w:r>
              <w:rPr>
                <w:rFonts w:cs="Arial" w:ascii="Arial" w:hAnsi="Arial"/>
                <w:sz w:val="20"/>
                <w:szCs w:val="20"/>
              </w:rPr>
              <w:t>Yes</w:t>
            </w:r>
          </w:p>
        </w:tc>
        <w:tc>
          <w:tcPr>
            <w:tcW w:w="337"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before="80" w:after="80"/>
              <w:rPr>
                <w:rFonts w:ascii="Arial" w:hAnsi="Arial" w:cs="Arial"/>
                <w:sz w:val="20"/>
                <w:szCs w:val="20"/>
              </w:rPr>
            </w:pPr>
            <w:r>
              <w:rPr>
                <w:rFonts w:cs="Arial" w:ascii="Arial" w:hAnsi="Arial"/>
                <w:sz w:val="20"/>
                <w:szCs w:val="20"/>
              </w:rPr>
            </w:r>
          </w:p>
        </w:tc>
        <w:tc>
          <w:tcPr>
            <w:tcW w:w="717" w:type="dxa"/>
            <w:tcBorders>
              <w:top w:val="single" w:sz="4" w:space="0" w:color="C0C0C0"/>
              <w:left w:val="single" w:sz="12" w:space="0" w:color="00000A"/>
              <w:bottom w:val="single" w:sz="4" w:space="0" w:color="00000A"/>
              <w:right w:val="single" w:sz="12" w:space="0" w:color="00000A"/>
              <w:insideH w:val="single" w:sz="4" w:space="0" w:color="00000A"/>
              <w:insideV w:val="single" w:sz="12" w:space="0" w:color="00000A"/>
            </w:tcBorders>
            <w:shd w:fill="auto" w:val="clear"/>
            <w:tcMar>
              <w:left w:w="98" w:type="dxa"/>
            </w:tcMar>
          </w:tcPr>
          <w:p>
            <w:pPr>
              <w:pStyle w:val="Normal"/>
              <w:spacing w:before="80" w:after="80"/>
              <w:jc w:val="right"/>
              <w:rPr/>
            </w:pPr>
            <w:r>
              <w:rPr>
                <w:rFonts w:cs="Arial" w:ascii="Arial" w:hAnsi="Arial"/>
                <w:sz w:val="20"/>
                <w:szCs w:val="20"/>
              </w:rPr>
              <w:t>No</w:t>
            </w:r>
          </w:p>
        </w:tc>
        <w:tc>
          <w:tcPr>
            <w:tcW w:w="359" w:type="dxa"/>
            <w:gridSpan w:val="2"/>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tcPr>
          <w:p>
            <w:pPr>
              <w:pStyle w:val="Normal"/>
              <w:spacing w:before="80" w:after="80"/>
              <w:rPr>
                <w:rFonts w:ascii="Arial" w:hAnsi="Arial" w:cs="Arial"/>
                <w:sz w:val="20"/>
                <w:szCs w:val="20"/>
              </w:rPr>
            </w:pPr>
            <w:r>
              <w:rPr>
                <w:rFonts w:cs="Arial" w:ascii="Arial" w:hAnsi="Arial"/>
                <w:sz w:val="20"/>
                <w:szCs w:val="20"/>
              </w:rPr>
            </w:r>
          </w:p>
        </w:tc>
        <w:tc>
          <w:tcPr>
            <w:tcW w:w="236" w:type="dxa"/>
            <w:gridSpan w:val="2"/>
            <w:tcBorders>
              <w:top w:val="single" w:sz="4" w:space="0" w:color="C0C0C0"/>
              <w:left w:val="single" w:sz="12" w:space="0" w:color="00000A"/>
              <w:bottom w:val="single" w:sz="4" w:space="0" w:color="00000A"/>
              <w:right w:val="single" w:sz="4" w:space="0" w:color="00000A"/>
              <w:insideH w:val="single" w:sz="4" w:space="0" w:color="00000A"/>
              <w:insideV w:val="single" w:sz="4" w:space="0" w:color="00000A"/>
            </w:tcBorders>
            <w:shd w:fill="auto" w:val="clear"/>
            <w:tcMar>
              <w:left w:w="98" w:type="dxa"/>
            </w:tcMar>
          </w:tcPr>
          <w:p>
            <w:pPr>
              <w:pStyle w:val="Normal"/>
              <w:spacing w:before="80" w:after="80"/>
              <w:rPr>
                <w:rFonts w:ascii="Arial" w:hAnsi="Arial" w:cs="Arial"/>
                <w:sz w:val="20"/>
                <w:szCs w:val="20"/>
              </w:rPr>
            </w:pPr>
            <w:r>
              <w:rPr>
                <w:rFonts w:cs="Arial" w:ascii="Arial" w:hAnsi="Arial"/>
                <w:sz w:val="20"/>
                <w:szCs w:val="20"/>
              </w:rPr>
            </w:r>
          </w:p>
        </w:tc>
      </w:tr>
    </w:tbl>
    <w:p>
      <w:pPr>
        <w:pStyle w:val="Normal"/>
        <w:rPr/>
      </w:pPr>
      <w:r>
        <w:rPr/>
      </w:r>
    </w:p>
    <w:tbl>
      <w:tblPr>
        <w:tblW w:w="9957" w:type="dxa"/>
        <w:jc w:val="left"/>
        <w:tblInd w:w="-6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5034"/>
        <w:gridCol w:w="1085"/>
        <w:gridCol w:w="721"/>
        <w:gridCol w:w="906"/>
        <w:gridCol w:w="562"/>
        <w:gridCol w:w="337"/>
        <w:gridCol w:w="717"/>
        <w:gridCol w:w="289"/>
        <w:gridCol w:w="1"/>
        <w:gridCol w:w="69"/>
        <w:gridCol w:w="1"/>
        <w:gridCol w:w="234"/>
      </w:tblGrid>
      <w:tr>
        <w:trPr>
          <w:trHeight w:val="398" w:hRule="atLeast"/>
        </w:trPr>
        <w:tc>
          <w:tcPr>
            <w:tcW w:w="9651"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tcPr>
          <w:p>
            <w:pPr>
              <w:pStyle w:val="Normal"/>
              <w:spacing w:before="80" w:after="80"/>
              <w:rPr/>
            </w:pPr>
            <w:r>
              <w:rPr>
                <w:rFonts w:cs="Arial" w:ascii="Arial" w:hAnsi="Arial"/>
                <w:b/>
              </w:rPr>
              <w:t>Medicine</w:t>
            </w:r>
          </w:p>
        </w:tc>
        <w:tc>
          <w:tcPr>
            <w:tcW w:w="70" w:type="dxa"/>
            <w:gridSpan w:val="2"/>
            <w:tcBorders/>
            <w:shd w:fill="auto" w:val="clear"/>
          </w:tcPr>
          <w:p>
            <w:pPr>
              <w:pStyle w:val="Normal"/>
              <w:spacing w:before="0" w:after="200"/>
              <w:rPr/>
            </w:pPr>
            <w:r>
              <w:rPr/>
            </w:r>
          </w:p>
        </w:tc>
        <w:tc>
          <w:tcPr>
            <w:tcW w:w="235" w:type="dxa"/>
            <w:gridSpan w:val="2"/>
            <w:tcBorders/>
            <w:shd w:fill="auto" w:val="clear"/>
          </w:tcPr>
          <w:p>
            <w:pPr>
              <w:pStyle w:val="Normal"/>
              <w:spacing w:before="0" w:after="200"/>
              <w:rPr/>
            </w:pPr>
            <w:r>
              <w:rPr/>
            </w:r>
          </w:p>
        </w:tc>
      </w:tr>
      <w:tr>
        <w:trPr>
          <w:trHeight w:val="398" w:hRule="atLeast"/>
        </w:trPr>
        <w:tc>
          <w:tcPr>
            <w:tcW w:w="9651"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b/>
                <w:sz w:val="20"/>
                <w:szCs w:val="20"/>
              </w:rPr>
              <w:t>Category (</w:t>
            </w:r>
            <w:r>
              <w:rPr>
                <w:rFonts w:cs="Arial" w:ascii="Arial" w:hAnsi="Arial"/>
                <w:b/>
                <w:sz w:val="20"/>
              </w:rPr>
              <w:t>i</w:t>
            </w:r>
            <w:r>
              <w:rPr>
                <w:rFonts w:cs="Arial" w:ascii="Arial" w:hAnsi="Arial"/>
                <w:b/>
                <w:sz w:val="20"/>
                <w:szCs w:val="20"/>
              </w:rPr>
              <w:t xml:space="preserve">) Medicines </w:t>
            </w:r>
          </w:p>
        </w:tc>
        <w:tc>
          <w:tcPr>
            <w:tcW w:w="70" w:type="dxa"/>
            <w:gridSpan w:val="2"/>
            <w:tcBorders/>
            <w:shd w:fill="auto" w:val="clear"/>
          </w:tcPr>
          <w:p>
            <w:pPr>
              <w:pStyle w:val="Normal"/>
              <w:spacing w:before="0" w:after="200"/>
              <w:rPr/>
            </w:pPr>
            <w:r>
              <w:rPr/>
            </w:r>
          </w:p>
        </w:tc>
        <w:tc>
          <w:tcPr>
            <w:tcW w:w="235" w:type="dxa"/>
            <w:gridSpan w:val="2"/>
            <w:tcBorders/>
            <w:shd w:fill="auto" w:val="clear"/>
          </w:tcPr>
          <w:p>
            <w:pPr>
              <w:pStyle w:val="Normal"/>
              <w:spacing w:before="0" w:after="200"/>
              <w:rPr/>
            </w:pPr>
            <w:r>
              <w:rPr/>
            </w:r>
          </w:p>
        </w:tc>
      </w:tr>
      <w:tr>
        <w:trPr>
          <w:trHeight w:val="398" w:hRule="atLeast"/>
        </w:trPr>
        <w:tc>
          <w:tcPr>
            <w:tcW w:w="9651" w:type="dxa"/>
            <w:gridSpan w:val="8"/>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80" w:after="80"/>
              <w:rPr/>
            </w:pPr>
            <w:r>
              <w:rPr>
                <w:rFonts w:cs="Arial" w:ascii="Arial" w:hAnsi="Arial"/>
                <w:sz w:val="20"/>
              </w:rPr>
              <w:t xml:space="preserve">A category (i) medicine is a non-prescription preparation (such as arnica cream, antiseptic liquid, insect bite treatment) that is not ingested, used for the ‘first aid’ treatment of minor injuries and provided by the service and kept in the first aid cabinet.   </w:t>
            </w:r>
          </w:p>
          <w:p>
            <w:pPr>
              <w:pStyle w:val="Normal"/>
              <w:spacing w:before="80" w:after="80"/>
              <w:rPr/>
            </w:pPr>
            <w:r>
              <w:rPr>
                <w:rFonts w:cs="Arial" w:ascii="Arial" w:hAnsi="Arial"/>
                <w:sz w:val="20"/>
              </w:rPr>
              <w:t>Note: The service must provide specific information about the category (i) preparations that will be used.</w:t>
            </w:r>
          </w:p>
        </w:tc>
        <w:tc>
          <w:tcPr>
            <w:tcW w:w="70" w:type="dxa"/>
            <w:gridSpan w:val="2"/>
            <w:tcBorders/>
            <w:shd w:fill="auto" w:val="clear"/>
          </w:tcPr>
          <w:p>
            <w:pPr>
              <w:pStyle w:val="Normal"/>
              <w:spacing w:before="0" w:after="200"/>
              <w:rPr/>
            </w:pPr>
            <w:r>
              <w:rPr/>
            </w:r>
          </w:p>
        </w:tc>
        <w:tc>
          <w:tcPr>
            <w:tcW w:w="235" w:type="dxa"/>
            <w:gridSpan w:val="2"/>
            <w:tcBorders/>
            <w:shd w:fill="auto" w:val="clear"/>
          </w:tcPr>
          <w:p>
            <w:pPr>
              <w:pStyle w:val="Normal"/>
              <w:spacing w:before="0" w:after="200"/>
              <w:rPr/>
            </w:pPr>
            <w:r>
              <w:rPr/>
            </w:r>
          </w:p>
        </w:tc>
      </w:tr>
      <w:tr>
        <w:trPr>
          <w:trHeight w:val="398" w:hRule="atLeast"/>
        </w:trPr>
        <w:tc>
          <w:tcPr>
            <w:tcW w:w="6840" w:type="dxa"/>
            <w:gridSpan w:val="3"/>
            <w:tcBorders>
              <w:top w:val="single" w:sz="4" w:space="0" w:color="C0C0C0"/>
              <w:left w:val="single" w:sz="4" w:space="0" w:color="00000A"/>
              <w:bottom w:val="single" w:sz="4" w:space="0" w:color="C0C0C0"/>
              <w:insideH w:val="single" w:sz="4" w:space="0" w:color="C0C0C0"/>
            </w:tcBorders>
            <w:shd w:fill="auto" w:val="clear"/>
            <w:tcMar>
              <w:left w:w="108" w:type="dxa"/>
            </w:tcMar>
            <w:vAlign w:val="center"/>
          </w:tcPr>
          <w:p>
            <w:pPr>
              <w:pStyle w:val="Normal"/>
              <w:spacing w:before="80" w:after="80"/>
              <w:rPr/>
            </w:pPr>
            <w:r>
              <w:rPr>
                <w:rFonts w:cs="Arial" w:ascii="Arial" w:hAnsi="Arial"/>
                <w:sz w:val="20"/>
              </w:rPr>
              <w:t xml:space="preserve">Do you approve category (i) medicines to be used on your child?                         </w:t>
            </w:r>
          </w:p>
        </w:tc>
        <w:tc>
          <w:tcPr>
            <w:tcW w:w="906" w:type="dxa"/>
            <w:tcBorders>
              <w:top w:val="single" w:sz="4" w:space="0" w:color="C0C0C0"/>
              <w:bottom w:val="single" w:sz="4" w:space="0" w:color="C0C0C0"/>
              <w:insideH w:val="single" w:sz="4" w:space="0" w:color="C0C0C0"/>
            </w:tcBorders>
            <w:shd w:fill="auto" w:val="clear"/>
            <w:vAlign w:val="center"/>
          </w:tcPr>
          <w:p>
            <w:pPr>
              <w:pStyle w:val="Normal"/>
              <w:spacing w:before="80" w:after="80"/>
              <w:rPr/>
            </w:pPr>
            <w:r>
              <w:rPr>
                <w:rFonts w:cs="Arial" w:ascii="Arial" w:hAnsi="Arial"/>
                <w:i/>
                <w:sz w:val="16"/>
                <w:szCs w:val="16"/>
              </w:rPr>
              <w:t>Tick One</w:t>
            </w:r>
          </w:p>
        </w:tc>
        <w:tc>
          <w:tcPr>
            <w:tcW w:w="562" w:type="dxa"/>
            <w:tcBorders>
              <w:top w:val="single" w:sz="4" w:space="0" w:color="C0C0C0"/>
              <w:bottom w:val="single" w:sz="4" w:space="0" w:color="C0C0C0"/>
              <w:right w:val="single" w:sz="12" w:space="0" w:color="00000A"/>
              <w:insideH w:val="single" w:sz="4" w:space="0" w:color="C0C0C0"/>
              <w:insideV w:val="single" w:sz="12" w:space="0" w:color="00000A"/>
            </w:tcBorders>
            <w:shd w:fill="auto" w:val="clear"/>
            <w:vAlign w:val="center"/>
          </w:tcPr>
          <w:p>
            <w:pPr>
              <w:pStyle w:val="Normal"/>
              <w:spacing w:before="80" w:after="80"/>
              <w:jc w:val="right"/>
              <w:rPr/>
            </w:pPr>
            <w:r>
              <w:rPr>
                <w:rFonts w:cs="Arial" w:ascii="Arial" w:hAnsi="Arial"/>
                <w:sz w:val="20"/>
                <w:szCs w:val="20"/>
              </w:rPr>
              <w:t>Yes</w:t>
            </w:r>
          </w:p>
        </w:tc>
        <w:tc>
          <w:tcPr>
            <w:tcW w:w="337"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vAlign w:val="center"/>
          </w:tcPr>
          <w:p>
            <w:pPr>
              <w:pStyle w:val="Normal"/>
              <w:spacing w:before="80" w:after="80"/>
              <w:rPr>
                <w:rFonts w:ascii="Arial" w:hAnsi="Arial" w:cs="Arial"/>
                <w:sz w:val="20"/>
                <w:szCs w:val="20"/>
              </w:rPr>
            </w:pPr>
            <w:r>
              <w:rPr>
                <w:rFonts w:cs="Arial" w:ascii="Arial" w:hAnsi="Arial"/>
                <w:sz w:val="20"/>
                <w:szCs w:val="20"/>
              </w:rPr>
            </w:r>
          </w:p>
        </w:tc>
        <w:tc>
          <w:tcPr>
            <w:tcW w:w="717" w:type="dxa"/>
            <w:tcBorders>
              <w:top w:val="single" w:sz="4" w:space="0" w:color="C0C0C0"/>
              <w:left w:val="single" w:sz="12" w:space="0" w:color="00000A"/>
              <w:bottom w:val="single" w:sz="4" w:space="0" w:color="C0C0C0"/>
              <w:right w:val="single" w:sz="12" w:space="0" w:color="00000A"/>
              <w:insideH w:val="single" w:sz="4" w:space="0" w:color="C0C0C0"/>
              <w:insideV w:val="single" w:sz="12" w:space="0" w:color="00000A"/>
            </w:tcBorders>
            <w:shd w:fill="auto" w:val="clear"/>
            <w:tcMar>
              <w:left w:w="98" w:type="dxa"/>
            </w:tcMar>
            <w:vAlign w:val="center"/>
          </w:tcPr>
          <w:p>
            <w:pPr>
              <w:pStyle w:val="Normal"/>
              <w:spacing w:before="80" w:after="80"/>
              <w:jc w:val="right"/>
              <w:rPr/>
            </w:pPr>
            <w:r>
              <w:rPr>
                <w:rFonts w:cs="Arial" w:ascii="Arial" w:hAnsi="Arial"/>
                <w:sz w:val="20"/>
                <w:szCs w:val="20"/>
              </w:rPr>
              <w:t>No</w:t>
            </w:r>
          </w:p>
        </w:tc>
        <w:tc>
          <w:tcPr>
            <w:tcW w:w="359" w:type="dxa"/>
            <w:gridSpan w:val="3"/>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vAlign w:val="center"/>
          </w:tcPr>
          <w:p>
            <w:pPr>
              <w:pStyle w:val="Normal"/>
              <w:spacing w:before="80" w:after="80"/>
              <w:rPr>
                <w:rFonts w:ascii="Arial" w:hAnsi="Arial" w:cs="Arial"/>
                <w:sz w:val="20"/>
                <w:szCs w:val="20"/>
              </w:rPr>
            </w:pPr>
            <w:r>
              <w:rPr>
                <w:rFonts w:cs="Arial" w:ascii="Arial" w:hAnsi="Arial"/>
                <w:sz w:val="20"/>
                <w:szCs w:val="20"/>
              </w:rPr>
            </w:r>
          </w:p>
        </w:tc>
        <w:tc>
          <w:tcPr>
            <w:tcW w:w="235" w:type="dxa"/>
            <w:gridSpan w:val="2"/>
            <w:tcBorders>
              <w:top w:val="single" w:sz="4" w:space="0" w:color="C0C0C0"/>
              <w:left w:val="single" w:sz="12" w:space="0" w:color="00000A"/>
              <w:bottom w:val="single" w:sz="4" w:space="0" w:color="C0C0C0"/>
              <w:right w:val="single" w:sz="4" w:space="0" w:color="00000A"/>
              <w:insideH w:val="single" w:sz="4" w:space="0" w:color="C0C0C0"/>
              <w:insideV w:val="single" w:sz="4" w:space="0" w:color="00000A"/>
            </w:tcBorders>
            <w:shd w:fill="auto" w:val="clear"/>
            <w:tcMar>
              <w:left w:w="98" w:type="dxa"/>
            </w:tcMar>
            <w:vAlign w:val="center"/>
          </w:tcPr>
          <w:p>
            <w:pPr>
              <w:pStyle w:val="Normal"/>
              <w:spacing w:before="80" w:after="80"/>
              <w:rPr>
                <w:rFonts w:ascii="Arial" w:hAnsi="Arial" w:cs="Arial"/>
                <w:sz w:val="20"/>
                <w:szCs w:val="20"/>
              </w:rPr>
            </w:pPr>
            <w:r>
              <w:rPr>
                <w:rFonts w:cs="Arial" w:ascii="Arial" w:hAnsi="Arial"/>
                <w:sz w:val="20"/>
                <w:szCs w:val="20"/>
              </w:rPr>
            </w:r>
          </w:p>
        </w:tc>
      </w:tr>
      <w:tr>
        <w:trPr>
          <w:trHeight w:val="398" w:hRule="atLeast"/>
        </w:trPr>
        <w:tc>
          <w:tcPr>
            <w:tcW w:w="9651" w:type="dxa"/>
            <w:gridSpan w:val="8"/>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0" w:after="200"/>
              <w:rPr/>
            </w:pPr>
            <w:r>
              <w:rPr>
                <w:rFonts w:cs="Arial" w:ascii="Arial" w:hAnsi="Arial"/>
                <w:sz w:val="20"/>
              </w:rPr>
              <w:t xml:space="preserve">Name/s of specific category (i) medicines that can be used on my child, </w:t>
            </w:r>
            <w:r>
              <w:rPr>
                <w:rFonts w:cs="Arial" w:ascii="Arial" w:hAnsi="Arial"/>
                <w:b/>
                <w:sz w:val="20"/>
              </w:rPr>
              <w:t>provided by service</w:t>
            </w:r>
            <w:r>
              <w:rPr>
                <w:rFonts w:cs="Arial" w:ascii="Arial" w:hAnsi="Arial"/>
                <w:sz w:val="20"/>
              </w:rPr>
              <w:t>:</w:t>
            </w:r>
          </w:p>
        </w:tc>
        <w:tc>
          <w:tcPr>
            <w:tcW w:w="70" w:type="dxa"/>
            <w:gridSpan w:val="2"/>
            <w:tcBorders/>
            <w:shd w:fill="auto" w:val="clear"/>
          </w:tcPr>
          <w:p>
            <w:pPr>
              <w:pStyle w:val="Normal"/>
              <w:spacing w:before="0" w:after="200"/>
              <w:rPr/>
            </w:pPr>
            <w:r>
              <w:rPr/>
            </w:r>
          </w:p>
        </w:tc>
        <w:tc>
          <w:tcPr>
            <w:tcW w:w="235" w:type="dxa"/>
            <w:gridSpan w:val="2"/>
            <w:tcBorders/>
            <w:shd w:fill="auto" w:val="clear"/>
          </w:tcPr>
          <w:p>
            <w:pPr>
              <w:pStyle w:val="Normal"/>
              <w:spacing w:before="0" w:after="200"/>
              <w:rPr/>
            </w:pPr>
            <w:r>
              <w:rPr/>
            </w:r>
          </w:p>
        </w:tc>
      </w:tr>
      <w:tr>
        <w:trPr>
          <w:trHeight w:val="413" w:hRule="atLeast"/>
        </w:trPr>
        <w:tc>
          <w:tcPr>
            <w:tcW w:w="5034" w:type="dxa"/>
            <w:tcBorders>
              <w:top w:val="single" w:sz="4" w:space="0" w:color="C0C0C0"/>
              <w:left w:val="single" w:sz="4" w:space="0" w:color="00000A"/>
              <w:bottom w:val="single" w:sz="4" w:space="0" w:color="C0C0C0"/>
              <w:right w:val="single" w:sz="4" w:space="0" w:color="C0C0C0"/>
              <w:insideH w:val="single" w:sz="4" w:space="0" w:color="C0C0C0"/>
              <w:insideV w:val="single" w:sz="4" w:space="0" w:color="C0C0C0"/>
            </w:tcBorders>
            <w:shd w:fill="auto" w:val="clear"/>
            <w:tcMar>
              <w:left w:w="108" w:type="dxa"/>
            </w:tcMar>
            <w:vAlign w:val="center"/>
          </w:tcPr>
          <w:p>
            <w:pPr>
              <w:pStyle w:val="Normal"/>
              <w:numPr>
                <w:ilvl w:val="0"/>
                <w:numId w:val="6"/>
              </w:numPr>
              <w:spacing w:before="0" w:after="200"/>
              <w:rPr>
                <w:rFonts w:ascii="Arial" w:hAnsi="Arial" w:cs="Arial"/>
                <w:sz w:val="20"/>
              </w:rPr>
            </w:pPr>
            <w:r>
              <w:rPr>
                <w:rFonts w:cs="Arial" w:ascii="Arial" w:hAnsi="Arial"/>
                <w:sz w:val="20"/>
              </w:rPr>
            </w:r>
          </w:p>
        </w:tc>
        <w:tc>
          <w:tcPr>
            <w:tcW w:w="4618" w:type="dxa"/>
            <w:gridSpan w:val="8"/>
            <w:tcBorders>
              <w:top w:val="single" w:sz="4" w:space="0" w:color="C0C0C0"/>
              <w:left w:val="single" w:sz="4" w:space="0" w:color="C0C0C0"/>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numPr>
                <w:ilvl w:val="0"/>
                <w:numId w:val="6"/>
              </w:numPr>
              <w:spacing w:before="0" w:after="200"/>
              <w:rPr>
                <w:rFonts w:ascii="Arial" w:hAnsi="Arial" w:cs="Arial"/>
                <w:sz w:val="20"/>
              </w:rPr>
            </w:pPr>
            <w:r>
              <w:rPr>
                <w:rFonts w:cs="Arial" w:ascii="Arial" w:hAnsi="Arial"/>
                <w:sz w:val="20"/>
              </w:rPr>
            </w:r>
          </w:p>
        </w:tc>
        <w:tc>
          <w:tcPr>
            <w:tcW w:w="70" w:type="dxa"/>
            <w:gridSpan w:val="2"/>
            <w:tcBorders/>
            <w:shd w:fill="auto" w:val="clear"/>
          </w:tcPr>
          <w:p>
            <w:pPr>
              <w:pStyle w:val="Normal"/>
              <w:spacing w:before="0" w:after="200"/>
              <w:rPr/>
            </w:pPr>
            <w:r>
              <w:rPr/>
            </w:r>
          </w:p>
        </w:tc>
        <w:tc>
          <w:tcPr>
            <w:tcW w:w="234" w:type="dxa"/>
            <w:tcBorders/>
            <w:shd w:fill="auto" w:val="clear"/>
          </w:tcPr>
          <w:p>
            <w:pPr>
              <w:pStyle w:val="Normal"/>
              <w:spacing w:before="0" w:after="200"/>
              <w:rPr/>
            </w:pPr>
            <w:r>
              <w:rPr/>
            </w:r>
          </w:p>
        </w:tc>
      </w:tr>
      <w:tr>
        <w:trPr>
          <w:trHeight w:val="412" w:hRule="atLeast"/>
        </w:trPr>
        <w:tc>
          <w:tcPr>
            <w:tcW w:w="5034" w:type="dxa"/>
            <w:tcBorders>
              <w:top w:val="single" w:sz="4" w:space="0" w:color="C0C0C0"/>
              <w:left w:val="single" w:sz="4" w:space="0" w:color="00000A"/>
              <w:bottom w:val="single" w:sz="4" w:space="0" w:color="C0C0C0"/>
              <w:right w:val="single" w:sz="4" w:space="0" w:color="C0C0C0"/>
              <w:insideH w:val="single" w:sz="4" w:space="0" w:color="C0C0C0"/>
              <w:insideV w:val="single" w:sz="4" w:space="0" w:color="C0C0C0"/>
            </w:tcBorders>
            <w:shd w:fill="auto" w:val="clear"/>
            <w:tcMar>
              <w:left w:w="108" w:type="dxa"/>
            </w:tcMar>
            <w:vAlign w:val="center"/>
          </w:tcPr>
          <w:p>
            <w:pPr>
              <w:pStyle w:val="Normal"/>
              <w:numPr>
                <w:ilvl w:val="0"/>
                <w:numId w:val="6"/>
              </w:numPr>
              <w:spacing w:before="0" w:after="200"/>
              <w:rPr>
                <w:rFonts w:ascii="Arial" w:hAnsi="Arial" w:cs="Arial"/>
                <w:sz w:val="20"/>
              </w:rPr>
            </w:pPr>
            <w:r>
              <w:rPr>
                <w:rFonts w:cs="Arial" w:ascii="Arial" w:hAnsi="Arial"/>
                <w:sz w:val="20"/>
              </w:rPr>
            </w:r>
          </w:p>
        </w:tc>
        <w:tc>
          <w:tcPr>
            <w:tcW w:w="4618" w:type="dxa"/>
            <w:gridSpan w:val="8"/>
            <w:tcBorders>
              <w:top w:val="single" w:sz="4" w:space="0" w:color="C0C0C0"/>
              <w:left w:val="single" w:sz="4" w:space="0" w:color="C0C0C0"/>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numPr>
                <w:ilvl w:val="0"/>
                <w:numId w:val="6"/>
              </w:numPr>
              <w:spacing w:before="0" w:after="200"/>
              <w:rPr>
                <w:rFonts w:ascii="Arial" w:hAnsi="Arial" w:cs="Arial"/>
                <w:sz w:val="20"/>
              </w:rPr>
            </w:pPr>
            <w:r>
              <w:rPr>
                <w:rFonts w:cs="Arial" w:ascii="Arial" w:hAnsi="Arial"/>
                <w:sz w:val="20"/>
              </w:rPr>
            </w:r>
          </w:p>
        </w:tc>
        <w:tc>
          <w:tcPr>
            <w:tcW w:w="70" w:type="dxa"/>
            <w:gridSpan w:val="2"/>
            <w:tcBorders/>
            <w:shd w:fill="auto" w:val="clear"/>
          </w:tcPr>
          <w:p>
            <w:pPr>
              <w:pStyle w:val="Normal"/>
              <w:spacing w:before="0" w:after="200"/>
              <w:rPr/>
            </w:pPr>
            <w:r>
              <w:rPr/>
            </w:r>
          </w:p>
        </w:tc>
        <w:tc>
          <w:tcPr>
            <w:tcW w:w="234" w:type="dxa"/>
            <w:tcBorders/>
            <w:shd w:fill="auto" w:val="clear"/>
          </w:tcPr>
          <w:p>
            <w:pPr>
              <w:pStyle w:val="Normal"/>
              <w:spacing w:before="0" w:after="200"/>
              <w:rPr/>
            </w:pPr>
            <w:r>
              <w:rPr/>
            </w:r>
          </w:p>
        </w:tc>
      </w:tr>
      <w:tr>
        <w:trPr>
          <w:trHeight w:val="398" w:hRule="atLeast"/>
        </w:trPr>
        <w:tc>
          <w:tcPr>
            <w:tcW w:w="6119" w:type="dxa"/>
            <w:gridSpan w:val="2"/>
            <w:tcBorders>
              <w:top w:val="single" w:sz="4" w:space="0" w:color="C0C0C0"/>
              <w:left w:val="single" w:sz="4" w:space="0" w:color="00000A"/>
              <w:bottom w:val="single" w:sz="4" w:space="0" w:color="00000A"/>
              <w:insideH w:val="single" w:sz="4" w:space="0" w:color="00000A"/>
            </w:tcBorders>
            <w:shd w:fill="auto" w:val="clear"/>
            <w:tcMar>
              <w:left w:w="108" w:type="dxa"/>
            </w:tcMar>
          </w:tcPr>
          <w:p>
            <w:pPr>
              <w:pStyle w:val="Normal"/>
              <w:spacing w:before="360" w:after="80"/>
              <w:rPr/>
            </w:pPr>
            <w:r>
              <w:rPr>
                <w:rFonts w:cs="Arial" w:ascii="Arial" w:hAnsi="Arial"/>
                <w:sz w:val="20"/>
                <w:szCs w:val="20"/>
              </w:rPr>
              <w:t xml:space="preserve">Parent/Guardian Signature: _____________________________ </w:t>
            </w:r>
          </w:p>
        </w:tc>
        <w:tc>
          <w:tcPr>
            <w:tcW w:w="3532" w:type="dxa"/>
            <w:gridSpan w:val="6"/>
            <w:tcBorders>
              <w:top w:val="single" w:sz="4" w:space="0" w:color="C0C0C0"/>
              <w:bottom w:val="single" w:sz="4" w:space="0" w:color="00000A"/>
              <w:right w:val="single" w:sz="4" w:space="0" w:color="00000A"/>
              <w:insideH w:val="single" w:sz="4" w:space="0" w:color="00000A"/>
              <w:insideV w:val="single" w:sz="4" w:space="0" w:color="00000A"/>
            </w:tcBorders>
            <w:shd w:fill="auto" w:val="clear"/>
          </w:tcPr>
          <w:p>
            <w:pPr>
              <w:pStyle w:val="Normal"/>
              <w:spacing w:before="360" w:after="80"/>
              <w:rPr/>
            </w:pPr>
            <w:r>
              <w:rPr>
                <w:rFonts w:cs="Arial" w:ascii="Arial" w:hAnsi="Arial"/>
                <w:sz w:val="20"/>
                <w:szCs w:val="20"/>
              </w:rPr>
              <w:t>Date:   ____ /____ / ____</w:t>
            </w:r>
          </w:p>
        </w:tc>
        <w:tc>
          <w:tcPr>
            <w:tcW w:w="70" w:type="dxa"/>
            <w:gridSpan w:val="2"/>
            <w:tcBorders/>
            <w:shd w:fill="auto" w:val="clear"/>
          </w:tcPr>
          <w:p>
            <w:pPr>
              <w:pStyle w:val="Normal"/>
              <w:spacing w:before="0" w:after="200"/>
              <w:rPr/>
            </w:pPr>
            <w:r>
              <w:rPr/>
            </w:r>
          </w:p>
        </w:tc>
        <w:tc>
          <w:tcPr>
            <w:tcW w:w="235" w:type="dxa"/>
            <w:gridSpan w:val="2"/>
            <w:tcBorders/>
            <w:shd w:fill="auto" w:val="clear"/>
          </w:tcPr>
          <w:p>
            <w:pPr>
              <w:pStyle w:val="Normal"/>
              <w:spacing w:before="0" w:after="200"/>
              <w:rPr/>
            </w:pPr>
            <w:r>
              <w:rPr/>
            </w:r>
          </w:p>
        </w:tc>
      </w:tr>
    </w:tbl>
    <w:p>
      <w:pPr>
        <w:pStyle w:val="Normal"/>
        <w:rPr/>
      </w:pPr>
      <w:r>
        <w:rPr/>
      </w:r>
    </w:p>
    <w:p>
      <w:pPr>
        <w:pStyle w:val="Normal"/>
        <w:rPr/>
      </w:pPr>
      <w:r>
        <w:rPr/>
      </w:r>
    </w:p>
    <w:tbl>
      <w:tblPr>
        <w:tblW w:w="9651" w:type="dxa"/>
        <w:jc w:val="left"/>
        <w:tblInd w:w="-6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6119"/>
        <w:gridCol w:w="3531"/>
      </w:tblGrid>
      <w:tr>
        <w:trPr>
          <w:trHeight w:val="398" w:hRule="atLeast"/>
        </w:trPr>
        <w:tc>
          <w:tcPr>
            <w:tcW w:w="965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80" w:after="80"/>
              <w:rPr/>
            </w:pPr>
            <w:r>
              <w:rPr>
                <w:rFonts w:cs="Arial" w:ascii="Arial" w:hAnsi="Arial"/>
                <w:b/>
                <w:sz w:val="20"/>
                <w:szCs w:val="20"/>
              </w:rPr>
              <w:t>Category (</w:t>
            </w:r>
            <w:r>
              <w:rPr>
                <w:rFonts w:cs="Arial" w:ascii="Arial" w:hAnsi="Arial"/>
                <w:b/>
                <w:sz w:val="20"/>
              </w:rPr>
              <w:t>ii</w:t>
            </w:r>
            <w:r>
              <w:rPr>
                <w:rFonts w:cs="Arial" w:ascii="Arial" w:hAnsi="Arial"/>
                <w:b/>
                <w:sz w:val="20"/>
                <w:szCs w:val="20"/>
              </w:rPr>
              <w:t>) Medicines</w:t>
            </w:r>
          </w:p>
        </w:tc>
      </w:tr>
      <w:tr>
        <w:trPr>
          <w:trHeight w:val="398" w:hRule="atLeast"/>
        </w:trPr>
        <w:tc>
          <w:tcPr>
            <w:tcW w:w="9650" w:type="dxa"/>
            <w:gridSpan w:val="2"/>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80" w:after="80"/>
              <w:rPr/>
            </w:pPr>
            <w:r>
              <w:rPr>
                <w:rFonts w:cs="Arial" w:ascii="Arial" w:hAnsi="Arial"/>
                <w:sz w:val="20"/>
              </w:rPr>
              <w:t>Category (ii) medicines are prescription (such as antibiotics, eye/ear drops etc) or non-prescription (such as paracetamol liquid, cough syrup etc) medicine that is used for a specific period of time to treat a specific condition or symptom, provided by a parent for the use of that child only or, in relation to Rongoa Māori (Māori plant medicines), that is prepared by other adults at the service.</w:t>
            </w:r>
          </w:p>
        </w:tc>
      </w:tr>
      <w:tr>
        <w:trPr>
          <w:trHeight w:val="398" w:hRule="atLeast"/>
        </w:trPr>
        <w:tc>
          <w:tcPr>
            <w:tcW w:w="9650" w:type="dxa"/>
            <w:gridSpan w:val="2"/>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80" w:after="80"/>
              <w:rPr/>
            </w:pPr>
            <w:r>
              <w:rPr>
                <w:rFonts w:cs="Arial" w:ascii="Arial" w:hAnsi="Arial"/>
                <w:sz w:val="20"/>
              </w:rPr>
              <w:t>I acknowledge that written authority from a parent is to be given at the beginning of each day a category (ii) medicine is to be administered, detailing what (name of medicine), how (method and dose), and when (time or specific symptoms/circumstances) medicine is to be given.</w:t>
            </w:r>
          </w:p>
        </w:tc>
      </w:tr>
      <w:tr>
        <w:trPr>
          <w:trHeight w:val="398" w:hRule="atLeast"/>
        </w:trPr>
        <w:tc>
          <w:tcPr>
            <w:tcW w:w="6119" w:type="dxa"/>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360" w:after="80"/>
              <w:rPr/>
            </w:pPr>
            <w:r>
              <w:rPr>
                <w:rFonts w:cs="Arial" w:ascii="Arial" w:hAnsi="Arial"/>
                <w:sz w:val="20"/>
                <w:szCs w:val="20"/>
              </w:rPr>
              <w:t xml:space="preserve">Parent/Guardian Signature: _____________________________ </w:t>
            </w:r>
          </w:p>
        </w:tc>
        <w:tc>
          <w:tcPr>
            <w:tcW w:w="3531" w:type="dxa"/>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360" w:after="80"/>
              <w:rPr/>
            </w:pPr>
            <w:r>
              <w:rPr>
                <w:rFonts w:cs="Arial" w:ascii="Arial" w:hAnsi="Arial"/>
                <w:sz w:val="20"/>
                <w:szCs w:val="20"/>
              </w:rPr>
              <w:t>Date:   ____ /____ / ____</w:t>
            </w:r>
          </w:p>
        </w:tc>
      </w:tr>
    </w:tbl>
    <w:p>
      <w:pPr>
        <w:pStyle w:val="Normal"/>
        <w:rPr/>
      </w:pPr>
      <w:r>
        <w:rPr/>
      </w:r>
    </w:p>
    <w:tbl>
      <w:tblPr>
        <w:tblW w:w="9957" w:type="dxa"/>
        <w:jc w:val="left"/>
        <w:tblInd w:w="-6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6119"/>
        <w:gridCol w:w="1626"/>
        <w:gridCol w:w="562"/>
        <w:gridCol w:w="337"/>
        <w:gridCol w:w="717"/>
        <w:gridCol w:w="290"/>
        <w:gridCol w:w="69"/>
        <w:gridCol w:w="1"/>
        <w:gridCol w:w="235"/>
      </w:tblGrid>
      <w:tr>
        <w:trPr>
          <w:trHeight w:val="398" w:hRule="atLeast"/>
        </w:trPr>
        <w:tc>
          <w:tcPr>
            <w:tcW w:w="9651"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80" w:after="80"/>
              <w:rPr/>
            </w:pPr>
            <w:r>
              <w:rPr>
                <w:rFonts w:cs="Arial" w:ascii="Arial" w:hAnsi="Arial"/>
                <w:b/>
                <w:sz w:val="20"/>
                <w:szCs w:val="20"/>
              </w:rPr>
              <w:t>Category (</w:t>
            </w:r>
            <w:r>
              <w:rPr>
                <w:rFonts w:cs="Arial" w:ascii="Arial" w:hAnsi="Arial"/>
                <w:b/>
                <w:sz w:val="20"/>
              </w:rPr>
              <w:t>iii</w:t>
            </w:r>
            <w:r>
              <w:rPr>
                <w:rFonts w:cs="Arial" w:ascii="Arial" w:hAnsi="Arial"/>
                <w:b/>
                <w:sz w:val="20"/>
                <w:szCs w:val="20"/>
              </w:rPr>
              <w:t>) Medicines</w:t>
            </w:r>
          </w:p>
        </w:tc>
        <w:tc>
          <w:tcPr>
            <w:tcW w:w="70" w:type="dxa"/>
            <w:gridSpan w:val="2"/>
            <w:tcBorders/>
            <w:shd w:fill="auto" w:val="clear"/>
          </w:tcPr>
          <w:p>
            <w:pPr>
              <w:pStyle w:val="Normal"/>
              <w:spacing w:before="0" w:after="200"/>
              <w:rPr/>
            </w:pPr>
            <w:r>
              <w:rPr/>
            </w:r>
          </w:p>
        </w:tc>
        <w:tc>
          <w:tcPr>
            <w:tcW w:w="235" w:type="dxa"/>
            <w:tcBorders/>
            <w:shd w:fill="auto" w:val="clear"/>
          </w:tcPr>
          <w:p>
            <w:pPr>
              <w:pStyle w:val="Normal"/>
              <w:spacing w:before="0" w:after="200"/>
              <w:rPr/>
            </w:pPr>
            <w:r>
              <w:rPr/>
            </w:r>
          </w:p>
        </w:tc>
      </w:tr>
      <w:tr>
        <w:trPr>
          <w:trHeight w:val="398" w:hRule="atLeast"/>
        </w:trPr>
        <w:tc>
          <w:tcPr>
            <w:tcW w:w="9651" w:type="dxa"/>
            <w:gridSpan w:val="6"/>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80" w:after="80"/>
              <w:rPr/>
            </w:pPr>
            <w:r>
              <w:rPr>
                <w:rFonts w:cs="Arial" w:ascii="Arial" w:hAnsi="Arial"/>
                <w:sz w:val="20"/>
              </w:rPr>
              <w:t>To be filled in if your child requires medication as part of an individual health plan, for example for an on-going condition such as asthma or eczema etc and is for the use of that child only.</w:t>
            </w:r>
          </w:p>
        </w:tc>
        <w:tc>
          <w:tcPr>
            <w:tcW w:w="70" w:type="dxa"/>
            <w:gridSpan w:val="2"/>
            <w:tcBorders/>
            <w:shd w:fill="auto" w:val="clear"/>
          </w:tcPr>
          <w:p>
            <w:pPr>
              <w:pStyle w:val="Normal"/>
              <w:spacing w:before="0" w:after="200"/>
              <w:rPr/>
            </w:pPr>
            <w:r>
              <w:rPr/>
            </w:r>
          </w:p>
        </w:tc>
        <w:tc>
          <w:tcPr>
            <w:tcW w:w="235" w:type="dxa"/>
            <w:tcBorders/>
            <w:shd w:fill="auto" w:val="clear"/>
          </w:tcPr>
          <w:p>
            <w:pPr>
              <w:pStyle w:val="Normal"/>
              <w:spacing w:before="0" w:after="200"/>
              <w:rPr/>
            </w:pPr>
            <w:r>
              <w:rPr/>
            </w:r>
          </w:p>
        </w:tc>
      </w:tr>
      <w:tr>
        <w:trPr>
          <w:trHeight w:val="398" w:hRule="atLeast"/>
        </w:trPr>
        <w:tc>
          <w:tcPr>
            <w:tcW w:w="7745" w:type="dxa"/>
            <w:gridSpan w:val="2"/>
            <w:tcBorders>
              <w:top w:val="single" w:sz="4" w:space="0" w:color="C0C0C0"/>
              <w:left w:val="single" w:sz="4" w:space="0" w:color="00000A"/>
              <w:bottom w:val="single" w:sz="4" w:space="0" w:color="C0C0C0"/>
              <w:insideH w:val="single" w:sz="4" w:space="0" w:color="C0C0C0"/>
            </w:tcBorders>
            <w:shd w:fill="auto" w:val="clear"/>
            <w:tcMar>
              <w:left w:w="108" w:type="dxa"/>
            </w:tcMar>
            <w:vAlign w:val="center"/>
          </w:tcPr>
          <w:p>
            <w:pPr>
              <w:pStyle w:val="Normal"/>
              <w:spacing w:before="0" w:after="200"/>
              <w:rPr/>
            </w:pPr>
            <w:r>
              <w:rPr>
                <w:rFonts w:cs="Arial" w:ascii="Arial" w:hAnsi="Arial"/>
                <w:b/>
                <w:sz w:val="20"/>
              </w:rPr>
              <w:t>For staff:</w:t>
            </w:r>
            <w:r>
              <w:rPr>
                <w:rFonts w:cs="Arial" w:ascii="Arial" w:hAnsi="Arial"/>
                <w:sz w:val="20"/>
              </w:rPr>
              <w:t xml:space="preserve"> Individual health plan sighted and a copy taken:                             </w:t>
            </w:r>
            <w:r>
              <w:rPr>
                <w:rFonts w:cs="Arial" w:ascii="Arial" w:hAnsi="Arial"/>
                <w:i/>
                <w:sz w:val="16"/>
                <w:szCs w:val="16"/>
              </w:rPr>
              <w:t xml:space="preserve"> Tick One</w:t>
            </w:r>
            <w:r>
              <w:rPr>
                <w:rFonts w:cs="Arial" w:ascii="Arial" w:hAnsi="Arial"/>
                <w:sz w:val="20"/>
              </w:rPr>
              <w:t xml:space="preserve">:                                                     </w:t>
            </w:r>
          </w:p>
        </w:tc>
        <w:tc>
          <w:tcPr>
            <w:tcW w:w="562" w:type="dxa"/>
            <w:tcBorders>
              <w:top w:val="single" w:sz="4" w:space="0" w:color="C0C0C0"/>
              <w:bottom w:val="single" w:sz="4" w:space="0" w:color="C0C0C0"/>
              <w:right w:val="single" w:sz="12" w:space="0" w:color="00000A"/>
              <w:insideH w:val="single" w:sz="4" w:space="0" w:color="C0C0C0"/>
              <w:insideV w:val="single" w:sz="12" w:space="0" w:color="00000A"/>
            </w:tcBorders>
            <w:shd w:fill="auto" w:val="clear"/>
            <w:vAlign w:val="center"/>
          </w:tcPr>
          <w:p>
            <w:pPr>
              <w:pStyle w:val="Normal"/>
              <w:spacing w:before="0" w:after="200"/>
              <w:jc w:val="right"/>
              <w:rPr/>
            </w:pPr>
            <w:r>
              <w:rPr>
                <w:rFonts w:cs="Arial" w:ascii="Arial" w:hAnsi="Arial"/>
                <w:sz w:val="20"/>
              </w:rPr>
              <w:t>Yes</w:t>
            </w:r>
          </w:p>
        </w:tc>
        <w:tc>
          <w:tcPr>
            <w:tcW w:w="337"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vAlign w:val="center"/>
          </w:tcPr>
          <w:p>
            <w:pPr>
              <w:pStyle w:val="Normal"/>
              <w:spacing w:before="0" w:after="200"/>
              <w:rPr>
                <w:rFonts w:ascii="Arial" w:hAnsi="Arial" w:cs="Arial"/>
                <w:sz w:val="20"/>
              </w:rPr>
            </w:pPr>
            <w:r>
              <w:rPr>
                <w:rFonts w:cs="Arial" w:ascii="Arial" w:hAnsi="Arial"/>
                <w:sz w:val="20"/>
              </w:rPr>
            </w:r>
          </w:p>
        </w:tc>
        <w:tc>
          <w:tcPr>
            <w:tcW w:w="717" w:type="dxa"/>
            <w:tcBorders>
              <w:top w:val="single" w:sz="4" w:space="0" w:color="C0C0C0"/>
              <w:left w:val="single" w:sz="12" w:space="0" w:color="00000A"/>
              <w:bottom w:val="single" w:sz="4" w:space="0" w:color="C0C0C0"/>
              <w:right w:val="single" w:sz="12" w:space="0" w:color="00000A"/>
              <w:insideH w:val="single" w:sz="4" w:space="0" w:color="C0C0C0"/>
              <w:insideV w:val="single" w:sz="12" w:space="0" w:color="00000A"/>
            </w:tcBorders>
            <w:shd w:fill="auto" w:val="clear"/>
            <w:tcMar>
              <w:left w:w="98" w:type="dxa"/>
            </w:tcMar>
            <w:vAlign w:val="center"/>
          </w:tcPr>
          <w:p>
            <w:pPr>
              <w:pStyle w:val="Normal"/>
              <w:spacing w:before="0" w:after="200"/>
              <w:jc w:val="right"/>
              <w:rPr/>
            </w:pPr>
            <w:r>
              <w:rPr>
                <w:rFonts w:cs="Arial" w:ascii="Arial" w:hAnsi="Arial"/>
                <w:sz w:val="20"/>
              </w:rPr>
              <w:t>No</w:t>
            </w:r>
          </w:p>
        </w:tc>
        <w:tc>
          <w:tcPr>
            <w:tcW w:w="359" w:type="dxa"/>
            <w:gridSpan w:val="2"/>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vAlign w:val="center"/>
          </w:tcPr>
          <w:p>
            <w:pPr>
              <w:pStyle w:val="Normal"/>
              <w:spacing w:before="0" w:after="200"/>
              <w:rPr>
                <w:rFonts w:ascii="Arial" w:hAnsi="Arial" w:cs="Arial"/>
                <w:sz w:val="20"/>
              </w:rPr>
            </w:pPr>
            <w:r>
              <w:rPr>
                <w:rFonts w:cs="Arial" w:ascii="Arial" w:hAnsi="Arial"/>
                <w:sz w:val="20"/>
              </w:rPr>
            </w:r>
          </w:p>
        </w:tc>
        <w:tc>
          <w:tcPr>
            <w:tcW w:w="236" w:type="dxa"/>
            <w:gridSpan w:val="2"/>
            <w:tcBorders>
              <w:top w:val="single" w:sz="4" w:space="0" w:color="C0C0C0"/>
              <w:left w:val="single" w:sz="12" w:space="0" w:color="00000A"/>
              <w:bottom w:val="single" w:sz="4" w:space="0" w:color="C0C0C0"/>
              <w:right w:val="single" w:sz="4" w:space="0" w:color="00000A"/>
              <w:insideH w:val="single" w:sz="4" w:space="0" w:color="C0C0C0"/>
              <w:insideV w:val="single" w:sz="4" w:space="0" w:color="00000A"/>
            </w:tcBorders>
            <w:shd w:fill="auto" w:val="clear"/>
            <w:tcMar>
              <w:left w:w="98" w:type="dxa"/>
            </w:tcMar>
            <w:vAlign w:val="center"/>
          </w:tcPr>
          <w:p>
            <w:pPr>
              <w:pStyle w:val="Normal"/>
              <w:spacing w:before="0" w:after="200"/>
              <w:rPr>
                <w:rFonts w:ascii="Arial" w:hAnsi="Arial" w:cs="Arial"/>
                <w:sz w:val="20"/>
              </w:rPr>
            </w:pPr>
            <w:r>
              <w:rPr>
                <w:rFonts w:cs="Arial" w:ascii="Arial" w:hAnsi="Arial"/>
                <w:sz w:val="20"/>
              </w:rPr>
            </w:r>
          </w:p>
        </w:tc>
      </w:tr>
      <w:tr>
        <w:trPr>
          <w:trHeight w:val="398" w:hRule="atLeast"/>
        </w:trPr>
        <w:tc>
          <w:tcPr>
            <w:tcW w:w="9651" w:type="dxa"/>
            <w:gridSpan w:val="6"/>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0" w:after="200"/>
              <w:rPr/>
            </w:pPr>
            <w:r>
              <w:rPr>
                <w:rFonts w:cs="Arial" w:ascii="Arial" w:hAnsi="Arial"/>
                <w:sz w:val="20"/>
              </w:rPr>
              <w:t>Name of medicine:</w:t>
            </w:r>
          </w:p>
        </w:tc>
        <w:tc>
          <w:tcPr>
            <w:tcW w:w="70" w:type="dxa"/>
            <w:gridSpan w:val="2"/>
            <w:tcBorders/>
            <w:shd w:fill="auto" w:val="clear"/>
          </w:tcPr>
          <w:p>
            <w:pPr>
              <w:pStyle w:val="Normal"/>
              <w:spacing w:before="0" w:after="200"/>
              <w:rPr/>
            </w:pPr>
            <w:r>
              <w:rPr/>
            </w:r>
          </w:p>
        </w:tc>
        <w:tc>
          <w:tcPr>
            <w:tcW w:w="235" w:type="dxa"/>
            <w:tcBorders/>
            <w:shd w:fill="auto" w:val="clear"/>
          </w:tcPr>
          <w:p>
            <w:pPr>
              <w:pStyle w:val="Normal"/>
              <w:spacing w:before="0" w:after="200"/>
              <w:rPr/>
            </w:pPr>
            <w:r>
              <w:rPr/>
            </w:r>
          </w:p>
        </w:tc>
      </w:tr>
      <w:tr>
        <w:trPr>
          <w:trHeight w:val="398" w:hRule="atLeast"/>
        </w:trPr>
        <w:tc>
          <w:tcPr>
            <w:tcW w:w="9651" w:type="dxa"/>
            <w:gridSpan w:val="6"/>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0" w:after="200"/>
              <w:rPr/>
            </w:pPr>
            <w:r>
              <w:rPr>
                <w:rFonts w:cs="Arial" w:ascii="Arial" w:hAnsi="Arial"/>
                <w:sz w:val="20"/>
              </w:rPr>
              <w:t>Method and dose of medicine:</w:t>
            </w:r>
          </w:p>
        </w:tc>
        <w:tc>
          <w:tcPr>
            <w:tcW w:w="70" w:type="dxa"/>
            <w:gridSpan w:val="2"/>
            <w:tcBorders/>
            <w:shd w:fill="auto" w:val="clear"/>
          </w:tcPr>
          <w:p>
            <w:pPr>
              <w:pStyle w:val="Normal"/>
              <w:spacing w:before="0" w:after="200"/>
              <w:rPr/>
            </w:pPr>
            <w:r>
              <w:rPr/>
            </w:r>
          </w:p>
        </w:tc>
        <w:tc>
          <w:tcPr>
            <w:tcW w:w="235" w:type="dxa"/>
            <w:tcBorders/>
            <w:shd w:fill="auto" w:val="clear"/>
          </w:tcPr>
          <w:p>
            <w:pPr>
              <w:pStyle w:val="Normal"/>
              <w:spacing w:before="0" w:after="200"/>
              <w:rPr/>
            </w:pPr>
            <w:r>
              <w:rPr/>
            </w:r>
          </w:p>
        </w:tc>
      </w:tr>
      <w:tr>
        <w:trPr>
          <w:trHeight w:val="398" w:hRule="atLeast"/>
        </w:trPr>
        <w:tc>
          <w:tcPr>
            <w:tcW w:w="9651" w:type="dxa"/>
            <w:gridSpan w:val="6"/>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0" w:after="200"/>
              <w:rPr/>
            </w:pPr>
            <w:r>
              <w:rPr>
                <w:rFonts w:cs="Arial" w:ascii="Arial" w:hAnsi="Arial"/>
                <w:sz w:val="20"/>
              </w:rPr>
              <w:t>When does the medicine need to be taken: (State time or specific symptoms)</w:t>
            </w:r>
          </w:p>
        </w:tc>
        <w:tc>
          <w:tcPr>
            <w:tcW w:w="70" w:type="dxa"/>
            <w:gridSpan w:val="2"/>
            <w:tcBorders/>
            <w:shd w:fill="auto" w:val="clear"/>
          </w:tcPr>
          <w:p>
            <w:pPr>
              <w:pStyle w:val="Normal"/>
              <w:spacing w:before="0" w:after="200"/>
              <w:rPr/>
            </w:pPr>
            <w:r>
              <w:rPr/>
            </w:r>
          </w:p>
        </w:tc>
        <w:tc>
          <w:tcPr>
            <w:tcW w:w="235" w:type="dxa"/>
            <w:tcBorders/>
            <w:shd w:fill="auto" w:val="clear"/>
          </w:tcPr>
          <w:p>
            <w:pPr>
              <w:pStyle w:val="Normal"/>
              <w:spacing w:before="0" w:after="200"/>
              <w:rPr/>
            </w:pPr>
            <w:r>
              <w:rPr/>
            </w:r>
          </w:p>
        </w:tc>
      </w:tr>
      <w:tr>
        <w:trPr>
          <w:trHeight w:val="398" w:hRule="atLeast"/>
        </w:trPr>
        <w:tc>
          <w:tcPr>
            <w:tcW w:w="9651" w:type="dxa"/>
            <w:gridSpan w:val="6"/>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spacing w:before="0" w:after="200"/>
              <w:rPr>
                <w:rFonts w:ascii="Arial" w:hAnsi="Arial" w:cs="Arial"/>
                <w:sz w:val="20"/>
              </w:rPr>
            </w:pPr>
            <w:r>
              <w:rPr>
                <w:rFonts w:cs="Arial" w:ascii="Arial" w:hAnsi="Arial"/>
                <w:sz w:val="20"/>
              </w:rPr>
            </w:r>
          </w:p>
        </w:tc>
        <w:tc>
          <w:tcPr>
            <w:tcW w:w="70" w:type="dxa"/>
            <w:gridSpan w:val="2"/>
            <w:tcBorders/>
            <w:shd w:fill="auto" w:val="clear"/>
          </w:tcPr>
          <w:p>
            <w:pPr>
              <w:pStyle w:val="Normal"/>
              <w:spacing w:before="0" w:after="200"/>
              <w:rPr/>
            </w:pPr>
            <w:r>
              <w:rPr/>
            </w:r>
          </w:p>
        </w:tc>
        <w:tc>
          <w:tcPr>
            <w:tcW w:w="235" w:type="dxa"/>
            <w:tcBorders/>
            <w:shd w:fill="auto" w:val="clear"/>
          </w:tcPr>
          <w:p>
            <w:pPr>
              <w:pStyle w:val="Normal"/>
              <w:spacing w:before="0" w:after="200"/>
              <w:rPr/>
            </w:pPr>
            <w:r>
              <w:rPr/>
            </w:r>
          </w:p>
        </w:tc>
      </w:tr>
      <w:tr>
        <w:trPr>
          <w:trHeight w:val="398" w:hRule="atLeast"/>
        </w:trPr>
        <w:tc>
          <w:tcPr>
            <w:tcW w:w="6119" w:type="dxa"/>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360" w:after="80"/>
              <w:rPr/>
            </w:pPr>
            <w:r>
              <w:rPr>
                <w:rFonts w:cs="Arial" w:ascii="Arial" w:hAnsi="Arial"/>
                <w:sz w:val="20"/>
                <w:szCs w:val="20"/>
              </w:rPr>
              <w:t xml:space="preserve">Parent/Guardian Signature: _____________________________ </w:t>
            </w:r>
          </w:p>
        </w:tc>
        <w:tc>
          <w:tcPr>
            <w:tcW w:w="3532" w:type="dxa"/>
            <w:gridSpan w:val="5"/>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360" w:after="80"/>
              <w:rPr/>
            </w:pPr>
            <w:r>
              <w:rPr>
                <w:rFonts w:cs="Arial" w:ascii="Arial" w:hAnsi="Arial"/>
                <w:sz w:val="20"/>
                <w:szCs w:val="20"/>
              </w:rPr>
              <w:t>Date:   ____ /____ / ____</w:t>
            </w:r>
          </w:p>
        </w:tc>
        <w:tc>
          <w:tcPr>
            <w:tcW w:w="70" w:type="dxa"/>
            <w:gridSpan w:val="2"/>
            <w:tcBorders/>
            <w:shd w:fill="auto" w:val="clear"/>
          </w:tcPr>
          <w:p>
            <w:pPr>
              <w:pStyle w:val="Normal"/>
              <w:spacing w:before="0" w:after="200"/>
              <w:rPr/>
            </w:pPr>
            <w:r>
              <w:rPr/>
            </w:r>
          </w:p>
        </w:tc>
        <w:tc>
          <w:tcPr>
            <w:tcW w:w="235" w:type="dxa"/>
            <w:tcBorders/>
            <w:shd w:fill="auto" w:val="clear"/>
          </w:tcPr>
          <w:p>
            <w:pPr>
              <w:pStyle w:val="Normal"/>
              <w:spacing w:before="0" w:after="200"/>
              <w:rPr/>
            </w:pPr>
            <w:r>
              <w:rPr/>
            </w:r>
          </w:p>
        </w:tc>
      </w:tr>
    </w:tbl>
    <w:p>
      <w:pPr>
        <w:pStyle w:val="Normal"/>
        <w:rPr/>
      </w:pPr>
      <w:r>
        <w:rPr/>
      </w:r>
    </w:p>
    <w:tbl>
      <w:tblPr>
        <w:tblW w:w="9792" w:type="dxa"/>
        <w:jc w:val="left"/>
        <w:tblInd w:w="-612" w:type="dxa"/>
        <w:tblBorders>
          <w:top w:val="single" w:sz="2" w:space="0" w:color="00000A"/>
          <w:left w:val="single" w:sz="2" w:space="0" w:color="00000A"/>
          <w:bottom w:val="single" w:sz="4" w:space="0" w:color="00000A"/>
          <w:right w:val="single" w:sz="2" w:space="0" w:color="00000A"/>
          <w:insideH w:val="single" w:sz="4" w:space="0" w:color="00000A"/>
          <w:insideV w:val="single" w:sz="2" w:space="0" w:color="00000A"/>
        </w:tblBorders>
        <w:tblCellMar>
          <w:top w:w="0" w:type="dxa"/>
          <w:left w:w="110" w:type="dxa"/>
          <w:bottom w:w="0" w:type="dxa"/>
          <w:right w:w="108" w:type="dxa"/>
        </w:tblCellMar>
        <w:tblLook w:firstRow="1" w:noVBand="0" w:lastRow="1" w:firstColumn="1" w:lastColumn="1" w:noHBand="0" w:val="01e0"/>
      </w:tblPr>
      <w:tblGrid>
        <w:gridCol w:w="2448"/>
        <w:gridCol w:w="972"/>
        <w:gridCol w:w="264"/>
        <w:gridCol w:w="1244"/>
        <w:gridCol w:w="1398"/>
        <w:gridCol w:w="513"/>
        <w:gridCol w:w="735"/>
        <w:gridCol w:w="1262"/>
        <w:gridCol w:w="955"/>
      </w:tblGrid>
      <w:tr>
        <w:trPr/>
        <w:tc>
          <w:tcPr>
            <w:tcW w:w="9791" w:type="dxa"/>
            <w:gridSpan w:val="9"/>
            <w:tcBorders>
              <w:top w:val="single" w:sz="2" w:space="0" w:color="00000A"/>
              <w:left w:val="single" w:sz="2" w:space="0" w:color="00000A"/>
              <w:bottom w:val="single" w:sz="4" w:space="0" w:color="00000A"/>
              <w:right w:val="single" w:sz="2" w:space="0" w:color="00000A"/>
              <w:insideH w:val="single" w:sz="4" w:space="0" w:color="00000A"/>
              <w:insideV w:val="single" w:sz="2" w:space="0" w:color="00000A"/>
            </w:tcBorders>
            <w:shd w:color="auto" w:fill="F3F3F3" w:val="clear"/>
            <w:tcMar>
              <w:left w:w="110" w:type="dxa"/>
            </w:tcMar>
          </w:tcPr>
          <w:p>
            <w:pPr>
              <w:pStyle w:val="Normal"/>
              <w:spacing w:before="60" w:after="60"/>
              <w:rPr/>
            </w:pPr>
            <w:r>
              <w:rPr>
                <w:rFonts w:eastAsia="Wingdings" w:cs="Wingdings" w:ascii="Wingdings" w:hAnsi="Wingdings"/>
                <w:b/>
              </w:rPr>
              <w:t></w:t>
            </w:r>
            <w:r>
              <w:rPr>
                <w:rFonts w:cs="Arial" w:ascii="Arial" w:hAnsi="Arial"/>
                <w:b/>
              </w:rPr>
              <w:t xml:space="preserve"> </w:t>
            </w:r>
            <w:r>
              <w:rPr>
                <w:rFonts w:cs="Arial" w:ascii="Arial" w:hAnsi="Arial"/>
                <w:b/>
              </w:rPr>
              <w:t>Enrolment Details:</w:t>
            </w:r>
          </w:p>
        </w:tc>
      </w:tr>
      <w:tr>
        <w:trPr/>
        <w:tc>
          <w:tcPr>
            <w:tcW w:w="3420" w:type="dxa"/>
            <w:gridSpan w:val="2"/>
            <w:tcBorders>
              <w:top w:val="single" w:sz="4" w:space="0" w:color="00000A"/>
              <w:left w:val="single" w:sz="2" w:space="0" w:color="00000A"/>
              <w:bottom w:val="single" w:sz="4" w:space="0" w:color="00000A"/>
              <w:insideH w:val="single" w:sz="4" w:space="0" w:color="00000A"/>
            </w:tcBorders>
            <w:shd w:fill="auto" w:val="clear"/>
            <w:tcMar>
              <w:left w:w="110" w:type="dxa"/>
            </w:tcMar>
          </w:tcPr>
          <w:p>
            <w:pPr>
              <w:pStyle w:val="Normal"/>
              <w:spacing w:before="360" w:after="120"/>
              <w:rPr/>
            </w:pPr>
            <w:r>
              <w:rPr>
                <w:rFonts w:cs="Arial" w:ascii="Arial" w:hAnsi="Arial"/>
                <w:sz w:val="20"/>
                <w:szCs w:val="20"/>
              </w:rPr>
              <w:t>Date of Enrolment:____ /____ / ___</w:t>
            </w:r>
          </w:p>
        </w:tc>
        <w:tc>
          <w:tcPr>
            <w:tcW w:w="3419" w:type="dxa"/>
            <w:gridSpan w:val="4"/>
            <w:tcBorders>
              <w:top w:val="single" w:sz="4" w:space="0" w:color="00000A"/>
              <w:bottom w:val="single" w:sz="4" w:space="0" w:color="00000A"/>
              <w:insideH w:val="single" w:sz="4" w:space="0" w:color="00000A"/>
            </w:tcBorders>
            <w:shd w:fill="auto" w:val="clear"/>
          </w:tcPr>
          <w:p>
            <w:pPr>
              <w:pStyle w:val="Normal"/>
              <w:spacing w:before="360" w:after="120"/>
              <w:rPr/>
            </w:pPr>
            <w:r>
              <w:rPr>
                <w:rFonts w:cs="Arial" w:ascii="Arial" w:hAnsi="Arial"/>
                <w:sz w:val="20"/>
                <w:szCs w:val="20"/>
              </w:rPr>
              <w:t>Date of Entry:    ____ /____ / ____</w:t>
            </w:r>
          </w:p>
        </w:tc>
        <w:tc>
          <w:tcPr>
            <w:tcW w:w="2952" w:type="dxa"/>
            <w:gridSpan w:val="3"/>
            <w:tcBorders>
              <w:top w:val="single" w:sz="4" w:space="0" w:color="00000A"/>
              <w:bottom w:val="single" w:sz="4" w:space="0" w:color="00000A"/>
              <w:right w:val="single" w:sz="2" w:space="0" w:color="00000A"/>
              <w:insideH w:val="single" w:sz="4" w:space="0" w:color="00000A"/>
              <w:insideV w:val="single" w:sz="2" w:space="0" w:color="00000A"/>
            </w:tcBorders>
            <w:shd w:fill="auto" w:val="clear"/>
            <w:vAlign w:val="bottom"/>
          </w:tcPr>
          <w:p>
            <w:pPr>
              <w:pStyle w:val="Normal"/>
              <w:spacing w:before="240" w:after="120"/>
              <w:rPr/>
            </w:pPr>
            <w:r>
              <w:rPr>
                <w:rFonts w:cs="Arial" w:ascii="Arial" w:hAnsi="Arial"/>
                <w:sz w:val="20"/>
                <w:szCs w:val="20"/>
              </w:rPr>
              <w:t>Date of Exit:    ____ /____ / ____</w:t>
            </w:r>
          </w:p>
        </w:tc>
      </w:tr>
      <w:tr>
        <w:trPr/>
        <w:tc>
          <w:tcPr>
            <w:tcW w:w="9791" w:type="dxa"/>
            <w:gridSpan w:val="9"/>
            <w:tcBorders>
              <w:top w:val="single" w:sz="4" w:space="0" w:color="00000A"/>
              <w:left w:val="single" w:sz="2" w:space="0" w:color="00000A"/>
              <w:bottom w:val="single" w:sz="4" w:space="0" w:color="00000A"/>
              <w:right w:val="single" w:sz="2" w:space="0" w:color="00000A"/>
              <w:insideH w:val="single" w:sz="4" w:space="0" w:color="00000A"/>
              <w:insideV w:val="single" w:sz="2" w:space="0" w:color="00000A"/>
            </w:tcBorders>
            <w:shd w:color="auto" w:fill="F3F3F3" w:val="clear"/>
            <w:tcMar>
              <w:left w:w="110" w:type="dxa"/>
            </w:tcMar>
          </w:tcPr>
          <w:p>
            <w:pPr>
              <w:pStyle w:val="Normal"/>
              <w:spacing w:before="120" w:after="120"/>
              <w:rPr/>
            </w:pPr>
            <w:r>
              <w:rPr>
                <w:rFonts w:cs="Arial" w:ascii="Arial" w:hAnsi="Arial"/>
                <w:b/>
                <w:sz w:val="20"/>
                <w:szCs w:val="20"/>
              </w:rPr>
              <w:t>Please Note:</w:t>
            </w:r>
            <w:r>
              <w:rPr>
                <w:rFonts w:cs="Arial" w:ascii="Arial" w:hAnsi="Arial"/>
                <w:sz w:val="20"/>
                <w:szCs w:val="20"/>
              </w:rPr>
              <w:t xml:space="preserve"> 20 Hours ECE is for up to </w:t>
            </w:r>
            <w:r>
              <w:rPr>
                <w:rFonts w:cs="Arial" w:ascii="Arial" w:hAnsi="Arial"/>
                <w:b/>
                <w:sz w:val="20"/>
                <w:szCs w:val="20"/>
              </w:rPr>
              <w:t>six hours per day</w:t>
            </w:r>
            <w:r>
              <w:rPr>
                <w:rFonts w:cs="Arial" w:ascii="Arial" w:hAnsi="Arial"/>
                <w:sz w:val="20"/>
                <w:szCs w:val="20"/>
              </w:rPr>
              <w:t xml:space="preserve">, up to </w:t>
            </w:r>
            <w:r>
              <w:rPr>
                <w:rFonts w:cs="Arial" w:ascii="Arial" w:hAnsi="Arial"/>
                <w:b/>
                <w:sz w:val="20"/>
                <w:szCs w:val="20"/>
              </w:rPr>
              <w:t>20 hours per week</w:t>
            </w:r>
            <w:r>
              <w:rPr>
                <w:rFonts w:cs="Arial" w:ascii="Arial" w:hAnsi="Arial"/>
                <w:sz w:val="20"/>
                <w:szCs w:val="20"/>
              </w:rPr>
              <w:t xml:space="preserve"> and there </w:t>
            </w:r>
            <w:r>
              <w:rPr>
                <w:rFonts w:cs="Arial" w:ascii="Arial" w:hAnsi="Arial"/>
                <w:b/>
                <w:sz w:val="20"/>
                <w:szCs w:val="20"/>
              </w:rPr>
              <w:t>must be no</w:t>
            </w:r>
            <w:r>
              <w:rPr>
                <w:rFonts w:cs="Arial" w:ascii="Arial" w:hAnsi="Arial"/>
                <w:sz w:val="20"/>
                <w:szCs w:val="20"/>
              </w:rPr>
              <w:t xml:space="preserve"> compulsory fees when a child is receiving 20 Hours ECE funding.</w:t>
            </w:r>
          </w:p>
        </w:tc>
      </w:tr>
      <w:tr>
        <w:trPr>
          <w:trHeight w:val="399" w:hRule="atLeast"/>
        </w:trPr>
        <w:tc>
          <w:tcPr>
            <w:tcW w:w="2448" w:type="dxa"/>
            <w:tcBorders>
              <w:left w:val="single" w:sz="2" w:space="0" w:color="00000A"/>
              <w:bottom w:val="single" w:sz="4" w:space="0" w:color="C0C0C0"/>
              <w:right w:val="single" w:sz="4" w:space="0" w:color="C0C0C0"/>
              <w:insideH w:val="single" w:sz="4" w:space="0" w:color="C0C0C0"/>
              <w:insideV w:val="single" w:sz="4" w:space="0" w:color="C0C0C0"/>
            </w:tcBorders>
            <w:shd w:fill="auto" w:val="clear"/>
            <w:tcMar>
              <w:left w:w="110" w:type="dxa"/>
            </w:tcMar>
          </w:tcPr>
          <w:p>
            <w:pPr>
              <w:pStyle w:val="Normal"/>
              <w:spacing w:before="80" w:after="80"/>
              <w:rPr/>
            </w:pPr>
            <w:r>
              <w:rPr>
                <w:rFonts w:cs="Arial" w:ascii="Arial" w:hAnsi="Arial"/>
                <w:sz w:val="20"/>
                <w:szCs w:val="20"/>
              </w:rPr>
              <w:t>Days Enrolled:</w:t>
            </w:r>
          </w:p>
        </w:tc>
        <w:tc>
          <w:tcPr>
            <w:tcW w:w="1236" w:type="dxa"/>
            <w:gridSpan w:val="2"/>
            <w:tcBorders>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20"/>
                <w:szCs w:val="20"/>
              </w:rPr>
              <w:t>Monday</w:t>
            </w:r>
          </w:p>
        </w:tc>
        <w:tc>
          <w:tcPr>
            <w:tcW w:w="1244" w:type="dxa"/>
            <w:tcBorders>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20"/>
                <w:szCs w:val="20"/>
              </w:rPr>
              <w:t>Tuesday</w:t>
            </w:r>
          </w:p>
        </w:tc>
        <w:tc>
          <w:tcPr>
            <w:tcW w:w="1398" w:type="dxa"/>
            <w:tcBorders>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20"/>
                <w:szCs w:val="20"/>
              </w:rPr>
              <w:t>Wednesday</w:t>
            </w:r>
          </w:p>
        </w:tc>
        <w:tc>
          <w:tcPr>
            <w:tcW w:w="1248" w:type="dxa"/>
            <w:gridSpan w:val="2"/>
            <w:tcBorders>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20"/>
                <w:szCs w:val="20"/>
              </w:rPr>
              <w:t>Thursday</w:t>
            </w:r>
          </w:p>
        </w:tc>
        <w:tc>
          <w:tcPr>
            <w:tcW w:w="1262" w:type="dxa"/>
            <w:tcBorders>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20"/>
                <w:szCs w:val="20"/>
              </w:rPr>
              <w:t>Friday</w:t>
            </w:r>
          </w:p>
        </w:tc>
        <w:tc>
          <w:tcPr>
            <w:tcW w:w="955" w:type="dxa"/>
            <w:tcBorders>
              <w:left w:val="single" w:sz="4" w:space="0" w:color="C0C0C0"/>
              <w:bottom w:val="single" w:sz="4" w:space="0" w:color="C0C0C0"/>
              <w:right w:val="single" w:sz="2" w:space="0" w:color="00000A"/>
              <w:insideH w:val="single" w:sz="4" w:space="0" w:color="C0C0C0"/>
              <w:insideV w:val="single" w:sz="2"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r>
      <w:tr>
        <w:trPr>
          <w:trHeight w:val="399" w:hRule="atLeast"/>
        </w:trPr>
        <w:tc>
          <w:tcPr>
            <w:tcW w:w="2448" w:type="dxa"/>
            <w:tcBorders>
              <w:top w:val="single" w:sz="4" w:space="0" w:color="C0C0C0"/>
              <w:left w:val="single" w:sz="2" w:space="0" w:color="00000A"/>
              <w:bottom w:val="single" w:sz="2" w:space="0" w:color="00000A"/>
              <w:right w:val="single" w:sz="4" w:space="0" w:color="C0C0C0"/>
              <w:insideH w:val="single" w:sz="2" w:space="0" w:color="00000A"/>
              <w:insideV w:val="single" w:sz="4" w:space="0" w:color="C0C0C0"/>
            </w:tcBorders>
            <w:shd w:fill="auto" w:val="clear"/>
            <w:tcMar>
              <w:left w:w="110" w:type="dxa"/>
            </w:tcMar>
          </w:tcPr>
          <w:p>
            <w:pPr>
              <w:pStyle w:val="Normal"/>
              <w:spacing w:before="80" w:after="80"/>
              <w:rPr/>
            </w:pPr>
            <w:r>
              <w:rPr>
                <w:rFonts w:cs="Arial" w:ascii="Arial" w:hAnsi="Arial"/>
                <w:sz w:val="20"/>
                <w:szCs w:val="20"/>
              </w:rPr>
              <w:t>Times Enrolled:</w:t>
            </w:r>
          </w:p>
        </w:tc>
        <w:tc>
          <w:tcPr>
            <w:tcW w:w="1236" w:type="dxa"/>
            <w:gridSpan w:val="2"/>
            <w:tcBorders>
              <w:top w:val="single" w:sz="4" w:space="0" w:color="C0C0C0"/>
              <w:left w:val="single" w:sz="4" w:space="0" w:color="C0C0C0"/>
              <w:bottom w:val="single" w:sz="2" w:space="0" w:color="00000A"/>
              <w:right w:val="single" w:sz="4" w:space="0" w:color="C0C0C0"/>
              <w:insideH w:val="single" w:sz="2"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44" w:type="dxa"/>
            <w:tcBorders>
              <w:top w:val="single" w:sz="4" w:space="0" w:color="C0C0C0"/>
              <w:left w:val="single" w:sz="4" w:space="0" w:color="C0C0C0"/>
              <w:bottom w:val="single" w:sz="2" w:space="0" w:color="00000A"/>
              <w:right w:val="single" w:sz="4" w:space="0" w:color="C0C0C0"/>
              <w:insideH w:val="single" w:sz="2"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398" w:type="dxa"/>
            <w:tcBorders>
              <w:top w:val="single" w:sz="4" w:space="0" w:color="C0C0C0"/>
              <w:left w:val="single" w:sz="4" w:space="0" w:color="C0C0C0"/>
              <w:bottom w:val="single" w:sz="2" w:space="0" w:color="00000A"/>
              <w:right w:val="single" w:sz="4" w:space="0" w:color="C0C0C0"/>
              <w:insideH w:val="single" w:sz="2"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48" w:type="dxa"/>
            <w:gridSpan w:val="2"/>
            <w:tcBorders>
              <w:top w:val="single" w:sz="4" w:space="0" w:color="C0C0C0"/>
              <w:left w:val="single" w:sz="4" w:space="0" w:color="C0C0C0"/>
              <w:bottom w:val="single" w:sz="2" w:space="0" w:color="00000A"/>
              <w:right w:val="single" w:sz="4" w:space="0" w:color="C0C0C0"/>
              <w:insideH w:val="single" w:sz="2"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2" w:type="dxa"/>
            <w:tcBorders>
              <w:top w:val="single" w:sz="4" w:space="0" w:color="C0C0C0"/>
              <w:left w:val="single" w:sz="4" w:space="0" w:color="C0C0C0"/>
              <w:bottom w:val="single" w:sz="2" w:space="0" w:color="00000A"/>
              <w:right w:val="single" w:sz="4" w:space="0" w:color="C0C0C0"/>
              <w:insideH w:val="single" w:sz="2"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955" w:type="dxa"/>
            <w:tcBorders>
              <w:top w:val="single" w:sz="4" w:space="0" w:color="C0C0C0"/>
              <w:left w:val="single" w:sz="4" w:space="0" w:color="C0C0C0"/>
              <w:bottom w:val="single" w:sz="2" w:space="0" w:color="00000A"/>
              <w:right w:val="single" w:sz="2" w:space="0" w:color="00000A"/>
              <w:insideH w:val="single" w:sz="2" w:space="0" w:color="00000A"/>
              <w:insideV w:val="single" w:sz="2" w:space="0" w:color="00000A"/>
            </w:tcBorders>
            <w:shd w:fill="auto" w:val="clear"/>
            <w:tcMar>
              <w:left w:w="108" w:type="dxa"/>
            </w:tcMar>
          </w:tcPr>
          <w:p>
            <w:pPr>
              <w:pStyle w:val="Normal"/>
              <w:spacing w:before="120" w:after="0"/>
              <w:rPr/>
            </w:pPr>
            <w:r>
              <w:rPr>
                <w:rFonts w:cs="Arial" w:ascii="Arial" w:hAnsi="Arial"/>
                <w:sz w:val="16"/>
                <w:szCs w:val="16"/>
                <w:lang w:val="en-AU" w:eastAsia="en-US"/>
              </w:rPr>
              <w:t>Total hours:</w:t>
            </w:r>
          </w:p>
        </w:tc>
      </w:tr>
      <w:tr>
        <w:trPr>
          <w:trHeight w:val="399" w:hRule="atLeast"/>
        </w:trPr>
        <w:tc>
          <w:tcPr>
            <w:tcW w:w="9791" w:type="dxa"/>
            <w:gridSpan w:val="9"/>
            <w:tcBorders>
              <w:top w:val="single" w:sz="2" w:space="0" w:color="00000A"/>
              <w:left w:val="single" w:sz="2" w:space="0" w:color="00000A"/>
              <w:bottom w:val="single" w:sz="2" w:space="0" w:color="00000A"/>
              <w:right w:val="single" w:sz="2" w:space="0" w:color="00000A"/>
              <w:insideH w:val="single" w:sz="2" w:space="0" w:color="00000A"/>
              <w:insideV w:val="single" w:sz="2" w:space="0" w:color="00000A"/>
            </w:tcBorders>
            <w:shd w:color="auto" w:fill="F3F3F3" w:val="clear"/>
            <w:tcMar>
              <w:left w:w="110" w:type="dxa"/>
            </w:tcMar>
          </w:tcPr>
          <w:p>
            <w:pPr>
              <w:pStyle w:val="Normal"/>
              <w:spacing w:before="80" w:after="80"/>
              <w:rPr/>
            </w:pPr>
            <w:r>
              <w:rPr>
                <w:rFonts w:cs="Arial" w:ascii="Arial" w:hAnsi="Arial"/>
                <w:b/>
                <w:sz w:val="20"/>
                <w:szCs w:val="20"/>
              </w:rPr>
              <w:t>For 20 Hours ECE fill out boxes below with the hours attested e.g. 6 hours</w:t>
            </w:r>
          </w:p>
        </w:tc>
      </w:tr>
      <w:tr>
        <w:trPr>
          <w:trHeight w:val="399" w:hRule="atLeast"/>
        </w:trPr>
        <w:tc>
          <w:tcPr>
            <w:tcW w:w="2448" w:type="dxa"/>
            <w:tcBorders>
              <w:top w:val="single" w:sz="2" w:space="0" w:color="00000A"/>
              <w:left w:val="single" w:sz="2" w:space="0" w:color="00000A"/>
              <w:right w:val="single" w:sz="4" w:space="0" w:color="C0C0C0"/>
              <w:insideV w:val="single" w:sz="4" w:space="0" w:color="C0C0C0"/>
            </w:tcBorders>
            <w:shd w:fill="auto" w:val="clear"/>
            <w:tcMar>
              <w:left w:w="110" w:type="dxa"/>
            </w:tcMar>
          </w:tcPr>
          <w:p>
            <w:pPr>
              <w:pStyle w:val="Normal"/>
              <w:spacing w:before="80" w:after="80"/>
              <w:rPr/>
            </w:pPr>
            <w:r>
              <w:rPr>
                <w:rFonts w:cs="Arial" w:ascii="Arial" w:hAnsi="Arial"/>
                <w:sz w:val="20"/>
                <w:szCs w:val="20"/>
              </w:rPr>
              <w:t>20 Hours ECE at this service</w:t>
            </w:r>
          </w:p>
        </w:tc>
        <w:tc>
          <w:tcPr>
            <w:tcW w:w="1236" w:type="dxa"/>
            <w:gridSpan w:val="2"/>
            <w:tcBorders>
              <w:top w:val="single" w:sz="2"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44" w:type="dxa"/>
            <w:tcBorders>
              <w:top w:val="single" w:sz="2"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398" w:type="dxa"/>
            <w:tcBorders>
              <w:top w:val="single" w:sz="2"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48" w:type="dxa"/>
            <w:gridSpan w:val="2"/>
            <w:tcBorders>
              <w:top w:val="single" w:sz="2"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2" w:type="dxa"/>
            <w:tcBorders>
              <w:top w:val="single" w:sz="2"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955" w:type="dxa"/>
            <w:tcBorders>
              <w:top w:val="single" w:sz="2" w:space="0" w:color="00000A"/>
              <w:left w:val="single" w:sz="4" w:space="0" w:color="C0C0C0"/>
              <w:bottom w:val="single" w:sz="4" w:space="0" w:color="C0C0C0"/>
              <w:right w:val="single" w:sz="2" w:space="0" w:color="00000A"/>
              <w:insideH w:val="single" w:sz="4" w:space="0" w:color="C0C0C0"/>
              <w:insideV w:val="single" w:sz="2" w:space="0" w:color="00000A"/>
            </w:tcBorders>
            <w:shd w:fill="auto" w:val="clear"/>
            <w:tcMar>
              <w:left w:w="108" w:type="dxa"/>
            </w:tcMar>
          </w:tcPr>
          <w:p>
            <w:pPr>
              <w:pStyle w:val="Normal"/>
              <w:spacing w:before="120" w:after="0"/>
              <w:rPr/>
            </w:pPr>
            <w:r>
              <w:rPr>
                <w:rFonts w:cs="Arial" w:ascii="Arial" w:hAnsi="Arial"/>
                <w:sz w:val="16"/>
                <w:szCs w:val="16"/>
                <w:lang w:val="en-AU" w:eastAsia="en-US"/>
              </w:rPr>
              <w:t>Total hours:</w:t>
            </w:r>
          </w:p>
        </w:tc>
      </w:tr>
      <w:tr>
        <w:trPr>
          <w:trHeight w:val="399" w:hRule="atLeast"/>
        </w:trPr>
        <w:tc>
          <w:tcPr>
            <w:tcW w:w="2448" w:type="dxa"/>
            <w:tcBorders>
              <w:left w:val="single" w:sz="2" w:space="0" w:color="00000A"/>
              <w:bottom w:val="single" w:sz="4" w:space="0" w:color="C0C0C0"/>
              <w:right w:val="single" w:sz="4" w:space="0" w:color="C0C0C0"/>
              <w:insideH w:val="single" w:sz="4" w:space="0" w:color="C0C0C0"/>
              <w:insideV w:val="single" w:sz="4" w:space="0" w:color="C0C0C0"/>
            </w:tcBorders>
            <w:shd w:fill="auto" w:val="clear"/>
            <w:tcMar>
              <w:left w:w="110" w:type="dxa"/>
            </w:tcMar>
          </w:tcPr>
          <w:p>
            <w:pPr>
              <w:pStyle w:val="Normal"/>
              <w:spacing w:before="80" w:after="80"/>
              <w:rPr/>
            </w:pPr>
            <w:r>
              <w:rPr>
                <w:rFonts w:cs="Arial" w:ascii="Arial" w:hAnsi="Arial"/>
                <w:sz w:val="20"/>
                <w:szCs w:val="20"/>
              </w:rPr>
              <w:t>20 Hours ECE at another service</w:t>
            </w:r>
          </w:p>
        </w:tc>
        <w:tc>
          <w:tcPr>
            <w:tcW w:w="1236" w:type="dxa"/>
            <w:gridSpan w:val="2"/>
            <w:tcBorders>
              <w:top w:val="single" w:sz="4" w:space="0" w:color="C0C0C0"/>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44" w:type="dxa"/>
            <w:tcBorders>
              <w:top w:val="single" w:sz="4" w:space="0" w:color="C0C0C0"/>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398" w:type="dxa"/>
            <w:tcBorders>
              <w:top w:val="single" w:sz="4" w:space="0" w:color="C0C0C0"/>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48" w:type="dxa"/>
            <w:gridSpan w:val="2"/>
            <w:tcBorders>
              <w:top w:val="single" w:sz="4" w:space="0" w:color="C0C0C0"/>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2" w:type="dxa"/>
            <w:tcBorders>
              <w:top w:val="single" w:sz="4" w:space="0" w:color="C0C0C0"/>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955" w:type="dxa"/>
            <w:tcBorders>
              <w:top w:val="single" w:sz="4" w:space="0" w:color="C0C0C0"/>
              <w:left w:val="single" w:sz="4" w:space="0" w:color="C0C0C0"/>
              <w:bottom w:val="single" w:sz="4" w:space="0" w:color="C0C0C0"/>
              <w:right w:val="single" w:sz="2" w:space="0" w:color="00000A"/>
              <w:insideH w:val="single" w:sz="4" w:space="0" w:color="C0C0C0"/>
              <w:insideV w:val="single" w:sz="2" w:space="0" w:color="00000A"/>
            </w:tcBorders>
            <w:shd w:fill="auto" w:val="clear"/>
            <w:tcMar>
              <w:left w:w="108" w:type="dxa"/>
            </w:tcMar>
          </w:tcPr>
          <w:p>
            <w:pPr>
              <w:pStyle w:val="Normal"/>
              <w:spacing w:before="120" w:after="0"/>
              <w:rPr/>
            </w:pPr>
            <w:r>
              <w:rPr>
                <w:rFonts w:cs="Arial" w:ascii="Arial" w:hAnsi="Arial"/>
                <w:sz w:val="16"/>
                <w:szCs w:val="16"/>
                <w:lang w:val="en-AU" w:eastAsia="en-US"/>
              </w:rPr>
              <w:t>Total hours:</w:t>
            </w:r>
          </w:p>
        </w:tc>
      </w:tr>
      <w:tr>
        <w:trPr/>
        <w:tc>
          <w:tcPr>
            <w:tcW w:w="6326" w:type="dxa"/>
            <w:gridSpan w:val="5"/>
            <w:tcBorders>
              <w:top w:val="single" w:sz="4" w:space="0" w:color="C0C0C0"/>
              <w:left w:val="single" w:sz="2" w:space="0" w:color="00000A"/>
              <w:bottom w:val="single" w:sz="2" w:space="0" w:color="00000A"/>
              <w:insideH w:val="single" w:sz="2" w:space="0" w:color="00000A"/>
            </w:tcBorders>
            <w:shd w:fill="auto" w:val="clear"/>
            <w:tcMar>
              <w:left w:w="110" w:type="dxa"/>
            </w:tcMar>
          </w:tcPr>
          <w:p>
            <w:pPr>
              <w:pStyle w:val="Normal"/>
              <w:spacing w:before="80" w:after="80"/>
              <w:rPr>
                <w:rFonts w:ascii="Arial" w:hAnsi="Arial" w:cs="Arial"/>
                <w:sz w:val="20"/>
                <w:szCs w:val="20"/>
              </w:rPr>
            </w:pPr>
            <w:r>
              <w:rPr>
                <w:rFonts w:cs="Arial" w:ascii="Arial" w:hAnsi="Arial"/>
                <w:sz w:val="20"/>
                <w:szCs w:val="20"/>
              </w:rPr>
            </w:r>
          </w:p>
          <w:p>
            <w:pPr>
              <w:pStyle w:val="Normal"/>
              <w:spacing w:before="80" w:after="80"/>
              <w:rPr/>
            </w:pPr>
            <w:r>
              <w:rPr>
                <w:rFonts w:cs="Arial" w:ascii="Arial" w:hAnsi="Arial"/>
                <w:sz w:val="20"/>
                <w:szCs w:val="20"/>
              </w:rPr>
              <w:t>Parent/Guardian Signature: ____________________________</w:t>
            </w:r>
          </w:p>
        </w:tc>
        <w:tc>
          <w:tcPr>
            <w:tcW w:w="3465" w:type="dxa"/>
            <w:gridSpan w:val="4"/>
            <w:tcBorders>
              <w:top w:val="single" w:sz="4" w:space="0" w:color="C0C0C0"/>
              <w:bottom w:val="single" w:sz="2" w:space="0" w:color="00000A"/>
              <w:right w:val="single" w:sz="2" w:space="0" w:color="00000A"/>
              <w:insideH w:val="single" w:sz="2" w:space="0" w:color="00000A"/>
              <w:insideV w:val="single" w:sz="2" w:space="0" w:color="00000A"/>
            </w:tcBorders>
            <w:shd w:fill="auto" w:val="clear"/>
          </w:tcPr>
          <w:p>
            <w:pPr>
              <w:pStyle w:val="Normal"/>
              <w:spacing w:before="80" w:after="80"/>
              <w:rPr>
                <w:rFonts w:ascii="Arial" w:hAnsi="Arial" w:cs="Arial"/>
                <w:sz w:val="20"/>
                <w:szCs w:val="20"/>
              </w:rPr>
            </w:pPr>
            <w:r>
              <w:rPr>
                <w:rFonts w:cs="Arial" w:ascii="Arial" w:hAnsi="Arial"/>
                <w:sz w:val="20"/>
                <w:szCs w:val="20"/>
              </w:rPr>
            </w:r>
          </w:p>
          <w:p>
            <w:pPr>
              <w:pStyle w:val="Normal"/>
              <w:spacing w:before="80" w:after="80"/>
              <w:rPr/>
            </w:pPr>
            <w:r>
              <w:rPr>
                <w:rFonts w:cs="Arial" w:ascii="Arial" w:hAnsi="Arial"/>
                <w:sz w:val="20"/>
                <w:szCs w:val="20"/>
              </w:rPr>
              <w:t>Date:   ____ /____ / ____</w:t>
            </w:r>
          </w:p>
        </w:tc>
      </w:tr>
    </w:tbl>
    <w:tbl>
      <w:tblPr>
        <w:tblW w:w="9792" w:type="dxa"/>
        <w:jc w:val="left"/>
        <w:tblInd w:w="-612" w:type="dxa"/>
        <w:tblBorders>
          <w:top w:val="single" w:sz="2" w:space="0" w:color="00000A"/>
          <w:left w:val="single" w:sz="2" w:space="0" w:color="00000A"/>
          <w:bottom w:val="single" w:sz="2" w:space="0" w:color="00000A"/>
          <w:right w:val="single" w:sz="2" w:space="0" w:color="00000A"/>
          <w:insideH w:val="single" w:sz="2" w:space="0" w:color="00000A"/>
          <w:insideV w:val="single" w:sz="2" w:space="0" w:color="00000A"/>
        </w:tblBorders>
        <w:tblCellMar>
          <w:top w:w="0" w:type="dxa"/>
          <w:left w:w="105" w:type="dxa"/>
          <w:bottom w:w="0" w:type="dxa"/>
          <w:right w:w="108" w:type="dxa"/>
        </w:tblCellMar>
        <w:tblLook w:firstRow="1" w:noVBand="0" w:lastRow="1" w:firstColumn="1" w:lastColumn="1" w:noHBand="0" w:val="01e0"/>
      </w:tblPr>
      <w:tblGrid>
        <w:gridCol w:w="6120"/>
        <w:gridCol w:w="1624"/>
        <w:gridCol w:w="561"/>
        <w:gridCol w:w="354"/>
        <w:gridCol w:w="535"/>
        <w:gridCol w:w="354"/>
        <w:gridCol w:w="243"/>
      </w:tblGrid>
      <w:tr>
        <w:trPr/>
        <w:tc>
          <w:tcPr>
            <w:tcW w:w="9791" w:type="dxa"/>
            <w:gridSpan w:val="7"/>
            <w:tcBorders>
              <w:top w:val="single" w:sz="2" w:space="0" w:color="00000A"/>
              <w:left w:val="single" w:sz="2" w:space="0" w:color="00000A"/>
              <w:bottom w:val="single" w:sz="2" w:space="0" w:color="00000A"/>
              <w:right w:val="single" w:sz="2" w:space="0" w:color="00000A"/>
              <w:insideH w:val="single" w:sz="2" w:space="0" w:color="00000A"/>
              <w:insideV w:val="single" w:sz="2" w:space="0" w:color="00000A"/>
            </w:tcBorders>
            <w:shd w:color="auto" w:fill="F3F3F3" w:val="clear"/>
            <w:tcMar>
              <w:left w:w="105" w:type="dxa"/>
            </w:tcMar>
          </w:tcPr>
          <w:p>
            <w:pPr>
              <w:pStyle w:val="Normal"/>
              <w:spacing w:before="80" w:after="80"/>
              <w:rPr/>
            </w:pPr>
            <w:r>
              <w:rPr>
                <w:rFonts w:eastAsia="Wingdings" w:cs="Wingdings" w:ascii="Wingdings" w:hAnsi="Wingdings"/>
                <w:b/>
              </w:rPr>
              <w:t></w:t>
            </w:r>
            <w:r>
              <w:rPr>
                <w:rFonts w:cs="Arial" w:ascii="Arial" w:hAnsi="Arial"/>
                <w:b/>
              </w:rPr>
              <w:t xml:space="preserve"> </w:t>
            </w:r>
            <w:r>
              <w:rPr>
                <w:rFonts w:cs="Arial" w:ascii="Arial" w:hAnsi="Arial"/>
                <w:b/>
              </w:rPr>
              <w:t>20 Hours ECE Attestation:</w:t>
            </w:r>
          </w:p>
        </w:tc>
      </w:tr>
      <w:tr>
        <w:trPr/>
        <w:tc>
          <w:tcPr>
            <w:tcW w:w="9791" w:type="dxa"/>
            <w:gridSpan w:val="7"/>
            <w:tcBorders>
              <w:top w:val="single" w:sz="2" w:space="0" w:color="00000A"/>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vAlign w:val="center"/>
          </w:tcPr>
          <w:p>
            <w:pPr>
              <w:pStyle w:val="Normal"/>
              <w:numPr>
                <w:ilvl w:val="0"/>
                <w:numId w:val="3"/>
              </w:numPr>
              <w:spacing w:before="120" w:after="120"/>
              <w:rPr/>
            </w:pPr>
            <w:r>
              <w:rPr>
                <w:rFonts w:cs="Arial" w:ascii="Arial" w:hAnsi="Arial"/>
                <w:sz w:val="20"/>
                <w:szCs w:val="20"/>
              </w:rPr>
              <w:t>Is your child receiving 20 Hours ECE for up to six hours per day, 20 hours per week at this service?</w:t>
            </w:r>
          </w:p>
        </w:tc>
      </w:tr>
      <w:tr>
        <w:trPr/>
        <w:tc>
          <w:tcPr>
            <w:tcW w:w="7744" w:type="dxa"/>
            <w:gridSpan w:val="2"/>
            <w:tcBorders>
              <w:top w:val="single" w:sz="2" w:space="0" w:color="C0C0C0"/>
              <w:left w:val="single" w:sz="2" w:space="0" w:color="00000A"/>
              <w:bottom w:val="single" w:sz="2" w:space="0" w:color="C0C0C0"/>
              <w:insideH w:val="single" w:sz="2" w:space="0" w:color="C0C0C0"/>
            </w:tcBorders>
            <w:shd w:fill="auto" w:val="clear"/>
            <w:tcMar>
              <w:left w:w="105" w:type="dxa"/>
            </w:tcMar>
            <w:vAlign w:val="center"/>
          </w:tcPr>
          <w:p>
            <w:pPr>
              <w:pStyle w:val="Normal"/>
              <w:spacing w:before="0" w:after="200"/>
              <w:jc w:val="right"/>
              <w:rPr/>
            </w:pPr>
            <w:r>
              <w:rPr>
                <w:rFonts w:cs="Arial" w:ascii="Arial" w:hAnsi="Arial"/>
                <w:i/>
                <w:sz w:val="16"/>
                <w:szCs w:val="16"/>
              </w:rPr>
              <w:t>Tick One</w:t>
            </w:r>
          </w:p>
        </w:tc>
        <w:tc>
          <w:tcPr>
            <w:tcW w:w="561" w:type="dxa"/>
            <w:tcBorders>
              <w:top w:val="single" w:sz="2" w:space="0" w:color="C0C0C0"/>
              <w:bottom w:val="single" w:sz="2" w:space="0" w:color="C0C0C0"/>
              <w:right w:val="single" w:sz="12" w:space="0" w:color="00000A"/>
              <w:insideH w:val="single" w:sz="2" w:space="0" w:color="C0C0C0"/>
              <w:insideV w:val="single" w:sz="12" w:space="0" w:color="00000A"/>
            </w:tcBorders>
            <w:shd w:fill="auto" w:val="clear"/>
            <w:vAlign w:val="center"/>
          </w:tcPr>
          <w:p>
            <w:pPr>
              <w:pStyle w:val="Normal"/>
              <w:spacing w:before="0" w:after="200"/>
              <w:jc w:val="right"/>
              <w:rPr/>
            </w:pPr>
            <w:r>
              <w:rPr>
                <w:rFonts w:cs="Arial" w:ascii="Arial" w:hAnsi="Arial"/>
                <w:sz w:val="20"/>
                <w:szCs w:val="20"/>
              </w:rPr>
              <w:t>Yes</w:t>
            </w:r>
          </w:p>
        </w:tc>
        <w:tc>
          <w:tcPr>
            <w:tcW w:w="354"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3" w:type="dxa"/>
            </w:tcMar>
            <w:vAlign w:val="center"/>
          </w:tcPr>
          <w:p>
            <w:pPr>
              <w:pStyle w:val="Normal"/>
              <w:spacing w:before="0" w:after="200"/>
              <w:rPr>
                <w:rFonts w:ascii="Arial" w:hAnsi="Arial" w:cs="Arial"/>
                <w:sz w:val="20"/>
                <w:szCs w:val="20"/>
              </w:rPr>
            </w:pPr>
            <w:r>
              <w:rPr>
                <w:rFonts w:cs="Arial" w:ascii="Arial" w:hAnsi="Arial"/>
                <w:sz w:val="20"/>
                <w:szCs w:val="20"/>
              </w:rPr>
            </w:r>
          </w:p>
        </w:tc>
        <w:tc>
          <w:tcPr>
            <w:tcW w:w="535" w:type="dxa"/>
            <w:tcBorders>
              <w:top w:val="single" w:sz="2" w:space="0" w:color="C0C0C0"/>
              <w:left w:val="single" w:sz="12" w:space="0" w:color="00000A"/>
              <w:bottom w:val="single" w:sz="2" w:space="0" w:color="C0C0C0"/>
              <w:right w:val="single" w:sz="12" w:space="0" w:color="00000A"/>
              <w:insideH w:val="single" w:sz="2" w:space="0" w:color="C0C0C0"/>
              <w:insideV w:val="single" w:sz="12" w:space="0" w:color="00000A"/>
            </w:tcBorders>
            <w:shd w:fill="auto" w:val="clear"/>
            <w:tcMar>
              <w:left w:w="93" w:type="dxa"/>
            </w:tcMar>
            <w:vAlign w:val="center"/>
          </w:tcPr>
          <w:p>
            <w:pPr>
              <w:pStyle w:val="Normal"/>
              <w:spacing w:before="0" w:after="200"/>
              <w:jc w:val="right"/>
              <w:rPr/>
            </w:pPr>
            <w:r>
              <w:rPr>
                <w:rFonts w:cs="Arial" w:ascii="Arial" w:hAnsi="Arial"/>
                <w:sz w:val="20"/>
                <w:szCs w:val="20"/>
              </w:rPr>
              <w:t>No</w:t>
            </w:r>
          </w:p>
        </w:tc>
        <w:tc>
          <w:tcPr>
            <w:tcW w:w="354"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3" w:type="dxa"/>
            </w:tcMar>
            <w:vAlign w:val="center"/>
          </w:tcPr>
          <w:p>
            <w:pPr>
              <w:pStyle w:val="Normal"/>
              <w:spacing w:before="0" w:after="200"/>
              <w:rPr>
                <w:rFonts w:ascii="Arial" w:hAnsi="Arial" w:cs="Arial"/>
                <w:sz w:val="20"/>
                <w:szCs w:val="20"/>
              </w:rPr>
            </w:pPr>
            <w:r>
              <w:rPr>
                <w:rFonts w:cs="Arial" w:ascii="Arial" w:hAnsi="Arial"/>
                <w:sz w:val="20"/>
                <w:szCs w:val="20"/>
              </w:rPr>
            </w:r>
          </w:p>
        </w:tc>
        <w:tc>
          <w:tcPr>
            <w:tcW w:w="243" w:type="dxa"/>
            <w:tcBorders>
              <w:top w:val="single" w:sz="2" w:space="0" w:color="C0C0C0"/>
              <w:left w:val="single" w:sz="12" w:space="0" w:color="00000A"/>
              <w:bottom w:val="single" w:sz="2" w:space="0" w:color="C0C0C0"/>
              <w:right w:val="single" w:sz="2" w:space="0" w:color="00000A"/>
              <w:insideH w:val="single" w:sz="2" w:space="0" w:color="C0C0C0"/>
              <w:insideV w:val="single" w:sz="2" w:space="0" w:color="00000A"/>
            </w:tcBorders>
            <w:shd w:fill="auto" w:val="clear"/>
            <w:tcMar>
              <w:left w:w="93" w:type="dxa"/>
            </w:tcMar>
            <w:vAlign w:val="center"/>
          </w:tcPr>
          <w:p>
            <w:pPr>
              <w:pStyle w:val="Normal"/>
              <w:rPr>
                <w:rFonts w:ascii="Arial" w:hAnsi="Arial" w:cs="Arial"/>
                <w:sz w:val="20"/>
                <w:szCs w:val="20"/>
              </w:rPr>
            </w:pPr>
            <w:r>
              <w:rPr>
                <w:rFonts w:cs="Arial" w:ascii="Arial" w:hAnsi="Arial"/>
                <w:sz w:val="20"/>
                <w:szCs w:val="20"/>
              </w:rPr>
            </w:r>
          </w:p>
          <w:p>
            <w:pPr>
              <w:pStyle w:val="Normal"/>
              <w:spacing w:before="0" w:after="200"/>
              <w:rPr>
                <w:rFonts w:ascii="Arial" w:hAnsi="Arial" w:cs="Arial"/>
                <w:sz w:val="20"/>
                <w:szCs w:val="20"/>
              </w:rPr>
            </w:pPr>
            <w:r>
              <w:rPr>
                <w:rFonts w:cs="Arial" w:ascii="Arial" w:hAnsi="Arial"/>
                <w:sz w:val="20"/>
                <w:szCs w:val="20"/>
              </w:rPr>
            </w:r>
          </w:p>
        </w:tc>
      </w:tr>
      <w:tr>
        <w:trPr/>
        <w:tc>
          <w:tcPr>
            <w:tcW w:w="9791" w:type="dxa"/>
            <w:gridSpan w:val="7"/>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vAlign w:val="center"/>
          </w:tcPr>
          <w:p>
            <w:pPr>
              <w:pStyle w:val="Normal"/>
              <w:spacing w:before="0" w:after="200"/>
              <w:rPr>
                <w:rFonts w:ascii="Arial" w:hAnsi="Arial" w:cs="Arial"/>
                <w:sz w:val="20"/>
                <w:szCs w:val="20"/>
              </w:rPr>
            </w:pPr>
            <w:r>
              <w:rPr>
                <w:rFonts w:cs="Arial" w:ascii="Arial" w:hAnsi="Arial"/>
                <w:sz w:val="20"/>
                <w:szCs w:val="20"/>
              </w:rPr>
            </w:r>
          </w:p>
        </w:tc>
      </w:tr>
      <w:tr>
        <w:trPr/>
        <w:tc>
          <w:tcPr>
            <w:tcW w:w="7744" w:type="dxa"/>
            <w:gridSpan w:val="2"/>
            <w:tcBorders>
              <w:top w:val="single" w:sz="2" w:space="0" w:color="C0C0C0"/>
              <w:left w:val="single" w:sz="2" w:space="0" w:color="00000A"/>
              <w:bottom w:val="single" w:sz="2" w:space="0" w:color="C0C0C0"/>
              <w:insideH w:val="single" w:sz="2" w:space="0" w:color="C0C0C0"/>
            </w:tcBorders>
            <w:shd w:fill="auto" w:val="clear"/>
            <w:tcMar>
              <w:left w:w="105" w:type="dxa"/>
            </w:tcMar>
            <w:vAlign w:val="center"/>
          </w:tcPr>
          <w:p>
            <w:pPr>
              <w:pStyle w:val="Normal"/>
              <w:numPr>
                <w:ilvl w:val="0"/>
                <w:numId w:val="3"/>
              </w:numPr>
              <w:spacing w:before="0" w:after="200"/>
              <w:ind w:left="357" w:hanging="357"/>
              <w:rPr/>
            </w:pPr>
            <w:r>
              <w:rPr>
                <w:rFonts w:cs="Arial" w:ascii="Arial" w:hAnsi="Arial"/>
                <w:sz w:val="20"/>
                <w:szCs w:val="20"/>
              </w:rPr>
              <w:t xml:space="preserve">Is your child receiving 20 Hours ECE at any other services? </w:t>
              <w:tab/>
              <w:t xml:space="preserve">                    </w:t>
            </w:r>
            <w:r>
              <w:rPr>
                <w:rFonts w:cs="Arial" w:ascii="Arial" w:hAnsi="Arial"/>
                <w:i/>
                <w:sz w:val="16"/>
                <w:szCs w:val="16"/>
              </w:rPr>
              <w:t>Tick One</w:t>
            </w:r>
          </w:p>
        </w:tc>
        <w:tc>
          <w:tcPr>
            <w:tcW w:w="561" w:type="dxa"/>
            <w:tcBorders>
              <w:top w:val="single" w:sz="2" w:space="0" w:color="C0C0C0"/>
              <w:bottom w:val="single" w:sz="2" w:space="0" w:color="C0C0C0"/>
              <w:right w:val="single" w:sz="12" w:space="0" w:color="00000A"/>
              <w:insideH w:val="single" w:sz="2" w:space="0" w:color="C0C0C0"/>
              <w:insideV w:val="single" w:sz="12" w:space="0" w:color="00000A"/>
            </w:tcBorders>
            <w:shd w:fill="auto" w:val="clear"/>
            <w:vAlign w:val="center"/>
          </w:tcPr>
          <w:p>
            <w:pPr>
              <w:pStyle w:val="Normal"/>
              <w:spacing w:before="0" w:after="200"/>
              <w:jc w:val="right"/>
              <w:rPr/>
            </w:pPr>
            <w:r>
              <w:rPr>
                <w:rFonts w:cs="Arial" w:ascii="Arial" w:hAnsi="Arial"/>
                <w:sz w:val="20"/>
                <w:szCs w:val="20"/>
              </w:rPr>
              <w:t>Yes</w:t>
            </w:r>
          </w:p>
        </w:tc>
        <w:tc>
          <w:tcPr>
            <w:tcW w:w="354"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3" w:type="dxa"/>
            </w:tcMar>
            <w:vAlign w:val="center"/>
          </w:tcPr>
          <w:p>
            <w:pPr>
              <w:pStyle w:val="Normal"/>
              <w:spacing w:before="0" w:after="200"/>
              <w:rPr>
                <w:rFonts w:ascii="Arial" w:hAnsi="Arial" w:cs="Arial"/>
                <w:sz w:val="20"/>
                <w:szCs w:val="20"/>
              </w:rPr>
            </w:pPr>
            <w:r>
              <w:rPr>
                <w:rFonts w:cs="Arial" w:ascii="Arial" w:hAnsi="Arial"/>
                <w:sz w:val="20"/>
                <w:szCs w:val="20"/>
              </w:rPr>
            </w:r>
          </w:p>
        </w:tc>
        <w:tc>
          <w:tcPr>
            <w:tcW w:w="535" w:type="dxa"/>
            <w:tcBorders>
              <w:top w:val="single" w:sz="2" w:space="0" w:color="C0C0C0"/>
              <w:left w:val="single" w:sz="12" w:space="0" w:color="00000A"/>
              <w:bottom w:val="single" w:sz="2" w:space="0" w:color="C0C0C0"/>
              <w:right w:val="single" w:sz="12" w:space="0" w:color="00000A"/>
              <w:insideH w:val="single" w:sz="2" w:space="0" w:color="C0C0C0"/>
              <w:insideV w:val="single" w:sz="12" w:space="0" w:color="00000A"/>
            </w:tcBorders>
            <w:shd w:fill="auto" w:val="clear"/>
            <w:tcMar>
              <w:left w:w="93" w:type="dxa"/>
            </w:tcMar>
            <w:vAlign w:val="center"/>
          </w:tcPr>
          <w:p>
            <w:pPr>
              <w:pStyle w:val="Normal"/>
              <w:spacing w:before="0" w:after="200"/>
              <w:jc w:val="right"/>
              <w:rPr/>
            </w:pPr>
            <w:r>
              <w:rPr>
                <w:rFonts w:cs="Arial" w:ascii="Arial" w:hAnsi="Arial"/>
                <w:sz w:val="20"/>
                <w:szCs w:val="20"/>
              </w:rPr>
              <w:t>No</w:t>
            </w:r>
          </w:p>
        </w:tc>
        <w:tc>
          <w:tcPr>
            <w:tcW w:w="354"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3" w:type="dxa"/>
            </w:tcMar>
            <w:vAlign w:val="center"/>
          </w:tcPr>
          <w:p>
            <w:pPr>
              <w:pStyle w:val="Normal"/>
              <w:spacing w:before="0" w:after="200"/>
              <w:rPr>
                <w:rFonts w:ascii="Arial" w:hAnsi="Arial" w:cs="Arial"/>
                <w:sz w:val="20"/>
                <w:szCs w:val="20"/>
              </w:rPr>
            </w:pPr>
            <w:r>
              <w:rPr>
                <w:rFonts w:cs="Arial" w:ascii="Arial" w:hAnsi="Arial"/>
                <w:sz w:val="20"/>
                <w:szCs w:val="20"/>
              </w:rPr>
            </w:r>
          </w:p>
        </w:tc>
        <w:tc>
          <w:tcPr>
            <w:tcW w:w="243" w:type="dxa"/>
            <w:tcBorders>
              <w:top w:val="single" w:sz="2" w:space="0" w:color="C0C0C0"/>
              <w:left w:val="single" w:sz="12" w:space="0" w:color="00000A"/>
              <w:bottom w:val="single" w:sz="2" w:space="0" w:color="C0C0C0"/>
              <w:right w:val="single" w:sz="2" w:space="0" w:color="00000A"/>
              <w:insideH w:val="single" w:sz="2" w:space="0" w:color="C0C0C0"/>
              <w:insideV w:val="single" w:sz="2" w:space="0" w:color="00000A"/>
            </w:tcBorders>
            <w:shd w:fill="auto" w:val="clear"/>
            <w:tcMar>
              <w:left w:w="93" w:type="dxa"/>
            </w:tcMar>
            <w:vAlign w:val="center"/>
          </w:tcPr>
          <w:p>
            <w:pPr>
              <w:pStyle w:val="Normal"/>
              <w:rPr>
                <w:rFonts w:ascii="Arial" w:hAnsi="Arial" w:cs="Arial"/>
                <w:sz w:val="20"/>
                <w:szCs w:val="20"/>
              </w:rPr>
            </w:pPr>
            <w:r>
              <w:rPr>
                <w:rFonts w:cs="Arial" w:ascii="Arial" w:hAnsi="Arial"/>
                <w:sz w:val="20"/>
                <w:szCs w:val="20"/>
              </w:rPr>
            </w:r>
          </w:p>
          <w:p>
            <w:pPr>
              <w:pStyle w:val="Normal"/>
              <w:spacing w:before="0" w:after="200"/>
              <w:rPr>
                <w:rFonts w:ascii="Arial" w:hAnsi="Arial" w:cs="Arial"/>
                <w:sz w:val="20"/>
                <w:szCs w:val="20"/>
              </w:rPr>
            </w:pPr>
            <w:r>
              <w:rPr>
                <w:rFonts w:cs="Arial" w:ascii="Arial" w:hAnsi="Arial"/>
                <w:sz w:val="20"/>
                <w:szCs w:val="20"/>
              </w:rPr>
            </w:r>
          </w:p>
        </w:tc>
      </w:tr>
      <w:tr>
        <w:trPr/>
        <w:tc>
          <w:tcPr>
            <w:tcW w:w="9791" w:type="dxa"/>
            <w:gridSpan w:val="7"/>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tcPr>
          <w:p>
            <w:pPr>
              <w:pStyle w:val="Normal"/>
              <w:spacing w:before="240" w:after="120"/>
              <w:rPr/>
            </w:pPr>
            <w:r>
              <w:rPr>
                <w:rFonts w:cs="Arial" w:ascii="Arial" w:hAnsi="Arial"/>
                <w:sz w:val="20"/>
                <w:szCs w:val="20"/>
              </w:rPr>
              <w:t>If yes to either or both of the above, please sign to confirm that:</w:t>
            </w:r>
          </w:p>
        </w:tc>
      </w:tr>
      <w:tr>
        <w:trPr/>
        <w:tc>
          <w:tcPr>
            <w:tcW w:w="9791" w:type="dxa"/>
            <w:gridSpan w:val="7"/>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tcPr>
          <w:p>
            <w:pPr>
              <w:pStyle w:val="Normal"/>
              <w:numPr>
                <w:ilvl w:val="0"/>
                <w:numId w:val="2"/>
              </w:numPr>
              <w:spacing w:before="120" w:after="120"/>
              <w:ind w:left="714" w:hanging="357"/>
              <w:rPr/>
            </w:pPr>
            <w:r>
              <w:rPr>
                <w:rFonts w:cs="Arial" w:ascii="Arial" w:hAnsi="Arial"/>
                <w:sz w:val="20"/>
                <w:szCs w:val="20"/>
              </w:rPr>
              <w:t>Your child does not receive more than 20 hours of 20 Hours ECE per week across all services.</w:t>
            </w:r>
          </w:p>
        </w:tc>
      </w:tr>
      <w:tr>
        <w:trPr/>
        <w:tc>
          <w:tcPr>
            <w:tcW w:w="9791" w:type="dxa"/>
            <w:gridSpan w:val="7"/>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tcPr>
          <w:p>
            <w:pPr>
              <w:pStyle w:val="Normal"/>
              <w:numPr>
                <w:ilvl w:val="0"/>
                <w:numId w:val="2"/>
              </w:numPr>
              <w:spacing w:before="120" w:after="120"/>
              <w:ind w:left="714" w:hanging="357"/>
              <w:rPr/>
            </w:pPr>
            <w:r>
              <w:rPr>
                <w:rFonts w:cs="Arial" w:ascii="Arial" w:hAnsi="Arial"/>
                <w:sz w:val="20"/>
                <w:szCs w:val="20"/>
              </w:rPr>
              <w:t>Your authorise the Ministry of Education to make enquiries regarding the information provided in the  Enrolment Agreement Form, if deemed necessary and to the extent necessary to make decisions about your child’s eligibility for 20 Hours ECE</w:t>
            </w:r>
            <w:r>
              <w:rPr>
                <w:rFonts w:cs="Arial" w:ascii="Arial" w:hAnsi="Arial"/>
                <w:i/>
                <w:sz w:val="20"/>
                <w:szCs w:val="20"/>
              </w:rPr>
              <w:t>.</w:t>
            </w:r>
          </w:p>
        </w:tc>
      </w:tr>
      <w:tr>
        <w:trPr/>
        <w:tc>
          <w:tcPr>
            <w:tcW w:w="9791" w:type="dxa"/>
            <w:gridSpan w:val="7"/>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tcPr>
          <w:p>
            <w:pPr>
              <w:pStyle w:val="Normal"/>
              <w:numPr>
                <w:ilvl w:val="0"/>
                <w:numId w:val="2"/>
              </w:numPr>
              <w:spacing w:before="120" w:after="120"/>
              <w:ind w:left="714" w:hanging="357"/>
              <w:rPr/>
            </w:pPr>
            <w:r>
              <w:rPr>
                <w:rFonts w:cs="Arial" w:ascii="Arial" w:hAnsi="Arial"/>
                <w:sz w:val="20"/>
                <w:szCs w:val="20"/>
              </w:rPr>
              <w:t xml:space="preserve">You consent to the early childhood education service providing relevant information to the Ministry of Education, and to other early childhood education services your child is enrolled at, about the information contained in this box. </w:t>
            </w:r>
          </w:p>
        </w:tc>
      </w:tr>
      <w:tr>
        <w:trPr>
          <w:trHeight w:val="924" w:hRule="atLeast"/>
        </w:trPr>
        <w:tc>
          <w:tcPr>
            <w:tcW w:w="6120" w:type="dxa"/>
            <w:tcBorders>
              <w:top w:val="single" w:sz="2" w:space="0" w:color="C0C0C0"/>
              <w:left w:val="single" w:sz="2" w:space="0" w:color="00000A"/>
              <w:bottom w:val="single" w:sz="2" w:space="0" w:color="00000A"/>
              <w:insideH w:val="single" w:sz="2" w:space="0" w:color="00000A"/>
            </w:tcBorders>
            <w:shd w:fill="auto" w:val="clear"/>
            <w:tcMar>
              <w:left w:w="105" w:type="dxa"/>
            </w:tcMar>
          </w:tcPr>
          <w:p>
            <w:pPr>
              <w:pStyle w:val="Normal"/>
              <w:spacing w:before="360" w:after="240"/>
              <w:rPr/>
            </w:pPr>
            <w:r>
              <w:rPr>
                <w:rFonts w:cs="Arial" w:ascii="Arial" w:hAnsi="Arial"/>
                <w:sz w:val="20"/>
                <w:szCs w:val="20"/>
              </w:rPr>
              <w:t xml:space="preserve">Parent/Guardian Signature: _____________________________ </w:t>
            </w:r>
          </w:p>
        </w:tc>
        <w:tc>
          <w:tcPr>
            <w:tcW w:w="3671" w:type="dxa"/>
            <w:gridSpan w:val="6"/>
            <w:tcBorders>
              <w:top w:val="single" w:sz="2" w:space="0" w:color="C0C0C0"/>
              <w:bottom w:val="single" w:sz="2" w:space="0" w:color="00000A"/>
              <w:right w:val="single" w:sz="2" w:space="0" w:color="00000A"/>
              <w:insideH w:val="single" w:sz="2" w:space="0" w:color="00000A"/>
              <w:insideV w:val="single" w:sz="2" w:space="0" w:color="00000A"/>
            </w:tcBorders>
            <w:shd w:fill="auto" w:val="clear"/>
          </w:tcPr>
          <w:p>
            <w:pPr>
              <w:pStyle w:val="Normal"/>
              <w:spacing w:before="360" w:after="240"/>
              <w:rPr/>
            </w:pPr>
            <w:r>
              <w:rPr>
                <w:rFonts w:cs="Arial" w:ascii="Arial" w:hAnsi="Arial"/>
                <w:sz w:val="20"/>
                <w:szCs w:val="20"/>
              </w:rPr>
              <w:t>Date:   ____ /____ / ____</w:t>
            </w:r>
          </w:p>
        </w:tc>
      </w:tr>
    </w:tbl>
    <w:p>
      <w:pPr>
        <w:pStyle w:val="Normal"/>
        <w:rPr>
          <w:rFonts w:ascii="Arial" w:hAnsi="Arial" w:cs="Arial"/>
        </w:rPr>
      </w:pPr>
      <w:r>
        <w:rPr>
          <w:rFonts w:cs="Arial" w:ascii="Arial" w:hAnsi="Arial"/>
        </w:rPr>
      </w:r>
    </w:p>
    <w:tbl>
      <w:tblPr>
        <w:tblW w:w="9509" w:type="dxa"/>
        <w:jc w:val="left"/>
        <w:tblInd w:w="-612" w:type="dxa"/>
        <w:tblBorders>
          <w:top w:val="single" w:sz="2" w:space="0" w:color="00000A"/>
          <w:left w:val="single" w:sz="2" w:space="0" w:color="00000A"/>
          <w:bottom w:val="single" w:sz="4" w:space="0" w:color="00000A"/>
          <w:right w:val="single" w:sz="2" w:space="0" w:color="00000A"/>
          <w:insideH w:val="single" w:sz="4" w:space="0" w:color="00000A"/>
          <w:insideV w:val="single" w:sz="2" w:space="0" w:color="00000A"/>
        </w:tblBorders>
        <w:tblCellMar>
          <w:top w:w="0" w:type="dxa"/>
          <w:left w:w="110" w:type="dxa"/>
          <w:bottom w:w="0" w:type="dxa"/>
          <w:right w:w="108" w:type="dxa"/>
        </w:tblCellMar>
        <w:tblLook w:firstRow="1" w:noVBand="0" w:lastRow="1" w:firstColumn="1" w:lastColumn="1" w:noHBand="0" w:val="01e0"/>
      </w:tblPr>
      <w:tblGrid>
        <w:gridCol w:w="6119"/>
        <w:gridCol w:w="3389"/>
      </w:tblGrid>
      <w:tr>
        <w:trPr/>
        <w:tc>
          <w:tcPr>
            <w:tcW w:w="9508" w:type="dxa"/>
            <w:gridSpan w:val="2"/>
            <w:tcBorders>
              <w:top w:val="single" w:sz="2" w:space="0" w:color="00000A"/>
              <w:left w:val="single" w:sz="2" w:space="0" w:color="00000A"/>
              <w:bottom w:val="single" w:sz="4" w:space="0" w:color="00000A"/>
              <w:right w:val="single" w:sz="2" w:space="0" w:color="00000A"/>
              <w:insideH w:val="single" w:sz="4" w:space="0" w:color="00000A"/>
              <w:insideV w:val="single" w:sz="2" w:space="0" w:color="00000A"/>
            </w:tcBorders>
            <w:shd w:color="auto" w:fill="F3F3F3" w:val="clear"/>
            <w:tcMar>
              <w:left w:w="110" w:type="dxa"/>
            </w:tcMar>
          </w:tcPr>
          <w:p>
            <w:pPr>
              <w:pStyle w:val="Normal"/>
              <w:spacing w:before="80" w:after="80"/>
              <w:rPr/>
            </w:pPr>
            <w:r>
              <w:rPr>
                <w:rFonts w:eastAsia="Wingdings" w:cs="Wingdings" w:ascii="Wingdings" w:hAnsi="Wingdings"/>
                <w:b/>
              </w:rPr>
              <w:t></w:t>
            </w:r>
            <w:r>
              <w:rPr>
                <w:rFonts w:cs="Arial" w:ascii="Arial" w:hAnsi="Arial"/>
                <w:b/>
              </w:rPr>
              <w:t xml:space="preserve"> </w:t>
            </w:r>
            <w:r>
              <w:rPr>
                <w:rFonts w:cs="Arial" w:ascii="Arial" w:hAnsi="Arial"/>
                <w:b/>
              </w:rPr>
              <w:t xml:space="preserve">Dual Enrolment Declaration </w:t>
            </w:r>
          </w:p>
        </w:tc>
      </w:tr>
      <w:tr>
        <w:trPr/>
        <w:tc>
          <w:tcPr>
            <w:tcW w:w="9508" w:type="dxa"/>
            <w:gridSpan w:val="2"/>
            <w:tcBorders>
              <w:top w:val="single" w:sz="4" w:space="0" w:color="00000A"/>
              <w:left w:val="single" w:sz="2" w:space="0" w:color="00000A"/>
              <w:right w:val="single" w:sz="2" w:space="0" w:color="00000A"/>
              <w:insideV w:val="single" w:sz="2" w:space="0" w:color="00000A"/>
            </w:tcBorders>
            <w:shd w:fill="auto" w:val="clear"/>
            <w:tcMar>
              <w:left w:w="110" w:type="dxa"/>
            </w:tcMar>
          </w:tcPr>
          <w:p>
            <w:pPr>
              <w:pStyle w:val="Normal"/>
              <w:spacing w:before="80" w:after="80"/>
              <w:rPr/>
            </w:pPr>
            <w:r>
              <w:rPr>
                <w:rFonts w:cs="Arial" w:ascii="Arial" w:hAnsi="Arial"/>
                <w:sz w:val="20"/>
              </w:rPr>
              <w:t xml:space="preserve">I hereby declare that my child </w:t>
            </w:r>
            <w:r>
              <w:rPr>
                <w:rFonts w:cs="Arial" w:ascii="Arial" w:hAnsi="Arial"/>
                <w:b/>
                <w:sz w:val="20"/>
              </w:rPr>
              <w:t>is/is not</w:t>
            </w:r>
            <w:r>
              <w:rPr>
                <w:rFonts w:cs="Arial" w:ascii="Arial" w:hAnsi="Arial"/>
                <w:sz w:val="20"/>
              </w:rPr>
              <w:t xml:space="preserve"> enrolled at another early childhood institution at the same times that he/she is enrolled at [insert name of service].</w:t>
            </w:r>
          </w:p>
        </w:tc>
      </w:tr>
      <w:tr>
        <w:trPr/>
        <w:tc>
          <w:tcPr>
            <w:tcW w:w="6119" w:type="dxa"/>
            <w:tcBorders>
              <w:left w:val="single" w:sz="2" w:space="0" w:color="00000A"/>
              <w:bottom w:val="single" w:sz="2" w:space="0" w:color="00000A"/>
              <w:insideH w:val="single" w:sz="2" w:space="0" w:color="00000A"/>
            </w:tcBorders>
            <w:shd w:fill="auto" w:val="clear"/>
            <w:tcMar>
              <w:left w:w="110" w:type="dxa"/>
            </w:tcMar>
          </w:tcPr>
          <w:p>
            <w:pPr>
              <w:pStyle w:val="Normal"/>
              <w:spacing w:before="360" w:after="80"/>
              <w:rPr/>
            </w:pPr>
            <w:r>
              <w:rPr>
                <w:rFonts w:cs="Arial" w:ascii="Arial" w:hAnsi="Arial"/>
                <w:sz w:val="20"/>
                <w:szCs w:val="20"/>
              </w:rPr>
              <w:t xml:space="preserve">Parent/Guardian Signature: _____________________________ </w:t>
            </w:r>
          </w:p>
        </w:tc>
        <w:tc>
          <w:tcPr>
            <w:tcW w:w="3389" w:type="dxa"/>
            <w:tcBorders>
              <w:bottom w:val="single" w:sz="2" w:space="0" w:color="00000A"/>
              <w:right w:val="single" w:sz="2" w:space="0" w:color="00000A"/>
              <w:insideH w:val="single" w:sz="2" w:space="0" w:color="00000A"/>
              <w:insideV w:val="single" w:sz="2" w:space="0" w:color="00000A"/>
            </w:tcBorders>
            <w:shd w:fill="auto" w:val="clear"/>
          </w:tcPr>
          <w:p>
            <w:pPr>
              <w:pStyle w:val="Normal"/>
              <w:spacing w:before="360" w:after="80"/>
              <w:rPr/>
            </w:pPr>
            <w:r>
              <w:rPr>
                <w:rFonts w:cs="Arial" w:ascii="Arial" w:hAnsi="Arial"/>
                <w:sz w:val="20"/>
                <w:szCs w:val="20"/>
              </w:rPr>
              <w:t>Date:   ____ /____ / ____</w:t>
            </w:r>
          </w:p>
        </w:tc>
      </w:tr>
    </w:tbl>
    <w:p>
      <w:pPr>
        <w:pStyle w:val="Normal"/>
        <w:rPr>
          <w:rFonts w:ascii="Arial" w:hAnsi="Arial" w:cs="Arial"/>
        </w:rPr>
      </w:pPr>
      <w:r>
        <w:rPr>
          <w:rFonts w:cs="Arial" w:ascii="Arial" w:hAnsi="Arial"/>
        </w:rPr>
      </w:r>
    </w:p>
    <w:tbl>
      <w:tblPr>
        <w:tblW w:w="9509" w:type="dxa"/>
        <w:jc w:val="left"/>
        <w:tblInd w:w="-612" w:type="dxa"/>
        <w:tblBorders>
          <w:top w:val="single" w:sz="2" w:space="0" w:color="00000A"/>
          <w:left w:val="single" w:sz="2" w:space="0" w:color="00000A"/>
          <w:bottom w:val="single" w:sz="2" w:space="0" w:color="00000A"/>
          <w:right w:val="single" w:sz="2" w:space="0" w:color="00000A"/>
          <w:insideH w:val="single" w:sz="2" w:space="0" w:color="00000A"/>
          <w:insideV w:val="single" w:sz="2" w:space="0" w:color="00000A"/>
        </w:tblBorders>
        <w:tblCellMar>
          <w:top w:w="0" w:type="dxa"/>
          <w:left w:w="105" w:type="dxa"/>
          <w:bottom w:w="0" w:type="dxa"/>
          <w:right w:w="108" w:type="dxa"/>
        </w:tblCellMar>
        <w:tblLook w:firstRow="1" w:noVBand="0" w:lastRow="1" w:firstColumn="1" w:lastColumn="1" w:noHBand="0" w:val="01e0"/>
      </w:tblPr>
      <w:tblGrid>
        <w:gridCol w:w="5940"/>
        <w:gridCol w:w="3568"/>
      </w:tblGrid>
      <w:tr>
        <w:trPr/>
        <w:tc>
          <w:tcPr>
            <w:tcW w:w="9508" w:type="dxa"/>
            <w:gridSpan w:val="2"/>
            <w:tcBorders>
              <w:top w:val="single" w:sz="2" w:space="0" w:color="00000A"/>
              <w:left w:val="single" w:sz="2" w:space="0" w:color="00000A"/>
              <w:bottom w:val="single" w:sz="2" w:space="0" w:color="00000A"/>
              <w:right w:val="single" w:sz="2" w:space="0" w:color="00000A"/>
              <w:insideH w:val="single" w:sz="2" w:space="0" w:color="00000A"/>
              <w:insideV w:val="single" w:sz="2" w:space="0" w:color="00000A"/>
            </w:tcBorders>
            <w:shd w:color="auto" w:fill="F3F3F3" w:val="clear"/>
            <w:tcMar>
              <w:left w:w="105" w:type="dxa"/>
            </w:tcMar>
          </w:tcPr>
          <w:p>
            <w:pPr>
              <w:pStyle w:val="Normal"/>
              <w:spacing w:before="80" w:after="80"/>
              <w:rPr/>
            </w:pPr>
            <w:r>
              <w:rPr>
                <w:rFonts w:eastAsia="Wingdings" w:cs="Wingdings" w:ascii="Wingdings" w:hAnsi="Wingdings"/>
                <w:b/>
              </w:rPr>
              <w:t></w:t>
            </w:r>
            <w:r>
              <w:rPr>
                <w:rFonts w:cs="Arial" w:ascii="Arial" w:hAnsi="Arial"/>
                <w:b/>
              </w:rPr>
              <w:t xml:space="preserve"> </w:t>
            </w:r>
            <w:r>
              <w:rPr>
                <w:rFonts w:cs="Arial" w:ascii="Arial" w:hAnsi="Arial"/>
                <w:b/>
              </w:rPr>
              <w:t>Optional Charges:</w:t>
            </w:r>
          </w:p>
        </w:tc>
      </w:tr>
      <w:tr>
        <w:trPr/>
        <w:tc>
          <w:tcPr>
            <w:tcW w:w="9508" w:type="dxa"/>
            <w:gridSpan w:val="2"/>
            <w:tcBorders>
              <w:top w:val="single" w:sz="2" w:space="0" w:color="00000A"/>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tcPr>
          <w:p>
            <w:pPr>
              <w:pStyle w:val="Normal"/>
              <w:spacing w:before="80" w:after="80"/>
              <w:rPr/>
            </w:pPr>
            <w:r>
              <w:rPr>
                <w:rFonts w:cs="Arial" w:ascii="Arial" w:hAnsi="Arial"/>
                <w:i/>
                <w:sz w:val="20"/>
                <w:szCs w:val="20"/>
              </w:rPr>
              <w:t>If you request Optional Charges, this agreement must be included as part of your service’s Enrolment Agreement Form.</w:t>
            </w:r>
          </w:p>
        </w:tc>
      </w:tr>
      <w:tr>
        <w:trPr/>
        <w:tc>
          <w:tcPr>
            <w:tcW w:w="9508" w:type="dxa"/>
            <w:gridSpan w:val="2"/>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tcPr>
          <w:p>
            <w:pPr>
              <w:pStyle w:val="Normal"/>
              <w:spacing w:before="80" w:after="80"/>
              <w:rPr/>
            </w:pPr>
            <w:r>
              <w:rPr>
                <w:rFonts w:cs="Arial" w:ascii="Arial" w:hAnsi="Arial"/>
                <w:i/>
                <w:sz w:val="20"/>
              </w:rPr>
              <w:t>For further information on Optional Charges please refer to Chapter 4 of the Early Childhood Education Funding Handbook.</w:t>
            </w:r>
          </w:p>
        </w:tc>
      </w:tr>
      <w:tr>
        <w:trPr/>
        <w:tc>
          <w:tcPr>
            <w:tcW w:w="9508" w:type="dxa"/>
            <w:gridSpan w:val="2"/>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tcPr>
          <w:p>
            <w:pPr>
              <w:pStyle w:val="Normal"/>
              <w:numPr>
                <w:ilvl w:val="0"/>
                <w:numId w:val="5"/>
              </w:numPr>
              <w:spacing w:before="80" w:after="80"/>
              <w:rPr/>
            </w:pPr>
            <w:r>
              <w:rPr>
                <w:rFonts w:cs="Arial" w:ascii="Arial" w:hAnsi="Arial"/>
                <w:sz w:val="20"/>
                <w:szCs w:val="20"/>
              </w:rPr>
              <w:t>The optional charge is for: (give details of specific activities or items, and their costs)</w:t>
            </w:r>
          </w:p>
        </w:tc>
      </w:tr>
      <w:tr>
        <w:trPr/>
        <w:tc>
          <w:tcPr>
            <w:tcW w:w="9508" w:type="dxa"/>
            <w:gridSpan w:val="2"/>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tcPr>
          <w:p>
            <w:pPr>
              <w:pStyle w:val="Normal"/>
              <w:numPr>
                <w:ilvl w:val="1"/>
                <w:numId w:val="5"/>
              </w:numPr>
              <w:spacing w:before="80" w:after="80"/>
              <w:rPr>
                <w:rFonts w:ascii="Arial" w:hAnsi="Arial" w:cs="Arial"/>
                <w:sz w:val="20"/>
                <w:szCs w:val="20"/>
              </w:rPr>
            </w:pPr>
            <w:r>
              <w:rPr>
                <w:rFonts w:cs="Arial" w:ascii="Arial" w:hAnsi="Arial"/>
                <w:sz w:val="20"/>
                <w:szCs w:val="20"/>
              </w:rPr>
            </w:r>
          </w:p>
        </w:tc>
      </w:tr>
      <w:tr>
        <w:trPr/>
        <w:tc>
          <w:tcPr>
            <w:tcW w:w="9508" w:type="dxa"/>
            <w:gridSpan w:val="2"/>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tcPr>
          <w:p>
            <w:pPr>
              <w:pStyle w:val="Normal"/>
              <w:numPr>
                <w:ilvl w:val="1"/>
                <w:numId w:val="5"/>
              </w:numPr>
              <w:spacing w:before="80" w:after="80"/>
              <w:rPr>
                <w:rFonts w:ascii="Arial" w:hAnsi="Arial" w:cs="Arial"/>
                <w:sz w:val="20"/>
                <w:szCs w:val="20"/>
              </w:rPr>
            </w:pPr>
            <w:r>
              <w:rPr>
                <w:rFonts w:cs="Arial" w:ascii="Arial" w:hAnsi="Arial"/>
                <w:sz w:val="20"/>
                <w:szCs w:val="20"/>
              </w:rPr>
            </w:r>
          </w:p>
        </w:tc>
      </w:tr>
      <w:tr>
        <w:trPr/>
        <w:tc>
          <w:tcPr>
            <w:tcW w:w="9508" w:type="dxa"/>
            <w:gridSpan w:val="2"/>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vAlign w:val="center"/>
          </w:tcPr>
          <w:p>
            <w:pPr>
              <w:pStyle w:val="Normal"/>
              <w:numPr>
                <w:ilvl w:val="0"/>
                <w:numId w:val="5"/>
              </w:numPr>
              <w:spacing w:before="80" w:after="80"/>
              <w:rPr/>
            </w:pPr>
            <w:r>
              <w:rPr>
                <w:rFonts w:cs="Arial" w:ascii="Arial" w:hAnsi="Arial"/>
                <w:sz w:val="20"/>
                <w:szCs w:val="20"/>
              </w:rPr>
              <w:t>I understand that if I agree to pay for the optional charge, [insert name of service] may enforce payment.</w:t>
            </w:r>
          </w:p>
        </w:tc>
      </w:tr>
      <w:tr>
        <w:trPr/>
        <w:tc>
          <w:tcPr>
            <w:tcW w:w="9508" w:type="dxa"/>
            <w:gridSpan w:val="2"/>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tcPr>
          <w:p>
            <w:pPr>
              <w:pStyle w:val="Normal"/>
              <w:numPr>
                <w:ilvl w:val="0"/>
                <w:numId w:val="5"/>
              </w:numPr>
              <w:spacing w:before="80" w:after="80"/>
              <w:rPr/>
            </w:pPr>
            <w:r>
              <w:rPr>
                <w:rFonts w:cs="Arial" w:ascii="Arial" w:hAnsi="Arial"/>
                <w:sz w:val="20"/>
                <w:szCs w:val="20"/>
              </w:rPr>
              <w:t>The agreement to pay the optional charge will last for: [insert time].</w:t>
            </w:r>
          </w:p>
        </w:tc>
      </w:tr>
      <w:tr>
        <w:trPr/>
        <w:tc>
          <w:tcPr>
            <w:tcW w:w="9508" w:type="dxa"/>
            <w:gridSpan w:val="2"/>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tcPr>
          <w:p>
            <w:pPr>
              <w:pStyle w:val="Normal"/>
              <w:numPr>
                <w:ilvl w:val="0"/>
                <w:numId w:val="5"/>
              </w:numPr>
              <w:spacing w:before="80" w:after="80"/>
              <w:rPr/>
            </w:pPr>
            <w:r>
              <w:rPr>
                <w:rFonts w:cs="Arial" w:ascii="Arial" w:hAnsi="Arial"/>
                <w:sz w:val="20"/>
                <w:szCs w:val="20"/>
              </w:rPr>
              <w:t>The rules about making changes to the agreement are: (you must give the parent reasonable opportunity in which to change their mind):</w:t>
            </w:r>
          </w:p>
        </w:tc>
      </w:tr>
      <w:tr>
        <w:trPr/>
        <w:tc>
          <w:tcPr>
            <w:tcW w:w="9508" w:type="dxa"/>
            <w:gridSpan w:val="2"/>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tcPr>
          <w:p>
            <w:pPr>
              <w:pStyle w:val="Normal"/>
              <w:numPr>
                <w:ilvl w:val="1"/>
                <w:numId w:val="7"/>
              </w:numPr>
              <w:spacing w:before="80" w:after="80"/>
              <w:rPr/>
            </w:pPr>
            <w:r>
              <w:rPr>
                <w:rFonts w:cs="Arial" w:ascii="Arial" w:hAnsi="Arial"/>
                <w:sz w:val="20"/>
                <w:szCs w:val="20"/>
              </w:rPr>
              <w:t>(Please insert rules here)</w:t>
            </w:r>
          </w:p>
        </w:tc>
      </w:tr>
      <w:tr>
        <w:trPr/>
        <w:tc>
          <w:tcPr>
            <w:tcW w:w="9508" w:type="dxa"/>
            <w:gridSpan w:val="2"/>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tcPr>
          <w:p>
            <w:pPr>
              <w:pStyle w:val="Normal"/>
              <w:numPr>
                <w:ilvl w:val="1"/>
                <w:numId w:val="7"/>
              </w:numPr>
              <w:spacing w:before="80" w:after="80"/>
              <w:rPr>
                <w:rFonts w:ascii="Arial" w:hAnsi="Arial" w:cs="Arial"/>
                <w:sz w:val="20"/>
                <w:szCs w:val="20"/>
              </w:rPr>
            </w:pPr>
            <w:r>
              <w:rPr>
                <w:rFonts w:cs="Arial" w:ascii="Arial" w:hAnsi="Arial"/>
                <w:sz w:val="20"/>
                <w:szCs w:val="20"/>
              </w:rPr>
            </w:r>
          </w:p>
        </w:tc>
      </w:tr>
      <w:tr>
        <w:trPr/>
        <w:tc>
          <w:tcPr>
            <w:tcW w:w="9508" w:type="dxa"/>
            <w:gridSpan w:val="2"/>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tcPr>
          <w:p>
            <w:pPr>
              <w:pStyle w:val="Normal"/>
              <w:numPr>
                <w:ilvl w:val="0"/>
                <w:numId w:val="5"/>
              </w:numPr>
              <w:spacing w:before="80" w:after="80"/>
              <w:rPr/>
            </w:pPr>
            <w:r>
              <w:rPr>
                <w:rFonts w:cs="Arial" w:ascii="Arial" w:hAnsi="Arial"/>
                <w:sz w:val="20"/>
                <w:szCs w:val="20"/>
              </w:rPr>
              <w:t>I understand that that optional charge is not compulsory and if I choose not to pay there will be no penalty.   </w:t>
            </w:r>
          </w:p>
        </w:tc>
      </w:tr>
      <w:tr>
        <w:trPr/>
        <w:tc>
          <w:tcPr>
            <w:tcW w:w="9508" w:type="dxa"/>
            <w:gridSpan w:val="2"/>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05" w:type="dxa"/>
            </w:tcMar>
          </w:tcPr>
          <w:p>
            <w:pPr>
              <w:pStyle w:val="Normal"/>
              <w:numPr>
                <w:ilvl w:val="0"/>
                <w:numId w:val="5"/>
              </w:numPr>
              <w:spacing w:before="80" w:after="80"/>
              <w:rPr/>
            </w:pPr>
            <w:r>
              <w:rPr>
                <w:rFonts w:cs="Arial" w:ascii="Arial" w:hAnsi="Arial"/>
                <w:sz w:val="20"/>
                <w:szCs w:val="20"/>
              </w:rPr>
              <w:t xml:space="preserve">I </w:t>
            </w:r>
            <w:r>
              <w:rPr>
                <w:rFonts w:cs="Arial" w:ascii="Arial" w:hAnsi="Arial"/>
                <w:b/>
                <w:sz w:val="20"/>
                <w:szCs w:val="20"/>
              </w:rPr>
              <w:t>agree/do not agree</w:t>
            </w:r>
            <w:r>
              <w:rPr>
                <w:rFonts w:cs="Arial" w:ascii="Arial" w:hAnsi="Arial"/>
                <w:sz w:val="20"/>
                <w:szCs w:val="20"/>
              </w:rPr>
              <w:t xml:space="preserve"> </w:t>
            </w:r>
            <w:r>
              <w:rPr>
                <w:rFonts w:cs="Arial" w:ascii="Arial" w:hAnsi="Arial"/>
                <w:i/>
                <w:sz w:val="20"/>
                <w:szCs w:val="20"/>
              </w:rPr>
              <w:t xml:space="preserve">(select one) </w:t>
            </w:r>
            <w:r>
              <w:rPr>
                <w:rFonts w:cs="Arial" w:ascii="Arial" w:hAnsi="Arial"/>
                <w:sz w:val="20"/>
                <w:szCs w:val="20"/>
              </w:rPr>
              <w:t>to pay the optional charge for the activities/items specified in this enrolment agreement form.</w:t>
            </w:r>
          </w:p>
        </w:tc>
      </w:tr>
      <w:tr>
        <w:trPr/>
        <w:tc>
          <w:tcPr>
            <w:tcW w:w="5940" w:type="dxa"/>
            <w:tcBorders>
              <w:top w:val="single" w:sz="2" w:space="0" w:color="C0C0C0"/>
              <w:left w:val="single" w:sz="2" w:space="0" w:color="00000A"/>
              <w:bottom w:val="single" w:sz="2" w:space="0" w:color="00000A"/>
              <w:insideH w:val="single" w:sz="2" w:space="0" w:color="00000A"/>
            </w:tcBorders>
            <w:shd w:fill="auto" w:val="clear"/>
            <w:tcMar>
              <w:left w:w="105" w:type="dxa"/>
            </w:tcMar>
          </w:tcPr>
          <w:p>
            <w:pPr>
              <w:pStyle w:val="Normal"/>
              <w:spacing w:before="360" w:after="80"/>
              <w:rPr/>
            </w:pPr>
            <w:r>
              <w:rPr>
                <w:rFonts w:cs="Arial" w:ascii="Arial" w:hAnsi="Arial"/>
                <w:sz w:val="20"/>
                <w:szCs w:val="20"/>
              </w:rPr>
              <w:t xml:space="preserve">Parent/Guardian Signature: _____________________________ </w:t>
            </w:r>
          </w:p>
        </w:tc>
        <w:tc>
          <w:tcPr>
            <w:tcW w:w="3568" w:type="dxa"/>
            <w:tcBorders>
              <w:top w:val="single" w:sz="2" w:space="0" w:color="C0C0C0"/>
              <w:bottom w:val="single" w:sz="2" w:space="0" w:color="00000A"/>
              <w:right w:val="single" w:sz="2" w:space="0" w:color="00000A"/>
              <w:insideH w:val="single" w:sz="2" w:space="0" w:color="00000A"/>
              <w:insideV w:val="single" w:sz="2" w:space="0" w:color="00000A"/>
            </w:tcBorders>
            <w:shd w:fill="auto" w:val="clear"/>
            <w:vAlign w:val="bottom"/>
          </w:tcPr>
          <w:p>
            <w:pPr>
              <w:pStyle w:val="Normal"/>
              <w:spacing w:before="360" w:after="80"/>
              <w:rPr/>
            </w:pPr>
            <w:r>
              <w:rPr>
                <w:rFonts w:cs="Arial" w:ascii="Arial" w:hAnsi="Arial"/>
                <w:sz w:val="20"/>
                <w:szCs w:val="20"/>
              </w:rPr>
              <w:t>Date:   ____ /____ / ____</w:t>
            </w:r>
          </w:p>
        </w:tc>
      </w:tr>
    </w:tbl>
    <w:tbl>
      <w:tblPr>
        <w:tblW w:w="10785" w:type="dxa"/>
        <w:jc w:val="left"/>
        <w:tblInd w:w="-612" w:type="dxa"/>
        <w:tblBorders>
          <w:top w:val="single" w:sz="2" w:space="0" w:color="00000A"/>
          <w:left w:val="single" w:sz="2" w:space="0" w:color="00000A"/>
          <w:bottom w:val="single" w:sz="2" w:space="0" w:color="00000A"/>
          <w:right w:val="single" w:sz="2" w:space="0" w:color="00000A"/>
          <w:insideH w:val="single" w:sz="2" w:space="0" w:color="00000A"/>
          <w:insideV w:val="single" w:sz="2" w:space="0" w:color="00000A"/>
        </w:tblBorders>
        <w:tblCellMar>
          <w:top w:w="0" w:type="dxa"/>
          <w:left w:w="105" w:type="dxa"/>
          <w:bottom w:w="0" w:type="dxa"/>
          <w:right w:w="108" w:type="dxa"/>
        </w:tblCellMar>
        <w:tblLook w:firstRow="1" w:noVBand="0" w:lastRow="1" w:firstColumn="1" w:lastColumn="1" w:noHBand="0" w:val="01e0"/>
      </w:tblPr>
      <w:tblGrid>
        <w:gridCol w:w="2879"/>
        <w:gridCol w:w="360"/>
        <w:gridCol w:w="2521"/>
        <w:gridCol w:w="360"/>
        <w:gridCol w:w="2964"/>
        <w:gridCol w:w="425"/>
        <w:gridCol w:w="1275"/>
      </w:tblGrid>
      <w:tr>
        <w:trPr/>
        <w:tc>
          <w:tcPr>
            <w:tcW w:w="9509" w:type="dxa"/>
            <w:gridSpan w:val="6"/>
            <w:tcBorders>
              <w:top w:val="single" w:sz="2" w:space="0" w:color="00000A"/>
              <w:left w:val="single" w:sz="2" w:space="0" w:color="00000A"/>
              <w:bottom w:val="single" w:sz="2" w:space="0" w:color="00000A"/>
              <w:right w:val="single" w:sz="2" w:space="0" w:color="00000A"/>
              <w:insideH w:val="single" w:sz="2" w:space="0" w:color="00000A"/>
              <w:insideV w:val="single" w:sz="2" w:space="0" w:color="00000A"/>
            </w:tcBorders>
            <w:shd w:color="auto" w:fill="F3F3F3" w:val="clear"/>
            <w:tcMar>
              <w:left w:w="105" w:type="dxa"/>
            </w:tcMar>
          </w:tcPr>
          <w:p>
            <w:pPr>
              <w:pStyle w:val="Normal"/>
              <w:spacing w:before="80" w:after="80"/>
              <w:rPr/>
            </w:pPr>
            <w:r>
              <w:rPr>
                <w:rFonts w:eastAsia="Wingdings" w:cs="Wingdings" w:ascii="Wingdings" w:hAnsi="Wingdings"/>
                <w:b/>
              </w:rPr>
              <w:t></w:t>
            </w:r>
            <w:r>
              <w:rPr>
                <w:rFonts w:cs="Arial" w:ascii="Arial" w:hAnsi="Arial"/>
                <w:b/>
              </w:rPr>
              <w:t xml:space="preserve"> </w:t>
            </w:r>
            <w:r>
              <w:rPr>
                <w:rFonts w:cs="Arial" w:ascii="Arial" w:hAnsi="Arial"/>
                <w:b/>
              </w:rPr>
              <w:t>Statutory Holidays / Term Breaks</w:t>
            </w:r>
          </w:p>
        </w:tc>
        <w:tc>
          <w:tcPr>
            <w:tcW w:w="1275" w:type="dxa"/>
            <w:tcBorders/>
            <w:shd w:fill="auto" w:val="clear"/>
          </w:tcPr>
          <w:p>
            <w:pPr>
              <w:pStyle w:val="Normal"/>
              <w:spacing w:before="0" w:after="200"/>
              <w:rPr/>
            </w:pPr>
            <w:r>
              <w:rPr/>
            </w:r>
          </w:p>
        </w:tc>
      </w:tr>
      <w:tr>
        <w:trPr/>
        <w:tc>
          <w:tcPr>
            <w:tcW w:w="9509" w:type="dxa"/>
            <w:gridSpan w:val="6"/>
            <w:tcBorders>
              <w:top w:val="single" w:sz="2" w:space="0" w:color="00000A"/>
              <w:left w:val="single" w:sz="2" w:space="0" w:color="00000A"/>
              <w:bottom w:val="single" w:sz="2" w:space="0" w:color="C0C0C0"/>
              <w:right w:val="single" w:sz="2" w:space="0" w:color="00000A"/>
              <w:insideH w:val="single" w:sz="2" w:space="0" w:color="C0C0C0"/>
              <w:insideV w:val="single" w:sz="2" w:space="0" w:color="00000A"/>
            </w:tcBorders>
            <w:shd w:color="auto" w:fill="auto" w:val="clear"/>
            <w:tcMar>
              <w:left w:w="105" w:type="dxa"/>
            </w:tcMar>
          </w:tcPr>
          <w:p>
            <w:pPr>
              <w:pStyle w:val="Normal"/>
              <w:spacing w:before="80" w:after="80"/>
              <w:rPr/>
            </w:pPr>
            <w:r>
              <w:rPr>
                <w:rFonts w:cs="Arial" w:ascii="Arial" w:hAnsi="Arial"/>
                <w:sz w:val="20"/>
              </w:rPr>
              <w:t xml:space="preserve">This enrolment agreement is </w:t>
            </w:r>
            <w:r>
              <w:rPr>
                <w:rFonts w:cs="Arial" w:ascii="Arial" w:hAnsi="Arial"/>
                <w:b/>
                <w:sz w:val="20"/>
              </w:rPr>
              <w:t>inclusive/exclusive</w:t>
            </w:r>
            <w:r>
              <w:rPr>
                <w:rFonts w:cs="Arial" w:ascii="Arial" w:hAnsi="Arial"/>
                <w:i/>
                <w:sz w:val="20"/>
              </w:rPr>
              <w:t xml:space="preserve"> </w:t>
            </w:r>
            <w:r>
              <w:rPr>
                <w:rFonts w:cs="Arial" w:ascii="Arial" w:hAnsi="Arial"/>
                <w:sz w:val="20"/>
              </w:rPr>
              <w:t>of school term breaks.</w:t>
            </w:r>
          </w:p>
        </w:tc>
        <w:tc>
          <w:tcPr>
            <w:tcW w:w="1275" w:type="dxa"/>
            <w:tcBorders/>
            <w:shd w:fill="auto" w:val="clear"/>
          </w:tcPr>
          <w:p>
            <w:pPr>
              <w:pStyle w:val="Normal"/>
              <w:spacing w:before="0" w:after="200"/>
              <w:rPr/>
            </w:pPr>
            <w:r>
              <w:rPr/>
            </w:r>
          </w:p>
        </w:tc>
      </w:tr>
      <w:tr>
        <w:trPr/>
        <w:tc>
          <w:tcPr>
            <w:tcW w:w="9509" w:type="dxa"/>
            <w:gridSpan w:val="6"/>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color="auto" w:fill="auto" w:val="clear"/>
            <w:tcMar>
              <w:left w:w="105" w:type="dxa"/>
            </w:tcMar>
          </w:tcPr>
          <w:p>
            <w:pPr>
              <w:pStyle w:val="Normal"/>
              <w:spacing w:before="80" w:after="80"/>
              <w:rPr/>
            </w:pPr>
            <w:r>
              <w:rPr>
                <w:rFonts w:cs="Arial" w:ascii="Arial" w:hAnsi="Arial"/>
                <w:sz w:val="20"/>
              </w:rPr>
              <w:t>If your service is open on Statutory Holidays, parents need to confirm enrolment for each individual statutory holiday.</w:t>
            </w:r>
            <w:r>
              <w:rPr>
                <w:rFonts w:cs="Arial" w:ascii="Arial" w:hAnsi="Arial"/>
                <w:b/>
                <w:sz w:val="20"/>
                <w:szCs w:val="20"/>
              </w:rPr>
              <w:t xml:space="preserve"> </w:t>
            </w:r>
          </w:p>
        </w:tc>
        <w:tc>
          <w:tcPr>
            <w:tcW w:w="1275" w:type="dxa"/>
            <w:tcBorders/>
            <w:shd w:fill="auto" w:val="clear"/>
          </w:tcPr>
          <w:p>
            <w:pPr>
              <w:pStyle w:val="Normal"/>
              <w:spacing w:before="0" w:after="200"/>
              <w:rPr/>
            </w:pPr>
            <w:r>
              <w:rPr/>
            </w:r>
          </w:p>
        </w:tc>
      </w:tr>
      <w:tr>
        <w:trPr>
          <w:trHeight w:val="730" w:hRule="atLeast"/>
        </w:trPr>
        <w:tc>
          <w:tcPr>
            <w:tcW w:w="9509" w:type="dxa"/>
            <w:gridSpan w:val="6"/>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color="auto" w:fill="auto" w:val="clear"/>
            <w:tcMar>
              <w:left w:w="105" w:type="dxa"/>
            </w:tcMar>
          </w:tcPr>
          <w:p>
            <w:pPr>
              <w:pStyle w:val="Normal"/>
              <w:spacing w:before="80" w:after="80"/>
              <w:rPr/>
            </w:pPr>
            <w:r>
              <w:rPr>
                <w:rFonts w:cs="Arial" w:ascii="Arial" w:hAnsi="Arial"/>
                <w:sz w:val="20"/>
                <w:szCs w:val="20"/>
              </w:rPr>
              <w:t xml:space="preserve">[insert name of service] is open on the following public holidays if they fall on a weekday. Please tick the days you wish your child to be specifically enrolled for:  </w:t>
            </w:r>
          </w:p>
        </w:tc>
        <w:tc>
          <w:tcPr>
            <w:tcW w:w="1275" w:type="dxa"/>
            <w:tcBorders/>
            <w:shd w:fill="auto" w:val="clear"/>
          </w:tcPr>
          <w:p>
            <w:pPr>
              <w:pStyle w:val="Normal"/>
              <w:spacing w:before="0" w:after="200"/>
              <w:rPr/>
            </w:pPr>
            <w:r>
              <w:rPr/>
            </w:r>
          </w:p>
        </w:tc>
      </w:tr>
      <w:tr>
        <w:trPr/>
        <w:tc>
          <w:tcPr>
            <w:tcW w:w="2879" w:type="dxa"/>
            <w:tcBorders>
              <w:top w:val="single" w:sz="2" w:space="0" w:color="C0C0C0"/>
              <w:left w:val="single" w:sz="2" w:space="0" w:color="00000A"/>
              <w:bottom w:val="single" w:sz="2" w:space="0" w:color="C0C0C0"/>
              <w:right w:val="single" w:sz="12" w:space="0" w:color="00000A"/>
              <w:insideH w:val="single" w:sz="2" w:space="0" w:color="C0C0C0"/>
              <w:insideV w:val="single" w:sz="12" w:space="0" w:color="00000A"/>
            </w:tcBorders>
            <w:shd w:color="auto" w:fill="auto" w:val="clear"/>
            <w:tcMar>
              <w:left w:w="105" w:type="dxa"/>
            </w:tcMar>
          </w:tcPr>
          <w:p>
            <w:pPr>
              <w:pStyle w:val="Normal"/>
              <w:spacing w:before="80" w:after="80"/>
              <w:jc w:val="right"/>
              <w:rPr/>
            </w:pPr>
            <w:r>
              <w:rPr>
                <w:rFonts w:ascii="Verdana" w:hAnsi="Verdana"/>
                <w:sz w:val="16"/>
                <w:szCs w:val="16"/>
              </w:rPr>
              <w:t xml:space="preserve">New Year’s Day </w:t>
            </w:r>
          </w:p>
        </w:tc>
        <w:tc>
          <w:tcPr>
            <w:tcW w:w="360"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auto" w:val="clear"/>
            <w:tcMar>
              <w:left w:w="93" w:type="dxa"/>
            </w:tcMar>
          </w:tcPr>
          <w:p>
            <w:pPr>
              <w:pStyle w:val="Normal"/>
              <w:spacing w:before="80" w:after="80"/>
              <w:rPr>
                <w:rFonts w:ascii="Arial" w:hAnsi="Arial" w:cs="Arial"/>
                <w:sz w:val="16"/>
                <w:szCs w:val="16"/>
              </w:rPr>
            </w:pPr>
            <w:r>
              <w:rPr>
                <w:rFonts w:cs="Arial" w:ascii="Arial" w:hAnsi="Arial"/>
                <w:sz w:val="16"/>
                <w:szCs w:val="16"/>
              </w:rPr>
            </w:r>
          </w:p>
        </w:tc>
        <w:tc>
          <w:tcPr>
            <w:tcW w:w="2521" w:type="dxa"/>
            <w:tcBorders>
              <w:top w:val="single" w:sz="2" w:space="0" w:color="C0C0C0"/>
              <w:left w:val="single" w:sz="12" w:space="0" w:color="00000A"/>
              <w:bottom w:val="single" w:sz="2" w:space="0" w:color="C0C0C0"/>
              <w:right w:val="single" w:sz="12" w:space="0" w:color="00000A"/>
              <w:insideH w:val="single" w:sz="2" w:space="0" w:color="C0C0C0"/>
              <w:insideV w:val="single" w:sz="12" w:space="0" w:color="00000A"/>
            </w:tcBorders>
            <w:shd w:color="auto" w:fill="auto" w:val="clear"/>
            <w:tcMar>
              <w:left w:w="93" w:type="dxa"/>
            </w:tcMar>
          </w:tcPr>
          <w:p>
            <w:pPr>
              <w:pStyle w:val="Normal"/>
              <w:spacing w:before="80" w:after="80"/>
              <w:jc w:val="right"/>
              <w:rPr/>
            </w:pPr>
            <w:r>
              <w:rPr>
                <w:rFonts w:ascii="Verdana" w:hAnsi="Verdana"/>
                <w:sz w:val="16"/>
                <w:szCs w:val="16"/>
              </w:rPr>
              <w:t>Easter Monday</w:t>
            </w:r>
          </w:p>
        </w:tc>
        <w:tc>
          <w:tcPr>
            <w:tcW w:w="360"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auto" w:val="clear"/>
            <w:tcMar>
              <w:left w:w="93" w:type="dxa"/>
            </w:tcMar>
          </w:tcPr>
          <w:p>
            <w:pPr>
              <w:pStyle w:val="Normal"/>
              <w:spacing w:before="80" w:after="80"/>
              <w:rPr>
                <w:rFonts w:ascii="Arial" w:hAnsi="Arial" w:cs="Arial"/>
                <w:sz w:val="20"/>
              </w:rPr>
            </w:pPr>
            <w:r>
              <w:rPr>
                <w:rFonts w:cs="Arial" w:ascii="Arial" w:hAnsi="Arial"/>
                <w:sz w:val="20"/>
              </w:rPr>
            </w:r>
          </w:p>
        </w:tc>
        <w:tc>
          <w:tcPr>
            <w:tcW w:w="2964" w:type="dxa"/>
            <w:tcBorders>
              <w:top w:val="single" w:sz="2" w:space="0" w:color="C0C0C0"/>
              <w:left w:val="single" w:sz="12" w:space="0" w:color="00000A"/>
              <w:bottom w:val="single" w:sz="2" w:space="0" w:color="C0C0C0"/>
              <w:right w:val="single" w:sz="12" w:space="0" w:color="00000A"/>
              <w:insideH w:val="single" w:sz="2" w:space="0" w:color="C0C0C0"/>
              <w:insideV w:val="single" w:sz="12" w:space="0" w:color="00000A"/>
            </w:tcBorders>
            <w:shd w:color="auto" w:fill="auto" w:val="clear"/>
            <w:tcMar>
              <w:left w:w="93" w:type="dxa"/>
            </w:tcMar>
          </w:tcPr>
          <w:p>
            <w:pPr>
              <w:pStyle w:val="Normal"/>
              <w:spacing w:before="80" w:after="80"/>
              <w:jc w:val="center"/>
              <w:rPr/>
            </w:pPr>
            <w:r>
              <w:rPr>
                <w:rFonts w:ascii="Verdana" w:hAnsi="Verdana"/>
                <w:sz w:val="16"/>
                <w:szCs w:val="16"/>
              </w:rPr>
              <w:t>Christmas Day</w:t>
            </w:r>
          </w:p>
        </w:tc>
        <w:tc>
          <w:tcPr>
            <w:tcW w:w="425"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auto" w:val="clear"/>
            <w:tcMar>
              <w:left w:w="93" w:type="dxa"/>
            </w:tcMar>
          </w:tcPr>
          <w:p>
            <w:pPr>
              <w:pStyle w:val="Normal"/>
              <w:spacing w:before="80" w:after="80"/>
              <w:rPr>
                <w:rFonts w:ascii="Arial" w:hAnsi="Arial" w:cs="Arial"/>
                <w:sz w:val="20"/>
              </w:rPr>
            </w:pPr>
            <w:r>
              <w:rPr>
                <w:rFonts w:cs="Arial" w:ascii="Arial" w:hAnsi="Arial"/>
                <w:sz w:val="20"/>
              </w:rPr>
            </w:r>
          </w:p>
        </w:tc>
        <w:tc>
          <w:tcPr>
            <w:tcW w:w="1275" w:type="dxa"/>
            <w:tcBorders>
              <w:top w:val="single" w:sz="2" w:space="0" w:color="C0C0C0"/>
              <w:left w:val="single" w:sz="12" w:space="0" w:color="00000A"/>
              <w:right w:val="single" w:sz="2" w:space="0" w:color="00000A"/>
              <w:insideV w:val="single" w:sz="2" w:space="0" w:color="00000A"/>
            </w:tcBorders>
            <w:shd w:color="auto" w:fill="auto" w:val="clear"/>
            <w:tcMar>
              <w:left w:w="93" w:type="dxa"/>
            </w:tcMar>
          </w:tcPr>
          <w:p>
            <w:pPr>
              <w:pStyle w:val="Normal"/>
              <w:spacing w:before="80" w:after="80"/>
              <w:rPr>
                <w:rFonts w:ascii="Arial" w:hAnsi="Arial" w:cs="Arial"/>
                <w:sz w:val="20"/>
              </w:rPr>
            </w:pPr>
            <w:r>
              <w:rPr>
                <w:rFonts w:cs="Arial" w:ascii="Arial" w:hAnsi="Arial"/>
                <w:sz w:val="20"/>
              </w:rPr>
            </w:r>
          </w:p>
        </w:tc>
      </w:tr>
      <w:tr>
        <w:trPr/>
        <w:tc>
          <w:tcPr>
            <w:tcW w:w="2879" w:type="dxa"/>
            <w:tcBorders>
              <w:top w:val="single" w:sz="2" w:space="0" w:color="C0C0C0"/>
              <w:left w:val="single" w:sz="2" w:space="0" w:color="00000A"/>
              <w:bottom w:val="single" w:sz="2" w:space="0" w:color="C0C0C0"/>
              <w:right w:val="single" w:sz="12" w:space="0" w:color="00000A"/>
              <w:insideH w:val="single" w:sz="2" w:space="0" w:color="C0C0C0"/>
              <w:insideV w:val="single" w:sz="12" w:space="0" w:color="00000A"/>
            </w:tcBorders>
            <w:shd w:color="auto" w:fill="auto" w:val="clear"/>
            <w:tcMar>
              <w:left w:w="105" w:type="dxa"/>
            </w:tcMar>
          </w:tcPr>
          <w:p>
            <w:pPr>
              <w:pStyle w:val="Normal"/>
              <w:spacing w:before="80" w:after="80"/>
              <w:jc w:val="right"/>
              <w:rPr/>
            </w:pPr>
            <w:r>
              <w:rPr>
                <w:rFonts w:ascii="Verdana" w:hAnsi="Verdana"/>
                <w:sz w:val="16"/>
                <w:szCs w:val="16"/>
              </w:rPr>
              <w:t xml:space="preserve">Day after New Year’s Day </w:t>
            </w:r>
          </w:p>
        </w:tc>
        <w:tc>
          <w:tcPr>
            <w:tcW w:w="360"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auto" w:val="clear"/>
            <w:tcMar>
              <w:left w:w="93" w:type="dxa"/>
            </w:tcMar>
          </w:tcPr>
          <w:p>
            <w:pPr>
              <w:pStyle w:val="Normal"/>
              <w:spacing w:before="80" w:after="80"/>
              <w:rPr>
                <w:rFonts w:ascii="Arial" w:hAnsi="Arial" w:cs="Arial"/>
                <w:sz w:val="16"/>
                <w:szCs w:val="16"/>
              </w:rPr>
            </w:pPr>
            <w:r>
              <w:rPr>
                <w:rFonts w:cs="Arial" w:ascii="Arial" w:hAnsi="Arial"/>
                <w:sz w:val="16"/>
                <w:szCs w:val="16"/>
              </w:rPr>
            </w:r>
          </w:p>
        </w:tc>
        <w:tc>
          <w:tcPr>
            <w:tcW w:w="2521" w:type="dxa"/>
            <w:tcBorders>
              <w:top w:val="single" w:sz="2" w:space="0" w:color="C0C0C0"/>
              <w:left w:val="single" w:sz="12" w:space="0" w:color="00000A"/>
              <w:bottom w:val="single" w:sz="2" w:space="0" w:color="C0C0C0"/>
              <w:right w:val="single" w:sz="12" w:space="0" w:color="00000A"/>
              <w:insideH w:val="single" w:sz="2" w:space="0" w:color="C0C0C0"/>
              <w:insideV w:val="single" w:sz="12" w:space="0" w:color="00000A"/>
            </w:tcBorders>
            <w:shd w:color="auto" w:fill="auto" w:val="clear"/>
            <w:tcMar>
              <w:left w:w="93" w:type="dxa"/>
            </w:tcMar>
          </w:tcPr>
          <w:p>
            <w:pPr>
              <w:pStyle w:val="Normal"/>
              <w:spacing w:before="80" w:after="80"/>
              <w:jc w:val="right"/>
              <w:rPr/>
            </w:pPr>
            <w:r>
              <w:rPr>
                <w:rFonts w:ascii="Verdana" w:hAnsi="Verdana"/>
                <w:sz w:val="16"/>
                <w:szCs w:val="16"/>
              </w:rPr>
              <w:t>ANZAC Day</w:t>
            </w:r>
          </w:p>
        </w:tc>
        <w:tc>
          <w:tcPr>
            <w:tcW w:w="360"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auto" w:val="clear"/>
            <w:tcMar>
              <w:left w:w="93" w:type="dxa"/>
            </w:tcMar>
          </w:tcPr>
          <w:p>
            <w:pPr>
              <w:pStyle w:val="Normal"/>
              <w:spacing w:before="80" w:after="80"/>
              <w:rPr>
                <w:rFonts w:ascii="Arial" w:hAnsi="Arial" w:cs="Arial"/>
                <w:sz w:val="20"/>
              </w:rPr>
            </w:pPr>
            <w:r>
              <w:rPr>
                <w:rFonts w:cs="Arial" w:ascii="Arial" w:hAnsi="Arial"/>
                <w:sz w:val="20"/>
              </w:rPr>
            </w:r>
          </w:p>
        </w:tc>
        <w:tc>
          <w:tcPr>
            <w:tcW w:w="2964" w:type="dxa"/>
            <w:tcBorders>
              <w:top w:val="single" w:sz="2" w:space="0" w:color="C0C0C0"/>
              <w:left w:val="single" w:sz="12" w:space="0" w:color="00000A"/>
              <w:bottom w:val="single" w:sz="2" w:space="0" w:color="C0C0C0"/>
              <w:right w:val="single" w:sz="12" w:space="0" w:color="00000A"/>
              <w:insideH w:val="single" w:sz="2" w:space="0" w:color="C0C0C0"/>
              <w:insideV w:val="single" w:sz="12" w:space="0" w:color="00000A"/>
            </w:tcBorders>
            <w:shd w:color="auto" w:fill="auto" w:val="clear"/>
            <w:tcMar>
              <w:left w:w="93" w:type="dxa"/>
            </w:tcMar>
          </w:tcPr>
          <w:p>
            <w:pPr>
              <w:pStyle w:val="Normal"/>
              <w:spacing w:before="80" w:after="80"/>
              <w:jc w:val="center"/>
              <w:rPr/>
            </w:pPr>
            <w:r>
              <w:rPr>
                <w:rFonts w:ascii="Verdana" w:hAnsi="Verdana"/>
                <w:sz w:val="16"/>
                <w:szCs w:val="16"/>
              </w:rPr>
              <w:t>Boxing Day</w:t>
            </w:r>
          </w:p>
        </w:tc>
        <w:tc>
          <w:tcPr>
            <w:tcW w:w="425"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auto" w:val="clear"/>
            <w:tcMar>
              <w:left w:w="93" w:type="dxa"/>
            </w:tcMar>
          </w:tcPr>
          <w:p>
            <w:pPr>
              <w:pStyle w:val="Normal"/>
              <w:spacing w:before="80" w:after="80"/>
              <w:rPr>
                <w:rFonts w:ascii="Arial" w:hAnsi="Arial" w:cs="Arial"/>
                <w:sz w:val="20"/>
              </w:rPr>
            </w:pPr>
            <w:r>
              <w:rPr>
                <w:rFonts w:cs="Arial" w:ascii="Arial" w:hAnsi="Arial"/>
                <w:sz w:val="20"/>
              </w:rPr>
            </w:r>
          </w:p>
        </w:tc>
        <w:tc>
          <w:tcPr>
            <w:tcW w:w="1275" w:type="dxa"/>
            <w:tcBorders>
              <w:left w:val="single" w:sz="12" w:space="0" w:color="00000A"/>
              <w:right w:val="single" w:sz="2" w:space="0" w:color="00000A"/>
              <w:insideV w:val="single" w:sz="2" w:space="0" w:color="00000A"/>
            </w:tcBorders>
            <w:shd w:color="auto" w:fill="auto" w:val="clear"/>
            <w:tcMar>
              <w:left w:w="93" w:type="dxa"/>
            </w:tcMar>
          </w:tcPr>
          <w:p>
            <w:pPr>
              <w:pStyle w:val="Normal"/>
              <w:spacing w:before="80" w:after="80"/>
              <w:rPr>
                <w:rFonts w:ascii="Arial" w:hAnsi="Arial" w:cs="Arial"/>
                <w:sz w:val="20"/>
              </w:rPr>
            </w:pPr>
            <w:r>
              <w:rPr>
                <w:rFonts w:cs="Arial" w:ascii="Arial" w:hAnsi="Arial"/>
                <w:sz w:val="20"/>
              </w:rPr>
            </w:r>
          </w:p>
        </w:tc>
      </w:tr>
      <w:tr>
        <w:trPr/>
        <w:tc>
          <w:tcPr>
            <w:tcW w:w="2879" w:type="dxa"/>
            <w:tcBorders>
              <w:top w:val="single" w:sz="2" w:space="0" w:color="C0C0C0"/>
              <w:left w:val="single" w:sz="2" w:space="0" w:color="00000A"/>
              <w:bottom w:val="single" w:sz="2" w:space="0" w:color="C0C0C0"/>
              <w:right w:val="single" w:sz="12" w:space="0" w:color="00000A"/>
              <w:insideH w:val="single" w:sz="2" w:space="0" w:color="C0C0C0"/>
              <w:insideV w:val="single" w:sz="12" w:space="0" w:color="00000A"/>
            </w:tcBorders>
            <w:shd w:color="auto" w:fill="auto" w:val="clear"/>
            <w:tcMar>
              <w:left w:w="105" w:type="dxa"/>
            </w:tcMar>
          </w:tcPr>
          <w:p>
            <w:pPr>
              <w:pStyle w:val="Normal"/>
              <w:spacing w:before="80" w:after="80"/>
              <w:jc w:val="right"/>
              <w:rPr/>
            </w:pPr>
            <w:r>
              <w:rPr>
                <w:rFonts w:ascii="Verdana" w:hAnsi="Verdana"/>
                <w:sz w:val="16"/>
                <w:szCs w:val="16"/>
              </w:rPr>
              <w:t xml:space="preserve">Waitangi Day </w:t>
            </w:r>
          </w:p>
        </w:tc>
        <w:tc>
          <w:tcPr>
            <w:tcW w:w="360"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auto" w:val="clear"/>
            <w:tcMar>
              <w:left w:w="93" w:type="dxa"/>
            </w:tcMar>
          </w:tcPr>
          <w:p>
            <w:pPr>
              <w:pStyle w:val="Normal"/>
              <w:spacing w:before="80" w:after="80"/>
              <w:rPr>
                <w:rFonts w:ascii="Arial" w:hAnsi="Arial" w:cs="Arial"/>
                <w:sz w:val="16"/>
                <w:szCs w:val="16"/>
              </w:rPr>
            </w:pPr>
            <w:r>
              <w:rPr>
                <w:rFonts w:cs="Arial" w:ascii="Arial" w:hAnsi="Arial"/>
                <w:sz w:val="16"/>
                <w:szCs w:val="16"/>
              </w:rPr>
            </w:r>
          </w:p>
        </w:tc>
        <w:tc>
          <w:tcPr>
            <w:tcW w:w="2521" w:type="dxa"/>
            <w:tcBorders>
              <w:top w:val="single" w:sz="2" w:space="0" w:color="C0C0C0"/>
              <w:left w:val="single" w:sz="12" w:space="0" w:color="00000A"/>
              <w:bottom w:val="single" w:sz="2" w:space="0" w:color="C0C0C0"/>
              <w:right w:val="single" w:sz="12" w:space="0" w:color="00000A"/>
              <w:insideH w:val="single" w:sz="2" w:space="0" w:color="C0C0C0"/>
              <w:insideV w:val="single" w:sz="12" w:space="0" w:color="00000A"/>
            </w:tcBorders>
            <w:shd w:color="auto" w:fill="auto" w:val="clear"/>
            <w:tcMar>
              <w:left w:w="93" w:type="dxa"/>
            </w:tcMar>
          </w:tcPr>
          <w:p>
            <w:pPr>
              <w:pStyle w:val="Normal"/>
              <w:spacing w:before="80" w:after="80"/>
              <w:jc w:val="right"/>
              <w:rPr/>
            </w:pPr>
            <w:r>
              <w:rPr>
                <w:rFonts w:ascii="Verdana" w:hAnsi="Verdana"/>
                <w:sz w:val="16"/>
                <w:szCs w:val="16"/>
              </w:rPr>
              <w:t>Queen's Birthday</w:t>
            </w:r>
          </w:p>
        </w:tc>
        <w:tc>
          <w:tcPr>
            <w:tcW w:w="360"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auto" w:val="clear"/>
            <w:tcMar>
              <w:left w:w="93" w:type="dxa"/>
            </w:tcMar>
          </w:tcPr>
          <w:p>
            <w:pPr>
              <w:pStyle w:val="Normal"/>
              <w:spacing w:before="80" w:after="80"/>
              <w:rPr>
                <w:rFonts w:ascii="Arial" w:hAnsi="Arial" w:cs="Arial"/>
                <w:sz w:val="20"/>
              </w:rPr>
            </w:pPr>
            <w:r>
              <w:rPr>
                <w:rFonts w:cs="Arial" w:ascii="Arial" w:hAnsi="Arial"/>
                <w:sz w:val="20"/>
              </w:rPr>
            </w:r>
          </w:p>
        </w:tc>
        <w:tc>
          <w:tcPr>
            <w:tcW w:w="2964" w:type="dxa"/>
            <w:tcBorders>
              <w:top w:val="single" w:sz="2" w:space="0" w:color="C0C0C0"/>
              <w:left w:val="single" w:sz="12" w:space="0" w:color="00000A"/>
              <w:bottom w:val="single" w:sz="2" w:space="0" w:color="C0C0C0"/>
              <w:right w:val="single" w:sz="12" w:space="0" w:color="00000A"/>
              <w:insideH w:val="single" w:sz="2" w:space="0" w:color="C0C0C0"/>
              <w:insideV w:val="single" w:sz="12" w:space="0" w:color="00000A"/>
            </w:tcBorders>
            <w:shd w:color="auto" w:fill="auto" w:val="clear"/>
            <w:tcMar>
              <w:left w:w="93" w:type="dxa"/>
            </w:tcMar>
          </w:tcPr>
          <w:p>
            <w:pPr>
              <w:pStyle w:val="Normal"/>
              <w:spacing w:before="80" w:after="80"/>
              <w:jc w:val="center"/>
              <w:rPr/>
            </w:pPr>
            <w:r>
              <w:rPr>
                <w:rFonts w:ascii="Verdana" w:hAnsi="Verdana"/>
                <w:sz w:val="16"/>
                <w:szCs w:val="16"/>
              </w:rPr>
              <w:t>Local Anniversary Day</w:t>
            </w:r>
          </w:p>
        </w:tc>
        <w:tc>
          <w:tcPr>
            <w:tcW w:w="425"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auto" w:val="clear"/>
            <w:tcMar>
              <w:left w:w="93" w:type="dxa"/>
            </w:tcMar>
          </w:tcPr>
          <w:p>
            <w:pPr>
              <w:pStyle w:val="Normal"/>
              <w:spacing w:before="80" w:after="80"/>
              <w:rPr>
                <w:rFonts w:ascii="Arial" w:hAnsi="Arial" w:cs="Arial"/>
                <w:sz w:val="20"/>
              </w:rPr>
            </w:pPr>
            <w:r>
              <w:rPr>
                <w:rFonts w:cs="Arial" w:ascii="Arial" w:hAnsi="Arial"/>
                <w:sz w:val="20"/>
              </w:rPr>
            </w:r>
          </w:p>
        </w:tc>
        <w:tc>
          <w:tcPr>
            <w:tcW w:w="1275" w:type="dxa"/>
            <w:tcBorders>
              <w:left w:val="single" w:sz="12" w:space="0" w:color="00000A"/>
              <w:right w:val="single" w:sz="2" w:space="0" w:color="00000A"/>
              <w:insideV w:val="single" w:sz="2" w:space="0" w:color="00000A"/>
            </w:tcBorders>
            <w:shd w:color="auto" w:fill="auto" w:val="clear"/>
            <w:tcMar>
              <w:left w:w="93" w:type="dxa"/>
            </w:tcMar>
          </w:tcPr>
          <w:p>
            <w:pPr>
              <w:pStyle w:val="Normal"/>
              <w:spacing w:before="80" w:after="80"/>
              <w:rPr>
                <w:rFonts w:ascii="Arial" w:hAnsi="Arial" w:cs="Arial"/>
                <w:sz w:val="20"/>
              </w:rPr>
            </w:pPr>
            <w:r>
              <w:rPr>
                <w:rFonts w:cs="Arial" w:ascii="Arial" w:hAnsi="Arial"/>
                <w:sz w:val="20"/>
              </w:rPr>
            </w:r>
          </w:p>
        </w:tc>
      </w:tr>
      <w:tr>
        <w:trPr/>
        <w:tc>
          <w:tcPr>
            <w:tcW w:w="2879" w:type="dxa"/>
            <w:tcBorders>
              <w:top w:val="single" w:sz="2" w:space="0" w:color="C0C0C0"/>
              <w:left w:val="single" w:sz="2" w:space="0" w:color="00000A"/>
              <w:bottom w:val="single" w:sz="2" w:space="0" w:color="C0C0C0"/>
              <w:right w:val="single" w:sz="12" w:space="0" w:color="00000A"/>
              <w:insideH w:val="single" w:sz="2" w:space="0" w:color="C0C0C0"/>
              <w:insideV w:val="single" w:sz="12" w:space="0" w:color="00000A"/>
            </w:tcBorders>
            <w:shd w:color="auto" w:fill="auto" w:val="clear"/>
            <w:tcMar>
              <w:left w:w="105" w:type="dxa"/>
            </w:tcMar>
          </w:tcPr>
          <w:p>
            <w:pPr>
              <w:pStyle w:val="Normal"/>
              <w:spacing w:before="80" w:after="80"/>
              <w:jc w:val="right"/>
              <w:rPr/>
            </w:pPr>
            <w:r>
              <w:rPr>
                <w:rFonts w:ascii="Verdana" w:hAnsi="Verdana"/>
                <w:sz w:val="16"/>
                <w:szCs w:val="16"/>
              </w:rPr>
              <w:t>Good Friday</w:t>
            </w:r>
          </w:p>
        </w:tc>
        <w:tc>
          <w:tcPr>
            <w:tcW w:w="360"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auto" w:val="clear"/>
            <w:tcMar>
              <w:left w:w="93" w:type="dxa"/>
            </w:tcMar>
          </w:tcPr>
          <w:p>
            <w:pPr>
              <w:pStyle w:val="Normal"/>
              <w:spacing w:before="80" w:after="80"/>
              <w:rPr>
                <w:rFonts w:ascii="Arial" w:hAnsi="Arial" w:cs="Arial"/>
                <w:sz w:val="16"/>
                <w:szCs w:val="16"/>
              </w:rPr>
            </w:pPr>
            <w:r>
              <w:rPr>
                <w:rFonts w:cs="Arial" w:ascii="Arial" w:hAnsi="Arial"/>
                <w:sz w:val="16"/>
                <w:szCs w:val="16"/>
              </w:rPr>
            </w:r>
          </w:p>
        </w:tc>
        <w:tc>
          <w:tcPr>
            <w:tcW w:w="2521" w:type="dxa"/>
            <w:tcBorders>
              <w:top w:val="single" w:sz="2" w:space="0" w:color="C0C0C0"/>
              <w:left w:val="single" w:sz="12" w:space="0" w:color="00000A"/>
              <w:bottom w:val="single" w:sz="2" w:space="0" w:color="C0C0C0"/>
              <w:right w:val="single" w:sz="12" w:space="0" w:color="00000A"/>
              <w:insideH w:val="single" w:sz="2" w:space="0" w:color="C0C0C0"/>
              <w:insideV w:val="single" w:sz="12" w:space="0" w:color="00000A"/>
            </w:tcBorders>
            <w:shd w:color="auto" w:fill="auto" w:val="clear"/>
            <w:tcMar>
              <w:left w:w="93" w:type="dxa"/>
            </w:tcMar>
          </w:tcPr>
          <w:p>
            <w:pPr>
              <w:pStyle w:val="Normal"/>
              <w:spacing w:before="80" w:after="80"/>
              <w:jc w:val="right"/>
              <w:rPr/>
            </w:pPr>
            <w:r>
              <w:rPr>
                <w:rFonts w:ascii="Verdana" w:hAnsi="Verdana"/>
                <w:sz w:val="16"/>
                <w:szCs w:val="16"/>
              </w:rPr>
              <w:t>Labour Day</w:t>
            </w:r>
          </w:p>
        </w:tc>
        <w:tc>
          <w:tcPr>
            <w:tcW w:w="360"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color="auto" w:fill="auto" w:val="clear"/>
            <w:tcMar>
              <w:left w:w="93" w:type="dxa"/>
            </w:tcMar>
          </w:tcPr>
          <w:p>
            <w:pPr>
              <w:pStyle w:val="Normal"/>
              <w:spacing w:before="80" w:after="80"/>
              <w:rPr>
                <w:rFonts w:ascii="Arial" w:hAnsi="Arial" w:cs="Arial"/>
                <w:sz w:val="20"/>
              </w:rPr>
            </w:pPr>
            <w:r>
              <w:rPr>
                <w:rFonts w:cs="Arial" w:ascii="Arial" w:hAnsi="Arial"/>
                <w:sz w:val="20"/>
              </w:rPr>
            </w:r>
          </w:p>
        </w:tc>
        <w:tc>
          <w:tcPr>
            <w:tcW w:w="2964" w:type="dxa"/>
            <w:tcBorders>
              <w:top w:val="single" w:sz="2" w:space="0" w:color="C0C0C0"/>
              <w:left w:val="single" w:sz="12" w:space="0" w:color="00000A"/>
              <w:bottom w:val="single" w:sz="2" w:space="0" w:color="C0C0C0"/>
              <w:right w:val="single" w:sz="2" w:space="0" w:color="C0C0C0"/>
              <w:insideH w:val="single" w:sz="2" w:space="0" w:color="C0C0C0"/>
              <w:insideV w:val="single" w:sz="2" w:space="0" w:color="C0C0C0"/>
            </w:tcBorders>
            <w:shd w:color="auto" w:fill="auto" w:val="clear"/>
            <w:tcMar>
              <w:left w:w="93" w:type="dxa"/>
            </w:tcMar>
          </w:tcPr>
          <w:p>
            <w:pPr>
              <w:pStyle w:val="Normal"/>
              <w:spacing w:before="80" w:after="80"/>
              <w:rPr>
                <w:rFonts w:ascii="Arial" w:hAnsi="Arial" w:cs="Arial"/>
                <w:sz w:val="20"/>
              </w:rPr>
            </w:pPr>
            <w:r>
              <w:rPr>
                <w:rFonts w:cs="Arial" w:ascii="Arial" w:hAnsi="Arial"/>
                <w:sz w:val="20"/>
              </w:rPr>
            </w:r>
          </w:p>
        </w:tc>
        <w:tc>
          <w:tcPr>
            <w:tcW w:w="425" w:type="dxa"/>
            <w:tcBorders>
              <w:top w:val="single" w:sz="12" w:space="0" w:color="00000A"/>
              <w:left w:val="single" w:sz="2" w:space="0" w:color="C0C0C0"/>
            </w:tcBorders>
            <w:shd w:color="auto" w:fill="auto" w:val="clear"/>
            <w:tcMar>
              <w:left w:w="105" w:type="dxa"/>
            </w:tcMar>
          </w:tcPr>
          <w:p>
            <w:pPr>
              <w:pStyle w:val="Normal"/>
              <w:spacing w:before="80" w:after="80"/>
              <w:rPr>
                <w:rFonts w:ascii="Arial" w:hAnsi="Arial" w:cs="Arial"/>
                <w:sz w:val="20"/>
              </w:rPr>
            </w:pPr>
            <w:r>
              <w:rPr>
                <w:rFonts w:cs="Arial" w:ascii="Arial" w:hAnsi="Arial"/>
                <w:sz w:val="20"/>
              </w:rPr>
            </w:r>
          </w:p>
        </w:tc>
        <w:tc>
          <w:tcPr>
            <w:tcW w:w="1275" w:type="dxa"/>
            <w:tcBorders>
              <w:right w:val="single" w:sz="2" w:space="0" w:color="00000A"/>
              <w:insideV w:val="single" w:sz="2" w:space="0" w:color="00000A"/>
            </w:tcBorders>
            <w:shd w:color="auto" w:fill="auto" w:val="clear"/>
          </w:tcPr>
          <w:p>
            <w:pPr>
              <w:pStyle w:val="Normal"/>
              <w:spacing w:before="80" w:after="80"/>
              <w:rPr>
                <w:rFonts w:ascii="Arial" w:hAnsi="Arial" w:cs="Arial"/>
                <w:sz w:val="20"/>
              </w:rPr>
            </w:pPr>
            <w:r>
              <w:rPr>
                <w:rFonts w:cs="Arial" w:ascii="Arial" w:hAnsi="Arial"/>
                <w:sz w:val="20"/>
              </w:rPr>
            </w:r>
          </w:p>
        </w:tc>
      </w:tr>
      <w:tr>
        <w:trPr/>
        <w:tc>
          <w:tcPr>
            <w:tcW w:w="9509" w:type="dxa"/>
            <w:gridSpan w:val="6"/>
            <w:tcBorders>
              <w:left w:val="single" w:sz="2" w:space="0" w:color="00000A"/>
              <w:right w:val="single" w:sz="2" w:space="0" w:color="00000A"/>
              <w:insideV w:val="single" w:sz="2" w:space="0" w:color="00000A"/>
            </w:tcBorders>
            <w:shd w:color="auto" w:fill="auto" w:val="clear"/>
            <w:tcMar>
              <w:left w:w="105" w:type="dxa"/>
            </w:tcMar>
          </w:tcPr>
          <w:p>
            <w:pPr>
              <w:pStyle w:val="Normal"/>
              <w:spacing w:before="80" w:after="80"/>
              <w:rPr>
                <w:rFonts w:ascii="Arial" w:hAnsi="Arial" w:cs="Arial"/>
                <w:b/>
                <w:b/>
                <w:sz w:val="8"/>
                <w:szCs w:val="8"/>
              </w:rPr>
            </w:pPr>
            <w:r>
              <w:rPr>
                <w:rFonts w:cs="Arial" w:ascii="Arial" w:hAnsi="Arial"/>
                <w:b/>
                <w:sz w:val="8"/>
                <w:szCs w:val="8"/>
              </w:rPr>
            </w:r>
          </w:p>
        </w:tc>
        <w:tc>
          <w:tcPr>
            <w:tcW w:w="1275" w:type="dxa"/>
            <w:tcBorders/>
            <w:shd w:fill="auto" w:val="clear"/>
          </w:tcPr>
          <w:p>
            <w:pPr>
              <w:pStyle w:val="Normal"/>
              <w:spacing w:before="0" w:after="200"/>
              <w:rPr/>
            </w:pPr>
            <w:r>
              <w:rPr/>
            </w:r>
          </w:p>
        </w:tc>
      </w:tr>
      <w:tr>
        <w:trPr/>
        <w:tc>
          <w:tcPr>
            <w:tcW w:w="9509" w:type="dxa"/>
            <w:gridSpan w:val="6"/>
            <w:tcBorders>
              <w:left w:val="single" w:sz="2" w:space="0" w:color="00000A"/>
              <w:bottom w:val="single" w:sz="2" w:space="0" w:color="00000A"/>
              <w:right w:val="single" w:sz="2" w:space="0" w:color="00000A"/>
              <w:insideH w:val="single" w:sz="2" w:space="0" w:color="00000A"/>
              <w:insideV w:val="single" w:sz="2" w:space="0" w:color="00000A"/>
            </w:tcBorders>
            <w:shd w:color="auto" w:fill="auto" w:val="clear"/>
            <w:tcMar>
              <w:left w:w="105" w:type="dxa"/>
            </w:tcMar>
          </w:tcPr>
          <w:p>
            <w:pPr>
              <w:pStyle w:val="Normal"/>
              <w:spacing w:before="80" w:after="80"/>
              <w:rPr>
                <w:rFonts w:ascii="Arial" w:hAnsi="Arial" w:cs="Arial"/>
                <w:b/>
                <w:b/>
                <w:sz w:val="8"/>
                <w:szCs w:val="8"/>
              </w:rPr>
            </w:pPr>
            <w:r>
              <w:rPr>
                <w:rFonts w:cs="Arial" w:ascii="Arial" w:hAnsi="Arial"/>
                <w:b/>
                <w:sz w:val="8"/>
                <w:szCs w:val="8"/>
              </w:rPr>
            </w:r>
          </w:p>
        </w:tc>
        <w:tc>
          <w:tcPr>
            <w:tcW w:w="1275" w:type="dxa"/>
            <w:tcBorders/>
            <w:shd w:fill="auto" w:val="clear"/>
          </w:tcPr>
          <w:p>
            <w:pPr>
              <w:pStyle w:val="Normal"/>
              <w:spacing w:before="0" w:after="200"/>
              <w:rPr/>
            </w:pPr>
            <w:r>
              <w:rPr/>
            </w:r>
          </w:p>
        </w:tc>
      </w:tr>
    </w:tbl>
    <w:p>
      <w:pPr>
        <w:pStyle w:val="Normal"/>
        <w:rPr/>
      </w:pPr>
      <w:r>
        <w:rPr/>
      </w:r>
    </w:p>
    <w:tbl>
      <w:tblPr>
        <w:tblW w:w="9934" w:type="dxa"/>
        <w:jc w:val="left"/>
        <w:tblInd w:w="-612" w:type="dxa"/>
        <w:tblBorders>
          <w:top w:val="single" w:sz="2" w:space="0" w:color="00000A"/>
          <w:left w:val="single" w:sz="2" w:space="0" w:color="00000A"/>
          <w:bottom w:val="single" w:sz="4" w:space="0" w:color="00000A"/>
          <w:right w:val="single" w:sz="2" w:space="0" w:color="00000A"/>
          <w:insideH w:val="single" w:sz="4" w:space="0" w:color="00000A"/>
          <w:insideV w:val="single" w:sz="2" w:space="0" w:color="00000A"/>
        </w:tblBorders>
        <w:tblCellMar>
          <w:top w:w="0" w:type="dxa"/>
          <w:left w:w="110" w:type="dxa"/>
          <w:bottom w:w="0" w:type="dxa"/>
          <w:right w:w="108" w:type="dxa"/>
        </w:tblCellMar>
        <w:tblLook w:firstRow="1" w:noVBand="0" w:lastRow="1" w:firstColumn="1" w:lastColumn="1" w:noHBand="0" w:val="01e0"/>
      </w:tblPr>
      <w:tblGrid>
        <w:gridCol w:w="6119"/>
        <w:gridCol w:w="1260"/>
        <w:gridCol w:w="721"/>
        <w:gridCol w:w="359"/>
        <w:gridCol w:w="721"/>
        <w:gridCol w:w="359"/>
        <w:gridCol w:w="394"/>
      </w:tblGrid>
      <w:tr>
        <w:trPr/>
        <w:tc>
          <w:tcPr>
            <w:tcW w:w="9933" w:type="dxa"/>
            <w:gridSpan w:val="7"/>
            <w:tcBorders>
              <w:top w:val="single" w:sz="2" w:space="0" w:color="00000A"/>
              <w:left w:val="single" w:sz="2" w:space="0" w:color="00000A"/>
              <w:bottom w:val="single" w:sz="4" w:space="0" w:color="00000A"/>
              <w:right w:val="single" w:sz="2" w:space="0" w:color="00000A"/>
              <w:insideH w:val="single" w:sz="4" w:space="0" w:color="00000A"/>
              <w:insideV w:val="single" w:sz="2" w:space="0" w:color="00000A"/>
            </w:tcBorders>
            <w:shd w:color="auto" w:fill="F3F3F3" w:val="clear"/>
            <w:tcMar>
              <w:left w:w="110" w:type="dxa"/>
            </w:tcMar>
          </w:tcPr>
          <w:p>
            <w:pPr>
              <w:pStyle w:val="Normal"/>
              <w:spacing w:before="80" w:after="80"/>
              <w:rPr/>
            </w:pPr>
            <w:r>
              <w:rPr>
                <w:rFonts w:eastAsia="Wingdings" w:cs="Wingdings" w:ascii="Wingdings" w:hAnsi="Wingdings"/>
                <w:b/>
              </w:rPr>
              <w:t></w:t>
            </w:r>
            <w:r>
              <w:rPr>
                <w:rFonts w:cs="Arial" w:ascii="Arial" w:hAnsi="Arial"/>
                <w:b/>
              </w:rPr>
              <w:t xml:space="preserve"> </w:t>
            </w:r>
            <w:r>
              <w:rPr>
                <w:rFonts w:cs="Arial" w:ascii="Arial" w:hAnsi="Arial"/>
                <w:b/>
              </w:rPr>
              <w:t>Home-Based Education and Care Services Only</w:t>
            </w:r>
          </w:p>
        </w:tc>
      </w:tr>
      <w:tr>
        <w:trPr/>
        <w:tc>
          <w:tcPr>
            <w:tcW w:w="9933" w:type="dxa"/>
            <w:gridSpan w:val="7"/>
            <w:tcBorders>
              <w:top w:val="single" w:sz="4" w:space="0" w:color="00000A"/>
              <w:left w:val="single" w:sz="2" w:space="0" w:color="00000A"/>
              <w:right w:val="single" w:sz="2" w:space="0" w:color="00000A"/>
              <w:insideV w:val="single" w:sz="2" w:space="0" w:color="00000A"/>
            </w:tcBorders>
            <w:shd w:fill="auto" w:val="clear"/>
            <w:tcMar>
              <w:left w:w="110" w:type="dxa"/>
            </w:tcMar>
          </w:tcPr>
          <w:p>
            <w:pPr>
              <w:pStyle w:val="Normal"/>
              <w:spacing w:before="80" w:after="80"/>
              <w:rPr/>
            </w:pPr>
            <w:r>
              <w:rPr>
                <w:rFonts w:cs="Arial" w:ascii="Arial" w:hAnsi="Arial"/>
                <w:b/>
                <w:sz w:val="20"/>
                <w:szCs w:val="20"/>
              </w:rPr>
              <w:t>This section is a compulsory requirement for Enrolment Agreement Forms used by Home-Based Services</w:t>
            </w:r>
          </w:p>
        </w:tc>
      </w:tr>
      <w:tr>
        <w:trPr/>
        <w:tc>
          <w:tcPr>
            <w:tcW w:w="9933" w:type="dxa"/>
            <w:gridSpan w:val="7"/>
            <w:tcBorders>
              <w:left w:val="single" w:sz="2" w:space="0" w:color="00000A"/>
              <w:right w:val="single" w:sz="2" w:space="0" w:color="00000A"/>
              <w:insideV w:val="single" w:sz="2" w:space="0" w:color="00000A"/>
            </w:tcBorders>
            <w:shd w:fill="auto" w:val="clear"/>
            <w:tcMar>
              <w:left w:w="110" w:type="dxa"/>
            </w:tcMar>
          </w:tcPr>
          <w:p>
            <w:pPr>
              <w:pStyle w:val="Normal"/>
              <w:spacing w:before="80" w:after="120"/>
              <w:rPr/>
            </w:pPr>
            <w:r>
              <w:rPr>
                <w:rFonts w:cs="Arial" w:ascii="Arial" w:hAnsi="Arial"/>
                <w:sz w:val="20"/>
                <w:szCs w:val="20"/>
              </w:rPr>
              <w:t>Is the educator who will be providing education and care for your child a member of the child’s family?</w:t>
            </w:r>
          </w:p>
        </w:tc>
      </w:tr>
      <w:tr>
        <w:trPr>
          <w:trHeight w:val="319" w:hRule="atLeast"/>
        </w:trPr>
        <w:tc>
          <w:tcPr>
            <w:tcW w:w="7379" w:type="dxa"/>
            <w:gridSpan w:val="2"/>
            <w:tcBorders>
              <w:left w:val="single" w:sz="2" w:space="0" w:color="00000A"/>
              <w:bottom w:val="single" w:sz="2" w:space="0" w:color="C0C0C0"/>
              <w:insideH w:val="single" w:sz="2" w:space="0" w:color="C0C0C0"/>
            </w:tcBorders>
            <w:shd w:fill="auto" w:val="clear"/>
            <w:tcMar>
              <w:left w:w="110" w:type="dxa"/>
            </w:tcMar>
            <w:vAlign w:val="center"/>
          </w:tcPr>
          <w:p>
            <w:pPr>
              <w:pStyle w:val="Normal"/>
              <w:spacing w:before="0" w:after="200"/>
              <w:jc w:val="right"/>
              <w:rPr/>
            </w:pPr>
            <w:r>
              <w:rPr>
                <w:rFonts w:cs="Arial" w:ascii="Arial" w:hAnsi="Arial"/>
                <w:i/>
                <w:sz w:val="16"/>
                <w:szCs w:val="16"/>
              </w:rPr>
              <w:t>Tick One</w:t>
            </w:r>
          </w:p>
        </w:tc>
        <w:tc>
          <w:tcPr>
            <w:tcW w:w="721" w:type="dxa"/>
            <w:tcBorders>
              <w:bottom w:val="single" w:sz="2" w:space="0" w:color="C0C0C0"/>
              <w:right w:val="single" w:sz="12" w:space="0" w:color="00000A"/>
              <w:insideH w:val="single" w:sz="2" w:space="0" w:color="C0C0C0"/>
              <w:insideV w:val="single" w:sz="12" w:space="0" w:color="00000A"/>
            </w:tcBorders>
            <w:shd w:fill="auto" w:val="clear"/>
            <w:vAlign w:val="center"/>
          </w:tcPr>
          <w:p>
            <w:pPr>
              <w:pStyle w:val="Normal"/>
              <w:spacing w:before="0" w:after="200"/>
              <w:jc w:val="right"/>
              <w:rPr/>
            </w:pPr>
            <w:r>
              <w:rPr>
                <w:rFonts w:cs="Arial" w:ascii="Arial" w:hAnsi="Arial"/>
                <w:sz w:val="20"/>
                <w:szCs w:val="20"/>
              </w:rPr>
              <w:t>Yes</w:t>
            </w:r>
          </w:p>
        </w:tc>
        <w:tc>
          <w:tcPr>
            <w:tcW w:w="359"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vAlign w:val="center"/>
          </w:tcPr>
          <w:p>
            <w:pPr>
              <w:pStyle w:val="Normal"/>
              <w:spacing w:before="0" w:after="200"/>
              <w:rPr>
                <w:rFonts w:ascii="Arial" w:hAnsi="Arial" w:cs="Arial"/>
                <w:sz w:val="20"/>
                <w:szCs w:val="20"/>
              </w:rPr>
            </w:pPr>
            <w:r>
              <w:rPr>
                <w:rFonts w:cs="Arial" w:ascii="Arial" w:hAnsi="Arial"/>
                <w:sz w:val="20"/>
                <w:szCs w:val="20"/>
              </w:rPr>
            </w:r>
          </w:p>
        </w:tc>
        <w:tc>
          <w:tcPr>
            <w:tcW w:w="721" w:type="dxa"/>
            <w:tcBorders>
              <w:left w:val="single" w:sz="12" w:space="0" w:color="00000A"/>
              <w:bottom w:val="single" w:sz="2" w:space="0" w:color="C0C0C0"/>
              <w:right w:val="single" w:sz="12" w:space="0" w:color="00000A"/>
              <w:insideH w:val="single" w:sz="2" w:space="0" w:color="C0C0C0"/>
              <w:insideV w:val="single" w:sz="12" w:space="0" w:color="00000A"/>
            </w:tcBorders>
            <w:shd w:fill="auto" w:val="clear"/>
            <w:tcMar>
              <w:left w:w="98" w:type="dxa"/>
            </w:tcMar>
            <w:vAlign w:val="center"/>
          </w:tcPr>
          <w:p>
            <w:pPr>
              <w:pStyle w:val="Normal"/>
              <w:spacing w:before="0" w:after="200"/>
              <w:jc w:val="right"/>
              <w:rPr/>
            </w:pPr>
            <w:r>
              <w:rPr>
                <w:rFonts w:cs="Arial" w:ascii="Arial" w:hAnsi="Arial"/>
                <w:sz w:val="20"/>
                <w:szCs w:val="20"/>
              </w:rPr>
              <w:t>No</w:t>
            </w:r>
          </w:p>
        </w:tc>
        <w:tc>
          <w:tcPr>
            <w:tcW w:w="359" w:type="dxa"/>
            <w:tc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cBorders>
            <w:shd w:fill="auto" w:val="clear"/>
            <w:tcMar>
              <w:left w:w="98" w:type="dxa"/>
            </w:tcMar>
            <w:vAlign w:val="center"/>
          </w:tcPr>
          <w:p>
            <w:pPr>
              <w:pStyle w:val="Normal"/>
              <w:spacing w:before="0" w:after="200"/>
              <w:rPr>
                <w:rFonts w:ascii="Arial" w:hAnsi="Arial" w:cs="Arial"/>
                <w:sz w:val="20"/>
                <w:szCs w:val="20"/>
              </w:rPr>
            </w:pPr>
            <w:r>
              <w:rPr>
                <w:rFonts w:cs="Arial" w:ascii="Arial" w:hAnsi="Arial"/>
                <w:sz w:val="20"/>
                <w:szCs w:val="20"/>
              </w:rPr>
            </w:r>
          </w:p>
        </w:tc>
        <w:tc>
          <w:tcPr>
            <w:tcW w:w="394" w:type="dxa"/>
            <w:tcBorders>
              <w:left w:val="single" w:sz="12" w:space="0" w:color="00000A"/>
              <w:bottom w:val="single" w:sz="2" w:space="0" w:color="C0C0C0"/>
              <w:right w:val="single" w:sz="2" w:space="0" w:color="00000A"/>
              <w:insideH w:val="single" w:sz="2" w:space="0" w:color="C0C0C0"/>
              <w:insideV w:val="single" w:sz="2" w:space="0" w:color="00000A"/>
            </w:tcBorders>
            <w:shd w:fill="auto" w:val="clear"/>
            <w:tcMar>
              <w:left w:w="98" w:type="dxa"/>
            </w:tcMar>
            <w:vAlign w:val="center"/>
          </w:tcPr>
          <w:p>
            <w:pPr>
              <w:pStyle w:val="Normal"/>
              <w:spacing w:before="0" w:after="200"/>
              <w:rPr>
                <w:rFonts w:ascii="Arial" w:hAnsi="Arial" w:cs="Arial"/>
                <w:sz w:val="20"/>
                <w:szCs w:val="20"/>
              </w:rPr>
            </w:pPr>
            <w:r>
              <w:rPr>
                <w:rFonts w:cs="Arial" w:ascii="Arial" w:hAnsi="Arial"/>
                <w:sz w:val="20"/>
                <w:szCs w:val="20"/>
              </w:rPr>
            </w:r>
          </w:p>
        </w:tc>
      </w:tr>
      <w:tr>
        <w:trPr/>
        <w:tc>
          <w:tcPr>
            <w:tcW w:w="9933" w:type="dxa"/>
            <w:gridSpan w:val="7"/>
            <w:tcBorders>
              <w:top w:val="single" w:sz="2" w:space="0" w:color="C0C0C0"/>
              <w:left w:val="single" w:sz="2" w:space="0" w:color="00000A"/>
              <w:bottom w:val="single" w:sz="2" w:space="0" w:color="C0C0C0"/>
              <w:right w:val="single" w:sz="2" w:space="0" w:color="00000A"/>
              <w:insideH w:val="single" w:sz="2" w:space="0" w:color="C0C0C0"/>
              <w:insideV w:val="single" w:sz="2" w:space="0" w:color="00000A"/>
            </w:tcBorders>
            <w:shd w:fill="auto" w:val="clear"/>
            <w:tcMar>
              <w:left w:w="110" w:type="dxa"/>
            </w:tcMar>
          </w:tcPr>
          <w:p>
            <w:pPr>
              <w:pStyle w:val="Normal"/>
              <w:spacing w:before="240" w:after="80"/>
              <w:rPr/>
            </w:pPr>
            <w:r>
              <w:rPr>
                <w:rFonts w:cs="Arial" w:ascii="Arial" w:hAnsi="Arial"/>
                <w:sz w:val="20"/>
                <w:szCs w:val="20"/>
              </w:rPr>
              <w:t xml:space="preserve">If yes, what is the relationship of the educators to your child? </w:t>
            </w:r>
          </w:p>
        </w:tc>
      </w:tr>
      <w:tr>
        <w:trPr/>
        <w:tc>
          <w:tcPr>
            <w:tcW w:w="6119" w:type="dxa"/>
            <w:tcBorders>
              <w:top w:val="single" w:sz="2" w:space="0" w:color="C0C0C0"/>
              <w:left w:val="single" w:sz="2" w:space="0" w:color="00000A"/>
              <w:bottom w:val="single" w:sz="2" w:space="0" w:color="00000A"/>
              <w:insideH w:val="single" w:sz="2" w:space="0" w:color="00000A"/>
            </w:tcBorders>
            <w:shd w:fill="auto" w:val="clear"/>
            <w:tcMar>
              <w:left w:w="110" w:type="dxa"/>
            </w:tcMar>
          </w:tcPr>
          <w:p>
            <w:pPr>
              <w:pStyle w:val="Normal"/>
              <w:spacing w:before="360" w:after="80"/>
              <w:rPr/>
            </w:pPr>
            <w:r>
              <w:rPr>
                <w:rFonts w:cs="Arial" w:ascii="Arial" w:hAnsi="Arial"/>
                <w:sz w:val="20"/>
                <w:szCs w:val="20"/>
              </w:rPr>
              <w:t xml:space="preserve">Parent/Guardian Signature: _____________________________ </w:t>
            </w:r>
          </w:p>
        </w:tc>
        <w:tc>
          <w:tcPr>
            <w:tcW w:w="3814" w:type="dxa"/>
            <w:gridSpan w:val="6"/>
            <w:tcBorders>
              <w:top w:val="single" w:sz="2" w:space="0" w:color="C0C0C0"/>
              <w:bottom w:val="single" w:sz="2" w:space="0" w:color="00000A"/>
              <w:right w:val="single" w:sz="2" w:space="0" w:color="00000A"/>
              <w:insideH w:val="single" w:sz="2" w:space="0" w:color="00000A"/>
              <w:insideV w:val="single" w:sz="2" w:space="0" w:color="00000A"/>
            </w:tcBorders>
            <w:shd w:fill="auto" w:val="clear"/>
          </w:tcPr>
          <w:p>
            <w:pPr>
              <w:pStyle w:val="Normal"/>
              <w:spacing w:before="360" w:after="80"/>
              <w:rPr/>
            </w:pPr>
            <w:r>
              <w:rPr>
                <w:rFonts w:cs="Arial" w:ascii="Arial" w:hAnsi="Arial"/>
                <w:sz w:val="20"/>
                <w:szCs w:val="20"/>
              </w:rPr>
              <w:t>Date:   ____ /____ / ____</w:t>
            </w:r>
          </w:p>
        </w:tc>
      </w:tr>
    </w:tbl>
    <w:p>
      <w:pPr>
        <w:pStyle w:val="Normal"/>
        <w:rPr/>
      </w:pPr>
      <w:r>
        <w:rPr/>
      </w:r>
    </w:p>
    <w:tbl>
      <w:tblPr>
        <w:tblW w:w="9934" w:type="dxa"/>
        <w:jc w:val="left"/>
        <w:tblInd w:w="-6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9934"/>
      </w:tblGrid>
      <w:tr>
        <w:trPr>
          <w:trHeight w:val="398" w:hRule="atLeast"/>
        </w:trPr>
        <w:tc>
          <w:tcPr>
            <w:tcW w:w="99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vAlign w:val="center"/>
          </w:tcPr>
          <w:p>
            <w:pPr>
              <w:pStyle w:val="Normal"/>
              <w:spacing w:before="0" w:after="200"/>
              <w:rPr/>
            </w:pPr>
            <w:r>
              <w:rPr>
                <w:rFonts w:cs="Arial" w:ascii="Arial" w:hAnsi="Arial"/>
                <w:b/>
              </w:rPr>
              <w:t>Required Information for Licensing Purposes</w:t>
            </w:r>
          </w:p>
        </w:tc>
      </w:tr>
      <w:tr>
        <w:trPr>
          <w:trHeight w:val="605" w:hRule="atLeast"/>
        </w:trPr>
        <w:tc>
          <w:tcPr>
            <w:tcW w:w="9934" w:type="dxa"/>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numPr>
                <w:ilvl w:val="0"/>
                <w:numId w:val="11"/>
              </w:numPr>
              <w:spacing w:before="0" w:after="200"/>
              <w:rPr/>
            </w:pPr>
            <w:r>
              <w:rPr>
                <w:rFonts w:cs="Arial" w:ascii="Arial" w:hAnsi="Arial"/>
                <w:b/>
                <w:sz w:val="20"/>
              </w:rPr>
              <w:t xml:space="preserve">Excursions: </w:t>
            </w:r>
            <w:r>
              <w:rPr>
                <w:rFonts w:cs="Arial" w:ascii="Arial" w:hAnsi="Arial"/>
                <w:sz w:val="20"/>
              </w:rPr>
              <w:t>Permission for the child to take part in regular excursions (under the conditions stated in the service’s excursions policy).</w:t>
            </w:r>
          </w:p>
        </w:tc>
      </w:tr>
      <w:tr>
        <w:trPr>
          <w:trHeight w:val="398" w:hRule="atLeast"/>
        </w:trPr>
        <w:tc>
          <w:tcPr>
            <w:tcW w:w="9934" w:type="dxa"/>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8"/>
              </w:numPr>
              <w:spacing w:before="80" w:after="80"/>
              <w:ind w:left="357" w:hanging="357"/>
              <w:rPr/>
            </w:pPr>
            <w:r>
              <w:rPr>
                <w:rFonts w:cs="Arial" w:ascii="Arial" w:hAnsi="Arial"/>
                <w:b/>
                <w:sz w:val="20"/>
              </w:rPr>
              <w:t>Photo/video:</w:t>
            </w:r>
            <w:r>
              <w:rPr>
                <w:rFonts w:cs="Arial" w:ascii="Arial" w:hAnsi="Arial"/>
                <w:sz w:val="20"/>
              </w:rPr>
              <w:t xml:space="preserve"> permission for the child to be photographed for the purposes of assessment, planning and evaluation (explain clearly how the photos/videos can/can’t be used)</w:t>
            </w:r>
          </w:p>
        </w:tc>
      </w:tr>
    </w:tbl>
    <w:p>
      <w:pPr>
        <w:pStyle w:val="Normal"/>
        <w:rPr/>
      </w:pPr>
      <w:r>
        <w:rPr/>
      </w:r>
    </w:p>
    <w:tbl>
      <w:tblPr>
        <w:tblW w:w="9934" w:type="dxa"/>
        <w:jc w:val="left"/>
        <w:tblInd w:w="-6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9934"/>
      </w:tblGrid>
      <w:tr>
        <w:trPr>
          <w:trHeight w:val="398" w:hRule="atLeast"/>
        </w:trPr>
        <w:tc>
          <w:tcPr>
            <w:tcW w:w="99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vAlign w:val="center"/>
          </w:tcPr>
          <w:p>
            <w:pPr>
              <w:pStyle w:val="Normal"/>
              <w:spacing w:before="0" w:after="200"/>
              <w:rPr/>
            </w:pPr>
            <w:r>
              <w:rPr>
                <w:rFonts w:cs="Arial" w:ascii="Arial" w:hAnsi="Arial"/>
                <w:b/>
              </w:rPr>
              <w:t>Other information possible to include on this Enrolment Agreement Form</w:t>
            </w:r>
          </w:p>
        </w:tc>
      </w:tr>
      <w:tr>
        <w:trPr>
          <w:trHeight w:val="398" w:hRule="atLeast"/>
        </w:trPr>
        <w:tc>
          <w:tcPr>
            <w:tcW w:w="9934"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numPr>
                <w:ilvl w:val="0"/>
                <w:numId w:val="10"/>
              </w:numPr>
              <w:spacing w:before="80" w:after="80"/>
              <w:ind w:left="357" w:hanging="357"/>
              <w:rPr/>
            </w:pPr>
            <w:r>
              <w:rPr>
                <w:rFonts w:cs="Arial" w:ascii="Arial" w:hAnsi="Arial"/>
                <w:b/>
                <w:sz w:val="20"/>
              </w:rPr>
              <w:t>Policy Statement:</w:t>
            </w:r>
            <w:r>
              <w:rPr>
                <w:rFonts w:cs="Arial" w:ascii="Arial" w:hAnsi="Arial"/>
                <w:sz w:val="20"/>
              </w:rPr>
              <w:t xml:space="preserve"> [insert name of service] has a number of policies that set out the procedures that are in place for the care and education of the children who attend. We strongly urge you to read these. The signing of this enrolment agreement form indicates that you will abide by the policies of this service, and understand how you can have input to policy review.</w:t>
            </w:r>
          </w:p>
        </w:tc>
      </w:tr>
      <w:tr>
        <w:trPr>
          <w:trHeight w:val="398" w:hRule="atLeast"/>
        </w:trPr>
        <w:tc>
          <w:tcPr>
            <w:tcW w:w="9934"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numPr>
                <w:ilvl w:val="0"/>
                <w:numId w:val="10"/>
              </w:numPr>
              <w:spacing w:before="80" w:after="80"/>
              <w:ind w:left="357" w:hanging="357"/>
              <w:rPr/>
            </w:pPr>
            <w:r>
              <w:rPr>
                <w:rFonts w:cs="Arial" w:ascii="Arial" w:hAnsi="Arial"/>
                <w:b/>
                <w:sz w:val="20"/>
              </w:rPr>
              <w:t>Parent Information Book</w:t>
            </w:r>
            <w:r>
              <w:rPr>
                <w:rFonts w:cs="Arial" w:ascii="Arial" w:hAnsi="Arial"/>
                <w:sz w:val="20"/>
              </w:rPr>
              <w:t>: Please ensure you have read the information in the parent handbook as it covers such things as fee details, subsidies that are available to you and ways in which we can help you and your child settle into the service.</w:t>
            </w:r>
          </w:p>
        </w:tc>
      </w:tr>
      <w:tr>
        <w:trPr>
          <w:trHeight w:val="398" w:hRule="atLeast"/>
        </w:trPr>
        <w:tc>
          <w:tcPr>
            <w:tcW w:w="9934"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numPr>
                <w:ilvl w:val="0"/>
                <w:numId w:val="10"/>
              </w:numPr>
              <w:spacing w:before="80" w:after="80"/>
              <w:ind w:left="357" w:hanging="357"/>
              <w:rPr/>
            </w:pPr>
            <w:r>
              <w:rPr>
                <w:rFonts w:cs="Arial" w:ascii="Arial" w:hAnsi="Arial"/>
                <w:b/>
                <w:sz w:val="20"/>
              </w:rPr>
              <w:t>Child’s strengths, interests and preferences:</w:t>
            </w:r>
            <w:r>
              <w:rPr>
                <w:rFonts w:cs="Arial" w:ascii="Arial" w:hAnsi="Arial"/>
                <w:sz w:val="20"/>
              </w:rPr>
              <w:t xml:space="preserve">  Please tell us about your child’s strengths, interests and preferences.</w:t>
            </w:r>
          </w:p>
        </w:tc>
      </w:tr>
      <w:tr>
        <w:trPr>
          <w:trHeight w:val="398" w:hRule="atLeast"/>
        </w:trPr>
        <w:tc>
          <w:tcPr>
            <w:tcW w:w="9934" w:type="dxa"/>
            <w:tcBorders>
              <w:top w:val="single" w:sz="4" w:space="0" w:color="C0C0C0"/>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vAlign w:val="center"/>
          </w:tcPr>
          <w:p>
            <w:pPr>
              <w:pStyle w:val="Normal"/>
              <w:numPr>
                <w:ilvl w:val="0"/>
                <w:numId w:val="10"/>
              </w:numPr>
              <w:spacing w:before="0" w:after="200"/>
              <w:rPr/>
            </w:pPr>
            <w:r>
              <w:rPr>
                <w:rFonts w:cs="Arial" w:ascii="Arial" w:hAnsi="Arial"/>
                <w:b/>
                <w:sz w:val="20"/>
              </w:rPr>
              <w:t xml:space="preserve">Transitional School Visits: </w:t>
            </w:r>
            <w:r>
              <w:rPr>
                <w:rFonts w:cs="Arial" w:ascii="Arial" w:hAnsi="Arial"/>
                <w:sz w:val="20"/>
              </w:rPr>
              <w:t xml:space="preserve">Information on transition arrangements. </w:t>
            </w:r>
          </w:p>
        </w:tc>
      </w:tr>
      <w:tr>
        <w:trPr>
          <w:trHeight w:val="398" w:hRule="atLeast"/>
        </w:trPr>
        <w:tc>
          <w:tcPr>
            <w:tcW w:w="9934" w:type="dxa"/>
            <w:tcBorders>
              <w:top w:val="single" w:sz="4" w:space="0" w:color="C0C0C0"/>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10"/>
              </w:numPr>
              <w:spacing w:before="0" w:after="200"/>
              <w:rPr/>
            </w:pPr>
            <w:r>
              <w:rPr>
                <w:rFonts w:cs="Arial" w:ascii="Arial" w:hAnsi="Arial"/>
                <w:b/>
                <w:sz w:val="20"/>
              </w:rPr>
              <w:t xml:space="preserve">Correspondence School Enrolment: </w:t>
            </w:r>
            <w:r>
              <w:rPr>
                <w:rFonts w:cs="Arial" w:ascii="Arial" w:hAnsi="Arial"/>
                <w:sz w:val="20"/>
              </w:rPr>
              <w:t>Details of enrolment agreement.</w:t>
            </w:r>
          </w:p>
        </w:tc>
      </w:tr>
    </w:tbl>
    <w:p>
      <w:pPr>
        <w:pStyle w:val="Normal"/>
        <w:rPr>
          <w:rFonts w:ascii="Arial" w:hAnsi="Arial" w:cs="Arial"/>
          <w:sz w:val="20"/>
          <w:szCs w:val="20"/>
        </w:rPr>
      </w:pPr>
      <w:r>
        <w:rPr>
          <w:rFonts w:cs="Arial" w:ascii="Arial" w:hAnsi="Arial"/>
          <w:sz w:val="20"/>
          <w:szCs w:val="20"/>
        </w:rPr>
      </w:r>
    </w:p>
    <w:tbl>
      <w:tblPr>
        <w:tblW w:w="9898" w:type="dxa"/>
        <w:jc w:val="left"/>
        <w:tblInd w:w="-6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5868"/>
        <w:gridCol w:w="4029"/>
      </w:tblGrid>
      <w:tr>
        <w:trPr/>
        <w:tc>
          <w:tcPr>
            <w:tcW w:w="98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tcPr>
          <w:p>
            <w:pPr>
              <w:pStyle w:val="Normal"/>
              <w:spacing w:before="80" w:after="80"/>
              <w:rPr/>
            </w:pPr>
            <w:r>
              <w:rPr>
                <w:rFonts w:eastAsia="Wingdings" w:cs="Wingdings" w:ascii="Wingdings" w:hAnsi="Wingdings"/>
                <w:b/>
              </w:rPr>
              <w:t></w:t>
            </w:r>
            <w:r>
              <w:rPr>
                <w:rFonts w:cs="Arial" w:ascii="Arial" w:hAnsi="Arial"/>
                <w:b/>
              </w:rPr>
              <w:t xml:space="preserve"> </w:t>
            </w:r>
            <w:r>
              <w:rPr>
                <w:rFonts w:cs="Arial" w:ascii="Arial" w:hAnsi="Arial"/>
                <w:b/>
              </w:rPr>
              <w:t>Parent Declaration</w:t>
            </w:r>
          </w:p>
        </w:tc>
      </w:tr>
      <w:tr>
        <w:trPr/>
        <w:tc>
          <w:tcPr>
            <w:tcW w:w="9897" w:type="dxa"/>
            <w:gridSpan w:val="2"/>
            <w:tcBorders>
              <w:top w:val="single" w:sz="4" w:space="0" w:color="00000A"/>
              <w:left w:val="single" w:sz="4" w:space="0" w:color="00000A"/>
              <w:bottom w:val="single" w:sz="4" w:space="0" w:color="999999"/>
              <w:right w:val="single" w:sz="4" w:space="0" w:color="00000A"/>
              <w:insideH w:val="single" w:sz="4" w:space="0" w:color="999999"/>
              <w:insideV w:val="single" w:sz="4" w:space="0" w:color="00000A"/>
            </w:tcBorders>
            <w:shd w:fill="auto" w:val="clear"/>
            <w:tcMar>
              <w:left w:w="108" w:type="dxa"/>
            </w:tcMar>
          </w:tcPr>
          <w:p>
            <w:pPr>
              <w:pStyle w:val="Normal"/>
              <w:spacing w:before="80" w:after="80"/>
              <w:rPr/>
            </w:pPr>
            <w:r>
              <w:rPr>
                <w:rFonts w:cs="Arial" w:ascii="Arial" w:hAnsi="Arial"/>
                <w:sz w:val="20"/>
                <w:szCs w:val="20"/>
              </w:rPr>
              <w:t>I declare that all the above information is true and correct to the best of my knowledge.</w:t>
            </w:r>
          </w:p>
        </w:tc>
      </w:tr>
      <w:tr>
        <w:trPr/>
        <w:tc>
          <w:tcPr>
            <w:tcW w:w="5868" w:type="dxa"/>
            <w:tcBorders>
              <w:top w:val="single" w:sz="4" w:space="0" w:color="999999"/>
              <w:left w:val="single" w:sz="4" w:space="0" w:color="00000A"/>
              <w:bottom w:val="single" w:sz="4" w:space="0" w:color="00000A"/>
              <w:insideH w:val="single" w:sz="4" w:space="0" w:color="00000A"/>
            </w:tcBorders>
            <w:shd w:fill="auto" w:val="clear"/>
            <w:tcMar>
              <w:left w:w="108" w:type="dxa"/>
            </w:tcMar>
          </w:tcPr>
          <w:p>
            <w:pPr>
              <w:pStyle w:val="Normal"/>
              <w:spacing w:before="360" w:after="80"/>
              <w:rPr/>
            </w:pPr>
            <w:r>
              <w:rPr>
                <w:rFonts w:cs="Arial" w:ascii="Arial" w:hAnsi="Arial"/>
                <w:sz w:val="20"/>
                <w:szCs w:val="20"/>
              </w:rPr>
              <w:t xml:space="preserve">Parent/Guardian Signature: _____________________________ </w:t>
            </w:r>
          </w:p>
        </w:tc>
        <w:tc>
          <w:tcPr>
            <w:tcW w:w="4029" w:type="dxa"/>
            <w:tcBorders>
              <w:top w:val="single" w:sz="4" w:space="0" w:color="999999"/>
              <w:bottom w:val="single" w:sz="4" w:space="0" w:color="00000A"/>
              <w:right w:val="single" w:sz="4" w:space="0" w:color="00000A"/>
              <w:insideH w:val="single" w:sz="4" w:space="0" w:color="00000A"/>
              <w:insideV w:val="single" w:sz="4" w:space="0" w:color="00000A"/>
            </w:tcBorders>
            <w:shd w:fill="auto" w:val="clear"/>
          </w:tcPr>
          <w:p>
            <w:pPr>
              <w:pStyle w:val="Normal"/>
              <w:spacing w:before="360" w:after="80"/>
              <w:rPr/>
            </w:pPr>
            <w:r>
              <w:rPr>
                <w:rFonts w:cs="Arial" w:ascii="Arial" w:hAnsi="Arial"/>
                <w:sz w:val="20"/>
                <w:szCs w:val="20"/>
              </w:rPr>
              <w:t>Date:   ____ /____ / ____</w:t>
            </w:r>
          </w:p>
        </w:tc>
      </w:tr>
    </w:tbl>
    <w:p>
      <w:pPr>
        <w:pStyle w:val="Normal"/>
        <w:rPr/>
      </w:pPr>
      <w:r>
        <w:rPr/>
      </w:r>
    </w:p>
    <w:tbl>
      <w:tblPr>
        <w:tblW w:w="9898" w:type="dxa"/>
        <w:jc w:val="left"/>
        <w:tblInd w:w="-6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5868"/>
        <w:gridCol w:w="4029"/>
      </w:tblGrid>
      <w:tr>
        <w:trPr/>
        <w:tc>
          <w:tcPr>
            <w:tcW w:w="9897"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tcPr>
          <w:p>
            <w:pPr>
              <w:pStyle w:val="Normal"/>
              <w:spacing w:before="80" w:after="80"/>
              <w:rPr/>
            </w:pPr>
            <w:r>
              <w:rPr>
                <w:rFonts w:eastAsia="Wingdings" w:cs="Wingdings" w:ascii="Wingdings" w:hAnsi="Wingdings"/>
                <w:b/>
              </w:rPr>
              <w:t></w:t>
            </w:r>
            <w:r>
              <w:rPr>
                <w:rFonts w:cs="Arial" w:ascii="Arial" w:hAnsi="Arial"/>
                <w:b/>
              </w:rPr>
              <w:t xml:space="preserve"> </w:t>
            </w:r>
            <w:r>
              <w:rPr>
                <w:rFonts w:cs="Arial" w:ascii="Arial" w:hAnsi="Arial"/>
                <w:b/>
              </w:rPr>
              <w:t>Service Declaration</w:t>
            </w:r>
          </w:p>
        </w:tc>
      </w:tr>
      <w:tr>
        <w:trPr/>
        <w:tc>
          <w:tcPr>
            <w:tcW w:w="9897" w:type="dxa"/>
            <w:gridSpan w:val="2"/>
            <w:tcBorders>
              <w:top w:val="single" w:sz="4" w:space="0" w:color="00000A"/>
              <w:left w:val="single" w:sz="4" w:space="0" w:color="00000A"/>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pPr>
            <w:r>
              <w:rPr>
                <w:rFonts w:cs="Arial" w:ascii="Arial" w:hAnsi="Arial"/>
                <w:sz w:val="20"/>
                <w:szCs w:val="20"/>
              </w:rPr>
              <w:t xml:space="preserve">On behalf of </w:t>
            </w:r>
            <w:r>
              <w:rPr>
                <w:rFonts w:cs="Arial" w:ascii="Arial" w:hAnsi="Arial"/>
                <w:sz w:val="20"/>
              </w:rPr>
              <w:t>[insert name of service]</w:t>
            </w:r>
            <w:r>
              <w:rPr>
                <w:rFonts w:cs="Arial" w:ascii="Arial" w:hAnsi="Arial"/>
                <w:sz w:val="20"/>
                <w:szCs w:val="20"/>
              </w:rPr>
              <w:t>, I declare that this form has been checked and all relevant sections have been completed.</w:t>
            </w:r>
          </w:p>
        </w:tc>
      </w:tr>
      <w:tr>
        <w:trPr/>
        <w:tc>
          <w:tcPr>
            <w:tcW w:w="5868" w:type="dxa"/>
            <w:tcBorders>
              <w:top w:val="single" w:sz="4" w:space="0" w:color="C0C0C0"/>
              <w:left w:val="single" w:sz="4" w:space="0" w:color="00000A"/>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360" w:after="80"/>
              <w:rPr/>
            </w:pPr>
            <w:r>
              <w:rPr>
                <w:rFonts w:cs="Arial" w:ascii="Arial" w:hAnsi="Arial"/>
                <w:sz w:val="20"/>
                <w:szCs w:val="20"/>
              </w:rPr>
              <w:t xml:space="preserve">Service Provider Signature: _____________________________ </w:t>
            </w:r>
          </w:p>
        </w:tc>
        <w:tc>
          <w:tcPr>
            <w:tcW w:w="4029" w:type="dxa"/>
            <w:tcBorders>
              <w:top w:val="single" w:sz="4" w:space="0" w:color="C0C0C0"/>
              <w:left w:val="single" w:sz="4" w:space="0" w:color="C0C0C0"/>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p>
            <w:pPr>
              <w:pStyle w:val="Normal"/>
              <w:spacing w:before="80" w:after="80"/>
              <w:rPr/>
            </w:pPr>
            <w:r>
              <w:rPr>
                <w:rFonts w:cs="Arial" w:ascii="Arial" w:hAnsi="Arial"/>
                <w:sz w:val="20"/>
                <w:szCs w:val="20"/>
              </w:rPr>
              <w:t>Date:   ____ /____ / ____</w:t>
            </w:r>
          </w:p>
        </w:tc>
      </w:tr>
    </w:tbl>
    <w:p>
      <w:pPr>
        <w:pStyle w:val="Normal"/>
        <w:rPr/>
      </w:pPr>
      <w:r>
        <w:rPr/>
      </w:r>
    </w:p>
    <w:tbl>
      <w:tblPr>
        <w:tblW w:w="9792" w:type="dxa"/>
        <w:jc w:val="left"/>
        <w:tblInd w:w="-6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2519"/>
        <w:gridCol w:w="1260"/>
        <w:gridCol w:w="1260"/>
        <w:gridCol w:w="1080"/>
        <w:gridCol w:w="181"/>
        <w:gridCol w:w="1260"/>
        <w:gridCol w:w="1260"/>
        <w:gridCol w:w="971"/>
      </w:tblGrid>
      <w:tr>
        <w:trPr/>
        <w:tc>
          <w:tcPr>
            <w:tcW w:w="9791"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tcPr>
          <w:p>
            <w:pPr>
              <w:pStyle w:val="Normal"/>
              <w:spacing w:before="80" w:after="80"/>
              <w:rPr/>
            </w:pPr>
            <w:r>
              <w:rPr>
                <w:rFonts w:cs="Arial" w:ascii="Arial" w:hAnsi="Arial"/>
                <w:b/>
              </w:rPr>
              <w:t>Change of Days/Times of Enrolment:</w:t>
            </w:r>
          </w:p>
        </w:tc>
      </w:tr>
      <w:tr>
        <w:trPr/>
        <w:tc>
          <w:tcPr>
            <w:tcW w:w="9791"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before="240" w:after="80"/>
              <w:rPr/>
            </w:pPr>
            <w:r>
              <w:rPr>
                <w:rFonts w:cs="Arial" w:ascii="Arial" w:hAnsi="Arial"/>
                <w:b/>
                <w:sz w:val="20"/>
                <w:szCs w:val="20"/>
              </w:rPr>
              <w:t xml:space="preserve">Effective Date of Change:    </w:t>
            </w:r>
            <w:r>
              <w:rPr>
                <w:rFonts w:cs="Arial" w:ascii="Arial" w:hAnsi="Arial"/>
                <w:sz w:val="20"/>
                <w:szCs w:val="20"/>
              </w:rPr>
              <w:t>____ /____ / ____</w:t>
            </w:r>
          </w:p>
        </w:tc>
      </w:tr>
      <w:tr>
        <w:trPr>
          <w:trHeight w:val="399" w:hRule="atLeast"/>
        </w:trPr>
        <w:tc>
          <w:tcPr>
            <w:tcW w:w="2519" w:type="dxa"/>
            <w:tcBorders>
              <w:top w:val="single" w:sz="4" w:space="0" w:color="00000A"/>
              <w:left w:val="single" w:sz="4" w:space="0" w:color="00000A"/>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pPr>
            <w:r>
              <w:rPr>
                <w:rFonts w:cs="Arial" w:ascii="Arial" w:hAnsi="Arial"/>
                <w:sz w:val="20"/>
                <w:szCs w:val="20"/>
              </w:rPr>
              <w:t>Days Enrolled:</w:t>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18"/>
                <w:szCs w:val="18"/>
              </w:rPr>
              <w:t>Monday</w:t>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18"/>
                <w:szCs w:val="18"/>
              </w:rPr>
              <w:t>Tuesday</w:t>
            </w:r>
          </w:p>
        </w:tc>
        <w:tc>
          <w:tcPr>
            <w:tcW w:w="1261" w:type="dxa"/>
            <w:gridSpan w:val="2"/>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18"/>
                <w:szCs w:val="18"/>
              </w:rPr>
              <w:t>Wednesday</w:t>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18"/>
                <w:szCs w:val="18"/>
              </w:rPr>
              <w:t>Thursday</w:t>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18"/>
                <w:szCs w:val="18"/>
              </w:rPr>
              <w:t>Friday</w:t>
            </w:r>
          </w:p>
        </w:tc>
        <w:tc>
          <w:tcPr>
            <w:tcW w:w="971" w:type="dxa"/>
            <w:tcBorders>
              <w:left w:val="single" w:sz="4" w:space="0" w:color="C0C0C0"/>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r>
      <w:tr>
        <w:trPr>
          <w:trHeight w:val="399" w:hRule="atLeast"/>
        </w:trPr>
        <w:tc>
          <w:tcPr>
            <w:tcW w:w="2519" w:type="dxa"/>
            <w:tcBorders>
              <w:top w:val="single" w:sz="4" w:space="0" w:color="C0C0C0"/>
              <w:left w:val="single" w:sz="4" w:space="0" w:color="00000A"/>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pPr>
            <w:r>
              <w:rPr>
                <w:rFonts w:cs="Arial" w:ascii="Arial" w:hAnsi="Arial"/>
                <w:sz w:val="20"/>
                <w:szCs w:val="20"/>
              </w:rPr>
              <w:t>Times Enrolled:</w:t>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1" w:type="dxa"/>
            <w:gridSpan w:val="2"/>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971" w:type="dxa"/>
            <w:tcBorders>
              <w:top w:val="single" w:sz="4" w:space="0" w:color="C0C0C0"/>
              <w:left w:val="single" w:sz="4" w:space="0" w:color="C0C0C0"/>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Total</w:t>
            </w:r>
          </w:p>
        </w:tc>
      </w:tr>
      <w:tr>
        <w:trPr>
          <w:trHeight w:val="399" w:hRule="atLeast"/>
        </w:trPr>
        <w:tc>
          <w:tcPr>
            <w:tcW w:w="9791"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tcPr>
          <w:p>
            <w:pPr>
              <w:pStyle w:val="Normal"/>
              <w:spacing w:before="80" w:after="80"/>
              <w:rPr/>
            </w:pPr>
            <w:r>
              <w:rPr>
                <w:rFonts w:cs="Arial" w:ascii="Arial" w:hAnsi="Arial"/>
                <w:b/>
                <w:sz w:val="20"/>
                <w:szCs w:val="20"/>
              </w:rPr>
              <w:t>For 20 Hours ECE fill out boxes below</w:t>
            </w:r>
          </w:p>
        </w:tc>
      </w:tr>
      <w:tr>
        <w:trPr>
          <w:trHeight w:val="399" w:hRule="atLeast"/>
        </w:trPr>
        <w:tc>
          <w:tcPr>
            <w:tcW w:w="2519" w:type="dxa"/>
            <w:tcBorders>
              <w:top w:val="single" w:sz="4" w:space="0" w:color="00000A"/>
              <w:left w:val="single" w:sz="4" w:space="0" w:color="00000A"/>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pPr>
            <w:r>
              <w:rPr>
                <w:rFonts w:cs="Arial" w:ascii="Arial" w:hAnsi="Arial"/>
                <w:sz w:val="20"/>
                <w:szCs w:val="20"/>
              </w:rPr>
              <w:t>20 Hours ECE at this service</w:t>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1" w:type="dxa"/>
            <w:gridSpan w:val="2"/>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971" w:type="dxa"/>
            <w:tcBorders>
              <w:top w:val="single" w:sz="4" w:space="0" w:color="00000A"/>
              <w:left w:val="single" w:sz="4" w:space="0" w:color="C0C0C0"/>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r>
      <w:tr>
        <w:trPr>
          <w:trHeight w:val="399" w:hRule="atLeast"/>
        </w:trPr>
        <w:tc>
          <w:tcPr>
            <w:tcW w:w="2519" w:type="dxa"/>
            <w:tcBorders>
              <w:top w:val="single" w:sz="4" w:space="0" w:color="C0C0C0"/>
              <w:left w:val="single" w:sz="4" w:space="0" w:color="00000A"/>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pPr>
            <w:r>
              <w:rPr>
                <w:rFonts w:cs="Arial" w:ascii="Arial" w:hAnsi="Arial"/>
                <w:sz w:val="20"/>
                <w:szCs w:val="20"/>
              </w:rPr>
              <w:t>20 Hours ECE at another service</w:t>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1" w:type="dxa"/>
            <w:gridSpan w:val="2"/>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971" w:type="dxa"/>
            <w:tcBorders>
              <w:top w:val="single" w:sz="4" w:space="0" w:color="C0C0C0"/>
              <w:left w:val="single" w:sz="4" w:space="0" w:color="C0C0C0"/>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r>
      <w:tr>
        <w:trPr/>
        <w:tc>
          <w:tcPr>
            <w:tcW w:w="9791" w:type="dxa"/>
            <w:gridSpan w:val="8"/>
            <w:tcBorders>
              <w:top w:val="single" w:sz="4" w:space="0" w:color="00000A"/>
              <w:left w:val="single" w:sz="4" w:space="0" w:color="00000A"/>
              <w:right w:val="single" w:sz="4" w:space="0" w:color="00000A"/>
              <w:insideV w:val="single" w:sz="4"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r>
      <w:tr>
        <w:trPr/>
        <w:tc>
          <w:tcPr>
            <w:tcW w:w="6119" w:type="dxa"/>
            <w:gridSpan w:val="4"/>
            <w:tcBorders>
              <w:left w:val="single" w:sz="4" w:space="0" w:color="00000A"/>
              <w:bottom w:val="single" w:sz="4" w:space="0" w:color="00000A"/>
              <w:insideH w:val="single" w:sz="4" w:space="0" w:color="00000A"/>
            </w:tcBorders>
            <w:shd w:fill="auto" w:val="clear"/>
            <w:tcMar>
              <w:left w:w="108" w:type="dxa"/>
            </w:tcMar>
          </w:tcPr>
          <w:p>
            <w:pPr>
              <w:pStyle w:val="Normal"/>
              <w:spacing w:before="120" w:after="80"/>
              <w:rPr/>
            </w:pPr>
            <w:r>
              <w:rPr>
                <w:rFonts w:cs="Arial" w:ascii="Arial" w:hAnsi="Arial"/>
                <w:sz w:val="20"/>
                <w:szCs w:val="20"/>
              </w:rPr>
              <w:t xml:space="preserve">Parent/Guardian Signature: _____________________________ </w:t>
            </w:r>
          </w:p>
        </w:tc>
        <w:tc>
          <w:tcPr>
            <w:tcW w:w="3672" w:type="dxa"/>
            <w:gridSpan w:val="4"/>
            <w:tcBorders>
              <w:bottom w:val="single" w:sz="4" w:space="0" w:color="00000A"/>
              <w:right w:val="single" w:sz="4" w:space="0" w:color="00000A"/>
              <w:insideH w:val="single" w:sz="4" w:space="0" w:color="00000A"/>
              <w:insideV w:val="single" w:sz="4" w:space="0" w:color="00000A"/>
            </w:tcBorders>
            <w:shd w:fill="auto" w:val="clear"/>
          </w:tcPr>
          <w:p>
            <w:pPr>
              <w:pStyle w:val="Normal"/>
              <w:spacing w:before="120" w:after="80"/>
              <w:rPr/>
            </w:pPr>
            <w:r>
              <w:rPr>
                <w:rFonts w:cs="Arial" w:ascii="Arial" w:hAnsi="Arial"/>
                <w:sz w:val="20"/>
                <w:szCs w:val="20"/>
              </w:rPr>
              <w:t>Date:   ____ /____ / ____</w:t>
            </w:r>
          </w:p>
        </w:tc>
      </w:tr>
    </w:tbl>
    <w:p>
      <w:pPr>
        <w:pStyle w:val="Normal"/>
        <w:rPr/>
      </w:pPr>
      <w:r>
        <w:rPr/>
      </w:r>
    </w:p>
    <w:tbl>
      <w:tblPr>
        <w:tblW w:w="9792" w:type="dxa"/>
        <w:jc w:val="left"/>
        <w:tblInd w:w="-6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2519"/>
        <w:gridCol w:w="1260"/>
        <w:gridCol w:w="1260"/>
        <w:gridCol w:w="900"/>
        <w:gridCol w:w="361"/>
        <w:gridCol w:w="1260"/>
        <w:gridCol w:w="1260"/>
        <w:gridCol w:w="971"/>
      </w:tblGrid>
      <w:tr>
        <w:trPr/>
        <w:tc>
          <w:tcPr>
            <w:tcW w:w="9791"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tcPr>
          <w:p>
            <w:pPr>
              <w:pStyle w:val="Normal"/>
              <w:spacing w:before="80" w:after="80"/>
              <w:rPr/>
            </w:pPr>
            <w:r>
              <w:rPr>
                <w:rFonts w:cs="Arial" w:ascii="Arial" w:hAnsi="Arial"/>
                <w:b/>
              </w:rPr>
              <w:t>Change of Days/Times of Enrolment:</w:t>
            </w:r>
          </w:p>
        </w:tc>
      </w:tr>
      <w:tr>
        <w:trPr/>
        <w:tc>
          <w:tcPr>
            <w:tcW w:w="9791"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before="240" w:after="80"/>
              <w:rPr/>
            </w:pPr>
            <w:r>
              <w:rPr>
                <w:rFonts w:cs="Arial" w:ascii="Arial" w:hAnsi="Arial"/>
                <w:b/>
                <w:sz w:val="20"/>
                <w:szCs w:val="20"/>
              </w:rPr>
              <w:t xml:space="preserve">Effective Date of Change:    </w:t>
            </w:r>
            <w:r>
              <w:rPr>
                <w:rFonts w:cs="Arial" w:ascii="Arial" w:hAnsi="Arial"/>
                <w:sz w:val="20"/>
                <w:szCs w:val="20"/>
              </w:rPr>
              <w:t>____ /____ / ____</w:t>
            </w:r>
          </w:p>
        </w:tc>
      </w:tr>
      <w:tr>
        <w:trPr>
          <w:trHeight w:val="399" w:hRule="atLeast"/>
        </w:trPr>
        <w:tc>
          <w:tcPr>
            <w:tcW w:w="2519" w:type="dxa"/>
            <w:tcBorders>
              <w:top w:val="single" w:sz="4" w:space="0" w:color="00000A"/>
              <w:left w:val="single" w:sz="4" w:space="0" w:color="00000A"/>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pPr>
            <w:r>
              <w:rPr>
                <w:rFonts w:cs="Arial" w:ascii="Arial" w:hAnsi="Arial"/>
                <w:sz w:val="20"/>
                <w:szCs w:val="20"/>
              </w:rPr>
              <w:t>Days Enrolled:</w:t>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18"/>
                <w:szCs w:val="18"/>
              </w:rPr>
              <w:t>Monday</w:t>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18"/>
                <w:szCs w:val="18"/>
              </w:rPr>
              <w:t>Tuesday</w:t>
            </w:r>
          </w:p>
        </w:tc>
        <w:tc>
          <w:tcPr>
            <w:tcW w:w="1261" w:type="dxa"/>
            <w:gridSpan w:val="2"/>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18"/>
                <w:szCs w:val="18"/>
              </w:rPr>
              <w:t>Wednesday</w:t>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18"/>
                <w:szCs w:val="18"/>
              </w:rPr>
              <w:t>Thursday</w:t>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18"/>
                <w:szCs w:val="18"/>
              </w:rPr>
              <w:t>Friday</w:t>
            </w:r>
          </w:p>
        </w:tc>
        <w:tc>
          <w:tcPr>
            <w:tcW w:w="971" w:type="dxa"/>
            <w:tcBorders>
              <w:top w:val="single" w:sz="4" w:space="0" w:color="00000A"/>
              <w:left w:val="single" w:sz="4" w:space="0" w:color="C0C0C0"/>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r>
      <w:tr>
        <w:trPr>
          <w:trHeight w:val="399" w:hRule="atLeast"/>
        </w:trPr>
        <w:tc>
          <w:tcPr>
            <w:tcW w:w="2519" w:type="dxa"/>
            <w:tcBorders>
              <w:top w:val="single" w:sz="4" w:space="0" w:color="C0C0C0"/>
              <w:left w:val="single" w:sz="4" w:space="0" w:color="00000A"/>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pPr>
            <w:r>
              <w:rPr>
                <w:rFonts w:cs="Arial" w:ascii="Arial" w:hAnsi="Arial"/>
                <w:sz w:val="20"/>
                <w:szCs w:val="20"/>
              </w:rPr>
              <w:t>Times Enrolled:</w:t>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1" w:type="dxa"/>
            <w:gridSpan w:val="2"/>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971" w:type="dxa"/>
            <w:tcBorders>
              <w:top w:val="single" w:sz="4" w:space="0" w:color="C0C0C0"/>
              <w:left w:val="single" w:sz="4" w:space="0" w:color="C0C0C0"/>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Total</w:t>
            </w:r>
          </w:p>
        </w:tc>
      </w:tr>
      <w:tr>
        <w:trPr>
          <w:trHeight w:val="399" w:hRule="atLeast"/>
        </w:trPr>
        <w:tc>
          <w:tcPr>
            <w:tcW w:w="9791"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tcPr>
          <w:p>
            <w:pPr>
              <w:pStyle w:val="Normal"/>
              <w:spacing w:before="80" w:after="80"/>
              <w:rPr/>
            </w:pPr>
            <w:r>
              <w:rPr>
                <w:rFonts w:cs="Arial" w:ascii="Arial" w:hAnsi="Arial"/>
                <w:b/>
                <w:sz w:val="20"/>
                <w:szCs w:val="20"/>
              </w:rPr>
              <w:t>For 20 Hours ECE fill out boxes below</w:t>
            </w:r>
          </w:p>
        </w:tc>
      </w:tr>
      <w:tr>
        <w:trPr>
          <w:trHeight w:val="399" w:hRule="atLeast"/>
        </w:trPr>
        <w:tc>
          <w:tcPr>
            <w:tcW w:w="2519" w:type="dxa"/>
            <w:tcBorders>
              <w:top w:val="single" w:sz="4" w:space="0" w:color="00000A"/>
              <w:left w:val="single" w:sz="4" w:space="0" w:color="00000A"/>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pPr>
            <w:r>
              <w:rPr>
                <w:rFonts w:cs="Arial" w:ascii="Arial" w:hAnsi="Arial"/>
                <w:sz w:val="20"/>
                <w:szCs w:val="20"/>
              </w:rPr>
              <w:t>20 Hours ECE at this service</w:t>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1" w:type="dxa"/>
            <w:gridSpan w:val="2"/>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971" w:type="dxa"/>
            <w:tcBorders>
              <w:top w:val="single" w:sz="4" w:space="0" w:color="00000A"/>
              <w:left w:val="single" w:sz="4" w:space="0" w:color="C0C0C0"/>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r>
      <w:tr>
        <w:trPr>
          <w:trHeight w:val="399" w:hRule="atLeast"/>
        </w:trPr>
        <w:tc>
          <w:tcPr>
            <w:tcW w:w="2519" w:type="dxa"/>
            <w:tcBorders>
              <w:top w:val="single" w:sz="4" w:space="0" w:color="C0C0C0"/>
              <w:left w:val="single" w:sz="4" w:space="0" w:color="00000A"/>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pPr>
            <w:r>
              <w:rPr>
                <w:rFonts w:cs="Arial" w:ascii="Arial" w:hAnsi="Arial"/>
                <w:sz w:val="20"/>
                <w:szCs w:val="20"/>
              </w:rPr>
              <w:t>20 Hours ECE at another service</w:t>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1" w:type="dxa"/>
            <w:gridSpan w:val="2"/>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971" w:type="dxa"/>
            <w:tcBorders>
              <w:top w:val="single" w:sz="4" w:space="0" w:color="C0C0C0"/>
              <w:left w:val="single" w:sz="4" w:space="0" w:color="C0C0C0"/>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r>
      <w:tr>
        <w:trPr/>
        <w:tc>
          <w:tcPr>
            <w:tcW w:w="9791" w:type="dxa"/>
            <w:gridSpan w:val="8"/>
            <w:tcBorders>
              <w:top w:val="single" w:sz="4" w:space="0" w:color="00000A"/>
              <w:left w:val="single" w:sz="4" w:space="0" w:color="00000A"/>
              <w:right w:val="single" w:sz="4" w:space="0" w:color="00000A"/>
              <w:insideV w:val="single" w:sz="4"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r>
      <w:tr>
        <w:trPr/>
        <w:tc>
          <w:tcPr>
            <w:tcW w:w="5939" w:type="dxa"/>
            <w:gridSpan w:val="4"/>
            <w:tcBorders>
              <w:left w:val="single" w:sz="4" w:space="0" w:color="00000A"/>
              <w:bottom w:val="single" w:sz="2" w:space="0" w:color="00000A"/>
              <w:insideH w:val="single" w:sz="2" w:space="0" w:color="00000A"/>
            </w:tcBorders>
            <w:shd w:fill="auto" w:val="clear"/>
            <w:tcMar>
              <w:left w:w="108" w:type="dxa"/>
            </w:tcMar>
          </w:tcPr>
          <w:p>
            <w:pPr>
              <w:pStyle w:val="Normal"/>
              <w:spacing w:before="240" w:after="80"/>
              <w:rPr/>
            </w:pPr>
            <w:r>
              <w:rPr>
                <w:rFonts w:cs="Arial" w:ascii="Arial" w:hAnsi="Arial"/>
                <w:sz w:val="20"/>
                <w:szCs w:val="20"/>
              </w:rPr>
              <w:t xml:space="preserve">Parent/Guardian Signature: _____________________________ </w:t>
            </w:r>
          </w:p>
        </w:tc>
        <w:tc>
          <w:tcPr>
            <w:tcW w:w="3852" w:type="dxa"/>
            <w:gridSpan w:val="4"/>
            <w:tcBorders>
              <w:bottom w:val="single" w:sz="2" w:space="0" w:color="00000A"/>
              <w:right w:val="single" w:sz="4" w:space="0" w:color="00000A"/>
              <w:insideH w:val="single" w:sz="2" w:space="0" w:color="00000A"/>
              <w:insideV w:val="single" w:sz="4" w:space="0" w:color="00000A"/>
            </w:tcBorders>
            <w:shd w:fill="auto" w:val="clear"/>
          </w:tcPr>
          <w:p>
            <w:pPr>
              <w:pStyle w:val="Normal"/>
              <w:spacing w:before="240" w:after="80"/>
              <w:rPr/>
            </w:pPr>
            <w:r>
              <w:rPr>
                <w:rFonts w:cs="Arial" w:ascii="Arial" w:hAnsi="Arial"/>
                <w:sz w:val="20"/>
                <w:szCs w:val="20"/>
              </w:rPr>
              <w:t>Date:   ____ /____ / ____</w:t>
            </w:r>
          </w:p>
        </w:tc>
      </w:tr>
    </w:tbl>
    <w:p>
      <w:pPr>
        <w:pStyle w:val="Normal"/>
        <w:rPr/>
      </w:pPr>
      <w:r>
        <w:rPr/>
      </w:r>
    </w:p>
    <w:tbl>
      <w:tblPr>
        <w:tblW w:w="9792" w:type="dxa"/>
        <w:jc w:val="left"/>
        <w:tblInd w:w="-612" w:type="dxa"/>
        <w:tblBorders>
          <w:top w:val="single" w:sz="2"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1" w:firstColumn="1" w:lastColumn="1" w:noHBand="0" w:val="01e0"/>
      </w:tblPr>
      <w:tblGrid>
        <w:gridCol w:w="2519"/>
        <w:gridCol w:w="1260"/>
        <w:gridCol w:w="1260"/>
        <w:gridCol w:w="1080"/>
        <w:gridCol w:w="181"/>
        <w:gridCol w:w="1260"/>
        <w:gridCol w:w="1260"/>
        <w:gridCol w:w="971"/>
      </w:tblGrid>
      <w:tr>
        <w:trPr/>
        <w:tc>
          <w:tcPr>
            <w:tcW w:w="9791" w:type="dxa"/>
            <w:gridSpan w:val="8"/>
            <w:tcBorders>
              <w:top w:val="single" w:sz="2"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tcPr>
          <w:p>
            <w:pPr>
              <w:pStyle w:val="Normal"/>
              <w:spacing w:before="80" w:after="80"/>
              <w:rPr/>
            </w:pPr>
            <w:r>
              <w:rPr>
                <w:rFonts w:cs="Arial" w:ascii="Arial" w:hAnsi="Arial"/>
                <w:b/>
              </w:rPr>
              <w:t>Change of Days/Times of Enrolment:</w:t>
            </w:r>
          </w:p>
        </w:tc>
      </w:tr>
      <w:tr>
        <w:trPr/>
        <w:tc>
          <w:tcPr>
            <w:tcW w:w="9791"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before="240" w:after="80"/>
              <w:rPr/>
            </w:pPr>
            <w:r>
              <w:rPr>
                <w:rFonts w:cs="Arial" w:ascii="Arial" w:hAnsi="Arial"/>
                <w:b/>
                <w:sz w:val="20"/>
                <w:szCs w:val="20"/>
              </w:rPr>
              <w:t xml:space="preserve">Effective Date of Change:    </w:t>
            </w:r>
            <w:r>
              <w:rPr>
                <w:rFonts w:cs="Arial" w:ascii="Arial" w:hAnsi="Arial"/>
                <w:sz w:val="20"/>
                <w:szCs w:val="20"/>
              </w:rPr>
              <w:t>____ /____ / ____</w:t>
            </w:r>
          </w:p>
        </w:tc>
      </w:tr>
      <w:tr>
        <w:trPr>
          <w:trHeight w:val="399" w:hRule="atLeast"/>
        </w:trPr>
        <w:tc>
          <w:tcPr>
            <w:tcW w:w="2519" w:type="dxa"/>
            <w:tcBorders>
              <w:top w:val="single" w:sz="4" w:space="0" w:color="00000A"/>
              <w:left w:val="single" w:sz="4" w:space="0" w:color="00000A"/>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pPr>
            <w:r>
              <w:rPr>
                <w:rFonts w:cs="Arial" w:ascii="Arial" w:hAnsi="Arial"/>
                <w:sz w:val="20"/>
                <w:szCs w:val="20"/>
              </w:rPr>
              <w:t>Days Enrolled:</w:t>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18"/>
                <w:szCs w:val="18"/>
              </w:rPr>
              <w:t>Monday</w:t>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18"/>
                <w:szCs w:val="18"/>
              </w:rPr>
              <w:t>Tuesday</w:t>
            </w:r>
          </w:p>
        </w:tc>
        <w:tc>
          <w:tcPr>
            <w:tcW w:w="1261" w:type="dxa"/>
            <w:gridSpan w:val="2"/>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18"/>
                <w:szCs w:val="18"/>
              </w:rPr>
              <w:t>Wednesday</w:t>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18"/>
                <w:szCs w:val="18"/>
              </w:rPr>
              <w:t>Thursday</w:t>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jc w:val="center"/>
              <w:rPr/>
            </w:pPr>
            <w:r>
              <w:rPr>
                <w:rFonts w:cs="Arial" w:ascii="Arial" w:hAnsi="Arial"/>
                <w:sz w:val="18"/>
                <w:szCs w:val="18"/>
              </w:rPr>
              <w:t>Friday</w:t>
            </w:r>
          </w:p>
        </w:tc>
        <w:tc>
          <w:tcPr>
            <w:tcW w:w="971" w:type="dxa"/>
            <w:tcBorders>
              <w:top w:val="single" w:sz="4" w:space="0" w:color="00000A"/>
              <w:left w:val="single" w:sz="4" w:space="0" w:color="C0C0C0"/>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r>
      <w:tr>
        <w:trPr>
          <w:trHeight w:val="399" w:hRule="atLeast"/>
        </w:trPr>
        <w:tc>
          <w:tcPr>
            <w:tcW w:w="2519" w:type="dxa"/>
            <w:tcBorders>
              <w:top w:val="single" w:sz="4" w:space="0" w:color="C0C0C0"/>
              <w:left w:val="single" w:sz="4" w:space="0" w:color="00000A"/>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pPr>
            <w:r>
              <w:rPr>
                <w:rFonts w:cs="Arial" w:ascii="Arial" w:hAnsi="Arial"/>
                <w:sz w:val="20"/>
                <w:szCs w:val="20"/>
              </w:rPr>
              <w:t>Times Enrolled:</w:t>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1" w:type="dxa"/>
            <w:gridSpan w:val="2"/>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971" w:type="dxa"/>
            <w:tcBorders>
              <w:top w:val="single" w:sz="4" w:space="0" w:color="C0C0C0"/>
              <w:left w:val="single" w:sz="4" w:space="0" w:color="C0C0C0"/>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pPr>
            <w:r>
              <w:rPr>
                <w:rFonts w:cs="Arial" w:ascii="Arial" w:hAnsi="Arial"/>
                <w:sz w:val="20"/>
                <w:szCs w:val="20"/>
              </w:rPr>
              <w:t>Total</w:t>
            </w:r>
          </w:p>
        </w:tc>
      </w:tr>
      <w:tr>
        <w:trPr>
          <w:trHeight w:val="399" w:hRule="atLeast"/>
        </w:trPr>
        <w:tc>
          <w:tcPr>
            <w:tcW w:w="9791"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3F3F3" w:val="clear"/>
            <w:tcMar>
              <w:left w:w="108" w:type="dxa"/>
            </w:tcMar>
          </w:tcPr>
          <w:p>
            <w:pPr>
              <w:pStyle w:val="Normal"/>
              <w:spacing w:before="80" w:after="80"/>
              <w:rPr/>
            </w:pPr>
            <w:r>
              <w:rPr>
                <w:rFonts w:cs="Arial" w:ascii="Arial" w:hAnsi="Arial"/>
                <w:b/>
                <w:sz w:val="20"/>
                <w:szCs w:val="20"/>
              </w:rPr>
              <w:t>For 20 Hours ECE</w:t>
            </w:r>
            <w:r>
              <w:rPr>
                <w:rFonts w:cs="Arial" w:ascii="Arial" w:hAnsi="Arial"/>
                <w:b/>
                <w:i/>
                <w:sz w:val="20"/>
                <w:szCs w:val="20"/>
              </w:rPr>
              <w:t xml:space="preserve"> </w:t>
            </w:r>
            <w:r>
              <w:rPr>
                <w:rFonts w:cs="Arial" w:ascii="Arial" w:hAnsi="Arial"/>
                <w:b/>
                <w:sz w:val="20"/>
                <w:szCs w:val="20"/>
              </w:rPr>
              <w:t>fill out boxes below</w:t>
            </w:r>
          </w:p>
        </w:tc>
      </w:tr>
      <w:tr>
        <w:trPr>
          <w:trHeight w:val="399" w:hRule="atLeast"/>
        </w:trPr>
        <w:tc>
          <w:tcPr>
            <w:tcW w:w="2519" w:type="dxa"/>
            <w:tcBorders>
              <w:top w:val="single" w:sz="4" w:space="0" w:color="00000A"/>
              <w:left w:val="single" w:sz="4" w:space="0" w:color="00000A"/>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pPr>
            <w:r>
              <w:rPr>
                <w:rFonts w:cs="Arial" w:ascii="Arial" w:hAnsi="Arial"/>
                <w:sz w:val="20"/>
                <w:szCs w:val="20"/>
              </w:rPr>
              <w:t>20 Hours ECE at this service</w:t>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1" w:type="dxa"/>
            <w:gridSpan w:val="2"/>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00000A"/>
              <w:left w:val="single" w:sz="4" w:space="0" w:color="C0C0C0"/>
              <w:bottom w:val="single" w:sz="4" w:space="0" w:color="C0C0C0"/>
              <w:right w:val="single" w:sz="4" w:space="0" w:color="C0C0C0"/>
              <w:insideH w:val="single" w:sz="4" w:space="0" w:color="C0C0C0"/>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971" w:type="dxa"/>
            <w:tcBorders>
              <w:top w:val="single" w:sz="4" w:space="0" w:color="00000A"/>
              <w:left w:val="single" w:sz="4" w:space="0" w:color="C0C0C0"/>
              <w:bottom w:val="single" w:sz="4" w:space="0" w:color="C0C0C0"/>
              <w:right w:val="single" w:sz="4" w:space="0" w:color="00000A"/>
              <w:insideH w:val="single" w:sz="4" w:space="0" w:color="C0C0C0"/>
              <w:insideV w:val="single" w:sz="4"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r>
      <w:tr>
        <w:trPr>
          <w:trHeight w:val="399" w:hRule="atLeast"/>
        </w:trPr>
        <w:tc>
          <w:tcPr>
            <w:tcW w:w="2519" w:type="dxa"/>
            <w:tcBorders>
              <w:top w:val="single" w:sz="4" w:space="0" w:color="C0C0C0"/>
              <w:left w:val="single" w:sz="4" w:space="0" w:color="00000A"/>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pPr>
            <w:r>
              <w:rPr>
                <w:rFonts w:cs="Arial" w:ascii="Arial" w:hAnsi="Arial"/>
                <w:sz w:val="20"/>
                <w:szCs w:val="20"/>
              </w:rPr>
              <w:t>20 Hours ECE at another service</w:t>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1" w:type="dxa"/>
            <w:gridSpan w:val="2"/>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1260" w:type="dxa"/>
            <w:tcBorders>
              <w:top w:val="single" w:sz="4" w:space="0" w:color="C0C0C0"/>
              <w:left w:val="single" w:sz="4" w:space="0" w:color="C0C0C0"/>
              <w:bottom w:val="single" w:sz="4" w:space="0" w:color="00000A"/>
              <w:right w:val="single" w:sz="4" w:space="0" w:color="C0C0C0"/>
              <w:insideH w:val="single" w:sz="4" w:space="0" w:color="00000A"/>
              <w:insideV w:val="single" w:sz="4" w:space="0" w:color="C0C0C0"/>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c>
          <w:tcPr>
            <w:tcW w:w="971" w:type="dxa"/>
            <w:tcBorders>
              <w:top w:val="single" w:sz="4" w:space="0" w:color="C0C0C0"/>
              <w:left w:val="single" w:sz="4" w:space="0" w:color="C0C0C0"/>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r>
      <w:tr>
        <w:trPr/>
        <w:tc>
          <w:tcPr>
            <w:tcW w:w="9791" w:type="dxa"/>
            <w:gridSpan w:val="8"/>
            <w:tcBorders>
              <w:top w:val="single" w:sz="4" w:space="0" w:color="00000A"/>
              <w:left w:val="single" w:sz="4" w:space="0" w:color="00000A"/>
              <w:right w:val="single" w:sz="4" w:space="0" w:color="00000A"/>
              <w:insideV w:val="single" w:sz="4" w:space="0" w:color="00000A"/>
            </w:tcBorders>
            <w:shd w:fill="auto" w:val="clear"/>
            <w:tcMar>
              <w:left w:w="108" w:type="dxa"/>
            </w:tcMar>
          </w:tcPr>
          <w:p>
            <w:pPr>
              <w:pStyle w:val="Normal"/>
              <w:spacing w:before="80" w:after="80"/>
              <w:rPr>
                <w:rFonts w:ascii="Arial" w:hAnsi="Arial" w:cs="Arial"/>
                <w:sz w:val="20"/>
                <w:szCs w:val="20"/>
              </w:rPr>
            </w:pPr>
            <w:r>
              <w:rPr>
                <w:rFonts w:cs="Arial" w:ascii="Arial" w:hAnsi="Arial"/>
                <w:sz w:val="20"/>
                <w:szCs w:val="20"/>
              </w:rPr>
            </w:r>
          </w:p>
        </w:tc>
      </w:tr>
      <w:tr>
        <w:trPr/>
        <w:tc>
          <w:tcPr>
            <w:tcW w:w="6119" w:type="dxa"/>
            <w:gridSpan w:val="4"/>
            <w:tcBorders>
              <w:left w:val="single" w:sz="4" w:space="0" w:color="00000A"/>
              <w:bottom w:val="single" w:sz="4" w:space="0" w:color="00000A"/>
              <w:insideH w:val="single" w:sz="4" w:space="0" w:color="00000A"/>
            </w:tcBorders>
            <w:shd w:fill="auto" w:val="clear"/>
            <w:tcMar>
              <w:left w:w="108" w:type="dxa"/>
            </w:tcMar>
          </w:tcPr>
          <w:p>
            <w:pPr>
              <w:pStyle w:val="Normal"/>
              <w:spacing w:before="120" w:after="80"/>
              <w:rPr/>
            </w:pPr>
            <w:r>
              <w:rPr>
                <w:rFonts w:cs="Arial" w:ascii="Arial" w:hAnsi="Arial"/>
                <w:sz w:val="20"/>
                <w:szCs w:val="20"/>
              </w:rPr>
              <w:t xml:space="preserve">Parent/Guardian Signature: _____________________________ </w:t>
            </w:r>
          </w:p>
        </w:tc>
        <w:tc>
          <w:tcPr>
            <w:tcW w:w="3672" w:type="dxa"/>
            <w:gridSpan w:val="4"/>
            <w:tcBorders>
              <w:bottom w:val="single" w:sz="4" w:space="0" w:color="00000A"/>
              <w:right w:val="single" w:sz="4" w:space="0" w:color="00000A"/>
              <w:insideH w:val="single" w:sz="4" w:space="0" w:color="00000A"/>
              <w:insideV w:val="single" w:sz="4" w:space="0" w:color="00000A"/>
            </w:tcBorders>
            <w:shd w:fill="auto" w:val="clear"/>
          </w:tcPr>
          <w:p>
            <w:pPr>
              <w:pStyle w:val="Normal"/>
              <w:spacing w:before="120" w:after="80"/>
              <w:rPr/>
            </w:pPr>
            <w:r>
              <w:rPr>
                <w:rFonts w:cs="Arial" w:ascii="Arial" w:hAnsi="Arial"/>
                <w:sz w:val="20"/>
                <w:szCs w:val="20"/>
              </w:rPr>
              <w:t>Date:   ____ /____ / ____</w:t>
            </w:r>
          </w:p>
        </w:tc>
      </w:tr>
    </w:tbl>
    <w:p>
      <w:pPr>
        <w:pStyle w:val="Normal"/>
        <w:rPr>
          <w:rStyle w:val="Anotace"/>
        </w:rPr>
      </w:pPr>
      <w:r>
        <w:rPr/>
      </w:r>
    </w:p>
    <w:p>
      <w:pPr>
        <w:pStyle w:val="Normal"/>
        <w:rPr>
          <w:rStyle w:val="Anotace"/>
        </w:rPr>
      </w:pPr>
      <w:r>
        <w:rPr/>
      </w:r>
    </w:p>
    <w:p>
      <w:pPr>
        <w:pStyle w:val="Normal"/>
        <w:rPr>
          <w:rStyle w:val="Anotace"/>
        </w:rPr>
      </w:pPr>
      <w:r>
        <w:rPr/>
      </w:r>
    </w:p>
    <w:p>
      <w:pPr>
        <w:pStyle w:val="Normal"/>
        <w:rPr>
          <w:rStyle w:val="Anotace"/>
        </w:rPr>
      </w:pPr>
      <w:r>
        <w:rPr/>
      </w:r>
    </w:p>
    <w:p>
      <w:pPr>
        <w:pStyle w:val="Normal"/>
        <w:rPr>
          <w:rStyle w:val="Anotace"/>
        </w:rPr>
      </w:pPr>
      <w:r>
        <w:rPr/>
      </w:r>
    </w:p>
    <w:p>
      <w:pPr>
        <w:pStyle w:val="Normal"/>
        <w:rPr>
          <w:rStyle w:val="Anotace"/>
        </w:rPr>
      </w:pPr>
      <w:r>
        <w:rPr/>
      </w:r>
    </w:p>
    <w:p>
      <w:pPr>
        <w:pStyle w:val="Normal"/>
        <w:rPr>
          <w:rStyle w:val="Anotace"/>
        </w:rPr>
      </w:pPr>
      <w:r>
        <w:rPr/>
      </w:r>
    </w:p>
    <w:p>
      <w:pPr>
        <w:pStyle w:val="Normal"/>
        <w:rPr>
          <w:rStyle w:val="Anotace"/>
        </w:rPr>
      </w:pPr>
      <w:r>
        <w:rPr/>
      </w:r>
    </w:p>
    <w:p>
      <w:pPr>
        <w:pStyle w:val="Normal"/>
        <w:rPr>
          <w:rStyle w:val="Anotace"/>
        </w:rPr>
      </w:pPr>
      <w:r>
        <w:rPr/>
      </w:r>
    </w:p>
    <w:p>
      <w:pPr>
        <w:pStyle w:val="Normal"/>
        <w:rPr>
          <w:rStyle w:val="Anotace"/>
        </w:rPr>
      </w:pPr>
      <w:r>
        <w:rPr/>
      </w:r>
    </w:p>
    <w:p>
      <w:pPr>
        <w:pStyle w:val="Normal"/>
        <w:rPr>
          <w:rStyle w:val="Anotace"/>
        </w:rPr>
      </w:pPr>
      <w:r>
        <w:rPr/>
      </w:r>
    </w:p>
    <w:p>
      <w:pPr>
        <w:pStyle w:val="Normal"/>
        <w:rPr>
          <w:rStyle w:val="Anotace"/>
        </w:rPr>
      </w:pPr>
      <w:r>
        <w:rPr/>
      </w:r>
    </w:p>
    <w:p>
      <w:pPr>
        <w:pStyle w:val="Normal"/>
        <w:rPr/>
      </w:pPr>
      <w:r>
        <w:rPr>
          <w:rStyle w:val="Anotace"/>
        </w:rPr>
        <w:t>Anotace</w:t>
      </w:r>
    </w:p>
    <w:tbl>
      <w:tblPr>
        <w:tblW w:w="9212" w:type="dxa"/>
        <w:jc w:val="left"/>
        <w:tblInd w:w="0" w:type="dxa"/>
        <w:tblBorders>
          <w:top w:val="double" w:sz="4" w:space="0" w:color="00000A"/>
          <w:left w:val="double" w:sz="4" w:space="0" w:color="00000A"/>
          <w:bottom w:val="single" w:sz="4" w:space="0" w:color="00000A"/>
          <w:right w:val="single" w:sz="2" w:space="0" w:color="00000A"/>
          <w:insideH w:val="single" w:sz="4" w:space="0" w:color="00000A"/>
          <w:insideV w:val="single" w:sz="2" w:space="0" w:color="00000A"/>
        </w:tblBorders>
        <w:tblCellMar>
          <w:top w:w="0" w:type="dxa"/>
          <w:left w:w="98" w:type="dxa"/>
          <w:bottom w:w="0" w:type="dxa"/>
          <w:right w:w="108" w:type="dxa"/>
        </w:tblCellMar>
        <w:tblLook w:firstRow="1" w:noVBand="0" w:lastRow="1" w:firstColumn="1" w:lastColumn="1" w:noHBand="0" w:val="01e0"/>
      </w:tblPr>
      <w:tblGrid>
        <w:gridCol w:w="2943"/>
        <w:gridCol w:w="6268"/>
      </w:tblGrid>
      <w:tr>
        <w:trPr>
          <w:trHeight w:val="435" w:hRule="atLeast"/>
        </w:trPr>
        <w:tc>
          <w:tcPr>
            <w:tcW w:w="2943" w:type="dxa"/>
            <w:tcBorders>
              <w:top w:val="double" w:sz="4" w:space="0" w:color="00000A"/>
              <w:left w:val="double" w:sz="4" w:space="0" w:color="00000A"/>
              <w:bottom w:val="single" w:sz="4" w:space="0" w:color="00000A"/>
              <w:right w:val="single" w:sz="2" w:space="0" w:color="00000A"/>
              <w:insideH w:val="single" w:sz="4" w:space="0" w:color="00000A"/>
              <w:insideV w:val="single" w:sz="2" w:space="0" w:color="00000A"/>
            </w:tcBorders>
            <w:shd w:color="auto" w:fill="auto" w:val="clear"/>
            <w:tcMar>
              <w:left w:w="98" w:type="dxa"/>
            </w:tcMar>
          </w:tcPr>
          <w:p>
            <w:pPr>
              <w:pStyle w:val="Anotacetabulka"/>
              <w:rPr/>
            </w:pPr>
            <w:r>
              <w:rPr>
                <w:szCs w:val="24"/>
              </w:rPr>
              <w:t>Jméno a příjmení:</w:t>
            </w:r>
          </w:p>
        </w:tc>
        <w:tc>
          <w:tcPr>
            <w:tcW w:w="6268" w:type="dxa"/>
            <w:tcBorders>
              <w:top w:val="double" w:sz="4" w:space="0" w:color="00000A"/>
              <w:left w:val="single" w:sz="2" w:space="0" w:color="00000A"/>
              <w:bottom w:val="single" w:sz="4" w:space="0" w:color="00000A"/>
              <w:right w:val="double" w:sz="4" w:space="0" w:color="00000A"/>
              <w:insideH w:val="single" w:sz="4" w:space="0" w:color="00000A"/>
              <w:insideV w:val="double" w:sz="4" w:space="0" w:color="00000A"/>
            </w:tcBorders>
            <w:shd w:color="auto" w:fill="auto" w:val="clear"/>
            <w:tcMar>
              <w:left w:w="110" w:type="dxa"/>
            </w:tcMar>
          </w:tcPr>
          <w:p>
            <w:pPr>
              <w:pStyle w:val="Normal"/>
              <w:spacing w:before="0" w:after="200"/>
              <w:rPr/>
            </w:pPr>
            <w:r>
              <w:rPr/>
              <w:t>Petra Šumberová</w:t>
            </w:r>
          </w:p>
        </w:tc>
      </w:tr>
      <w:tr>
        <w:trPr>
          <w:trHeight w:val="415" w:hRule="atLeast"/>
        </w:trPr>
        <w:tc>
          <w:tcPr>
            <w:tcW w:w="2943" w:type="dxa"/>
            <w:tcBorders>
              <w:top w:val="single" w:sz="2" w:space="0" w:color="00000A"/>
              <w:left w:val="double" w:sz="4" w:space="0" w:color="00000A"/>
              <w:bottom w:val="single" w:sz="4" w:space="0" w:color="00000A"/>
              <w:right w:val="single" w:sz="2" w:space="0" w:color="00000A"/>
              <w:insideH w:val="single" w:sz="4" w:space="0" w:color="00000A"/>
              <w:insideV w:val="single" w:sz="2" w:space="0" w:color="00000A"/>
            </w:tcBorders>
            <w:shd w:color="auto" w:fill="auto" w:val="clear"/>
            <w:tcMar>
              <w:left w:w="98" w:type="dxa"/>
            </w:tcMar>
          </w:tcPr>
          <w:p>
            <w:pPr>
              <w:pStyle w:val="Anotacetabulka"/>
              <w:rPr/>
            </w:pPr>
            <w:r>
              <w:rPr>
                <w:szCs w:val="24"/>
              </w:rPr>
              <w:t>Katedra:</w:t>
            </w:r>
          </w:p>
        </w:tc>
        <w:tc>
          <w:tcPr>
            <w:tcW w:w="6268" w:type="dxa"/>
            <w:tcBorders>
              <w:top w:val="single" w:sz="2" w:space="0" w:color="00000A"/>
              <w:left w:val="single" w:sz="2" w:space="0" w:color="00000A"/>
              <w:bottom w:val="single" w:sz="4" w:space="0" w:color="00000A"/>
              <w:right w:val="double" w:sz="4" w:space="0" w:color="00000A"/>
              <w:insideH w:val="single" w:sz="4" w:space="0" w:color="00000A"/>
              <w:insideV w:val="double" w:sz="4" w:space="0" w:color="00000A"/>
            </w:tcBorders>
            <w:shd w:color="auto" w:fill="auto" w:val="clear"/>
            <w:tcMar>
              <w:left w:w="110" w:type="dxa"/>
            </w:tcMar>
          </w:tcPr>
          <w:p>
            <w:pPr>
              <w:pStyle w:val="Normal"/>
              <w:spacing w:before="0" w:after="200"/>
              <w:rPr/>
            </w:pPr>
            <w:r>
              <w:rPr/>
              <w:t>Katedra primární a preprimární pedagogiky</w:t>
            </w:r>
          </w:p>
        </w:tc>
      </w:tr>
      <w:tr>
        <w:trPr>
          <w:trHeight w:val="415" w:hRule="atLeast"/>
        </w:trPr>
        <w:tc>
          <w:tcPr>
            <w:tcW w:w="2943" w:type="dxa"/>
            <w:tcBorders>
              <w:top w:val="single" w:sz="2" w:space="0" w:color="00000A"/>
              <w:left w:val="double" w:sz="4" w:space="0" w:color="00000A"/>
              <w:bottom w:val="single" w:sz="4" w:space="0" w:color="00000A"/>
              <w:right w:val="single" w:sz="2" w:space="0" w:color="00000A"/>
              <w:insideH w:val="single" w:sz="4" w:space="0" w:color="00000A"/>
              <w:insideV w:val="single" w:sz="2" w:space="0" w:color="00000A"/>
            </w:tcBorders>
            <w:shd w:color="auto" w:fill="auto" w:val="clear"/>
            <w:tcMar>
              <w:left w:w="98" w:type="dxa"/>
            </w:tcMar>
          </w:tcPr>
          <w:p>
            <w:pPr>
              <w:pStyle w:val="Anotacetabulka"/>
              <w:rPr/>
            </w:pPr>
            <w:r>
              <w:rPr>
                <w:szCs w:val="24"/>
              </w:rPr>
              <w:t>Vedoucí práce:</w:t>
            </w:r>
          </w:p>
        </w:tc>
        <w:tc>
          <w:tcPr>
            <w:tcW w:w="6268" w:type="dxa"/>
            <w:tcBorders>
              <w:top w:val="single" w:sz="2" w:space="0" w:color="00000A"/>
              <w:left w:val="single" w:sz="2" w:space="0" w:color="00000A"/>
              <w:bottom w:val="single" w:sz="4" w:space="0" w:color="00000A"/>
              <w:right w:val="double" w:sz="4" w:space="0" w:color="00000A"/>
              <w:insideH w:val="single" w:sz="4" w:space="0" w:color="00000A"/>
              <w:insideV w:val="double" w:sz="4" w:space="0" w:color="00000A"/>
            </w:tcBorders>
            <w:shd w:color="auto" w:fill="auto" w:val="clear"/>
            <w:tcMar>
              <w:left w:w="110" w:type="dxa"/>
            </w:tcMar>
          </w:tcPr>
          <w:p>
            <w:pPr>
              <w:pStyle w:val="Normal"/>
              <w:spacing w:before="0" w:after="200"/>
              <w:rPr/>
            </w:pPr>
            <w:r>
              <w:rPr/>
              <w:t>Mgr. Alena Vavrdová, Ph.D.</w:t>
            </w:r>
          </w:p>
        </w:tc>
      </w:tr>
      <w:tr>
        <w:trPr>
          <w:trHeight w:val="415" w:hRule="atLeast"/>
        </w:trPr>
        <w:tc>
          <w:tcPr>
            <w:tcW w:w="2943" w:type="dxa"/>
            <w:tcBorders>
              <w:top w:val="single" w:sz="4" w:space="0" w:color="00000A"/>
              <w:left w:val="double" w:sz="4" w:space="0" w:color="00000A"/>
              <w:bottom w:val="double" w:sz="4" w:space="0" w:color="00000A"/>
              <w:right w:val="single" w:sz="2" w:space="0" w:color="00000A"/>
              <w:insideH w:val="double" w:sz="4" w:space="0" w:color="00000A"/>
              <w:insideV w:val="single" w:sz="2" w:space="0" w:color="00000A"/>
            </w:tcBorders>
            <w:shd w:color="auto" w:fill="auto" w:val="clear"/>
            <w:tcMar>
              <w:left w:w="98" w:type="dxa"/>
            </w:tcMar>
          </w:tcPr>
          <w:p>
            <w:pPr>
              <w:pStyle w:val="Anotacetabulka"/>
              <w:rPr/>
            </w:pPr>
            <w:r>
              <w:rPr>
                <w:szCs w:val="24"/>
              </w:rPr>
              <w:t>Rok obhajoby:</w:t>
            </w:r>
          </w:p>
        </w:tc>
        <w:tc>
          <w:tcPr>
            <w:tcW w:w="6268" w:type="dxa"/>
            <w:tcBorders>
              <w:top w:val="single" w:sz="2" w:space="0" w:color="00000A"/>
              <w:left w:val="single" w:sz="2" w:space="0" w:color="00000A"/>
              <w:bottom w:val="single" w:sz="4" w:space="0" w:color="00000A"/>
              <w:right w:val="double" w:sz="4" w:space="0" w:color="00000A"/>
              <w:insideH w:val="single" w:sz="4" w:space="0" w:color="00000A"/>
              <w:insideV w:val="double" w:sz="4" w:space="0" w:color="00000A"/>
            </w:tcBorders>
            <w:shd w:color="auto" w:fill="auto" w:val="clear"/>
            <w:tcMar>
              <w:left w:w="110" w:type="dxa"/>
            </w:tcMar>
          </w:tcPr>
          <w:p>
            <w:pPr>
              <w:pStyle w:val="Normal"/>
              <w:spacing w:before="0" w:after="200"/>
              <w:rPr/>
            </w:pPr>
            <w:r>
              <w:rPr/>
              <w:t>2017</w:t>
            </w:r>
          </w:p>
        </w:tc>
      </w:tr>
      <w:tr>
        <w:trPr/>
        <w:tc>
          <w:tcPr>
            <w:tcW w:w="2943" w:type="dxa"/>
            <w:tcBorders>
              <w:top w:val="double" w:sz="4" w:space="0" w:color="00000A"/>
              <w:bottom w:val="double" w:sz="4" w:space="0" w:color="00000A"/>
              <w:insideH w:val="double" w:sz="4" w:space="0" w:color="00000A"/>
            </w:tcBorders>
            <w:shd w:color="auto" w:fill="auto" w:val="clear"/>
          </w:tcPr>
          <w:p>
            <w:pPr>
              <w:pStyle w:val="Normal"/>
              <w:spacing w:before="0" w:after="200"/>
              <w:rPr/>
            </w:pPr>
            <w:r>
              <w:rPr/>
            </w:r>
          </w:p>
        </w:tc>
        <w:tc>
          <w:tcPr>
            <w:tcW w:w="6268" w:type="dxa"/>
            <w:tcBorders>
              <w:top w:val="double" w:sz="4" w:space="0" w:color="00000A"/>
              <w:bottom w:val="double" w:sz="4" w:space="0" w:color="00000A"/>
              <w:insideH w:val="double" w:sz="4" w:space="0" w:color="00000A"/>
            </w:tcBorders>
            <w:shd w:color="auto" w:fill="auto" w:val="clear"/>
          </w:tcPr>
          <w:p>
            <w:pPr>
              <w:pStyle w:val="Normal"/>
              <w:spacing w:before="0" w:after="200"/>
              <w:rPr/>
            </w:pPr>
            <w:r>
              <w:rPr/>
            </w:r>
          </w:p>
        </w:tc>
      </w:tr>
      <w:tr>
        <w:trPr>
          <w:trHeight w:val="425" w:hRule="atLeast"/>
        </w:trPr>
        <w:tc>
          <w:tcPr>
            <w:tcW w:w="2943" w:type="dxa"/>
            <w:tcBorders>
              <w:top w:val="double" w:sz="4" w:space="0" w:color="00000A"/>
              <w:left w:val="double" w:sz="4" w:space="0" w:color="00000A"/>
              <w:bottom w:val="single" w:sz="4" w:space="0" w:color="00000A"/>
              <w:right w:val="single" w:sz="2" w:space="0" w:color="00000A"/>
              <w:insideH w:val="single" w:sz="4" w:space="0" w:color="00000A"/>
              <w:insideV w:val="single" w:sz="2" w:space="0" w:color="00000A"/>
            </w:tcBorders>
            <w:shd w:color="auto" w:fill="auto" w:val="clear"/>
            <w:tcMar>
              <w:left w:w="98" w:type="dxa"/>
            </w:tcMar>
          </w:tcPr>
          <w:p>
            <w:pPr>
              <w:pStyle w:val="Anotacetabulka"/>
              <w:rPr/>
            </w:pPr>
            <w:r>
              <w:rPr>
                <w:szCs w:val="24"/>
              </w:rPr>
              <w:t>Název práce:</w:t>
            </w:r>
          </w:p>
        </w:tc>
        <w:tc>
          <w:tcPr>
            <w:tcW w:w="6268" w:type="dxa"/>
            <w:tcBorders>
              <w:top w:val="double" w:sz="4" w:space="0" w:color="00000A"/>
              <w:left w:val="single" w:sz="2" w:space="0" w:color="00000A"/>
              <w:bottom w:val="single" w:sz="4" w:space="0" w:color="00000A"/>
              <w:right w:val="double" w:sz="4" w:space="0" w:color="00000A"/>
              <w:insideH w:val="single" w:sz="4" w:space="0" w:color="00000A"/>
              <w:insideV w:val="double" w:sz="4" w:space="0" w:color="00000A"/>
            </w:tcBorders>
            <w:shd w:color="auto" w:fill="auto" w:val="clear"/>
            <w:tcMar>
              <w:left w:w="110" w:type="dxa"/>
            </w:tcMar>
          </w:tcPr>
          <w:p>
            <w:pPr>
              <w:pStyle w:val="Normal"/>
              <w:spacing w:before="0" w:after="200"/>
              <w:jc w:val="both"/>
              <w:rPr/>
            </w:pPr>
            <w:r>
              <w:rPr/>
              <w:t>Předškolní vzdělávání na Novém Zélandě</w:t>
            </w:r>
          </w:p>
        </w:tc>
      </w:tr>
      <w:tr>
        <w:trPr>
          <w:trHeight w:val="499" w:hRule="atLeast"/>
        </w:trPr>
        <w:tc>
          <w:tcPr>
            <w:tcW w:w="2943" w:type="dxa"/>
            <w:tcBorders>
              <w:top w:val="single" w:sz="2" w:space="0" w:color="00000A"/>
              <w:left w:val="double" w:sz="4" w:space="0" w:color="00000A"/>
              <w:bottom w:val="single" w:sz="4" w:space="0" w:color="00000A"/>
              <w:right w:val="single" w:sz="2" w:space="0" w:color="00000A"/>
              <w:insideH w:val="single" w:sz="4" w:space="0" w:color="00000A"/>
              <w:insideV w:val="single" w:sz="2" w:space="0" w:color="00000A"/>
            </w:tcBorders>
            <w:shd w:color="auto" w:fill="auto" w:val="clear"/>
            <w:tcMar>
              <w:left w:w="98" w:type="dxa"/>
            </w:tcMar>
          </w:tcPr>
          <w:p>
            <w:pPr>
              <w:pStyle w:val="Anotacetabulka"/>
              <w:rPr/>
            </w:pPr>
            <w:r>
              <w:rPr>
                <w:szCs w:val="24"/>
              </w:rPr>
              <w:t>Název v angličtině:</w:t>
            </w:r>
          </w:p>
        </w:tc>
        <w:tc>
          <w:tcPr>
            <w:tcW w:w="6268" w:type="dxa"/>
            <w:tcBorders>
              <w:top w:val="single" w:sz="2" w:space="0" w:color="00000A"/>
              <w:left w:val="single" w:sz="2" w:space="0" w:color="00000A"/>
              <w:bottom w:val="single" w:sz="4" w:space="0" w:color="00000A"/>
              <w:right w:val="double" w:sz="4" w:space="0" w:color="00000A"/>
              <w:insideH w:val="single" w:sz="4" w:space="0" w:color="00000A"/>
              <w:insideV w:val="double" w:sz="4" w:space="0" w:color="00000A"/>
            </w:tcBorders>
            <w:shd w:color="auto" w:fill="auto" w:val="clear"/>
            <w:tcMar>
              <w:left w:w="110" w:type="dxa"/>
            </w:tcMar>
          </w:tcPr>
          <w:p>
            <w:pPr>
              <w:pStyle w:val="Normal"/>
              <w:spacing w:before="0" w:after="200"/>
              <w:jc w:val="both"/>
              <w:rPr/>
            </w:pPr>
            <w:r>
              <w:rPr/>
              <w:t>Early childhood education in New Zealand</w:t>
            </w:r>
          </w:p>
        </w:tc>
      </w:tr>
      <w:tr>
        <w:trPr>
          <w:trHeight w:val="1815" w:hRule="atLeast"/>
        </w:trPr>
        <w:tc>
          <w:tcPr>
            <w:tcW w:w="2943" w:type="dxa"/>
            <w:tcBorders>
              <w:top w:val="single" w:sz="2" w:space="0" w:color="00000A"/>
              <w:left w:val="double" w:sz="4" w:space="0" w:color="00000A"/>
              <w:bottom w:val="single" w:sz="4" w:space="0" w:color="00000A"/>
              <w:right w:val="single" w:sz="2" w:space="0" w:color="00000A"/>
              <w:insideH w:val="single" w:sz="4" w:space="0" w:color="00000A"/>
              <w:insideV w:val="single" w:sz="2" w:space="0" w:color="00000A"/>
            </w:tcBorders>
            <w:shd w:color="auto" w:fill="auto" w:val="clear"/>
            <w:tcMar>
              <w:left w:w="98" w:type="dxa"/>
            </w:tcMar>
          </w:tcPr>
          <w:p>
            <w:pPr>
              <w:pStyle w:val="Anotacetabulka"/>
              <w:rPr/>
            </w:pPr>
            <w:r>
              <w:rPr>
                <w:szCs w:val="24"/>
              </w:rPr>
              <w:t>Anotace práce:</w:t>
            </w:r>
          </w:p>
        </w:tc>
        <w:tc>
          <w:tcPr>
            <w:tcW w:w="6268" w:type="dxa"/>
            <w:tcBorders>
              <w:top w:val="single" w:sz="2" w:space="0" w:color="00000A"/>
              <w:left w:val="single" w:sz="2" w:space="0" w:color="00000A"/>
              <w:bottom w:val="single" w:sz="4" w:space="0" w:color="00000A"/>
              <w:right w:val="double" w:sz="4" w:space="0" w:color="00000A"/>
              <w:insideH w:val="single" w:sz="4" w:space="0" w:color="00000A"/>
              <w:insideV w:val="double" w:sz="4" w:space="0" w:color="00000A"/>
            </w:tcBorders>
            <w:shd w:color="auto" w:fill="auto" w:val="clear"/>
            <w:tcMar>
              <w:left w:w="110" w:type="dxa"/>
            </w:tcMar>
          </w:tcPr>
          <w:p>
            <w:pPr>
              <w:pStyle w:val="Normal"/>
              <w:spacing w:before="0" w:after="200"/>
              <w:jc w:val="both"/>
              <w:rPr/>
            </w:pPr>
            <w:r>
              <w:rPr/>
              <w:t>Předkládaná bakalářská práce se zabývá předškolním vzděláváním na Novém Zélandě. Cílem této práce je zjistit co nejvíce informací o systému předškolního vzdělávání – zmapovat typy zařízení, jimi poskytované služby, náklady na předškolní vzdělávání, dostupnost vzdělávání, prostudovat kurikulární dokument, zjis</w:t>
            </w:r>
            <w:r>
              <w:rPr/>
              <w:t>t</w:t>
            </w:r>
            <w:r>
              <w:rPr/>
              <w:t>it způsob evaluace i vzdělání učitelů a souhrnně porovnat základní atributy s českým systémem.</w:t>
            </w:r>
          </w:p>
        </w:tc>
      </w:tr>
      <w:tr>
        <w:trPr>
          <w:trHeight w:val="695" w:hRule="atLeast"/>
        </w:trPr>
        <w:tc>
          <w:tcPr>
            <w:tcW w:w="2943" w:type="dxa"/>
            <w:tcBorders>
              <w:top w:val="single" w:sz="2" w:space="0" w:color="00000A"/>
              <w:left w:val="double" w:sz="4" w:space="0" w:color="00000A"/>
              <w:bottom w:val="single" w:sz="4" w:space="0" w:color="00000A"/>
              <w:right w:val="single" w:sz="2" w:space="0" w:color="00000A"/>
              <w:insideH w:val="single" w:sz="4" w:space="0" w:color="00000A"/>
              <w:insideV w:val="single" w:sz="2" w:space="0" w:color="00000A"/>
            </w:tcBorders>
            <w:shd w:color="auto" w:fill="auto" w:val="clear"/>
            <w:tcMar>
              <w:left w:w="98" w:type="dxa"/>
            </w:tcMar>
          </w:tcPr>
          <w:p>
            <w:pPr>
              <w:pStyle w:val="Anotacetabulka"/>
              <w:rPr/>
            </w:pPr>
            <w:r>
              <w:rPr>
                <w:szCs w:val="24"/>
              </w:rPr>
              <w:t>Klíčová slova:</w:t>
            </w:r>
          </w:p>
        </w:tc>
        <w:tc>
          <w:tcPr>
            <w:tcW w:w="6268" w:type="dxa"/>
            <w:tcBorders>
              <w:top w:val="single" w:sz="2" w:space="0" w:color="00000A"/>
              <w:left w:val="single" w:sz="2" w:space="0" w:color="00000A"/>
              <w:bottom w:val="single" w:sz="4" w:space="0" w:color="00000A"/>
              <w:right w:val="double" w:sz="4" w:space="0" w:color="00000A"/>
              <w:insideH w:val="single" w:sz="4" w:space="0" w:color="00000A"/>
              <w:insideV w:val="double" w:sz="4" w:space="0" w:color="00000A"/>
            </w:tcBorders>
            <w:shd w:color="auto" w:fill="auto" w:val="clear"/>
            <w:tcMar>
              <w:left w:w="110" w:type="dxa"/>
            </w:tcMar>
          </w:tcPr>
          <w:p>
            <w:pPr>
              <w:pStyle w:val="Normal"/>
              <w:spacing w:before="0" w:after="200"/>
              <w:jc w:val="both"/>
              <w:rPr/>
            </w:pPr>
            <w:r>
              <w:rPr/>
              <w:t>Předškolní vzdělávání, děti, kurikulární dokument, evaluace, rozvoj, Nový Zéland, učitelé.</w:t>
            </w:r>
          </w:p>
        </w:tc>
      </w:tr>
      <w:tr>
        <w:trPr>
          <w:trHeight w:val="1815" w:hRule="atLeast"/>
        </w:trPr>
        <w:tc>
          <w:tcPr>
            <w:tcW w:w="2943" w:type="dxa"/>
            <w:tcBorders>
              <w:top w:val="single" w:sz="2" w:space="0" w:color="00000A"/>
              <w:left w:val="double" w:sz="4" w:space="0" w:color="00000A"/>
              <w:bottom w:val="single" w:sz="4" w:space="0" w:color="00000A"/>
              <w:right w:val="single" w:sz="2" w:space="0" w:color="00000A"/>
              <w:insideH w:val="single" w:sz="4" w:space="0" w:color="00000A"/>
              <w:insideV w:val="single" w:sz="2" w:space="0" w:color="00000A"/>
            </w:tcBorders>
            <w:shd w:color="auto" w:fill="auto" w:val="clear"/>
            <w:tcMar>
              <w:left w:w="98" w:type="dxa"/>
            </w:tcMar>
          </w:tcPr>
          <w:p>
            <w:pPr>
              <w:pStyle w:val="Anotacetabulka"/>
              <w:rPr/>
            </w:pPr>
            <w:r>
              <w:rPr>
                <w:szCs w:val="24"/>
              </w:rPr>
              <w:t>Anotace v angličtině:</w:t>
            </w:r>
          </w:p>
        </w:tc>
        <w:tc>
          <w:tcPr>
            <w:tcW w:w="6268" w:type="dxa"/>
            <w:tcBorders>
              <w:top w:val="single" w:sz="2" w:space="0" w:color="00000A"/>
              <w:left w:val="single" w:sz="2" w:space="0" w:color="00000A"/>
              <w:bottom w:val="single" w:sz="4" w:space="0" w:color="00000A"/>
              <w:right w:val="double" w:sz="4" w:space="0" w:color="00000A"/>
              <w:insideH w:val="single" w:sz="4" w:space="0" w:color="00000A"/>
              <w:insideV w:val="double" w:sz="4" w:space="0" w:color="00000A"/>
            </w:tcBorders>
            <w:shd w:color="auto" w:fill="auto" w:val="clear"/>
            <w:tcMar>
              <w:left w:w="110" w:type="dxa"/>
            </w:tcMar>
          </w:tcPr>
          <w:p>
            <w:pPr>
              <w:pStyle w:val="Normal"/>
              <w:spacing w:before="0" w:after="200"/>
              <w:jc w:val="both"/>
              <w:rPr/>
            </w:pPr>
            <w:r>
              <w:rPr/>
              <w:t>Topic of the bachelor thesis is early childhood education in New Zealand. The aim of this paper is to find out as much information about new zealand ECE system as possible and provide the findings to readers or interestees as a complex study including types of services, curriculum, evaluation, teachers education and short comparison with czech educational system characteristics.</w:t>
            </w:r>
          </w:p>
        </w:tc>
      </w:tr>
      <w:tr>
        <w:trPr>
          <w:trHeight w:val="769" w:hRule="atLeast"/>
        </w:trPr>
        <w:tc>
          <w:tcPr>
            <w:tcW w:w="2943" w:type="dxa"/>
            <w:tcBorders>
              <w:top w:val="single" w:sz="2" w:space="0" w:color="00000A"/>
              <w:left w:val="double" w:sz="4" w:space="0" w:color="00000A"/>
              <w:bottom w:val="single" w:sz="4" w:space="0" w:color="00000A"/>
              <w:right w:val="single" w:sz="2" w:space="0" w:color="00000A"/>
              <w:insideH w:val="single" w:sz="4" w:space="0" w:color="00000A"/>
              <w:insideV w:val="single" w:sz="2" w:space="0" w:color="00000A"/>
            </w:tcBorders>
            <w:shd w:color="auto" w:fill="auto" w:val="clear"/>
            <w:tcMar>
              <w:left w:w="98" w:type="dxa"/>
            </w:tcMar>
          </w:tcPr>
          <w:p>
            <w:pPr>
              <w:pStyle w:val="Anotacetabulka"/>
              <w:rPr/>
            </w:pPr>
            <w:r>
              <w:rPr>
                <w:szCs w:val="24"/>
              </w:rPr>
              <w:t>Klíčová slova v angličtině:</w:t>
            </w:r>
          </w:p>
        </w:tc>
        <w:tc>
          <w:tcPr>
            <w:tcW w:w="6268" w:type="dxa"/>
            <w:tcBorders>
              <w:top w:val="single" w:sz="2" w:space="0" w:color="00000A"/>
              <w:left w:val="single" w:sz="2" w:space="0" w:color="00000A"/>
              <w:bottom w:val="single" w:sz="4" w:space="0" w:color="00000A"/>
              <w:right w:val="double" w:sz="4" w:space="0" w:color="00000A"/>
              <w:insideH w:val="single" w:sz="4" w:space="0" w:color="00000A"/>
              <w:insideV w:val="double" w:sz="4" w:space="0" w:color="00000A"/>
            </w:tcBorders>
            <w:shd w:color="auto" w:fill="auto" w:val="clear"/>
            <w:tcMar>
              <w:left w:w="110" w:type="dxa"/>
            </w:tcMar>
          </w:tcPr>
          <w:p>
            <w:pPr>
              <w:pStyle w:val="Normal"/>
              <w:spacing w:before="0" w:after="200"/>
              <w:jc w:val="both"/>
              <w:rPr/>
            </w:pPr>
            <w:r>
              <w:rPr/>
              <w:t>Early childhood education, children, curriculum, evaluation, development, New Zealand, teachers.</w:t>
            </w:r>
          </w:p>
        </w:tc>
      </w:tr>
      <w:tr>
        <w:trPr>
          <w:trHeight w:val="1029" w:hRule="atLeast"/>
        </w:trPr>
        <w:tc>
          <w:tcPr>
            <w:tcW w:w="2943" w:type="dxa"/>
            <w:tcBorders>
              <w:top w:val="single" w:sz="2" w:space="0" w:color="00000A"/>
              <w:left w:val="double" w:sz="4" w:space="0" w:color="00000A"/>
              <w:bottom w:val="single" w:sz="4" w:space="0" w:color="00000A"/>
              <w:right w:val="single" w:sz="2" w:space="0" w:color="00000A"/>
              <w:insideH w:val="single" w:sz="4" w:space="0" w:color="00000A"/>
              <w:insideV w:val="single" w:sz="2" w:space="0" w:color="00000A"/>
            </w:tcBorders>
            <w:shd w:color="auto" w:fill="auto" w:val="clear"/>
            <w:tcMar>
              <w:left w:w="98" w:type="dxa"/>
            </w:tcMar>
          </w:tcPr>
          <w:p>
            <w:pPr>
              <w:pStyle w:val="Anotacetabulka"/>
              <w:rPr/>
            </w:pPr>
            <w:r>
              <w:rPr>
                <w:szCs w:val="24"/>
              </w:rPr>
              <w:t>Přílohy vázané v práci:</w:t>
            </w:r>
          </w:p>
        </w:tc>
        <w:tc>
          <w:tcPr>
            <w:tcW w:w="6268" w:type="dxa"/>
            <w:tcBorders>
              <w:top w:val="single" w:sz="2" w:space="0" w:color="00000A"/>
              <w:left w:val="single" w:sz="2" w:space="0" w:color="00000A"/>
              <w:bottom w:val="single" w:sz="4" w:space="0" w:color="00000A"/>
              <w:right w:val="double" w:sz="4" w:space="0" w:color="00000A"/>
              <w:insideH w:val="single" w:sz="4" w:space="0" w:color="00000A"/>
              <w:insideV w:val="double" w:sz="4" w:space="0" w:color="00000A"/>
            </w:tcBorders>
            <w:shd w:color="auto" w:fill="auto" w:val="clear"/>
            <w:tcMar>
              <w:left w:w="110" w:type="dxa"/>
            </w:tcMar>
          </w:tcPr>
          <w:p>
            <w:pPr>
              <w:pStyle w:val="Normal"/>
              <w:jc w:val="both"/>
              <w:rPr/>
            </w:pPr>
            <w:r>
              <w:rPr/>
              <w:t>Příloha 1 – Jacksonův učební příběh</w:t>
            </w:r>
          </w:p>
          <w:p>
            <w:pPr>
              <w:pStyle w:val="Normal"/>
              <w:jc w:val="both"/>
              <w:rPr/>
            </w:pPr>
            <w:r>
              <w:rPr/>
              <w:t>Příloha 2 – Jacksonův evaluační souhrn</w:t>
            </w:r>
          </w:p>
          <w:p>
            <w:pPr>
              <w:pStyle w:val="Normal"/>
              <w:spacing w:before="0" w:after="200"/>
              <w:jc w:val="both"/>
              <w:rPr/>
            </w:pPr>
            <w:r>
              <w:rPr/>
              <w:t>Příloha 3 – Formulář 20 hodin předškolního vzdělávání</w:t>
            </w:r>
          </w:p>
        </w:tc>
      </w:tr>
      <w:tr>
        <w:trPr>
          <w:trHeight w:val="415" w:hRule="atLeast"/>
        </w:trPr>
        <w:tc>
          <w:tcPr>
            <w:tcW w:w="2943" w:type="dxa"/>
            <w:tcBorders>
              <w:top w:val="single" w:sz="4" w:space="0" w:color="00000A"/>
              <w:left w:val="double" w:sz="4" w:space="0" w:color="00000A"/>
              <w:bottom w:val="single" w:sz="4" w:space="0" w:color="00000A"/>
              <w:right w:val="single" w:sz="2" w:space="0" w:color="00000A"/>
              <w:insideH w:val="single" w:sz="4" w:space="0" w:color="00000A"/>
              <w:insideV w:val="single" w:sz="2" w:space="0" w:color="00000A"/>
            </w:tcBorders>
            <w:shd w:color="auto" w:fill="auto" w:val="clear"/>
            <w:tcMar>
              <w:left w:w="98" w:type="dxa"/>
            </w:tcMar>
          </w:tcPr>
          <w:p>
            <w:pPr>
              <w:pStyle w:val="Anotacetabulka"/>
              <w:rPr/>
            </w:pPr>
            <w:r>
              <w:rPr>
                <w:szCs w:val="24"/>
              </w:rPr>
              <w:t>Rozsah práce:</w:t>
            </w:r>
          </w:p>
        </w:tc>
        <w:tc>
          <w:tcPr>
            <w:tcW w:w="6268" w:type="dxa"/>
            <w:tcBorders>
              <w:top w:val="single" w:sz="2" w:space="0" w:color="00000A"/>
              <w:left w:val="single" w:sz="2" w:space="0" w:color="00000A"/>
              <w:bottom w:val="single" w:sz="4" w:space="0" w:color="00000A"/>
              <w:right w:val="double" w:sz="4" w:space="0" w:color="00000A"/>
              <w:insideH w:val="single" w:sz="4" w:space="0" w:color="00000A"/>
              <w:insideV w:val="double" w:sz="4" w:space="0" w:color="00000A"/>
            </w:tcBorders>
            <w:shd w:color="auto" w:fill="auto" w:val="clear"/>
            <w:tcMar>
              <w:left w:w="110" w:type="dxa"/>
            </w:tcMar>
          </w:tcPr>
          <w:p>
            <w:pPr>
              <w:pStyle w:val="Normal"/>
              <w:spacing w:before="0" w:after="200"/>
              <w:rPr/>
            </w:pPr>
            <w:r>
              <w:rPr/>
              <w:t>45</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before="0" w:after="200"/>
        <w:rPr/>
      </w:pPr>
      <w:r>
        <w:rPr/>
      </w:r>
    </w:p>
    <w:sectPr>
      <w:footerReference w:type="default" r:id="rId14"/>
      <w:type w:val="nextPage"/>
      <w:pgSz w:w="11906" w:h="16838"/>
      <w:pgMar w:left="1985" w:right="851" w:header="0" w:top="1418" w:footer="709" w:bottom="1418"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imes New Roman">
    <w:charset w:val="ee"/>
    <w:family w:val="roman"/>
    <w:pitch w:val="variable"/>
  </w:font>
  <w:font w:name="Arial">
    <w:charset w:val="ee"/>
    <w:family w:val="roman"/>
    <w:pitch w:val="variable"/>
  </w:font>
  <w:font w:name="Tahoma">
    <w:charset w:val="ee"/>
    <w:family w:val="roman"/>
    <w:pitch w:val="variable"/>
  </w:font>
  <w:font w:name="Liberation Sans">
    <w:altName w:val="Arial"/>
    <w:charset w:val="ee"/>
    <w:family w:val="swiss"/>
    <w:pitch w:val="variable"/>
  </w:font>
  <w:font w:name="Wingdings">
    <w:charset w:val="02"/>
    <w:family w:val="roman"/>
    <w:pitch w:val="variable"/>
  </w:font>
  <w:font w:name="Verdana">
    <w:charset w:val="ee"/>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72943796"/>
    </w:sdtPr>
    <w:sdtContent>
      <w:p>
        <w:pPr>
          <w:pStyle w:val="Zpat"/>
          <w:jc w:val="right"/>
          <w:rPr/>
        </w:pPr>
        <w:r>
          <w:rPr/>
        </w:r>
      </w:p>
    </w:sdtContent>
  </w:sdt>
  <w:p>
    <w:pPr>
      <w:pStyle w:val="Zpat"/>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4622672"/>
    </w:sdtPr>
    <w:sdtContent>
      <w:p>
        <w:pPr>
          <w:pStyle w:val="Zpat"/>
          <w:jc w:val="right"/>
          <w:rPr/>
        </w:pPr>
        <w:r>
          <w:rPr/>
        </w:r>
      </w:p>
    </w:sdtContent>
  </w:sdt>
  <w:p>
    <w:pPr>
      <w:pStyle w:val="Zpat"/>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5"/>
      <w:pStyle w:val="Nadpis4"/>
      <w:numFmt w:val="decimal"/>
      <w:lvlText w:val="%1.1.2.1"/>
      <w:lvlJc w:val="left"/>
      <w:pPr>
        <w:ind w:left="720" w:hanging="360"/>
      </w:pPr>
    </w:lvl>
    <w:lvl w:ilvl="1">
      <w:start w:val="1"/>
      <w:numFmt w:val="none"/>
      <w:suff w:val="nothing"/>
      <w:lvlText w:val=""/>
      <w:lvlJc w:val="left"/>
      <w:pPr>
        <w:ind w:left="0" w:hanging="0"/>
      </w:pPr>
    </w:lvl>
    <w:lvl w:ilvl="2">
      <w:start w:val="1"/>
      <w:pStyle w:val="Nadpis2"/>
      <w:numFmt w:val="decimal"/>
      <w:lvlText w:val="%1.%3"/>
      <w:lvlJc w:val="left"/>
      <w:pPr>
        <w:ind w:left="1440" w:hanging="72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tabs>
          <w:tab w:val="num" w:pos="780"/>
        </w:tabs>
        <w:ind w:left="78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color w:val="00000A"/>
      </w:rPr>
    </w:lvl>
    <w:lvl w:ilvl="2">
      <w:start w:val="1"/>
      <w:numFmt w:val="bullet"/>
      <w:lvlText w:val=""/>
      <w:lvlJc w:val="left"/>
      <w:pPr>
        <w:tabs>
          <w:tab w:val="num" w:pos="2220"/>
        </w:tabs>
        <w:ind w:left="2220" w:hanging="360"/>
      </w:pPr>
      <w:rPr>
        <w:rFonts w:ascii="Wingdings" w:hAnsi="Wingdings" w:cs="Wingdings" w:hint="default"/>
      </w:rPr>
    </w:lvl>
    <w:lvl w:ilvl="3">
      <w:start w:val="1"/>
      <w:numFmt w:val="bullet"/>
      <w:lvlText w:val=""/>
      <w:lvlJc w:val="left"/>
      <w:pPr>
        <w:tabs>
          <w:tab w:val="num" w:pos="2940"/>
        </w:tabs>
        <w:ind w:left="2940" w:hanging="360"/>
      </w:pPr>
      <w:rPr>
        <w:rFonts w:ascii="Symbol" w:hAnsi="Symbol" w:cs="Symbol" w:hint="default"/>
      </w:rPr>
    </w:lvl>
    <w:lvl w:ilvl="4">
      <w:start w:val="1"/>
      <w:numFmt w:val="bullet"/>
      <w:lvlText w:val="o"/>
      <w:lvlJc w:val="left"/>
      <w:pPr>
        <w:tabs>
          <w:tab w:val="num" w:pos="3660"/>
        </w:tabs>
        <w:ind w:left="3660" w:hanging="360"/>
      </w:pPr>
      <w:rPr>
        <w:rFonts w:ascii="Courier New" w:hAnsi="Courier New" w:cs="Courier New" w:hint="default"/>
        <w:rFonts w:cs="Courier New"/>
      </w:rPr>
    </w:lvl>
    <w:lvl w:ilvl="5">
      <w:start w:val="1"/>
      <w:numFmt w:val="bullet"/>
      <w:lvlText w:val=""/>
      <w:lvlJc w:val="left"/>
      <w:pPr>
        <w:tabs>
          <w:tab w:val="num" w:pos="4380"/>
        </w:tabs>
        <w:ind w:left="4380" w:hanging="360"/>
      </w:pPr>
      <w:rPr>
        <w:rFonts w:ascii="Wingdings" w:hAnsi="Wingdings" w:cs="Wingdings" w:hint="default"/>
      </w:rPr>
    </w:lvl>
    <w:lvl w:ilvl="6">
      <w:start w:val="1"/>
      <w:numFmt w:val="bullet"/>
      <w:lvlText w:val=""/>
      <w:lvlJc w:val="left"/>
      <w:pPr>
        <w:tabs>
          <w:tab w:val="num" w:pos="5100"/>
        </w:tabs>
        <w:ind w:left="5100" w:hanging="360"/>
      </w:pPr>
      <w:rPr>
        <w:rFonts w:ascii="Symbol" w:hAnsi="Symbol" w:cs="Symbol" w:hint="default"/>
      </w:rPr>
    </w:lvl>
    <w:lvl w:ilvl="7">
      <w:start w:val="1"/>
      <w:numFmt w:val="bullet"/>
      <w:lvlText w:val="o"/>
      <w:lvlJc w:val="left"/>
      <w:pPr>
        <w:tabs>
          <w:tab w:val="num" w:pos="5820"/>
        </w:tabs>
        <w:ind w:left="5820" w:hanging="360"/>
      </w:pPr>
      <w:rPr>
        <w:rFonts w:ascii="Courier New" w:hAnsi="Courier New" w:cs="Courier New" w:hint="default"/>
        <w:rFonts w:cs="Courier New"/>
      </w:rPr>
    </w:lvl>
    <w:lvl w:ilvl="8">
      <w:start w:val="1"/>
      <w:numFmt w:val="bullet"/>
      <w:lvlText w:val=""/>
      <w:lvlJc w:val="left"/>
      <w:pPr>
        <w:tabs>
          <w:tab w:val="num" w:pos="6540"/>
        </w:tabs>
        <w:ind w:left="6540" w:hanging="360"/>
      </w:pPr>
      <w:rPr>
        <w:rFonts w:ascii="Wingdings" w:hAnsi="Wingdings" w:cs="Wingdings" w:hint="default"/>
      </w:rPr>
    </w:lvl>
  </w:abstractNum>
  <w:abstractNum w:abstractNumId="6">
    <w:lvl w:ilvl="0">
      <w:start w:val="1"/>
      <w:numFmt w:val="bullet"/>
      <w:lvlText w:val=""/>
      <w:lvlJc w:val="left"/>
      <w:pPr>
        <w:tabs>
          <w:tab w:val="num" w:pos="360"/>
        </w:tabs>
        <w:ind w:left="360" w:hanging="360"/>
      </w:pPr>
      <w:rPr>
        <w:rFonts w:ascii="Wingdings" w:hAnsi="Wingdings" w:cs="Wingdings" w:hint="default"/>
        <w:color w:val="00000A"/>
      </w:rPr>
    </w:lvl>
    <w:lvl w:ilvl="1">
      <w:start w:val="1"/>
      <w:numFmt w:val="bullet"/>
      <w:lvlText w:val="o"/>
      <w:lvlJc w:val="left"/>
      <w:pPr>
        <w:tabs>
          <w:tab w:val="num" w:pos="360"/>
        </w:tabs>
        <w:ind w:left="360" w:hanging="360"/>
      </w:pPr>
      <w:rPr>
        <w:rFonts w:ascii="Courier New" w:hAnsi="Courier New" w:cs="Courier New" w:hint="default"/>
        <w:rFonts w:cs="Courier New"/>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Fonts w:cs="Courier New"/>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Fonts w:cs="Courier New"/>
      </w:rPr>
    </w:lvl>
    <w:lvl w:ilvl="8">
      <w:start w:val="1"/>
      <w:numFmt w:val="bullet"/>
      <w:lvlText w:val=""/>
      <w:lvlJc w:val="left"/>
      <w:pPr>
        <w:tabs>
          <w:tab w:val="num" w:pos="5400"/>
        </w:tabs>
        <w:ind w:left="5400" w:hanging="360"/>
      </w:pPr>
      <w:rPr>
        <w:rFonts w:ascii="Wingdings" w:hAnsi="Wingdings" w:cs="Wingdings" w:hint="default"/>
      </w:rPr>
    </w:lvl>
  </w:abstractNum>
  <w:abstractNum w:abstractNumId="7">
    <w:lvl w:ilvl="0">
      <w:start w:val="5"/>
      <w:numFmt w:val="decimal"/>
      <w:lvlText w:val="%1.1.3"/>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5"/>
      <w:numFmt w:val="decimal"/>
      <w:lvlText w:val="%1.1.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1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3">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1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9">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1">
    <w:lvl w:ilvl="0">
      <w:start w:val="2"/>
      <w:numFmt w:val="decimal"/>
      <w:lvlText w:val="%1"/>
      <w:lvlJc w:val="left"/>
      <w:pPr>
        <w:ind w:left="480" w:hanging="480"/>
      </w:pPr>
    </w:lvl>
    <w:lvl w:ilvl="1">
      <w:start w:val="1"/>
      <w:numFmt w:val="decimal"/>
      <w:lvlText w:val="%1.%2"/>
      <w:lvlJc w:val="left"/>
      <w:pPr>
        <w:ind w:left="840" w:hanging="48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2">
    <w:lvl w:ilvl="0">
      <w:start w:val="1"/>
      <w:numFmt w:val="decimal"/>
      <w:lvlText w:val="%1"/>
      <w:lvlJc w:val="left"/>
      <w:pPr>
        <w:ind w:left="720" w:hanging="360"/>
      </w:pPr>
    </w:lvl>
    <w:lvl w:ilvl="1">
      <w:start w:val="1"/>
      <w:numFmt w:val="decimal"/>
      <w:lvlText w:val="%1.%2"/>
      <w:lvlJc w:val="left"/>
      <w:pPr>
        <w:ind w:left="1260" w:hanging="54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3">
    <w:lvl w:ilvl="0">
      <w:start w:val="2"/>
      <w:numFmt w:val="decimal"/>
      <w:lvlText w:val="%1"/>
      <w:lvlJc w:val="left"/>
      <w:pPr>
        <w:ind w:left="480" w:hanging="480"/>
      </w:pPr>
    </w:lvl>
    <w:lvl w:ilvl="1">
      <w:start w:val="7"/>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w="http://schemas.openxmlformats.org/wordprocessingml/2006/main">
  <w:zoom w:percent="116"/>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cs-CZ"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cs-CZ" w:eastAsia="en-US" w:bidi="ar-SA"/>
    </w:rPr>
  </w:style>
  <w:style w:type="paragraph" w:styleId="Nadpis1">
    <w:name w:val="Heading 1"/>
    <w:basedOn w:val="Normal"/>
    <w:link w:val="Nadpis1Char"/>
    <w:autoRedefine/>
    <w:uiPriority w:val="9"/>
    <w:qFormat/>
    <w:rsid w:val="00ff5638"/>
    <w:pPr>
      <w:keepNext/>
      <w:keepLines/>
      <w:spacing w:lineRule="auto" w:line="360" w:before="480" w:after="240"/>
      <w:ind w:left="1080" w:hanging="720"/>
      <w:outlineLvl w:val="0"/>
    </w:pPr>
    <w:rPr>
      <w:rFonts w:ascii="Times New Roman" w:hAnsi="Times New Roman" w:eastAsia="" w:cs="" w:cstheme="majorBidi" w:eastAsiaTheme="majorEastAsia"/>
      <w:b/>
      <w:bCs/>
      <w:sz w:val="28"/>
      <w:szCs w:val="28"/>
      <w:lang w:val="en-US"/>
    </w:rPr>
  </w:style>
  <w:style w:type="paragraph" w:styleId="Nadpis2">
    <w:name w:val="Heading 2"/>
    <w:basedOn w:val="Normal"/>
    <w:link w:val="Nadpis2Char"/>
    <w:autoRedefine/>
    <w:uiPriority w:val="9"/>
    <w:unhideWhenUsed/>
    <w:qFormat/>
    <w:rsid w:val="00915fab"/>
    <w:pPr>
      <w:keepNext/>
      <w:keepLines/>
      <w:numPr>
        <w:ilvl w:val="2"/>
        <w:numId w:val="1"/>
      </w:numPr>
      <w:spacing w:before="200" w:after="0"/>
      <w:outlineLvl w:val="2"/>
      <w:outlineLvl w:val="2"/>
    </w:pPr>
    <w:rPr>
      <w:rFonts w:ascii="Times New Roman" w:hAnsi="Times New Roman" w:eastAsia="" w:cs="" w:cstheme="majorBidi" w:eastAsiaTheme="majorEastAsia"/>
      <w:b/>
      <w:bCs/>
      <w:sz w:val="28"/>
      <w:szCs w:val="28"/>
      <w:lang w:val="en-US"/>
    </w:rPr>
  </w:style>
  <w:style w:type="paragraph" w:styleId="Nadpis3">
    <w:name w:val="Heading 3"/>
    <w:basedOn w:val="Normal"/>
    <w:link w:val="Nadpis3Char"/>
    <w:autoRedefine/>
    <w:uiPriority w:val="9"/>
    <w:unhideWhenUsed/>
    <w:qFormat/>
    <w:rsid w:val="006400af"/>
    <w:pPr>
      <w:keepNext/>
      <w:keepLines/>
      <w:numPr>
        <w:ilvl w:val="0"/>
        <w:numId w:val="1"/>
      </w:numPr>
      <w:spacing w:before="200" w:after="0"/>
    </w:pPr>
    <w:rPr>
      <w:rFonts w:ascii="Times New Roman" w:hAnsi="Times New Roman" w:eastAsia="" w:cs="" w:cstheme="majorBidi" w:eastAsiaTheme="majorEastAsia"/>
      <w:b/>
      <w:bCs/>
      <w:sz w:val="30"/>
    </w:rPr>
  </w:style>
  <w:style w:type="paragraph" w:styleId="Nadpis4">
    <w:name w:val="Heading 4"/>
    <w:basedOn w:val="Normal"/>
    <w:link w:val="Nadpis4Char"/>
    <w:uiPriority w:val="9"/>
    <w:unhideWhenUsed/>
    <w:qFormat/>
    <w:rsid w:val="006400af"/>
    <w:pPr>
      <w:keepNext/>
      <w:keepLines/>
      <w:numPr>
        <w:ilvl w:val="0"/>
        <w:numId w:val="1"/>
      </w:numPr>
      <w:spacing w:before="200" w:after="0"/>
      <w:outlineLvl w:val="0"/>
      <w:outlineLvl w:val="0"/>
    </w:pPr>
    <w:rPr>
      <w:rFonts w:ascii="Times New Roman" w:hAnsi="Times New Roman" w:eastAsia="" w:cs="" w:cstheme="majorBidi" w:eastAsiaTheme="majorEastAsia"/>
      <w:b/>
      <w:bCs/>
      <w:iCs/>
      <w:sz w:val="30"/>
    </w:rPr>
  </w:style>
  <w:style w:type="paragraph" w:styleId="Nadpis9">
    <w:name w:val="Heading 9"/>
    <w:basedOn w:val="Normal"/>
    <w:link w:val="Nadpis9Char"/>
    <w:qFormat/>
    <w:rsid w:val="002264d2"/>
    <w:pPr>
      <w:spacing w:lineRule="auto" w:line="240" w:before="240" w:after="60"/>
      <w:outlineLvl w:val="8"/>
    </w:pPr>
    <w:rPr>
      <w:rFonts w:ascii="Arial" w:hAnsi="Arial" w:eastAsia="Times New Roman" w:cs="Arial"/>
      <w:color w:val="000000"/>
      <w:lang w:val="en-NZ"/>
    </w:rPr>
  </w:style>
  <w:style w:type="character" w:styleId="DefaultParagraphFont" w:default="1">
    <w:name w:val="Default Paragraph Font"/>
    <w:uiPriority w:val="1"/>
    <w:semiHidden/>
    <w:unhideWhenUsed/>
    <w:qFormat/>
    <w:rPr/>
  </w:style>
  <w:style w:type="character" w:styleId="TextbublinyChar" w:customStyle="1">
    <w:name w:val="Text bubliny Char"/>
    <w:basedOn w:val="DefaultParagraphFont"/>
    <w:link w:val="Textbubliny"/>
    <w:uiPriority w:val="99"/>
    <w:semiHidden/>
    <w:qFormat/>
    <w:rsid w:val="006a1482"/>
    <w:rPr>
      <w:rFonts w:ascii="Tahoma" w:hAnsi="Tahoma" w:cs="Tahoma"/>
      <w:sz w:val="16"/>
      <w:szCs w:val="16"/>
    </w:rPr>
  </w:style>
  <w:style w:type="character" w:styleId="Appleconvertedspace" w:customStyle="1">
    <w:name w:val="apple-converted-space"/>
    <w:basedOn w:val="DefaultParagraphFont"/>
    <w:qFormat/>
    <w:rsid w:val="00065f75"/>
    <w:rPr/>
  </w:style>
  <w:style w:type="character" w:styleId="Strong">
    <w:name w:val="Strong"/>
    <w:basedOn w:val="DefaultParagraphFont"/>
    <w:uiPriority w:val="22"/>
    <w:qFormat/>
    <w:rsid w:val="00b2649a"/>
    <w:rPr>
      <w:b/>
      <w:bCs/>
    </w:rPr>
  </w:style>
  <w:style w:type="character" w:styleId="ZhlavChar" w:customStyle="1">
    <w:name w:val="Záhlaví Char"/>
    <w:basedOn w:val="DefaultParagraphFont"/>
    <w:link w:val="Zhlav"/>
    <w:uiPriority w:val="99"/>
    <w:qFormat/>
    <w:rsid w:val="00db033c"/>
    <w:rPr/>
  </w:style>
  <w:style w:type="character" w:styleId="ZpatChar" w:customStyle="1">
    <w:name w:val="Zápatí Char"/>
    <w:basedOn w:val="DefaultParagraphFont"/>
    <w:link w:val="Zpat"/>
    <w:uiPriority w:val="99"/>
    <w:qFormat/>
    <w:rsid w:val="00db033c"/>
    <w:rPr/>
  </w:style>
  <w:style w:type="character" w:styleId="Nadpis9Char" w:customStyle="1">
    <w:name w:val="Nadpis 9 Char"/>
    <w:basedOn w:val="DefaultParagraphFont"/>
    <w:link w:val="Nadpis9"/>
    <w:qFormat/>
    <w:rsid w:val="002264d2"/>
    <w:rPr>
      <w:rFonts w:ascii="Arial" w:hAnsi="Arial" w:eastAsia="Times New Roman" w:cs="Arial"/>
      <w:color w:val="000000"/>
      <w:lang w:val="en-NZ"/>
    </w:rPr>
  </w:style>
  <w:style w:type="character" w:styleId="Internetovodkaz">
    <w:name w:val="Internetový odkaz"/>
    <w:basedOn w:val="DefaultParagraphFont"/>
    <w:rsid w:val="002264d2"/>
    <w:rPr>
      <w:color w:val="0000FF"/>
      <w:u w:val="single"/>
    </w:rPr>
  </w:style>
  <w:style w:type="character" w:styleId="Zdraznn">
    <w:name w:val="Zdůraznění"/>
    <w:basedOn w:val="DefaultParagraphFont"/>
    <w:uiPriority w:val="20"/>
    <w:qFormat/>
    <w:rsid w:val="006d3ea4"/>
    <w:rPr>
      <w:i/>
      <w:iCs/>
    </w:rPr>
  </w:style>
  <w:style w:type="character" w:styleId="Kxbc" w:customStyle="1">
    <w:name w:val="kxbc"/>
    <w:basedOn w:val="DefaultParagraphFont"/>
    <w:qFormat/>
    <w:rsid w:val="001a3cd3"/>
    <w:rPr/>
  </w:style>
  <w:style w:type="character" w:styleId="5yl5" w:customStyle="1">
    <w:name w:val="_5yl5"/>
    <w:basedOn w:val="DefaultParagraphFont"/>
    <w:qFormat/>
    <w:rsid w:val="00bb6658"/>
    <w:rPr/>
  </w:style>
  <w:style w:type="character" w:styleId="Nadpis1Char" w:customStyle="1">
    <w:name w:val="Nadpis 1 Char"/>
    <w:basedOn w:val="DefaultParagraphFont"/>
    <w:link w:val="Nadpis1"/>
    <w:uiPriority w:val="9"/>
    <w:qFormat/>
    <w:rsid w:val="00ff5638"/>
    <w:rPr>
      <w:rFonts w:ascii="Times New Roman" w:hAnsi="Times New Roman" w:eastAsia="" w:cs="" w:cstheme="majorBidi" w:eastAsiaTheme="majorEastAsia"/>
      <w:b/>
      <w:bCs/>
      <w:sz w:val="28"/>
      <w:szCs w:val="28"/>
      <w:lang w:val="en-US"/>
    </w:rPr>
  </w:style>
  <w:style w:type="character" w:styleId="Nadpis2Char" w:customStyle="1">
    <w:name w:val="Nadpis 2 Char"/>
    <w:basedOn w:val="DefaultParagraphFont"/>
    <w:link w:val="Nadpis2"/>
    <w:uiPriority w:val="9"/>
    <w:qFormat/>
    <w:rsid w:val="00915fab"/>
    <w:rPr>
      <w:rFonts w:ascii="Times New Roman" w:hAnsi="Times New Roman" w:eastAsia="" w:cs="" w:cstheme="majorBidi" w:eastAsiaTheme="majorEastAsia"/>
      <w:b/>
      <w:bCs/>
      <w:sz w:val="28"/>
      <w:szCs w:val="28"/>
      <w:lang w:val="en-US"/>
    </w:rPr>
  </w:style>
  <w:style w:type="character" w:styleId="Nadpis3Char" w:customStyle="1">
    <w:name w:val="Nadpis 3 Char"/>
    <w:basedOn w:val="DefaultParagraphFont"/>
    <w:link w:val="Nadpis3"/>
    <w:uiPriority w:val="9"/>
    <w:qFormat/>
    <w:rsid w:val="006400af"/>
    <w:rPr>
      <w:rFonts w:ascii="Times New Roman" w:hAnsi="Times New Roman" w:eastAsia="" w:cs="" w:cstheme="majorBidi" w:eastAsiaTheme="majorEastAsia"/>
      <w:b/>
      <w:bCs/>
      <w:sz w:val="30"/>
    </w:rPr>
  </w:style>
  <w:style w:type="character" w:styleId="Nadpis4Char" w:customStyle="1">
    <w:name w:val="Nadpis 4 Char"/>
    <w:basedOn w:val="DefaultParagraphFont"/>
    <w:link w:val="Nadpis4"/>
    <w:uiPriority w:val="9"/>
    <w:qFormat/>
    <w:rsid w:val="006400af"/>
    <w:rPr>
      <w:rFonts w:ascii="Times New Roman" w:hAnsi="Times New Roman" w:eastAsia="" w:cs="" w:cstheme="majorBidi" w:eastAsiaTheme="majorEastAsia"/>
      <w:b/>
      <w:bCs/>
      <w:iCs/>
      <w:sz w:val="30"/>
    </w:rPr>
  </w:style>
  <w:style w:type="character" w:styleId="Anotace" w:customStyle="1">
    <w:name w:val="Anotace"/>
    <w:qFormat/>
    <w:rsid w:val="00c80494"/>
    <w:rPr>
      <w:b/>
      <w:bCs/>
      <w:sz w:val="32"/>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color w:val="00000A"/>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color w:val="00000A"/>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color w:val="00000A"/>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color w:val="00000A"/>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Symbolyproslovn">
    <w:name w:val="Symboly pro číslování"/>
    <w:qFormat/>
    <w:rPr/>
  </w:style>
  <w:style w:type="paragraph" w:styleId="Nadpis">
    <w:name w:val="Nadpis"/>
    <w:basedOn w:val="Normal"/>
    <w:next w:val="Tlotextu"/>
    <w:qFormat/>
    <w:pPr>
      <w:keepNext/>
      <w:spacing w:before="240" w:after="120"/>
    </w:pPr>
    <w:rPr>
      <w:rFonts w:ascii="Liberation Sans" w:hAnsi="Liberation Sans" w:eastAsia="Microsoft YaHei" w:cs="Mangal"/>
      <w:sz w:val="28"/>
      <w:szCs w:val="28"/>
    </w:rPr>
  </w:style>
  <w:style w:type="paragraph" w:styleId="Tlotextu">
    <w:name w:val="Body Text"/>
    <w:basedOn w:val="Normal"/>
    <w:pPr>
      <w:spacing w:lineRule="auto" w:line="288" w:before="0" w:after="140"/>
    </w:pPr>
    <w:rPr/>
  </w:style>
  <w:style w:type="paragraph" w:styleId="Seznam">
    <w:name w:val="List"/>
    <w:basedOn w:val="Tlotextu"/>
    <w:pPr/>
    <w:rPr>
      <w:rFonts w:cs="Mangal"/>
    </w:rPr>
  </w:style>
  <w:style w:type="paragraph" w:styleId="Popisek">
    <w:name w:val="Caption"/>
    <w:basedOn w:val="Normal"/>
    <w:qFormat/>
    <w:pPr>
      <w:suppressLineNumbers/>
      <w:spacing w:before="120" w:after="120"/>
    </w:pPr>
    <w:rPr>
      <w:rFonts w:cs="Mangal"/>
      <w:i/>
      <w:iCs/>
      <w:sz w:val="24"/>
      <w:szCs w:val="24"/>
    </w:rPr>
  </w:style>
  <w:style w:type="paragraph" w:styleId="Rejstk">
    <w:name w:val="Rejstřík"/>
    <w:basedOn w:val="Normal"/>
    <w:qFormat/>
    <w:pPr>
      <w:suppressLineNumbers/>
    </w:pPr>
    <w:rPr>
      <w:rFonts w:cs="Mangal"/>
    </w:rPr>
  </w:style>
  <w:style w:type="paragraph" w:styleId="BalloonText">
    <w:name w:val="Balloon Text"/>
    <w:basedOn w:val="Normal"/>
    <w:link w:val="TextbublinyChar"/>
    <w:uiPriority w:val="99"/>
    <w:semiHidden/>
    <w:unhideWhenUsed/>
    <w:qFormat/>
    <w:rsid w:val="006a1482"/>
    <w:pPr>
      <w:spacing w:lineRule="auto" w:line="240" w:before="0" w:after="0"/>
    </w:pPr>
    <w:rPr>
      <w:rFonts w:ascii="Tahoma" w:hAnsi="Tahoma" w:cs="Tahoma"/>
      <w:sz w:val="16"/>
      <w:szCs w:val="16"/>
    </w:rPr>
  </w:style>
  <w:style w:type="paragraph" w:styleId="ListParagraph">
    <w:name w:val="List Paragraph"/>
    <w:basedOn w:val="Normal"/>
    <w:uiPriority w:val="34"/>
    <w:qFormat/>
    <w:rsid w:val="00c71edb"/>
    <w:pPr>
      <w:spacing w:before="0" w:after="200"/>
      <w:ind w:left="720" w:hanging="0"/>
      <w:contextualSpacing/>
    </w:pPr>
    <w:rPr/>
  </w:style>
  <w:style w:type="paragraph" w:styleId="Zhlav">
    <w:name w:val="Header"/>
    <w:basedOn w:val="Normal"/>
    <w:link w:val="ZhlavChar"/>
    <w:uiPriority w:val="99"/>
    <w:unhideWhenUsed/>
    <w:rsid w:val="00db033c"/>
    <w:pPr>
      <w:tabs>
        <w:tab w:val="center" w:pos="4536" w:leader="none"/>
        <w:tab w:val="right" w:pos="9072" w:leader="none"/>
      </w:tabs>
      <w:spacing w:lineRule="auto" w:line="240" w:before="0" w:after="0"/>
    </w:pPr>
    <w:rPr/>
  </w:style>
  <w:style w:type="paragraph" w:styleId="Zpat">
    <w:name w:val="Footer"/>
    <w:basedOn w:val="Normal"/>
    <w:link w:val="ZpatChar"/>
    <w:uiPriority w:val="99"/>
    <w:unhideWhenUsed/>
    <w:rsid w:val="00db033c"/>
    <w:pPr>
      <w:tabs>
        <w:tab w:val="center" w:pos="4536" w:leader="none"/>
        <w:tab w:val="right" w:pos="9072" w:leader="none"/>
      </w:tabs>
      <w:spacing w:lineRule="auto" w:line="240" w:before="0" w:after="0"/>
    </w:pPr>
    <w:rPr/>
  </w:style>
  <w:style w:type="paragraph" w:styleId="NormalIndent">
    <w:name w:val="Normal Indent"/>
    <w:basedOn w:val="Normal"/>
    <w:uiPriority w:val="99"/>
    <w:semiHidden/>
    <w:unhideWhenUsed/>
    <w:qFormat/>
    <w:rsid w:val="002f4306"/>
    <w:pPr>
      <w:ind w:left="720" w:hanging="0"/>
    </w:pPr>
    <w:rPr/>
  </w:style>
  <w:style w:type="paragraph" w:styleId="Anotacetabulka" w:customStyle="1">
    <w:name w:val="Anotace-tabulka"/>
    <w:basedOn w:val="Normal"/>
    <w:qFormat/>
    <w:rsid w:val="00c80494"/>
    <w:pPr>
      <w:spacing w:lineRule="auto" w:line="240" w:before="0" w:after="0"/>
      <w:jc w:val="both"/>
    </w:pPr>
    <w:rPr>
      <w:rFonts w:ascii="Times New Roman" w:hAnsi="Times New Roman" w:eastAsia="Times New Roman" w:cs="Times New Roman"/>
      <w:b/>
      <w:bCs/>
      <w:sz w:val="24"/>
      <w:szCs w:val="20"/>
      <w:lang w:eastAsia="cs-CZ"/>
    </w:rPr>
  </w:style>
  <w:style w:type="numbering" w:styleId="NoList" w:default="1">
    <w:name w:val="No List"/>
    <w:uiPriority w:val="99"/>
    <w:semiHidden/>
    <w:unhideWhenUsed/>
    <w:qFormat/>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table" w:styleId="Mkatabulky">
    <w:name w:val="Table Grid"/>
    <w:basedOn w:val="Normlntabulka"/>
    <w:uiPriority w:val="59"/>
    <w:rsid w:val="0056502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sk.wikipedia.org/w/index.php?title=P&#257;keh&#257;&amp;action=edit&amp;redlink=1"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hyperlink" Target="http://www.teacherswork.ac.nz/journal/volume2_issue1/scrivens.pdf" TargetMode="External"/><Relationship Id="rId8" Type="http://schemas.openxmlformats.org/officeDocument/2006/relationships/hyperlink" Target="http://campus.openpolytechnic.ac.nz/resources/readings/75201/Ritchie2003.pdf" TargetMode="External"/><Relationship Id="rId9" Type="http://schemas.openxmlformats.org/officeDocument/2006/relationships/footer" Target="footer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hyperlink" Target="http://www.eli.education.govt.nz/" TargetMode="External"/><Relationship Id="rId13" Type="http://schemas.openxmlformats.org/officeDocument/2006/relationships/hyperlink" Target="http://www.eli.education.govt.nz/" TargetMode="External"/><Relationship Id="rId14" Type="http://schemas.openxmlformats.org/officeDocument/2006/relationships/footer" Target="footer2.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39432-09FA-45A4-9AC1-7908FB447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Application>LibreOffice/5.2.5.1$Windows_x86 LibreOffice_project/0312e1a284a7d50ca85a365c316c7abbf20a4d22</Application>
  <Pages>61</Pages>
  <Words>13175</Words>
  <Characters>77881</Characters>
  <CharactersWithSpaces>92267</CharactersWithSpaces>
  <Paragraphs>713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2017-06-12T17:03:00Z</dcterms:created>
  <dc:creator>Petra Sumberova</dc:creator>
  <dc:description/>
  <dc:language>cs-CZ</dc:language>
  <cp:lastModifiedBy/>
  <cp:lastPrinted>2017-06-13T05:01:00Z</cp:lastPrinted>
  <dcterms:modified xsi:type="dcterms:W3CDTF">2017-06-15T09:47:16Z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