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6FBE" w14:textId="77777777" w:rsidR="00AA4919" w:rsidRPr="000A2FDA" w:rsidRDefault="00AA4919" w:rsidP="00AA4919">
      <w:pPr>
        <w:spacing w:line="360" w:lineRule="auto"/>
        <w:jc w:val="center"/>
        <w:rPr>
          <w:rFonts w:cs="Times New Roman"/>
          <w:b/>
          <w:bCs/>
          <w:szCs w:val="24"/>
        </w:rPr>
      </w:pPr>
      <w:r w:rsidRPr="000A2FDA">
        <w:rPr>
          <w:rFonts w:cs="Times New Roman"/>
          <w:b/>
          <w:bCs/>
          <w:szCs w:val="24"/>
        </w:rPr>
        <w:t>UNIVERZITA PALACKÉHO V OLOMOUCI</w:t>
      </w:r>
    </w:p>
    <w:p w14:paraId="76B5AB8E" w14:textId="77777777" w:rsidR="00AA4919" w:rsidRPr="000A2FDA" w:rsidRDefault="00AA4919" w:rsidP="00AA4919">
      <w:pPr>
        <w:spacing w:line="360" w:lineRule="auto"/>
        <w:jc w:val="center"/>
        <w:rPr>
          <w:rFonts w:cs="Times New Roman"/>
          <w:b/>
          <w:bCs/>
          <w:szCs w:val="24"/>
        </w:rPr>
      </w:pPr>
      <w:r w:rsidRPr="000A2FDA">
        <w:rPr>
          <w:rFonts w:cs="Times New Roman"/>
          <w:b/>
          <w:bCs/>
          <w:szCs w:val="24"/>
        </w:rPr>
        <w:t>Filozofická fakulta</w:t>
      </w:r>
    </w:p>
    <w:p w14:paraId="32835721" w14:textId="77777777" w:rsidR="00AA4919" w:rsidRPr="000A2FDA" w:rsidRDefault="00AA4919" w:rsidP="00AA4919">
      <w:pPr>
        <w:spacing w:line="360" w:lineRule="auto"/>
        <w:jc w:val="center"/>
        <w:rPr>
          <w:rFonts w:cs="Times New Roman"/>
          <w:b/>
          <w:bCs/>
          <w:szCs w:val="24"/>
        </w:rPr>
      </w:pPr>
      <w:r w:rsidRPr="000A2FDA">
        <w:rPr>
          <w:rFonts w:cs="Times New Roman"/>
          <w:b/>
          <w:bCs/>
          <w:szCs w:val="24"/>
        </w:rPr>
        <w:t>Katedra politologie a evropských studií</w:t>
      </w:r>
    </w:p>
    <w:p w14:paraId="73B2603B" w14:textId="77777777" w:rsidR="00AA4919" w:rsidRDefault="00AA4919" w:rsidP="00AA4919">
      <w:pPr>
        <w:spacing w:line="360" w:lineRule="auto"/>
        <w:jc w:val="center"/>
        <w:rPr>
          <w:rFonts w:cs="Times New Roman"/>
          <w:szCs w:val="24"/>
        </w:rPr>
      </w:pPr>
    </w:p>
    <w:p w14:paraId="1D22B012" w14:textId="77777777" w:rsidR="00AA4919" w:rsidRDefault="00AA4919" w:rsidP="00AA4919">
      <w:pPr>
        <w:spacing w:line="360" w:lineRule="auto"/>
        <w:jc w:val="center"/>
        <w:rPr>
          <w:rFonts w:cs="Times New Roman"/>
          <w:szCs w:val="24"/>
        </w:rPr>
      </w:pPr>
    </w:p>
    <w:p w14:paraId="56C96719" w14:textId="77777777" w:rsidR="00AA4919" w:rsidRDefault="00AA4919" w:rsidP="00AA4919">
      <w:pPr>
        <w:spacing w:line="360" w:lineRule="auto"/>
        <w:jc w:val="center"/>
        <w:rPr>
          <w:rFonts w:cs="Times New Roman"/>
          <w:szCs w:val="24"/>
        </w:rPr>
      </w:pPr>
    </w:p>
    <w:p w14:paraId="07850BA4" w14:textId="77777777" w:rsidR="00AA4919" w:rsidRDefault="00AA4919" w:rsidP="00AA4919">
      <w:pPr>
        <w:spacing w:line="360" w:lineRule="auto"/>
        <w:jc w:val="center"/>
        <w:rPr>
          <w:rFonts w:cs="Times New Roman"/>
          <w:szCs w:val="24"/>
        </w:rPr>
      </w:pPr>
    </w:p>
    <w:p w14:paraId="161C5917" w14:textId="77777777" w:rsidR="00AA4919" w:rsidRDefault="00AA4919" w:rsidP="00AA4919">
      <w:pPr>
        <w:spacing w:line="360" w:lineRule="auto"/>
        <w:jc w:val="center"/>
        <w:rPr>
          <w:rFonts w:cs="Times New Roman"/>
          <w:szCs w:val="24"/>
        </w:rPr>
      </w:pPr>
    </w:p>
    <w:p w14:paraId="589277E8" w14:textId="77777777" w:rsidR="00AA4919" w:rsidRDefault="00AA4919" w:rsidP="00AA4919">
      <w:pPr>
        <w:spacing w:line="360" w:lineRule="auto"/>
        <w:jc w:val="center"/>
        <w:rPr>
          <w:rFonts w:cs="Times New Roman"/>
          <w:szCs w:val="24"/>
        </w:rPr>
      </w:pPr>
    </w:p>
    <w:p w14:paraId="060EF419" w14:textId="77777777" w:rsidR="00AA4919" w:rsidRDefault="00AA4919" w:rsidP="00AA4919">
      <w:pPr>
        <w:spacing w:line="360" w:lineRule="auto"/>
        <w:jc w:val="center"/>
        <w:rPr>
          <w:rFonts w:cs="Times New Roman"/>
          <w:szCs w:val="24"/>
        </w:rPr>
      </w:pPr>
    </w:p>
    <w:p w14:paraId="06B71D61" w14:textId="77777777" w:rsidR="00AA4919" w:rsidRDefault="00AA4919" w:rsidP="00AA4919">
      <w:pPr>
        <w:spacing w:line="360" w:lineRule="auto"/>
        <w:jc w:val="center"/>
        <w:rPr>
          <w:rFonts w:cs="Times New Roman"/>
          <w:szCs w:val="24"/>
        </w:rPr>
      </w:pPr>
    </w:p>
    <w:p w14:paraId="39EED1DA" w14:textId="77777777" w:rsidR="00AA4919" w:rsidRDefault="00AA4919" w:rsidP="00AA4919">
      <w:pPr>
        <w:spacing w:line="360" w:lineRule="auto"/>
        <w:jc w:val="center"/>
        <w:rPr>
          <w:rFonts w:cs="Times New Roman"/>
          <w:szCs w:val="24"/>
        </w:rPr>
      </w:pPr>
      <w:r>
        <w:rPr>
          <w:rFonts w:cs="Times New Roman"/>
          <w:szCs w:val="24"/>
        </w:rPr>
        <w:t xml:space="preserve">Karolína </w:t>
      </w:r>
      <w:proofErr w:type="spellStart"/>
      <w:r>
        <w:rPr>
          <w:rFonts w:cs="Times New Roman"/>
          <w:szCs w:val="24"/>
        </w:rPr>
        <w:t>Kundrátková</w:t>
      </w:r>
      <w:proofErr w:type="spellEnd"/>
    </w:p>
    <w:p w14:paraId="19F57A34" w14:textId="77777777" w:rsidR="00AA4919" w:rsidRDefault="00AA4919" w:rsidP="00AA4919">
      <w:pPr>
        <w:spacing w:line="360" w:lineRule="auto"/>
        <w:jc w:val="center"/>
        <w:rPr>
          <w:rFonts w:cs="Times New Roman"/>
          <w:szCs w:val="24"/>
        </w:rPr>
      </w:pPr>
    </w:p>
    <w:p w14:paraId="795DE6D7" w14:textId="640883CC" w:rsidR="00AA4919" w:rsidRDefault="00AA4919" w:rsidP="00AA4919">
      <w:pPr>
        <w:spacing w:line="360" w:lineRule="auto"/>
        <w:jc w:val="center"/>
        <w:rPr>
          <w:rFonts w:cs="Times New Roman"/>
          <w:b/>
          <w:bCs/>
          <w:szCs w:val="24"/>
        </w:rPr>
      </w:pPr>
      <w:r w:rsidRPr="000A2FDA">
        <w:rPr>
          <w:rFonts w:cs="Times New Roman"/>
          <w:b/>
          <w:bCs/>
          <w:szCs w:val="24"/>
        </w:rPr>
        <w:t>DEMOKRATICKÝ DEFICIT EU PO PŘIJETÍ LISABONSKÉ SMLOUVY</w:t>
      </w:r>
    </w:p>
    <w:p w14:paraId="6BDAD843" w14:textId="64D34F09" w:rsidR="000A2FDA" w:rsidRDefault="000A2FDA" w:rsidP="00AA4919">
      <w:pPr>
        <w:spacing w:line="360" w:lineRule="auto"/>
        <w:jc w:val="center"/>
        <w:rPr>
          <w:rFonts w:cs="Times New Roman"/>
          <w:b/>
          <w:bCs/>
          <w:szCs w:val="24"/>
        </w:rPr>
      </w:pPr>
      <w:r w:rsidRPr="000A2FDA">
        <w:rPr>
          <w:rFonts w:cs="Times New Roman"/>
          <w:b/>
          <w:bCs/>
          <w:szCs w:val="24"/>
        </w:rPr>
        <w:t xml:space="preserve">DEMOCRATIC DEFICIT OF THE EUROPEAN </w:t>
      </w:r>
      <w:r w:rsidR="00EF6132">
        <w:rPr>
          <w:rFonts w:cs="Times New Roman"/>
          <w:b/>
          <w:bCs/>
          <w:szCs w:val="24"/>
        </w:rPr>
        <w:t xml:space="preserve">UNION </w:t>
      </w:r>
      <w:r w:rsidRPr="000A2FDA">
        <w:rPr>
          <w:rFonts w:cs="Times New Roman"/>
          <w:b/>
          <w:bCs/>
          <w:szCs w:val="24"/>
        </w:rPr>
        <w:t>AFTER THE LISBON TREATY</w:t>
      </w:r>
    </w:p>
    <w:p w14:paraId="58C89355" w14:textId="77777777" w:rsidR="000A2FDA" w:rsidRDefault="000A2FDA" w:rsidP="00AA4919">
      <w:pPr>
        <w:spacing w:line="360" w:lineRule="auto"/>
        <w:jc w:val="center"/>
        <w:rPr>
          <w:rFonts w:cs="Times New Roman"/>
          <w:szCs w:val="24"/>
        </w:rPr>
      </w:pPr>
    </w:p>
    <w:p w14:paraId="0297AF76" w14:textId="2F793A91" w:rsidR="00AA4919" w:rsidRDefault="000A2FDA" w:rsidP="00AA4919">
      <w:pPr>
        <w:spacing w:line="360" w:lineRule="auto"/>
        <w:jc w:val="center"/>
        <w:rPr>
          <w:rFonts w:cs="Times New Roman"/>
          <w:szCs w:val="24"/>
        </w:rPr>
      </w:pPr>
      <w:r>
        <w:rPr>
          <w:rFonts w:cs="Times New Roman"/>
          <w:szCs w:val="24"/>
        </w:rPr>
        <w:t>Bakalářská práce</w:t>
      </w:r>
    </w:p>
    <w:p w14:paraId="208A73EC" w14:textId="77777777" w:rsidR="00AA4919" w:rsidRDefault="00AA4919" w:rsidP="00AA4919">
      <w:pPr>
        <w:spacing w:line="360" w:lineRule="auto"/>
        <w:jc w:val="center"/>
        <w:rPr>
          <w:rFonts w:cs="Times New Roman"/>
          <w:szCs w:val="24"/>
        </w:rPr>
      </w:pPr>
    </w:p>
    <w:p w14:paraId="7A8DEC5D" w14:textId="77777777" w:rsidR="00AA4919" w:rsidRDefault="00AA4919" w:rsidP="00AA4919">
      <w:pPr>
        <w:spacing w:line="360" w:lineRule="auto"/>
        <w:jc w:val="center"/>
        <w:rPr>
          <w:rFonts w:cs="Times New Roman"/>
          <w:szCs w:val="24"/>
        </w:rPr>
      </w:pPr>
    </w:p>
    <w:p w14:paraId="122D6EE6" w14:textId="3E506C23" w:rsidR="00AA4919" w:rsidRPr="000A2FDA" w:rsidRDefault="000A2FDA" w:rsidP="006C4345">
      <w:pPr>
        <w:spacing w:line="360" w:lineRule="auto"/>
        <w:jc w:val="center"/>
        <w:rPr>
          <w:rFonts w:cs="Times New Roman"/>
          <w:szCs w:val="24"/>
        </w:rPr>
      </w:pPr>
      <w:r>
        <w:rPr>
          <w:rFonts w:cs="Times New Roman"/>
          <w:b/>
          <w:bCs/>
          <w:szCs w:val="24"/>
        </w:rPr>
        <w:t xml:space="preserve">Vedoucí práce: </w:t>
      </w:r>
      <w:r>
        <w:rPr>
          <w:rFonts w:cs="Times New Roman"/>
          <w:szCs w:val="24"/>
        </w:rPr>
        <w:t>Mgr. Ondřej Doležel</w:t>
      </w:r>
    </w:p>
    <w:p w14:paraId="0FC3D19D" w14:textId="77777777" w:rsidR="00AA4919" w:rsidRDefault="00AA4919" w:rsidP="00AA4919">
      <w:pPr>
        <w:spacing w:line="360" w:lineRule="auto"/>
        <w:jc w:val="center"/>
        <w:rPr>
          <w:rFonts w:cs="Times New Roman"/>
          <w:szCs w:val="24"/>
        </w:rPr>
      </w:pPr>
    </w:p>
    <w:p w14:paraId="39F2DD13" w14:textId="77777777" w:rsidR="00AA4919" w:rsidRDefault="00AA4919" w:rsidP="00AA4919">
      <w:pPr>
        <w:spacing w:line="360" w:lineRule="auto"/>
        <w:jc w:val="center"/>
        <w:rPr>
          <w:rFonts w:cs="Times New Roman"/>
          <w:szCs w:val="24"/>
        </w:rPr>
      </w:pPr>
    </w:p>
    <w:p w14:paraId="3517FB98" w14:textId="1213B659" w:rsidR="00AA4919" w:rsidRDefault="00AA4919" w:rsidP="00AA4919">
      <w:pPr>
        <w:spacing w:line="360" w:lineRule="auto"/>
        <w:jc w:val="center"/>
        <w:rPr>
          <w:rFonts w:cs="Times New Roman"/>
          <w:szCs w:val="24"/>
        </w:rPr>
      </w:pPr>
      <w:r>
        <w:rPr>
          <w:rFonts w:cs="Times New Roman"/>
          <w:szCs w:val="24"/>
        </w:rPr>
        <w:t>Olomouc</w:t>
      </w:r>
      <w:r w:rsidR="001B6E79">
        <w:rPr>
          <w:rFonts w:cs="Times New Roman"/>
          <w:szCs w:val="24"/>
        </w:rPr>
        <w:t xml:space="preserve"> 2021</w:t>
      </w:r>
    </w:p>
    <w:p w14:paraId="0E73A81F" w14:textId="664D3FEF" w:rsidR="00AA4919" w:rsidRDefault="00AA4919" w:rsidP="00AA4919"/>
    <w:p w14:paraId="3C9AB41A" w14:textId="15FC2217" w:rsidR="00AA4919" w:rsidRDefault="00AA4919" w:rsidP="00AA4919"/>
    <w:p w14:paraId="04B47B44" w14:textId="1AE987F1" w:rsidR="00AA4919" w:rsidRDefault="00AA4919" w:rsidP="00AA4919"/>
    <w:p w14:paraId="0C10F0C9" w14:textId="00F20665" w:rsidR="00AA4919" w:rsidRDefault="00AA4919" w:rsidP="00AA4919"/>
    <w:p w14:paraId="5FEC0D15" w14:textId="7DBEC7E7" w:rsidR="00AA4919" w:rsidRDefault="00AA4919" w:rsidP="00AA4919"/>
    <w:p w14:paraId="1B07D617" w14:textId="16ACFCDC" w:rsidR="00AA4919" w:rsidRDefault="00AA4919" w:rsidP="00AA4919"/>
    <w:p w14:paraId="056D48DC" w14:textId="4C90D798" w:rsidR="00AA4919" w:rsidRDefault="00AA4919" w:rsidP="00AA4919"/>
    <w:p w14:paraId="6BABBA7B" w14:textId="361DFFD6" w:rsidR="00AA4919" w:rsidRDefault="00AA4919" w:rsidP="00AA4919"/>
    <w:p w14:paraId="37EC9806" w14:textId="0A90EB82" w:rsidR="00AA4919" w:rsidRDefault="00AA4919" w:rsidP="00AA4919"/>
    <w:p w14:paraId="74A79F15" w14:textId="5D8EE60F" w:rsidR="00AA4919" w:rsidRDefault="00AA4919" w:rsidP="00AA4919"/>
    <w:p w14:paraId="4E1CA9FC" w14:textId="3CB20EE6" w:rsidR="00AA4919" w:rsidRDefault="00AA4919" w:rsidP="00AA4919"/>
    <w:p w14:paraId="15F26C0B" w14:textId="10279759" w:rsidR="00AA4919" w:rsidRDefault="00AA4919" w:rsidP="00AA4919"/>
    <w:p w14:paraId="59E5F165" w14:textId="656A9524" w:rsidR="00AA4919" w:rsidRDefault="00AA4919" w:rsidP="00AA4919"/>
    <w:p w14:paraId="44E88408" w14:textId="271E0DB6" w:rsidR="00AA4919" w:rsidRDefault="00AA4919" w:rsidP="00AA4919"/>
    <w:p w14:paraId="4700BAAF" w14:textId="0206B4ED" w:rsidR="00AA4919" w:rsidRDefault="00AA4919" w:rsidP="00AA4919"/>
    <w:p w14:paraId="644C97A1" w14:textId="77777777" w:rsidR="00D27BF4" w:rsidRDefault="00D27BF4" w:rsidP="00D27BF4">
      <w:pPr>
        <w:spacing w:line="360" w:lineRule="auto"/>
        <w:rPr>
          <w:rFonts w:cs="Times New Roman"/>
          <w:szCs w:val="24"/>
        </w:rPr>
      </w:pPr>
    </w:p>
    <w:p w14:paraId="6BBA2CBC" w14:textId="77777777" w:rsidR="00D27BF4" w:rsidRDefault="00D27BF4" w:rsidP="00D27BF4">
      <w:pPr>
        <w:spacing w:line="360" w:lineRule="auto"/>
        <w:rPr>
          <w:rFonts w:cs="Times New Roman"/>
          <w:szCs w:val="24"/>
        </w:rPr>
      </w:pPr>
    </w:p>
    <w:p w14:paraId="6D90F2EC" w14:textId="77777777" w:rsidR="00D27BF4" w:rsidRDefault="00D27BF4" w:rsidP="00D27BF4">
      <w:pPr>
        <w:spacing w:line="360" w:lineRule="auto"/>
        <w:rPr>
          <w:rFonts w:cs="Times New Roman"/>
          <w:szCs w:val="24"/>
        </w:rPr>
      </w:pPr>
    </w:p>
    <w:p w14:paraId="3ED80D14" w14:textId="77777777" w:rsidR="00D27BF4" w:rsidRDefault="00D27BF4" w:rsidP="00D27BF4">
      <w:pPr>
        <w:spacing w:line="360" w:lineRule="auto"/>
        <w:rPr>
          <w:rFonts w:cs="Times New Roman"/>
          <w:szCs w:val="24"/>
        </w:rPr>
      </w:pPr>
    </w:p>
    <w:p w14:paraId="55E7EB9E" w14:textId="77777777" w:rsidR="00D27BF4" w:rsidRDefault="00D27BF4" w:rsidP="00D27BF4">
      <w:pPr>
        <w:spacing w:line="360" w:lineRule="auto"/>
        <w:rPr>
          <w:rFonts w:cs="Times New Roman"/>
          <w:szCs w:val="24"/>
        </w:rPr>
      </w:pPr>
    </w:p>
    <w:p w14:paraId="666E331A" w14:textId="77777777" w:rsidR="00D27BF4" w:rsidRDefault="00D27BF4" w:rsidP="00D27BF4">
      <w:pPr>
        <w:spacing w:line="360" w:lineRule="auto"/>
        <w:rPr>
          <w:rFonts w:cs="Times New Roman"/>
          <w:szCs w:val="24"/>
        </w:rPr>
      </w:pPr>
    </w:p>
    <w:p w14:paraId="43C7F844" w14:textId="77777777" w:rsidR="00D27BF4" w:rsidRDefault="00D27BF4" w:rsidP="00D27BF4">
      <w:pPr>
        <w:spacing w:line="360" w:lineRule="auto"/>
        <w:rPr>
          <w:rFonts w:cs="Times New Roman"/>
          <w:szCs w:val="24"/>
        </w:rPr>
      </w:pPr>
    </w:p>
    <w:p w14:paraId="40BF988A" w14:textId="2ABD0542" w:rsidR="00D27BF4" w:rsidRDefault="00D27BF4" w:rsidP="00D27BF4">
      <w:pPr>
        <w:spacing w:line="360" w:lineRule="auto"/>
        <w:rPr>
          <w:rFonts w:cs="Times New Roman"/>
          <w:szCs w:val="24"/>
        </w:rPr>
      </w:pPr>
    </w:p>
    <w:p w14:paraId="307F8227" w14:textId="26B0EF75" w:rsidR="000F7180" w:rsidRDefault="000F7180" w:rsidP="00D27BF4">
      <w:pPr>
        <w:spacing w:line="360" w:lineRule="auto"/>
        <w:rPr>
          <w:rFonts w:cs="Times New Roman"/>
          <w:szCs w:val="24"/>
        </w:rPr>
      </w:pPr>
    </w:p>
    <w:p w14:paraId="6CDF1472" w14:textId="77777777" w:rsidR="000F7180" w:rsidRDefault="000F7180" w:rsidP="00D27BF4">
      <w:pPr>
        <w:spacing w:line="360" w:lineRule="auto"/>
        <w:rPr>
          <w:rFonts w:cs="Times New Roman"/>
          <w:szCs w:val="24"/>
        </w:rPr>
      </w:pPr>
    </w:p>
    <w:p w14:paraId="7A5DCA16" w14:textId="0ED72239" w:rsidR="00D27BF4" w:rsidRDefault="00D27BF4" w:rsidP="00D27BF4">
      <w:pPr>
        <w:spacing w:line="360" w:lineRule="auto"/>
        <w:rPr>
          <w:rFonts w:cs="Times New Roman"/>
          <w:szCs w:val="24"/>
        </w:rPr>
      </w:pPr>
      <w:r w:rsidRPr="00D27BF4">
        <w:rPr>
          <w:rFonts w:cs="Times New Roman"/>
          <w:szCs w:val="24"/>
        </w:rPr>
        <w:t>Prohlašuji, že jsem bakalářskou práci na téma vypracova</w:t>
      </w:r>
      <w:r w:rsidR="000F7180">
        <w:rPr>
          <w:rFonts w:cs="Times New Roman"/>
          <w:szCs w:val="24"/>
        </w:rPr>
        <w:t>la</w:t>
      </w:r>
      <w:r w:rsidRPr="00D27BF4">
        <w:rPr>
          <w:rFonts w:cs="Times New Roman"/>
          <w:szCs w:val="24"/>
        </w:rPr>
        <w:t xml:space="preserve"> pod vedením vedoucího bakalářské práce samostatně za použití uvedených pramenů a literatury. </w:t>
      </w:r>
    </w:p>
    <w:p w14:paraId="5657AA68" w14:textId="6DE36AAA" w:rsidR="00AA4919" w:rsidRDefault="00D27BF4" w:rsidP="00D27BF4">
      <w:pPr>
        <w:spacing w:line="360" w:lineRule="auto"/>
        <w:rPr>
          <w:rFonts w:cs="Times New Roman"/>
          <w:szCs w:val="24"/>
        </w:rPr>
      </w:pPr>
      <w:r w:rsidRPr="00D27BF4">
        <w:rPr>
          <w:rFonts w:cs="Times New Roman"/>
          <w:szCs w:val="24"/>
        </w:rPr>
        <w:t>Datu</w:t>
      </w:r>
      <w:r>
        <w:rPr>
          <w:rFonts w:cs="Times New Roman"/>
          <w:szCs w:val="24"/>
        </w:rPr>
        <w:t>m:</w:t>
      </w:r>
    </w:p>
    <w:p w14:paraId="1E02AD5E" w14:textId="78029450" w:rsidR="00FC5D15" w:rsidRDefault="00FC5D15" w:rsidP="00D27BF4">
      <w:pPr>
        <w:spacing w:line="360" w:lineRule="auto"/>
        <w:rPr>
          <w:rFonts w:cs="Times New Roman"/>
          <w:szCs w:val="24"/>
        </w:rPr>
      </w:pPr>
    </w:p>
    <w:p w14:paraId="202BF33D" w14:textId="77777777" w:rsidR="00FC5D15" w:rsidRDefault="00FC5D15">
      <w:pPr>
        <w:spacing w:line="259" w:lineRule="auto"/>
        <w:jc w:val="left"/>
        <w:rPr>
          <w:rFonts w:cs="Times New Roman"/>
          <w:szCs w:val="24"/>
        </w:rPr>
      </w:pPr>
    </w:p>
    <w:p w14:paraId="34FDA153" w14:textId="77777777" w:rsidR="00FC5D15" w:rsidRDefault="00FC5D15">
      <w:pPr>
        <w:spacing w:line="259" w:lineRule="auto"/>
        <w:jc w:val="left"/>
        <w:rPr>
          <w:rFonts w:cs="Times New Roman"/>
          <w:szCs w:val="24"/>
        </w:rPr>
      </w:pPr>
    </w:p>
    <w:p w14:paraId="2B0B548C" w14:textId="77777777" w:rsidR="00FC5D15" w:rsidRDefault="00FC5D15">
      <w:pPr>
        <w:spacing w:line="259" w:lineRule="auto"/>
        <w:jc w:val="left"/>
        <w:rPr>
          <w:rFonts w:cs="Times New Roman"/>
          <w:szCs w:val="24"/>
        </w:rPr>
      </w:pPr>
    </w:p>
    <w:p w14:paraId="4D4EF0AE" w14:textId="77777777" w:rsidR="00FC5D15" w:rsidRDefault="00FC5D15">
      <w:pPr>
        <w:spacing w:line="259" w:lineRule="auto"/>
        <w:jc w:val="left"/>
        <w:rPr>
          <w:rFonts w:cs="Times New Roman"/>
          <w:szCs w:val="24"/>
        </w:rPr>
      </w:pPr>
    </w:p>
    <w:p w14:paraId="49858DA7" w14:textId="77777777" w:rsidR="00FC5D15" w:rsidRDefault="00FC5D15">
      <w:pPr>
        <w:spacing w:line="259" w:lineRule="auto"/>
        <w:jc w:val="left"/>
        <w:rPr>
          <w:rFonts w:cs="Times New Roman"/>
          <w:szCs w:val="24"/>
        </w:rPr>
      </w:pPr>
    </w:p>
    <w:p w14:paraId="1E425473" w14:textId="77777777" w:rsidR="00FC5D15" w:rsidRDefault="00FC5D15">
      <w:pPr>
        <w:spacing w:line="259" w:lineRule="auto"/>
        <w:jc w:val="left"/>
        <w:rPr>
          <w:rFonts w:cs="Times New Roman"/>
          <w:szCs w:val="24"/>
        </w:rPr>
      </w:pPr>
    </w:p>
    <w:p w14:paraId="5139E03A" w14:textId="77777777" w:rsidR="00FC5D15" w:rsidRDefault="00FC5D15">
      <w:pPr>
        <w:spacing w:line="259" w:lineRule="auto"/>
        <w:jc w:val="left"/>
        <w:rPr>
          <w:rFonts w:cs="Times New Roman"/>
          <w:szCs w:val="24"/>
        </w:rPr>
      </w:pPr>
    </w:p>
    <w:p w14:paraId="45CE38A0" w14:textId="77777777" w:rsidR="00FC5D15" w:rsidRDefault="00FC5D15">
      <w:pPr>
        <w:spacing w:line="259" w:lineRule="auto"/>
        <w:jc w:val="left"/>
        <w:rPr>
          <w:rFonts w:cs="Times New Roman"/>
          <w:szCs w:val="24"/>
        </w:rPr>
      </w:pPr>
    </w:p>
    <w:p w14:paraId="46A7A313" w14:textId="77777777" w:rsidR="00FC5D15" w:rsidRDefault="00FC5D15">
      <w:pPr>
        <w:spacing w:line="259" w:lineRule="auto"/>
        <w:jc w:val="left"/>
        <w:rPr>
          <w:rFonts w:cs="Times New Roman"/>
          <w:szCs w:val="24"/>
        </w:rPr>
      </w:pPr>
    </w:p>
    <w:p w14:paraId="1BE90A99" w14:textId="77777777" w:rsidR="00FC5D15" w:rsidRDefault="00FC5D15">
      <w:pPr>
        <w:spacing w:line="259" w:lineRule="auto"/>
        <w:jc w:val="left"/>
        <w:rPr>
          <w:rFonts w:cs="Times New Roman"/>
          <w:szCs w:val="24"/>
        </w:rPr>
      </w:pPr>
    </w:p>
    <w:p w14:paraId="2F2A1223" w14:textId="77777777" w:rsidR="00FC5D15" w:rsidRDefault="00FC5D15">
      <w:pPr>
        <w:spacing w:line="259" w:lineRule="auto"/>
        <w:jc w:val="left"/>
        <w:rPr>
          <w:rFonts w:cs="Times New Roman"/>
          <w:szCs w:val="24"/>
        </w:rPr>
      </w:pPr>
    </w:p>
    <w:p w14:paraId="2404855E" w14:textId="77777777" w:rsidR="00FC5D15" w:rsidRDefault="00FC5D15">
      <w:pPr>
        <w:spacing w:line="259" w:lineRule="auto"/>
        <w:jc w:val="left"/>
        <w:rPr>
          <w:rFonts w:cs="Times New Roman"/>
          <w:szCs w:val="24"/>
        </w:rPr>
      </w:pPr>
    </w:p>
    <w:p w14:paraId="46A13BBA" w14:textId="77777777" w:rsidR="00FC5D15" w:rsidRDefault="00FC5D15">
      <w:pPr>
        <w:spacing w:line="259" w:lineRule="auto"/>
        <w:jc w:val="left"/>
        <w:rPr>
          <w:rFonts w:cs="Times New Roman"/>
          <w:szCs w:val="24"/>
        </w:rPr>
      </w:pPr>
    </w:p>
    <w:p w14:paraId="0810C3F9" w14:textId="77777777" w:rsidR="00FC5D15" w:rsidRDefault="00FC5D15">
      <w:pPr>
        <w:spacing w:line="259" w:lineRule="auto"/>
        <w:jc w:val="left"/>
        <w:rPr>
          <w:rFonts w:cs="Times New Roman"/>
          <w:szCs w:val="24"/>
        </w:rPr>
      </w:pPr>
    </w:p>
    <w:p w14:paraId="1BDF49A3" w14:textId="77777777" w:rsidR="00FC5D15" w:rsidRDefault="00FC5D15">
      <w:pPr>
        <w:spacing w:line="259" w:lineRule="auto"/>
        <w:jc w:val="left"/>
        <w:rPr>
          <w:rFonts w:cs="Times New Roman"/>
          <w:szCs w:val="24"/>
        </w:rPr>
      </w:pPr>
    </w:p>
    <w:p w14:paraId="2C658B4D" w14:textId="77777777" w:rsidR="00FC5D15" w:rsidRDefault="00FC5D15">
      <w:pPr>
        <w:spacing w:line="259" w:lineRule="auto"/>
        <w:jc w:val="left"/>
        <w:rPr>
          <w:rFonts w:cs="Times New Roman"/>
          <w:szCs w:val="24"/>
        </w:rPr>
      </w:pPr>
    </w:p>
    <w:p w14:paraId="19A01C69" w14:textId="77777777" w:rsidR="00FC5D15" w:rsidRDefault="00FC5D15">
      <w:pPr>
        <w:spacing w:line="259" w:lineRule="auto"/>
        <w:jc w:val="left"/>
        <w:rPr>
          <w:rFonts w:cs="Times New Roman"/>
          <w:szCs w:val="24"/>
        </w:rPr>
      </w:pPr>
    </w:p>
    <w:p w14:paraId="65F8A18D" w14:textId="77777777" w:rsidR="00FC5D15" w:rsidRDefault="00FC5D15">
      <w:pPr>
        <w:spacing w:line="259" w:lineRule="auto"/>
        <w:jc w:val="left"/>
        <w:rPr>
          <w:rFonts w:cs="Times New Roman"/>
          <w:szCs w:val="24"/>
        </w:rPr>
      </w:pPr>
    </w:p>
    <w:p w14:paraId="417D3B4F" w14:textId="77777777" w:rsidR="00FC5D15" w:rsidRDefault="00FC5D15">
      <w:pPr>
        <w:spacing w:line="259" w:lineRule="auto"/>
        <w:jc w:val="left"/>
        <w:rPr>
          <w:rFonts w:cs="Times New Roman"/>
          <w:szCs w:val="24"/>
        </w:rPr>
      </w:pPr>
    </w:p>
    <w:p w14:paraId="036EF38C" w14:textId="77777777" w:rsidR="00FC5D15" w:rsidRDefault="00FC5D15">
      <w:pPr>
        <w:spacing w:line="259" w:lineRule="auto"/>
        <w:jc w:val="left"/>
        <w:rPr>
          <w:rFonts w:cs="Times New Roman"/>
          <w:szCs w:val="24"/>
        </w:rPr>
      </w:pPr>
    </w:p>
    <w:p w14:paraId="6079A138" w14:textId="77777777" w:rsidR="00FC5D15" w:rsidRDefault="00FC5D15">
      <w:pPr>
        <w:spacing w:line="259" w:lineRule="auto"/>
        <w:jc w:val="left"/>
        <w:rPr>
          <w:rFonts w:cs="Times New Roman"/>
          <w:szCs w:val="24"/>
        </w:rPr>
      </w:pPr>
    </w:p>
    <w:p w14:paraId="47F656B9" w14:textId="77777777" w:rsidR="00FC5D15" w:rsidRDefault="00FC5D15">
      <w:pPr>
        <w:spacing w:line="259" w:lineRule="auto"/>
        <w:jc w:val="left"/>
        <w:rPr>
          <w:rFonts w:cs="Times New Roman"/>
          <w:szCs w:val="24"/>
        </w:rPr>
      </w:pPr>
    </w:p>
    <w:p w14:paraId="06350EA8" w14:textId="77777777" w:rsidR="00FC5D15" w:rsidRDefault="00FC5D15">
      <w:pPr>
        <w:spacing w:line="259" w:lineRule="auto"/>
        <w:jc w:val="left"/>
        <w:rPr>
          <w:rFonts w:cs="Times New Roman"/>
          <w:szCs w:val="24"/>
        </w:rPr>
      </w:pPr>
    </w:p>
    <w:p w14:paraId="141AEB29" w14:textId="77777777" w:rsidR="00FC5D15" w:rsidRDefault="00FC5D15">
      <w:pPr>
        <w:spacing w:line="259" w:lineRule="auto"/>
        <w:jc w:val="left"/>
        <w:rPr>
          <w:rFonts w:cs="Times New Roman"/>
          <w:szCs w:val="24"/>
        </w:rPr>
      </w:pPr>
    </w:p>
    <w:p w14:paraId="3BCFFBBC" w14:textId="77777777" w:rsidR="00FC5D15" w:rsidRDefault="00FC5D15">
      <w:pPr>
        <w:spacing w:line="259" w:lineRule="auto"/>
        <w:jc w:val="left"/>
        <w:rPr>
          <w:rFonts w:cs="Times New Roman"/>
          <w:szCs w:val="24"/>
        </w:rPr>
      </w:pPr>
    </w:p>
    <w:p w14:paraId="566A1D8B" w14:textId="4706C314" w:rsidR="00FC5D15" w:rsidRDefault="00FC5D15" w:rsidP="00FC5D15">
      <w:pPr>
        <w:spacing w:line="360" w:lineRule="auto"/>
        <w:rPr>
          <w:rFonts w:cs="Times New Roman"/>
          <w:szCs w:val="24"/>
        </w:rPr>
      </w:pPr>
    </w:p>
    <w:p w14:paraId="6976A11E" w14:textId="070FE759" w:rsidR="00FC5D15" w:rsidRDefault="00FC5D15" w:rsidP="00FC5D15">
      <w:pPr>
        <w:spacing w:line="360" w:lineRule="auto"/>
        <w:rPr>
          <w:rFonts w:cs="Times New Roman"/>
          <w:szCs w:val="24"/>
        </w:rPr>
      </w:pPr>
    </w:p>
    <w:p w14:paraId="082B06F2" w14:textId="3C17B79A" w:rsidR="00FC5D15" w:rsidRPr="00FC5D15" w:rsidRDefault="00FC5D15" w:rsidP="00FC5D15">
      <w:pPr>
        <w:spacing w:line="360" w:lineRule="auto"/>
        <w:rPr>
          <w:rFonts w:cs="Times New Roman"/>
          <w:sz w:val="28"/>
          <w:szCs w:val="28"/>
        </w:rPr>
      </w:pPr>
      <w:r>
        <w:rPr>
          <w:rFonts w:cs="Times New Roman"/>
          <w:sz w:val="28"/>
          <w:szCs w:val="28"/>
        </w:rPr>
        <w:t>Poděkování</w:t>
      </w:r>
    </w:p>
    <w:p w14:paraId="0C3212A9" w14:textId="2E62FAC4" w:rsidR="00FC5D15" w:rsidRDefault="00FC5D15" w:rsidP="00D27BF4">
      <w:pPr>
        <w:spacing w:line="360" w:lineRule="auto"/>
        <w:rPr>
          <w:rFonts w:cs="Times New Roman"/>
          <w:szCs w:val="24"/>
        </w:rPr>
      </w:pPr>
      <w:r w:rsidRPr="00FC5D15">
        <w:rPr>
          <w:rFonts w:cs="Times New Roman"/>
          <w:szCs w:val="24"/>
          <w:shd w:val="clear" w:color="auto" w:fill="FFFFFF"/>
        </w:rPr>
        <w:t xml:space="preserve">Mé poděkování patří Mgr. </w:t>
      </w:r>
      <w:r>
        <w:rPr>
          <w:rFonts w:cs="Times New Roman"/>
          <w:szCs w:val="24"/>
          <w:shd w:val="clear" w:color="auto" w:fill="FFFFFF"/>
        </w:rPr>
        <w:t>Ondřeji Doleželovi</w:t>
      </w:r>
      <w:r w:rsidRPr="00FC5D15">
        <w:rPr>
          <w:rFonts w:cs="Times New Roman"/>
          <w:szCs w:val="24"/>
          <w:shd w:val="clear" w:color="auto" w:fill="FFFFFF"/>
        </w:rPr>
        <w:t xml:space="preserve"> za odborné vedení, trpělivost a ochotu, kterou mi v průběhu zpracování </w:t>
      </w:r>
      <w:hyperlink r:id="rId8" w:tooltip="Bakalářská práce" w:history="1">
        <w:r w:rsidRPr="00FC5D15">
          <w:rPr>
            <w:rStyle w:val="Hypertextovodkaz"/>
            <w:rFonts w:cs="Times New Roman"/>
            <w:color w:val="auto"/>
            <w:szCs w:val="24"/>
            <w:u w:val="none"/>
            <w:shd w:val="clear" w:color="auto" w:fill="FFFFFF"/>
          </w:rPr>
          <w:t>bakalářské práce</w:t>
        </w:r>
      </w:hyperlink>
      <w:r w:rsidRPr="00FC5D15">
        <w:rPr>
          <w:rFonts w:cs="Times New Roman"/>
          <w:szCs w:val="24"/>
          <w:shd w:val="clear" w:color="auto" w:fill="FFFFFF"/>
        </w:rPr>
        <w:t> věnoval.</w:t>
      </w:r>
      <w:r w:rsidRPr="00FC5D15">
        <w:rPr>
          <w:rFonts w:cs="Times New Roman"/>
          <w:szCs w:val="24"/>
        </w:rPr>
        <w:t xml:space="preserve"> </w:t>
      </w:r>
      <w:r>
        <w:rPr>
          <w:rFonts w:cs="Times New Roman"/>
          <w:szCs w:val="24"/>
        </w:rPr>
        <w:br w:type="page"/>
      </w:r>
    </w:p>
    <w:sdt>
      <w:sdtPr>
        <w:rPr>
          <w:rFonts w:asciiTheme="minorHAnsi" w:eastAsiaTheme="minorHAnsi" w:hAnsiTheme="minorHAnsi" w:cstheme="minorBidi"/>
          <w:sz w:val="22"/>
          <w:szCs w:val="22"/>
          <w:lang w:eastAsia="en-US"/>
        </w:rPr>
        <w:id w:val="1904638152"/>
        <w:docPartObj>
          <w:docPartGallery w:val="Table of Contents"/>
          <w:docPartUnique/>
        </w:docPartObj>
      </w:sdtPr>
      <w:sdtEndPr>
        <w:rPr>
          <w:rFonts w:ascii="Times New Roman" w:hAnsi="Times New Roman"/>
          <w:b/>
          <w:bCs/>
          <w:sz w:val="24"/>
        </w:rPr>
      </w:sdtEndPr>
      <w:sdtContent>
        <w:p w14:paraId="72BDEC56" w14:textId="77777777" w:rsidR="000F7180" w:rsidRDefault="000F7180" w:rsidP="00944210">
          <w:pPr>
            <w:pStyle w:val="Nadpisobsahu"/>
            <w:rPr>
              <w:rFonts w:asciiTheme="minorHAnsi" w:eastAsiaTheme="minorHAnsi" w:hAnsiTheme="minorHAnsi" w:cstheme="minorBidi"/>
              <w:sz w:val="22"/>
              <w:szCs w:val="22"/>
              <w:lang w:eastAsia="en-US"/>
            </w:rPr>
          </w:pPr>
        </w:p>
        <w:p w14:paraId="4518A651" w14:textId="77777777" w:rsidR="0027731E" w:rsidRDefault="00D27BF4" w:rsidP="003B1825">
          <w:pPr>
            <w:rPr>
              <w:noProof/>
            </w:rPr>
          </w:pPr>
          <w:bookmarkStart w:id="0" w:name="_Toc69747054"/>
          <w:bookmarkStart w:id="1" w:name="_Toc70076951"/>
          <w:bookmarkStart w:id="2" w:name="_Toc70327280"/>
          <w:bookmarkStart w:id="3" w:name="_Toc70328157"/>
          <w:bookmarkStart w:id="4" w:name="_Toc70354506"/>
          <w:bookmarkStart w:id="5" w:name="_Toc70622993"/>
          <w:bookmarkStart w:id="6" w:name="_Toc70660091"/>
          <w:r w:rsidRPr="00944210">
            <w:rPr>
              <w:rStyle w:val="Nadpis3Char"/>
            </w:rPr>
            <w:t>Obsah</w:t>
          </w:r>
          <w:bookmarkEnd w:id="0"/>
          <w:bookmarkEnd w:id="1"/>
          <w:bookmarkEnd w:id="2"/>
          <w:bookmarkEnd w:id="3"/>
          <w:bookmarkEnd w:id="4"/>
          <w:bookmarkEnd w:id="5"/>
          <w:bookmarkEnd w:id="6"/>
          <w:r>
            <w:fldChar w:fldCharType="begin"/>
          </w:r>
          <w:r>
            <w:instrText xml:space="preserve"> TOC \o "1-3" \h \z \u </w:instrText>
          </w:r>
          <w:r>
            <w:fldChar w:fldCharType="separate"/>
          </w:r>
        </w:p>
        <w:p w14:paraId="731D5E57" w14:textId="314D0C0F" w:rsidR="0027731E" w:rsidRDefault="0027731E">
          <w:pPr>
            <w:pStyle w:val="Obsah3"/>
            <w:tabs>
              <w:tab w:val="right" w:leader="dot" w:pos="8210"/>
            </w:tabs>
            <w:rPr>
              <w:rFonts w:asciiTheme="minorHAnsi" w:eastAsiaTheme="minorEastAsia" w:hAnsiTheme="minorHAnsi"/>
              <w:noProof/>
              <w:sz w:val="22"/>
              <w:lang w:eastAsia="cs-CZ"/>
            </w:rPr>
          </w:pPr>
          <w:hyperlink w:anchor="_Toc70660092" w:history="1">
            <w:r w:rsidRPr="00A05C60">
              <w:rPr>
                <w:rStyle w:val="Hypertextovodkaz"/>
                <w:noProof/>
              </w:rPr>
              <w:t>Úvod</w:t>
            </w:r>
            <w:r>
              <w:rPr>
                <w:noProof/>
                <w:webHidden/>
              </w:rPr>
              <w:tab/>
            </w:r>
            <w:r>
              <w:rPr>
                <w:noProof/>
                <w:webHidden/>
              </w:rPr>
              <w:fldChar w:fldCharType="begin"/>
            </w:r>
            <w:r>
              <w:rPr>
                <w:noProof/>
                <w:webHidden/>
              </w:rPr>
              <w:instrText xml:space="preserve"> PAGEREF _Toc70660092 \h </w:instrText>
            </w:r>
            <w:r>
              <w:rPr>
                <w:noProof/>
                <w:webHidden/>
              </w:rPr>
            </w:r>
            <w:r>
              <w:rPr>
                <w:noProof/>
                <w:webHidden/>
              </w:rPr>
              <w:fldChar w:fldCharType="separate"/>
            </w:r>
            <w:r>
              <w:rPr>
                <w:noProof/>
                <w:webHidden/>
              </w:rPr>
              <w:t>5</w:t>
            </w:r>
            <w:r>
              <w:rPr>
                <w:noProof/>
                <w:webHidden/>
              </w:rPr>
              <w:fldChar w:fldCharType="end"/>
            </w:r>
          </w:hyperlink>
        </w:p>
        <w:p w14:paraId="48B931C1" w14:textId="55B4499C" w:rsidR="0027731E" w:rsidRDefault="0027731E">
          <w:pPr>
            <w:pStyle w:val="Obsah1"/>
            <w:tabs>
              <w:tab w:val="left" w:pos="480"/>
              <w:tab w:val="right" w:leader="dot" w:pos="8210"/>
            </w:tabs>
            <w:rPr>
              <w:rFonts w:asciiTheme="minorHAnsi" w:eastAsiaTheme="minorEastAsia" w:hAnsiTheme="minorHAnsi"/>
              <w:noProof/>
              <w:sz w:val="22"/>
              <w:lang w:eastAsia="cs-CZ"/>
            </w:rPr>
          </w:pPr>
          <w:hyperlink w:anchor="_Toc70660093" w:history="1">
            <w:r w:rsidRPr="00A05C60">
              <w:rPr>
                <w:rStyle w:val="Hypertextovodkaz"/>
                <w:noProof/>
              </w:rPr>
              <w:t>1.</w:t>
            </w:r>
            <w:r>
              <w:rPr>
                <w:rFonts w:asciiTheme="minorHAnsi" w:eastAsiaTheme="minorEastAsia" w:hAnsiTheme="minorHAnsi"/>
                <w:noProof/>
                <w:sz w:val="22"/>
                <w:lang w:eastAsia="cs-CZ"/>
              </w:rPr>
              <w:tab/>
            </w:r>
            <w:r w:rsidRPr="00A05C60">
              <w:rPr>
                <w:rStyle w:val="Hypertextovodkaz"/>
                <w:noProof/>
              </w:rPr>
              <w:t>Pojem demokratického deficitu a legitimity</w:t>
            </w:r>
            <w:r>
              <w:rPr>
                <w:noProof/>
                <w:webHidden/>
              </w:rPr>
              <w:tab/>
            </w:r>
            <w:r>
              <w:rPr>
                <w:noProof/>
                <w:webHidden/>
              </w:rPr>
              <w:fldChar w:fldCharType="begin"/>
            </w:r>
            <w:r>
              <w:rPr>
                <w:noProof/>
                <w:webHidden/>
              </w:rPr>
              <w:instrText xml:space="preserve"> PAGEREF _Toc70660093 \h </w:instrText>
            </w:r>
            <w:r>
              <w:rPr>
                <w:noProof/>
                <w:webHidden/>
              </w:rPr>
            </w:r>
            <w:r>
              <w:rPr>
                <w:noProof/>
                <w:webHidden/>
              </w:rPr>
              <w:fldChar w:fldCharType="separate"/>
            </w:r>
            <w:r>
              <w:rPr>
                <w:noProof/>
                <w:webHidden/>
              </w:rPr>
              <w:t>12</w:t>
            </w:r>
            <w:r>
              <w:rPr>
                <w:noProof/>
                <w:webHidden/>
              </w:rPr>
              <w:fldChar w:fldCharType="end"/>
            </w:r>
          </w:hyperlink>
        </w:p>
        <w:p w14:paraId="03B6A696" w14:textId="5CE9A641"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094" w:history="1">
            <w:r w:rsidRPr="00A05C60">
              <w:rPr>
                <w:rStyle w:val="Hypertextovodkaz"/>
                <w:rFonts w:cs="Times New Roman"/>
                <w:noProof/>
              </w:rPr>
              <w:t>1.1.</w:t>
            </w:r>
            <w:r>
              <w:rPr>
                <w:rFonts w:asciiTheme="minorHAnsi" w:eastAsiaTheme="minorEastAsia" w:hAnsiTheme="minorHAnsi"/>
                <w:noProof/>
                <w:sz w:val="22"/>
                <w:lang w:eastAsia="cs-CZ"/>
              </w:rPr>
              <w:tab/>
            </w:r>
            <w:r w:rsidRPr="00A05C60">
              <w:rPr>
                <w:rStyle w:val="Hypertextovodkaz"/>
                <w:noProof/>
              </w:rPr>
              <w:t>Vymezení pojmu evropské integrace</w:t>
            </w:r>
            <w:r>
              <w:rPr>
                <w:noProof/>
                <w:webHidden/>
              </w:rPr>
              <w:tab/>
            </w:r>
            <w:r>
              <w:rPr>
                <w:noProof/>
                <w:webHidden/>
              </w:rPr>
              <w:fldChar w:fldCharType="begin"/>
            </w:r>
            <w:r>
              <w:rPr>
                <w:noProof/>
                <w:webHidden/>
              </w:rPr>
              <w:instrText xml:space="preserve"> PAGEREF _Toc70660094 \h </w:instrText>
            </w:r>
            <w:r>
              <w:rPr>
                <w:noProof/>
                <w:webHidden/>
              </w:rPr>
            </w:r>
            <w:r>
              <w:rPr>
                <w:noProof/>
                <w:webHidden/>
              </w:rPr>
              <w:fldChar w:fldCharType="separate"/>
            </w:r>
            <w:r>
              <w:rPr>
                <w:noProof/>
                <w:webHidden/>
              </w:rPr>
              <w:t>12</w:t>
            </w:r>
            <w:r>
              <w:rPr>
                <w:noProof/>
                <w:webHidden/>
              </w:rPr>
              <w:fldChar w:fldCharType="end"/>
            </w:r>
          </w:hyperlink>
        </w:p>
        <w:p w14:paraId="11218A6F" w14:textId="5B801C41"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095" w:history="1">
            <w:r w:rsidRPr="00A05C60">
              <w:rPr>
                <w:rStyle w:val="Hypertextovodkaz"/>
                <w:rFonts w:cs="Times New Roman"/>
                <w:noProof/>
              </w:rPr>
              <w:t>1.2.</w:t>
            </w:r>
            <w:r>
              <w:rPr>
                <w:rFonts w:asciiTheme="minorHAnsi" w:eastAsiaTheme="minorEastAsia" w:hAnsiTheme="minorHAnsi"/>
                <w:noProof/>
                <w:sz w:val="22"/>
                <w:lang w:eastAsia="cs-CZ"/>
              </w:rPr>
              <w:tab/>
            </w:r>
            <w:r w:rsidRPr="00A05C60">
              <w:rPr>
                <w:rStyle w:val="Hypertextovodkaz"/>
                <w:noProof/>
              </w:rPr>
              <w:t>Vymezení pojmu legitimity</w:t>
            </w:r>
            <w:r>
              <w:rPr>
                <w:noProof/>
                <w:webHidden/>
              </w:rPr>
              <w:tab/>
            </w:r>
            <w:r>
              <w:rPr>
                <w:noProof/>
                <w:webHidden/>
              </w:rPr>
              <w:fldChar w:fldCharType="begin"/>
            </w:r>
            <w:r>
              <w:rPr>
                <w:noProof/>
                <w:webHidden/>
              </w:rPr>
              <w:instrText xml:space="preserve"> PAGEREF _Toc70660095 \h </w:instrText>
            </w:r>
            <w:r>
              <w:rPr>
                <w:noProof/>
                <w:webHidden/>
              </w:rPr>
            </w:r>
            <w:r>
              <w:rPr>
                <w:noProof/>
                <w:webHidden/>
              </w:rPr>
              <w:fldChar w:fldCharType="separate"/>
            </w:r>
            <w:r>
              <w:rPr>
                <w:noProof/>
                <w:webHidden/>
              </w:rPr>
              <w:t>13</w:t>
            </w:r>
            <w:r>
              <w:rPr>
                <w:noProof/>
                <w:webHidden/>
              </w:rPr>
              <w:fldChar w:fldCharType="end"/>
            </w:r>
          </w:hyperlink>
        </w:p>
        <w:p w14:paraId="4EC871CE" w14:textId="3B02028D"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096" w:history="1">
            <w:r w:rsidRPr="00A05C60">
              <w:rPr>
                <w:rStyle w:val="Hypertextovodkaz"/>
                <w:rFonts w:cs="Times New Roman"/>
                <w:noProof/>
              </w:rPr>
              <w:t>1.3.</w:t>
            </w:r>
            <w:r>
              <w:rPr>
                <w:rFonts w:asciiTheme="minorHAnsi" w:eastAsiaTheme="minorEastAsia" w:hAnsiTheme="minorHAnsi"/>
                <w:noProof/>
                <w:sz w:val="22"/>
                <w:lang w:eastAsia="cs-CZ"/>
              </w:rPr>
              <w:tab/>
            </w:r>
            <w:r w:rsidRPr="00A05C60">
              <w:rPr>
                <w:rStyle w:val="Hypertextovodkaz"/>
                <w:noProof/>
              </w:rPr>
              <w:t>Vymezení pojmu demokratický deficit</w:t>
            </w:r>
            <w:r>
              <w:rPr>
                <w:noProof/>
                <w:webHidden/>
              </w:rPr>
              <w:tab/>
            </w:r>
            <w:r>
              <w:rPr>
                <w:noProof/>
                <w:webHidden/>
              </w:rPr>
              <w:fldChar w:fldCharType="begin"/>
            </w:r>
            <w:r>
              <w:rPr>
                <w:noProof/>
                <w:webHidden/>
              </w:rPr>
              <w:instrText xml:space="preserve"> PAGEREF _Toc70660096 \h </w:instrText>
            </w:r>
            <w:r>
              <w:rPr>
                <w:noProof/>
                <w:webHidden/>
              </w:rPr>
            </w:r>
            <w:r>
              <w:rPr>
                <w:noProof/>
                <w:webHidden/>
              </w:rPr>
              <w:fldChar w:fldCharType="separate"/>
            </w:r>
            <w:r>
              <w:rPr>
                <w:noProof/>
                <w:webHidden/>
              </w:rPr>
              <w:t>14</w:t>
            </w:r>
            <w:r>
              <w:rPr>
                <w:noProof/>
                <w:webHidden/>
              </w:rPr>
              <w:fldChar w:fldCharType="end"/>
            </w:r>
          </w:hyperlink>
        </w:p>
        <w:p w14:paraId="7AC2CF7D" w14:textId="1202BDE1" w:rsidR="0027731E" w:rsidRDefault="0027731E">
          <w:pPr>
            <w:pStyle w:val="Obsah1"/>
            <w:tabs>
              <w:tab w:val="left" w:pos="480"/>
              <w:tab w:val="right" w:leader="dot" w:pos="8210"/>
            </w:tabs>
            <w:rPr>
              <w:rFonts w:asciiTheme="minorHAnsi" w:eastAsiaTheme="minorEastAsia" w:hAnsiTheme="minorHAnsi"/>
              <w:noProof/>
              <w:sz w:val="22"/>
              <w:lang w:eastAsia="cs-CZ"/>
            </w:rPr>
          </w:pPr>
          <w:hyperlink w:anchor="_Toc70660097" w:history="1">
            <w:r w:rsidRPr="00A05C60">
              <w:rPr>
                <w:rStyle w:val="Hypertextovodkaz"/>
                <w:noProof/>
              </w:rPr>
              <w:t>2.</w:t>
            </w:r>
            <w:r>
              <w:rPr>
                <w:rFonts w:asciiTheme="minorHAnsi" w:eastAsiaTheme="minorEastAsia" w:hAnsiTheme="minorHAnsi"/>
                <w:noProof/>
                <w:sz w:val="22"/>
                <w:lang w:eastAsia="cs-CZ"/>
              </w:rPr>
              <w:tab/>
            </w:r>
            <w:r w:rsidRPr="00A05C60">
              <w:rPr>
                <w:rStyle w:val="Hypertextovodkaz"/>
                <w:noProof/>
              </w:rPr>
              <w:t>Koncepty demokratického deficitu</w:t>
            </w:r>
            <w:r>
              <w:rPr>
                <w:noProof/>
                <w:webHidden/>
              </w:rPr>
              <w:tab/>
            </w:r>
            <w:r>
              <w:rPr>
                <w:noProof/>
                <w:webHidden/>
              </w:rPr>
              <w:fldChar w:fldCharType="begin"/>
            </w:r>
            <w:r>
              <w:rPr>
                <w:noProof/>
                <w:webHidden/>
              </w:rPr>
              <w:instrText xml:space="preserve"> PAGEREF _Toc70660097 \h </w:instrText>
            </w:r>
            <w:r>
              <w:rPr>
                <w:noProof/>
                <w:webHidden/>
              </w:rPr>
            </w:r>
            <w:r>
              <w:rPr>
                <w:noProof/>
                <w:webHidden/>
              </w:rPr>
              <w:fldChar w:fldCharType="separate"/>
            </w:r>
            <w:r>
              <w:rPr>
                <w:noProof/>
                <w:webHidden/>
              </w:rPr>
              <w:t>15</w:t>
            </w:r>
            <w:r>
              <w:rPr>
                <w:noProof/>
                <w:webHidden/>
              </w:rPr>
              <w:fldChar w:fldCharType="end"/>
            </w:r>
          </w:hyperlink>
        </w:p>
        <w:p w14:paraId="1E9EDE95" w14:textId="6532E7E1"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098" w:history="1">
            <w:r w:rsidRPr="00A05C60">
              <w:rPr>
                <w:rStyle w:val="Hypertextovodkaz"/>
                <w:rFonts w:cs="Times New Roman"/>
                <w:noProof/>
              </w:rPr>
              <w:t>2.1.</w:t>
            </w:r>
            <w:r>
              <w:rPr>
                <w:rFonts w:asciiTheme="minorHAnsi" w:eastAsiaTheme="minorEastAsia" w:hAnsiTheme="minorHAnsi"/>
                <w:noProof/>
                <w:sz w:val="22"/>
                <w:lang w:eastAsia="cs-CZ"/>
              </w:rPr>
              <w:tab/>
            </w:r>
            <w:r w:rsidRPr="00A05C60">
              <w:rPr>
                <w:rStyle w:val="Hypertextovodkaz"/>
                <w:noProof/>
              </w:rPr>
              <w:t>Koncept demokratického deficitu Andrew Moravcsika</w:t>
            </w:r>
            <w:r>
              <w:rPr>
                <w:noProof/>
                <w:webHidden/>
              </w:rPr>
              <w:tab/>
            </w:r>
            <w:r>
              <w:rPr>
                <w:noProof/>
                <w:webHidden/>
              </w:rPr>
              <w:fldChar w:fldCharType="begin"/>
            </w:r>
            <w:r>
              <w:rPr>
                <w:noProof/>
                <w:webHidden/>
              </w:rPr>
              <w:instrText xml:space="preserve"> PAGEREF _Toc70660098 \h </w:instrText>
            </w:r>
            <w:r>
              <w:rPr>
                <w:noProof/>
                <w:webHidden/>
              </w:rPr>
            </w:r>
            <w:r>
              <w:rPr>
                <w:noProof/>
                <w:webHidden/>
              </w:rPr>
              <w:fldChar w:fldCharType="separate"/>
            </w:r>
            <w:r>
              <w:rPr>
                <w:noProof/>
                <w:webHidden/>
              </w:rPr>
              <w:t>15</w:t>
            </w:r>
            <w:r>
              <w:rPr>
                <w:noProof/>
                <w:webHidden/>
              </w:rPr>
              <w:fldChar w:fldCharType="end"/>
            </w:r>
          </w:hyperlink>
        </w:p>
        <w:p w14:paraId="4FCDAA75" w14:textId="317C1387"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099" w:history="1">
            <w:r w:rsidRPr="00A05C60">
              <w:rPr>
                <w:rStyle w:val="Hypertextovodkaz"/>
                <w:rFonts w:cs="Times New Roman"/>
                <w:noProof/>
              </w:rPr>
              <w:t>2.2.</w:t>
            </w:r>
            <w:r>
              <w:rPr>
                <w:rFonts w:asciiTheme="minorHAnsi" w:eastAsiaTheme="minorEastAsia" w:hAnsiTheme="minorHAnsi"/>
                <w:noProof/>
                <w:sz w:val="22"/>
                <w:lang w:eastAsia="cs-CZ"/>
              </w:rPr>
              <w:tab/>
            </w:r>
            <w:r w:rsidRPr="00A05C60">
              <w:rPr>
                <w:rStyle w:val="Hypertextovodkaz"/>
                <w:noProof/>
              </w:rPr>
              <w:t>Koncept demokratického deficitu Giandomenica Majoneho</w:t>
            </w:r>
            <w:r>
              <w:rPr>
                <w:noProof/>
                <w:webHidden/>
              </w:rPr>
              <w:tab/>
            </w:r>
            <w:r>
              <w:rPr>
                <w:noProof/>
                <w:webHidden/>
              </w:rPr>
              <w:fldChar w:fldCharType="begin"/>
            </w:r>
            <w:r>
              <w:rPr>
                <w:noProof/>
                <w:webHidden/>
              </w:rPr>
              <w:instrText xml:space="preserve"> PAGEREF _Toc70660099 \h </w:instrText>
            </w:r>
            <w:r>
              <w:rPr>
                <w:noProof/>
                <w:webHidden/>
              </w:rPr>
            </w:r>
            <w:r>
              <w:rPr>
                <w:noProof/>
                <w:webHidden/>
              </w:rPr>
              <w:fldChar w:fldCharType="separate"/>
            </w:r>
            <w:r>
              <w:rPr>
                <w:noProof/>
                <w:webHidden/>
              </w:rPr>
              <w:t>16</w:t>
            </w:r>
            <w:r>
              <w:rPr>
                <w:noProof/>
                <w:webHidden/>
              </w:rPr>
              <w:fldChar w:fldCharType="end"/>
            </w:r>
          </w:hyperlink>
        </w:p>
        <w:p w14:paraId="20112A6A" w14:textId="4C468F63"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0" w:history="1">
            <w:r w:rsidRPr="00A05C60">
              <w:rPr>
                <w:rStyle w:val="Hypertextovodkaz"/>
                <w:rFonts w:cs="Times New Roman"/>
                <w:noProof/>
              </w:rPr>
              <w:t>2.3.</w:t>
            </w:r>
            <w:r>
              <w:rPr>
                <w:rFonts w:asciiTheme="minorHAnsi" w:eastAsiaTheme="minorEastAsia" w:hAnsiTheme="minorHAnsi"/>
                <w:noProof/>
                <w:sz w:val="22"/>
                <w:lang w:eastAsia="cs-CZ"/>
              </w:rPr>
              <w:tab/>
            </w:r>
            <w:r w:rsidRPr="00A05C60">
              <w:rPr>
                <w:rStyle w:val="Hypertextovodkaz"/>
                <w:noProof/>
              </w:rPr>
              <w:t>Koncept demokratického deficitu Fritze Scharpfa</w:t>
            </w:r>
            <w:r>
              <w:rPr>
                <w:noProof/>
                <w:webHidden/>
              </w:rPr>
              <w:tab/>
            </w:r>
            <w:r>
              <w:rPr>
                <w:noProof/>
                <w:webHidden/>
              </w:rPr>
              <w:fldChar w:fldCharType="begin"/>
            </w:r>
            <w:r>
              <w:rPr>
                <w:noProof/>
                <w:webHidden/>
              </w:rPr>
              <w:instrText xml:space="preserve"> PAGEREF _Toc70660100 \h </w:instrText>
            </w:r>
            <w:r>
              <w:rPr>
                <w:noProof/>
                <w:webHidden/>
              </w:rPr>
            </w:r>
            <w:r>
              <w:rPr>
                <w:noProof/>
                <w:webHidden/>
              </w:rPr>
              <w:fldChar w:fldCharType="separate"/>
            </w:r>
            <w:r>
              <w:rPr>
                <w:noProof/>
                <w:webHidden/>
              </w:rPr>
              <w:t>17</w:t>
            </w:r>
            <w:r>
              <w:rPr>
                <w:noProof/>
                <w:webHidden/>
              </w:rPr>
              <w:fldChar w:fldCharType="end"/>
            </w:r>
          </w:hyperlink>
        </w:p>
        <w:p w14:paraId="4D94EB2A" w14:textId="6DFBCED6" w:rsidR="0027731E" w:rsidRDefault="0027731E">
          <w:pPr>
            <w:pStyle w:val="Obsah1"/>
            <w:tabs>
              <w:tab w:val="left" w:pos="480"/>
              <w:tab w:val="right" w:leader="dot" w:pos="8210"/>
            </w:tabs>
            <w:rPr>
              <w:rFonts w:asciiTheme="minorHAnsi" w:eastAsiaTheme="minorEastAsia" w:hAnsiTheme="minorHAnsi"/>
              <w:noProof/>
              <w:sz w:val="22"/>
              <w:lang w:eastAsia="cs-CZ"/>
            </w:rPr>
          </w:pPr>
          <w:hyperlink w:anchor="_Toc70660101" w:history="1">
            <w:r w:rsidRPr="00A05C60">
              <w:rPr>
                <w:rStyle w:val="Hypertextovodkaz"/>
                <w:noProof/>
              </w:rPr>
              <w:t>3.</w:t>
            </w:r>
            <w:r>
              <w:rPr>
                <w:rFonts w:asciiTheme="minorHAnsi" w:eastAsiaTheme="minorEastAsia" w:hAnsiTheme="minorHAnsi"/>
                <w:noProof/>
                <w:sz w:val="22"/>
                <w:lang w:eastAsia="cs-CZ"/>
              </w:rPr>
              <w:tab/>
            </w:r>
            <w:r w:rsidRPr="00A05C60">
              <w:rPr>
                <w:rStyle w:val="Hypertextovodkaz"/>
                <w:noProof/>
              </w:rPr>
              <w:t>Primární právo – Snahy o posilování demokratických standardů v rámci institucí ES/EU před Lisabonskou smlouvou</w:t>
            </w:r>
            <w:r>
              <w:rPr>
                <w:noProof/>
                <w:webHidden/>
              </w:rPr>
              <w:tab/>
            </w:r>
            <w:r>
              <w:rPr>
                <w:noProof/>
                <w:webHidden/>
              </w:rPr>
              <w:fldChar w:fldCharType="begin"/>
            </w:r>
            <w:r>
              <w:rPr>
                <w:noProof/>
                <w:webHidden/>
              </w:rPr>
              <w:instrText xml:space="preserve"> PAGEREF _Toc70660101 \h </w:instrText>
            </w:r>
            <w:r>
              <w:rPr>
                <w:noProof/>
                <w:webHidden/>
              </w:rPr>
            </w:r>
            <w:r>
              <w:rPr>
                <w:noProof/>
                <w:webHidden/>
              </w:rPr>
              <w:fldChar w:fldCharType="separate"/>
            </w:r>
            <w:r>
              <w:rPr>
                <w:noProof/>
                <w:webHidden/>
              </w:rPr>
              <w:t>19</w:t>
            </w:r>
            <w:r>
              <w:rPr>
                <w:noProof/>
                <w:webHidden/>
              </w:rPr>
              <w:fldChar w:fldCharType="end"/>
            </w:r>
          </w:hyperlink>
        </w:p>
        <w:p w14:paraId="650E8F1C" w14:textId="021CBA67"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2" w:history="1">
            <w:r w:rsidRPr="00A05C60">
              <w:rPr>
                <w:rStyle w:val="Hypertextovodkaz"/>
                <w:rFonts w:cs="Times New Roman"/>
                <w:noProof/>
              </w:rPr>
              <w:t>3.1.</w:t>
            </w:r>
            <w:r>
              <w:rPr>
                <w:rFonts w:asciiTheme="minorHAnsi" w:eastAsiaTheme="minorEastAsia" w:hAnsiTheme="minorHAnsi"/>
                <w:noProof/>
                <w:sz w:val="22"/>
                <w:lang w:eastAsia="cs-CZ"/>
              </w:rPr>
              <w:tab/>
            </w:r>
            <w:r w:rsidRPr="00A05C60">
              <w:rPr>
                <w:rStyle w:val="Hypertextovodkaz"/>
                <w:noProof/>
              </w:rPr>
              <w:t>Římské smlouvy</w:t>
            </w:r>
            <w:r>
              <w:rPr>
                <w:noProof/>
                <w:webHidden/>
              </w:rPr>
              <w:tab/>
            </w:r>
            <w:r>
              <w:rPr>
                <w:noProof/>
                <w:webHidden/>
              </w:rPr>
              <w:fldChar w:fldCharType="begin"/>
            </w:r>
            <w:r>
              <w:rPr>
                <w:noProof/>
                <w:webHidden/>
              </w:rPr>
              <w:instrText xml:space="preserve"> PAGEREF _Toc70660102 \h </w:instrText>
            </w:r>
            <w:r>
              <w:rPr>
                <w:noProof/>
                <w:webHidden/>
              </w:rPr>
            </w:r>
            <w:r>
              <w:rPr>
                <w:noProof/>
                <w:webHidden/>
              </w:rPr>
              <w:fldChar w:fldCharType="separate"/>
            </w:r>
            <w:r>
              <w:rPr>
                <w:noProof/>
                <w:webHidden/>
              </w:rPr>
              <w:t>19</w:t>
            </w:r>
            <w:r>
              <w:rPr>
                <w:noProof/>
                <w:webHidden/>
              </w:rPr>
              <w:fldChar w:fldCharType="end"/>
            </w:r>
          </w:hyperlink>
        </w:p>
        <w:p w14:paraId="7A9511BD" w14:textId="6B9FE767"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3" w:history="1">
            <w:r w:rsidRPr="00A05C60">
              <w:rPr>
                <w:rStyle w:val="Hypertextovodkaz"/>
                <w:rFonts w:cs="Times New Roman"/>
                <w:noProof/>
              </w:rPr>
              <w:t>3.2.</w:t>
            </w:r>
            <w:r>
              <w:rPr>
                <w:rFonts w:asciiTheme="minorHAnsi" w:eastAsiaTheme="minorEastAsia" w:hAnsiTheme="minorHAnsi"/>
                <w:noProof/>
                <w:sz w:val="22"/>
                <w:lang w:eastAsia="cs-CZ"/>
              </w:rPr>
              <w:tab/>
            </w:r>
            <w:r w:rsidRPr="00A05C60">
              <w:rPr>
                <w:rStyle w:val="Hypertextovodkaz"/>
                <w:noProof/>
                <w:shd w:val="clear" w:color="auto" w:fill="FFFFFF"/>
              </w:rPr>
              <w:t>Lucemburská a Bruselská smlouva</w:t>
            </w:r>
            <w:r>
              <w:rPr>
                <w:noProof/>
                <w:webHidden/>
              </w:rPr>
              <w:tab/>
            </w:r>
            <w:r>
              <w:rPr>
                <w:noProof/>
                <w:webHidden/>
              </w:rPr>
              <w:fldChar w:fldCharType="begin"/>
            </w:r>
            <w:r>
              <w:rPr>
                <w:noProof/>
                <w:webHidden/>
              </w:rPr>
              <w:instrText xml:space="preserve"> PAGEREF _Toc70660103 \h </w:instrText>
            </w:r>
            <w:r>
              <w:rPr>
                <w:noProof/>
                <w:webHidden/>
              </w:rPr>
            </w:r>
            <w:r>
              <w:rPr>
                <w:noProof/>
                <w:webHidden/>
              </w:rPr>
              <w:fldChar w:fldCharType="separate"/>
            </w:r>
            <w:r>
              <w:rPr>
                <w:noProof/>
                <w:webHidden/>
              </w:rPr>
              <w:t>19</w:t>
            </w:r>
            <w:r>
              <w:rPr>
                <w:noProof/>
                <w:webHidden/>
              </w:rPr>
              <w:fldChar w:fldCharType="end"/>
            </w:r>
          </w:hyperlink>
        </w:p>
        <w:p w14:paraId="43D6876E" w14:textId="645049D0"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4" w:history="1">
            <w:r w:rsidRPr="00A05C60">
              <w:rPr>
                <w:rStyle w:val="Hypertextovodkaz"/>
                <w:rFonts w:cs="Times New Roman"/>
                <w:noProof/>
              </w:rPr>
              <w:t>3.3.</w:t>
            </w:r>
            <w:r>
              <w:rPr>
                <w:rFonts w:asciiTheme="minorHAnsi" w:eastAsiaTheme="minorEastAsia" w:hAnsiTheme="minorHAnsi"/>
                <w:noProof/>
                <w:sz w:val="22"/>
                <w:lang w:eastAsia="cs-CZ"/>
              </w:rPr>
              <w:tab/>
            </w:r>
            <w:r w:rsidRPr="00A05C60">
              <w:rPr>
                <w:rStyle w:val="Hypertextovodkaz"/>
                <w:noProof/>
              </w:rPr>
              <w:t>Jednotný evropský akt</w:t>
            </w:r>
            <w:r>
              <w:rPr>
                <w:noProof/>
                <w:webHidden/>
              </w:rPr>
              <w:tab/>
            </w:r>
            <w:r>
              <w:rPr>
                <w:noProof/>
                <w:webHidden/>
              </w:rPr>
              <w:fldChar w:fldCharType="begin"/>
            </w:r>
            <w:r>
              <w:rPr>
                <w:noProof/>
                <w:webHidden/>
              </w:rPr>
              <w:instrText xml:space="preserve"> PAGEREF _Toc70660104 \h </w:instrText>
            </w:r>
            <w:r>
              <w:rPr>
                <w:noProof/>
                <w:webHidden/>
              </w:rPr>
            </w:r>
            <w:r>
              <w:rPr>
                <w:noProof/>
                <w:webHidden/>
              </w:rPr>
              <w:fldChar w:fldCharType="separate"/>
            </w:r>
            <w:r>
              <w:rPr>
                <w:noProof/>
                <w:webHidden/>
              </w:rPr>
              <w:t>20</w:t>
            </w:r>
            <w:r>
              <w:rPr>
                <w:noProof/>
                <w:webHidden/>
              </w:rPr>
              <w:fldChar w:fldCharType="end"/>
            </w:r>
          </w:hyperlink>
        </w:p>
        <w:p w14:paraId="181665E6" w14:textId="5F970BC1"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5" w:history="1">
            <w:r w:rsidRPr="00A05C60">
              <w:rPr>
                <w:rStyle w:val="Hypertextovodkaz"/>
                <w:rFonts w:cs="Times New Roman"/>
                <w:noProof/>
              </w:rPr>
              <w:t>3.4.</w:t>
            </w:r>
            <w:r>
              <w:rPr>
                <w:rFonts w:asciiTheme="minorHAnsi" w:eastAsiaTheme="minorEastAsia" w:hAnsiTheme="minorHAnsi"/>
                <w:noProof/>
                <w:sz w:val="22"/>
                <w:lang w:eastAsia="cs-CZ"/>
              </w:rPr>
              <w:tab/>
            </w:r>
            <w:r w:rsidRPr="00A05C60">
              <w:rPr>
                <w:rStyle w:val="Hypertextovodkaz"/>
                <w:noProof/>
              </w:rPr>
              <w:t>Maastrichtská smlouva</w:t>
            </w:r>
            <w:r>
              <w:rPr>
                <w:noProof/>
                <w:webHidden/>
              </w:rPr>
              <w:tab/>
            </w:r>
            <w:r>
              <w:rPr>
                <w:noProof/>
                <w:webHidden/>
              </w:rPr>
              <w:fldChar w:fldCharType="begin"/>
            </w:r>
            <w:r>
              <w:rPr>
                <w:noProof/>
                <w:webHidden/>
              </w:rPr>
              <w:instrText xml:space="preserve"> PAGEREF _Toc70660105 \h </w:instrText>
            </w:r>
            <w:r>
              <w:rPr>
                <w:noProof/>
                <w:webHidden/>
              </w:rPr>
            </w:r>
            <w:r>
              <w:rPr>
                <w:noProof/>
                <w:webHidden/>
              </w:rPr>
              <w:fldChar w:fldCharType="separate"/>
            </w:r>
            <w:r>
              <w:rPr>
                <w:noProof/>
                <w:webHidden/>
              </w:rPr>
              <w:t>21</w:t>
            </w:r>
            <w:r>
              <w:rPr>
                <w:noProof/>
                <w:webHidden/>
              </w:rPr>
              <w:fldChar w:fldCharType="end"/>
            </w:r>
          </w:hyperlink>
        </w:p>
        <w:p w14:paraId="2E4FE15A" w14:textId="6BFEB8DC"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6" w:history="1">
            <w:r w:rsidRPr="00A05C60">
              <w:rPr>
                <w:rStyle w:val="Hypertextovodkaz"/>
                <w:rFonts w:cs="Times New Roman"/>
                <w:noProof/>
              </w:rPr>
              <w:t>3.5.</w:t>
            </w:r>
            <w:r>
              <w:rPr>
                <w:rFonts w:asciiTheme="minorHAnsi" w:eastAsiaTheme="minorEastAsia" w:hAnsiTheme="minorHAnsi"/>
                <w:noProof/>
                <w:sz w:val="22"/>
                <w:lang w:eastAsia="cs-CZ"/>
              </w:rPr>
              <w:tab/>
            </w:r>
            <w:r w:rsidRPr="00A05C60">
              <w:rPr>
                <w:rStyle w:val="Hypertextovodkaz"/>
                <w:noProof/>
              </w:rPr>
              <w:t>Amsterodamská smlouva</w:t>
            </w:r>
            <w:r>
              <w:rPr>
                <w:noProof/>
                <w:webHidden/>
              </w:rPr>
              <w:tab/>
            </w:r>
            <w:r>
              <w:rPr>
                <w:noProof/>
                <w:webHidden/>
              </w:rPr>
              <w:fldChar w:fldCharType="begin"/>
            </w:r>
            <w:r>
              <w:rPr>
                <w:noProof/>
                <w:webHidden/>
              </w:rPr>
              <w:instrText xml:space="preserve"> PAGEREF _Toc70660106 \h </w:instrText>
            </w:r>
            <w:r>
              <w:rPr>
                <w:noProof/>
                <w:webHidden/>
              </w:rPr>
            </w:r>
            <w:r>
              <w:rPr>
                <w:noProof/>
                <w:webHidden/>
              </w:rPr>
              <w:fldChar w:fldCharType="separate"/>
            </w:r>
            <w:r>
              <w:rPr>
                <w:noProof/>
                <w:webHidden/>
              </w:rPr>
              <w:t>23</w:t>
            </w:r>
            <w:r>
              <w:rPr>
                <w:noProof/>
                <w:webHidden/>
              </w:rPr>
              <w:fldChar w:fldCharType="end"/>
            </w:r>
          </w:hyperlink>
        </w:p>
        <w:p w14:paraId="49850765" w14:textId="65F94039"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7" w:history="1">
            <w:r w:rsidRPr="00A05C60">
              <w:rPr>
                <w:rStyle w:val="Hypertextovodkaz"/>
                <w:rFonts w:cs="Times New Roman"/>
                <w:noProof/>
              </w:rPr>
              <w:t>3.6.</w:t>
            </w:r>
            <w:r>
              <w:rPr>
                <w:rFonts w:asciiTheme="minorHAnsi" w:eastAsiaTheme="minorEastAsia" w:hAnsiTheme="minorHAnsi"/>
                <w:noProof/>
                <w:sz w:val="22"/>
                <w:lang w:eastAsia="cs-CZ"/>
              </w:rPr>
              <w:tab/>
            </w:r>
            <w:r w:rsidRPr="00A05C60">
              <w:rPr>
                <w:rStyle w:val="Hypertextovodkaz"/>
                <w:noProof/>
              </w:rPr>
              <w:t>Smlouva z Nice</w:t>
            </w:r>
            <w:r>
              <w:rPr>
                <w:noProof/>
                <w:webHidden/>
              </w:rPr>
              <w:tab/>
            </w:r>
            <w:r>
              <w:rPr>
                <w:noProof/>
                <w:webHidden/>
              </w:rPr>
              <w:fldChar w:fldCharType="begin"/>
            </w:r>
            <w:r>
              <w:rPr>
                <w:noProof/>
                <w:webHidden/>
              </w:rPr>
              <w:instrText xml:space="preserve"> PAGEREF _Toc70660107 \h </w:instrText>
            </w:r>
            <w:r>
              <w:rPr>
                <w:noProof/>
                <w:webHidden/>
              </w:rPr>
            </w:r>
            <w:r>
              <w:rPr>
                <w:noProof/>
                <w:webHidden/>
              </w:rPr>
              <w:fldChar w:fldCharType="separate"/>
            </w:r>
            <w:r>
              <w:rPr>
                <w:noProof/>
                <w:webHidden/>
              </w:rPr>
              <w:t>24</w:t>
            </w:r>
            <w:r>
              <w:rPr>
                <w:noProof/>
                <w:webHidden/>
              </w:rPr>
              <w:fldChar w:fldCharType="end"/>
            </w:r>
          </w:hyperlink>
        </w:p>
        <w:p w14:paraId="0F799565" w14:textId="25EC9788" w:rsidR="0027731E" w:rsidRDefault="0027731E">
          <w:pPr>
            <w:pStyle w:val="Obsah1"/>
            <w:tabs>
              <w:tab w:val="left" w:pos="480"/>
              <w:tab w:val="right" w:leader="dot" w:pos="8210"/>
            </w:tabs>
            <w:rPr>
              <w:rFonts w:asciiTheme="minorHAnsi" w:eastAsiaTheme="minorEastAsia" w:hAnsiTheme="minorHAnsi"/>
              <w:noProof/>
              <w:sz w:val="22"/>
              <w:lang w:eastAsia="cs-CZ"/>
            </w:rPr>
          </w:pPr>
          <w:hyperlink w:anchor="_Toc70660108" w:history="1">
            <w:r w:rsidRPr="00A05C60">
              <w:rPr>
                <w:rStyle w:val="Hypertextovodkaz"/>
                <w:noProof/>
              </w:rPr>
              <w:t>4.</w:t>
            </w:r>
            <w:r>
              <w:rPr>
                <w:rFonts w:asciiTheme="minorHAnsi" w:eastAsiaTheme="minorEastAsia" w:hAnsiTheme="minorHAnsi"/>
                <w:noProof/>
                <w:sz w:val="22"/>
                <w:lang w:eastAsia="cs-CZ"/>
              </w:rPr>
              <w:tab/>
            </w:r>
            <w:r w:rsidRPr="00A05C60">
              <w:rPr>
                <w:rStyle w:val="Hypertextovodkaz"/>
                <w:noProof/>
              </w:rPr>
              <w:t>Změny zavedené Lisabonskou smlouvou</w:t>
            </w:r>
            <w:r>
              <w:rPr>
                <w:noProof/>
                <w:webHidden/>
              </w:rPr>
              <w:tab/>
            </w:r>
            <w:r>
              <w:rPr>
                <w:noProof/>
                <w:webHidden/>
              </w:rPr>
              <w:fldChar w:fldCharType="begin"/>
            </w:r>
            <w:r>
              <w:rPr>
                <w:noProof/>
                <w:webHidden/>
              </w:rPr>
              <w:instrText xml:space="preserve"> PAGEREF _Toc70660108 \h </w:instrText>
            </w:r>
            <w:r>
              <w:rPr>
                <w:noProof/>
                <w:webHidden/>
              </w:rPr>
            </w:r>
            <w:r>
              <w:rPr>
                <w:noProof/>
                <w:webHidden/>
              </w:rPr>
              <w:fldChar w:fldCharType="separate"/>
            </w:r>
            <w:r>
              <w:rPr>
                <w:noProof/>
                <w:webHidden/>
              </w:rPr>
              <w:t>26</w:t>
            </w:r>
            <w:r>
              <w:rPr>
                <w:noProof/>
                <w:webHidden/>
              </w:rPr>
              <w:fldChar w:fldCharType="end"/>
            </w:r>
          </w:hyperlink>
        </w:p>
        <w:p w14:paraId="46650627" w14:textId="08E15433"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09" w:history="1">
            <w:r w:rsidRPr="00A05C60">
              <w:rPr>
                <w:rStyle w:val="Hypertextovodkaz"/>
                <w:rFonts w:cs="Times New Roman"/>
                <w:noProof/>
              </w:rPr>
              <w:t>4.1.</w:t>
            </w:r>
            <w:r>
              <w:rPr>
                <w:rFonts w:asciiTheme="minorHAnsi" w:eastAsiaTheme="minorEastAsia" w:hAnsiTheme="minorHAnsi"/>
                <w:noProof/>
                <w:sz w:val="22"/>
                <w:lang w:eastAsia="cs-CZ"/>
              </w:rPr>
              <w:tab/>
            </w:r>
            <w:r w:rsidRPr="00A05C60">
              <w:rPr>
                <w:rStyle w:val="Hypertextovodkaz"/>
                <w:noProof/>
              </w:rPr>
              <w:t>Mechanismus barevných karet</w:t>
            </w:r>
            <w:r>
              <w:rPr>
                <w:noProof/>
                <w:webHidden/>
              </w:rPr>
              <w:tab/>
            </w:r>
            <w:r>
              <w:rPr>
                <w:noProof/>
                <w:webHidden/>
              </w:rPr>
              <w:fldChar w:fldCharType="begin"/>
            </w:r>
            <w:r>
              <w:rPr>
                <w:noProof/>
                <w:webHidden/>
              </w:rPr>
              <w:instrText xml:space="preserve"> PAGEREF _Toc70660109 \h </w:instrText>
            </w:r>
            <w:r>
              <w:rPr>
                <w:noProof/>
                <w:webHidden/>
              </w:rPr>
            </w:r>
            <w:r>
              <w:rPr>
                <w:noProof/>
                <w:webHidden/>
              </w:rPr>
              <w:fldChar w:fldCharType="separate"/>
            </w:r>
            <w:r>
              <w:rPr>
                <w:noProof/>
                <w:webHidden/>
              </w:rPr>
              <w:t>27</w:t>
            </w:r>
            <w:r>
              <w:rPr>
                <w:noProof/>
                <w:webHidden/>
              </w:rPr>
              <w:fldChar w:fldCharType="end"/>
            </w:r>
          </w:hyperlink>
        </w:p>
        <w:p w14:paraId="2CA9E46E" w14:textId="4819064A"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10" w:history="1">
            <w:r w:rsidRPr="00A05C60">
              <w:rPr>
                <w:rStyle w:val="Hypertextovodkaz"/>
                <w:rFonts w:cs="Times New Roman"/>
                <w:noProof/>
              </w:rPr>
              <w:t>4.2.</w:t>
            </w:r>
            <w:r>
              <w:rPr>
                <w:rFonts w:asciiTheme="minorHAnsi" w:eastAsiaTheme="minorEastAsia" w:hAnsiTheme="minorHAnsi"/>
                <w:noProof/>
                <w:sz w:val="22"/>
                <w:lang w:eastAsia="cs-CZ"/>
              </w:rPr>
              <w:tab/>
            </w:r>
            <w:r w:rsidRPr="00A05C60">
              <w:rPr>
                <w:rStyle w:val="Hypertextovodkaz"/>
                <w:noProof/>
              </w:rPr>
              <w:t>Roční legislativní program</w:t>
            </w:r>
            <w:r>
              <w:rPr>
                <w:noProof/>
                <w:webHidden/>
              </w:rPr>
              <w:tab/>
            </w:r>
            <w:r>
              <w:rPr>
                <w:noProof/>
                <w:webHidden/>
              </w:rPr>
              <w:fldChar w:fldCharType="begin"/>
            </w:r>
            <w:r>
              <w:rPr>
                <w:noProof/>
                <w:webHidden/>
              </w:rPr>
              <w:instrText xml:space="preserve"> PAGEREF _Toc70660110 \h </w:instrText>
            </w:r>
            <w:r>
              <w:rPr>
                <w:noProof/>
                <w:webHidden/>
              </w:rPr>
            </w:r>
            <w:r>
              <w:rPr>
                <w:noProof/>
                <w:webHidden/>
              </w:rPr>
              <w:fldChar w:fldCharType="separate"/>
            </w:r>
            <w:r>
              <w:rPr>
                <w:noProof/>
                <w:webHidden/>
              </w:rPr>
              <w:t>30</w:t>
            </w:r>
            <w:r>
              <w:rPr>
                <w:noProof/>
                <w:webHidden/>
              </w:rPr>
              <w:fldChar w:fldCharType="end"/>
            </w:r>
          </w:hyperlink>
        </w:p>
        <w:p w14:paraId="0CAD16C6" w14:textId="670E879B"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11" w:history="1">
            <w:r w:rsidRPr="00A05C60">
              <w:rPr>
                <w:rStyle w:val="Hypertextovodkaz"/>
                <w:rFonts w:cs="Times New Roman"/>
                <w:noProof/>
              </w:rPr>
              <w:t>4.3.</w:t>
            </w:r>
            <w:r>
              <w:rPr>
                <w:rFonts w:asciiTheme="minorHAnsi" w:eastAsiaTheme="minorEastAsia" w:hAnsiTheme="minorHAnsi"/>
                <w:noProof/>
                <w:sz w:val="22"/>
                <w:lang w:eastAsia="cs-CZ"/>
              </w:rPr>
              <w:tab/>
            </w:r>
            <w:r w:rsidRPr="00A05C60">
              <w:rPr>
                <w:rStyle w:val="Hypertextovodkaz"/>
                <w:noProof/>
              </w:rPr>
              <w:t>Posílení pravomocí Evropského parlamentu v rámci spolurozhodování s Radou ministrů</w:t>
            </w:r>
            <w:r>
              <w:rPr>
                <w:noProof/>
                <w:webHidden/>
              </w:rPr>
              <w:tab/>
            </w:r>
            <w:r>
              <w:rPr>
                <w:noProof/>
                <w:webHidden/>
              </w:rPr>
              <w:fldChar w:fldCharType="begin"/>
            </w:r>
            <w:r>
              <w:rPr>
                <w:noProof/>
                <w:webHidden/>
              </w:rPr>
              <w:instrText xml:space="preserve"> PAGEREF _Toc70660111 \h </w:instrText>
            </w:r>
            <w:r>
              <w:rPr>
                <w:noProof/>
                <w:webHidden/>
              </w:rPr>
            </w:r>
            <w:r>
              <w:rPr>
                <w:noProof/>
                <w:webHidden/>
              </w:rPr>
              <w:fldChar w:fldCharType="separate"/>
            </w:r>
            <w:r>
              <w:rPr>
                <w:noProof/>
                <w:webHidden/>
              </w:rPr>
              <w:t>31</w:t>
            </w:r>
            <w:r>
              <w:rPr>
                <w:noProof/>
                <w:webHidden/>
              </w:rPr>
              <w:fldChar w:fldCharType="end"/>
            </w:r>
          </w:hyperlink>
        </w:p>
        <w:p w14:paraId="674F4FFE" w14:textId="3DDAEECA"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12" w:history="1">
            <w:r w:rsidRPr="00A05C60">
              <w:rPr>
                <w:rStyle w:val="Hypertextovodkaz"/>
                <w:rFonts w:cs="Times New Roman"/>
                <w:noProof/>
              </w:rPr>
              <w:t>4.4.</w:t>
            </w:r>
            <w:r>
              <w:rPr>
                <w:rFonts w:asciiTheme="minorHAnsi" w:eastAsiaTheme="minorEastAsia" w:hAnsiTheme="minorHAnsi"/>
                <w:noProof/>
                <w:sz w:val="22"/>
                <w:lang w:eastAsia="cs-CZ"/>
              </w:rPr>
              <w:tab/>
            </w:r>
            <w:r w:rsidRPr="00A05C60">
              <w:rPr>
                <w:rStyle w:val="Hypertextovodkaz"/>
                <w:noProof/>
              </w:rPr>
              <w:t>Spitzenkandidaten proces</w:t>
            </w:r>
            <w:r>
              <w:rPr>
                <w:noProof/>
                <w:webHidden/>
              </w:rPr>
              <w:tab/>
            </w:r>
            <w:r>
              <w:rPr>
                <w:noProof/>
                <w:webHidden/>
              </w:rPr>
              <w:fldChar w:fldCharType="begin"/>
            </w:r>
            <w:r>
              <w:rPr>
                <w:noProof/>
                <w:webHidden/>
              </w:rPr>
              <w:instrText xml:space="preserve"> PAGEREF _Toc70660112 \h </w:instrText>
            </w:r>
            <w:r>
              <w:rPr>
                <w:noProof/>
                <w:webHidden/>
              </w:rPr>
            </w:r>
            <w:r>
              <w:rPr>
                <w:noProof/>
                <w:webHidden/>
              </w:rPr>
              <w:fldChar w:fldCharType="separate"/>
            </w:r>
            <w:r>
              <w:rPr>
                <w:noProof/>
                <w:webHidden/>
              </w:rPr>
              <w:t>32</w:t>
            </w:r>
            <w:r>
              <w:rPr>
                <w:noProof/>
                <w:webHidden/>
              </w:rPr>
              <w:fldChar w:fldCharType="end"/>
            </w:r>
          </w:hyperlink>
        </w:p>
        <w:p w14:paraId="68BCA79A" w14:textId="79D0286D" w:rsidR="0027731E" w:rsidRDefault="0027731E">
          <w:pPr>
            <w:pStyle w:val="Obsah1"/>
            <w:tabs>
              <w:tab w:val="left" w:pos="660"/>
              <w:tab w:val="right" w:leader="dot" w:pos="8210"/>
            </w:tabs>
            <w:rPr>
              <w:rFonts w:asciiTheme="minorHAnsi" w:eastAsiaTheme="minorEastAsia" w:hAnsiTheme="minorHAnsi"/>
              <w:noProof/>
              <w:sz w:val="22"/>
              <w:lang w:eastAsia="cs-CZ"/>
            </w:rPr>
          </w:pPr>
          <w:hyperlink w:anchor="_Toc70660113" w:history="1">
            <w:r w:rsidRPr="00A05C60">
              <w:rPr>
                <w:rStyle w:val="Hypertextovodkaz"/>
                <w:rFonts w:cs="Times New Roman"/>
                <w:noProof/>
              </w:rPr>
              <w:t>4.5.</w:t>
            </w:r>
            <w:r>
              <w:rPr>
                <w:rFonts w:asciiTheme="minorHAnsi" w:eastAsiaTheme="minorEastAsia" w:hAnsiTheme="minorHAnsi"/>
                <w:noProof/>
                <w:sz w:val="22"/>
                <w:lang w:eastAsia="cs-CZ"/>
              </w:rPr>
              <w:tab/>
            </w:r>
            <w:r w:rsidRPr="00A05C60">
              <w:rPr>
                <w:rStyle w:val="Hypertextovodkaz"/>
                <w:noProof/>
              </w:rPr>
              <w:t>Občanská iniciativa</w:t>
            </w:r>
            <w:r>
              <w:rPr>
                <w:noProof/>
                <w:webHidden/>
              </w:rPr>
              <w:tab/>
            </w:r>
            <w:r>
              <w:rPr>
                <w:noProof/>
                <w:webHidden/>
              </w:rPr>
              <w:fldChar w:fldCharType="begin"/>
            </w:r>
            <w:r>
              <w:rPr>
                <w:noProof/>
                <w:webHidden/>
              </w:rPr>
              <w:instrText xml:space="preserve"> PAGEREF _Toc70660113 \h </w:instrText>
            </w:r>
            <w:r>
              <w:rPr>
                <w:noProof/>
                <w:webHidden/>
              </w:rPr>
            </w:r>
            <w:r>
              <w:rPr>
                <w:noProof/>
                <w:webHidden/>
              </w:rPr>
              <w:fldChar w:fldCharType="separate"/>
            </w:r>
            <w:r>
              <w:rPr>
                <w:noProof/>
                <w:webHidden/>
              </w:rPr>
              <w:t>35</w:t>
            </w:r>
            <w:r>
              <w:rPr>
                <w:noProof/>
                <w:webHidden/>
              </w:rPr>
              <w:fldChar w:fldCharType="end"/>
            </w:r>
          </w:hyperlink>
        </w:p>
        <w:p w14:paraId="2876A11A" w14:textId="10CA1568" w:rsidR="0027731E" w:rsidRDefault="0027731E">
          <w:pPr>
            <w:pStyle w:val="Obsah1"/>
            <w:tabs>
              <w:tab w:val="right" w:leader="dot" w:pos="8210"/>
            </w:tabs>
            <w:rPr>
              <w:rFonts w:asciiTheme="minorHAnsi" w:eastAsiaTheme="minorEastAsia" w:hAnsiTheme="minorHAnsi"/>
              <w:noProof/>
              <w:sz w:val="22"/>
              <w:lang w:eastAsia="cs-CZ"/>
            </w:rPr>
          </w:pPr>
          <w:hyperlink w:anchor="_Toc70660114" w:history="1">
            <w:r w:rsidRPr="00A05C60">
              <w:rPr>
                <w:rStyle w:val="Hypertextovodkaz"/>
                <w:noProof/>
              </w:rPr>
              <w:t>Závěr</w:t>
            </w:r>
            <w:r>
              <w:rPr>
                <w:noProof/>
                <w:webHidden/>
              </w:rPr>
              <w:tab/>
            </w:r>
            <w:r>
              <w:rPr>
                <w:noProof/>
                <w:webHidden/>
              </w:rPr>
              <w:fldChar w:fldCharType="begin"/>
            </w:r>
            <w:r>
              <w:rPr>
                <w:noProof/>
                <w:webHidden/>
              </w:rPr>
              <w:instrText xml:space="preserve"> PAGEREF _Toc70660114 \h </w:instrText>
            </w:r>
            <w:r>
              <w:rPr>
                <w:noProof/>
                <w:webHidden/>
              </w:rPr>
            </w:r>
            <w:r>
              <w:rPr>
                <w:noProof/>
                <w:webHidden/>
              </w:rPr>
              <w:fldChar w:fldCharType="separate"/>
            </w:r>
            <w:r>
              <w:rPr>
                <w:noProof/>
                <w:webHidden/>
              </w:rPr>
              <w:t>39</w:t>
            </w:r>
            <w:r>
              <w:rPr>
                <w:noProof/>
                <w:webHidden/>
              </w:rPr>
              <w:fldChar w:fldCharType="end"/>
            </w:r>
          </w:hyperlink>
        </w:p>
        <w:p w14:paraId="6A0F3A55" w14:textId="1C8059A7" w:rsidR="0027731E" w:rsidRDefault="0027731E">
          <w:pPr>
            <w:pStyle w:val="Obsah1"/>
            <w:tabs>
              <w:tab w:val="right" w:leader="dot" w:pos="8210"/>
            </w:tabs>
            <w:rPr>
              <w:rFonts w:asciiTheme="minorHAnsi" w:eastAsiaTheme="minorEastAsia" w:hAnsiTheme="minorHAnsi"/>
              <w:noProof/>
              <w:sz w:val="22"/>
              <w:lang w:eastAsia="cs-CZ"/>
            </w:rPr>
          </w:pPr>
          <w:hyperlink w:anchor="_Toc70660115" w:history="1">
            <w:r w:rsidRPr="00A05C60">
              <w:rPr>
                <w:rStyle w:val="Hypertextovodkaz"/>
                <w:noProof/>
              </w:rPr>
              <w:t>Seznam pramenů a literatury</w:t>
            </w:r>
            <w:r>
              <w:rPr>
                <w:noProof/>
                <w:webHidden/>
              </w:rPr>
              <w:tab/>
            </w:r>
            <w:r>
              <w:rPr>
                <w:noProof/>
                <w:webHidden/>
              </w:rPr>
              <w:fldChar w:fldCharType="begin"/>
            </w:r>
            <w:r>
              <w:rPr>
                <w:noProof/>
                <w:webHidden/>
              </w:rPr>
              <w:instrText xml:space="preserve"> PAGEREF _Toc70660115 \h </w:instrText>
            </w:r>
            <w:r>
              <w:rPr>
                <w:noProof/>
                <w:webHidden/>
              </w:rPr>
            </w:r>
            <w:r>
              <w:rPr>
                <w:noProof/>
                <w:webHidden/>
              </w:rPr>
              <w:fldChar w:fldCharType="separate"/>
            </w:r>
            <w:r>
              <w:rPr>
                <w:noProof/>
                <w:webHidden/>
              </w:rPr>
              <w:t>42</w:t>
            </w:r>
            <w:r>
              <w:rPr>
                <w:noProof/>
                <w:webHidden/>
              </w:rPr>
              <w:fldChar w:fldCharType="end"/>
            </w:r>
          </w:hyperlink>
        </w:p>
        <w:p w14:paraId="653DD18D" w14:textId="6A6A2CD4" w:rsidR="0027731E" w:rsidRDefault="0027731E">
          <w:pPr>
            <w:pStyle w:val="Obsah1"/>
            <w:tabs>
              <w:tab w:val="right" w:leader="dot" w:pos="8210"/>
            </w:tabs>
            <w:rPr>
              <w:rFonts w:asciiTheme="minorHAnsi" w:eastAsiaTheme="minorEastAsia" w:hAnsiTheme="minorHAnsi"/>
              <w:noProof/>
              <w:sz w:val="22"/>
              <w:lang w:eastAsia="cs-CZ"/>
            </w:rPr>
          </w:pPr>
          <w:hyperlink w:anchor="_Toc70660116" w:history="1">
            <w:r w:rsidRPr="00A05C60">
              <w:rPr>
                <w:rStyle w:val="Hypertextovodkaz"/>
                <w:noProof/>
              </w:rPr>
              <w:t>Abstrakt</w:t>
            </w:r>
            <w:r>
              <w:rPr>
                <w:noProof/>
                <w:webHidden/>
              </w:rPr>
              <w:tab/>
            </w:r>
            <w:r>
              <w:rPr>
                <w:noProof/>
                <w:webHidden/>
              </w:rPr>
              <w:fldChar w:fldCharType="begin"/>
            </w:r>
            <w:r>
              <w:rPr>
                <w:noProof/>
                <w:webHidden/>
              </w:rPr>
              <w:instrText xml:space="preserve"> PAGEREF _Toc70660116 \h </w:instrText>
            </w:r>
            <w:r>
              <w:rPr>
                <w:noProof/>
                <w:webHidden/>
              </w:rPr>
            </w:r>
            <w:r>
              <w:rPr>
                <w:noProof/>
                <w:webHidden/>
              </w:rPr>
              <w:fldChar w:fldCharType="separate"/>
            </w:r>
            <w:r>
              <w:rPr>
                <w:noProof/>
                <w:webHidden/>
              </w:rPr>
              <w:t>49</w:t>
            </w:r>
            <w:r>
              <w:rPr>
                <w:noProof/>
                <w:webHidden/>
              </w:rPr>
              <w:fldChar w:fldCharType="end"/>
            </w:r>
          </w:hyperlink>
        </w:p>
        <w:p w14:paraId="0F9D0609" w14:textId="6BBEF7C5" w:rsidR="0027731E" w:rsidRDefault="0027731E">
          <w:pPr>
            <w:pStyle w:val="Obsah1"/>
            <w:tabs>
              <w:tab w:val="right" w:leader="dot" w:pos="8210"/>
            </w:tabs>
            <w:rPr>
              <w:rFonts w:asciiTheme="minorHAnsi" w:eastAsiaTheme="minorEastAsia" w:hAnsiTheme="minorHAnsi"/>
              <w:noProof/>
              <w:sz w:val="22"/>
              <w:lang w:eastAsia="cs-CZ"/>
            </w:rPr>
          </w:pPr>
          <w:hyperlink w:anchor="_Toc70660117" w:history="1">
            <w:r w:rsidRPr="00A05C60">
              <w:rPr>
                <w:rStyle w:val="Hypertextovodkaz"/>
                <w:noProof/>
                <w:lang w:val="en"/>
              </w:rPr>
              <w:t>Abstract</w:t>
            </w:r>
            <w:r>
              <w:rPr>
                <w:noProof/>
                <w:webHidden/>
              </w:rPr>
              <w:tab/>
            </w:r>
            <w:r>
              <w:rPr>
                <w:noProof/>
                <w:webHidden/>
              </w:rPr>
              <w:fldChar w:fldCharType="begin"/>
            </w:r>
            <w:r>
              <w:rPr>
                <w:noProof/>
                <w:webHidden/>
              </w:rPr>
              <w:instrText xml:space="preserve"> PAGEREF _Toc70660117 \h </w:instrText>
            </w:r>
            <w:r>
              <w:rPr>
                <w:noProof/>
                <w:webHidden/>
              </w:rPr>
            </w:r>
            <w:r>
              <w:rPr>
                <w:noProof/>
                <w:webHidden/>
              </w:rPr>
              <w:fldChar w:fldCharType="separate"/>
            </w:r>
            <w:r>
              <w:rPr>
                <w:noProof/>
                <w:webHidden/>
              </w:rPr>
              <w:t>49</w:t>
            </w:r>
            <w:r>
              <w:rPr>
                <w:noProof/>
                <w:webHidden/>
              </w:rPr>
              <w:fldChar w:fldCharType="end"/>
            </w:r>
          </w:hyperlink>
        </w:p>
        <w:p w14:paraId="0078463B" w14:textId="69EB87E9" w:rsidR="00CE61E8" w:rsidRPr="00C0223E" w:rsidRDefault="00D27BF4" w:rsidP="00C0223E">
          <w:pPr>
            <w:spacing w:line="360" w:lineRule="auto"/>
            <w:sectPr w:rsidR="00CE61E8" w:rsidRPr="00C0223E" w:rsidSect="0078203F">
              <w:footerReference w:type="default" r:id="rId9"/>
              <w:pgSz w:w="11906" w:h="16838"/>
              <w:pgMar w:top="1418" w:right="1701" w:bottom="1418" w:left="1985" w:header="709" w:footer="709" w:gutter="0"/>
              <w:pgNumType w:start="1"/>
              <w:cols w:space="708"/>
              <w:docGrid w:linePitch="360"/>
            </w:sectPr>
          </w:pPr>
          <w:r>
            <w:rPr>
              <w:b/>
              <w:bCs/>
            </w:rPr>
            <w:fldChar w:fldCharType="end"/>
          </w:r>
        </w:p>
      </w:sdtContent>
    </w:sdt>
    <w:p w14:paraId="2F1E8CBD" w14:textId="4CD0C73D" w:rsidR="00D27BF4" w:rsidRDefault="00D27BF4" w:rsidP="00CE61E8">
      <w:pPr>
        <w:spacing w:line="259" w:lineRule="auto"/>
        <w:jc w:val="left"/>
        <w:rPr>
          <w:rFonts w:cs="Times New Roman"/>
          <w:szCs w:val="24"/>
        </w:rPr>
      </w:pPr>
    </w:p>
    <w:p w14:paraId="0EA6969F" w14:textId="4CF121F5" w:rsidR="00D27BF4" w:rsidRDefault="00D27BF4" w:rsidP="00FD2432">
      <w:pPr>
        <w:pStyle w:val="Nadpis3"/>
        <w:spacing w:after="240"/>
      </w:pPr>
      <w:bookmarkStart w:id="7" w:name="_Toc70660092"/>
      <w:r>
        <w:t>Úvod</w:t>
      </w:r>
      <w:bookmarkEnd w:id="7"/>
    </w:p>
    <w:p w14:paraId="2350E6E7" w14:textId="10C0DD5D" w:rsidR="00D12073" w:rsidRDefault="00D27BF4" w:rsidP="00C0223E">
      <w:pPr>
        <w:spacing w:line="360" w:lineRule="auto"/>
        <w:rPr>
          <w:rFonts w:cs="Times New Roman"/>
          <w:szCs w:val="24"/>
        </w:rPr>
      </w:pPr>
      <w:r>
        <w:tab/>
      </w:r>
      <w:r w:rsidR="00605E01">
        <w:rPr>
          <w:rFonts w:cs="Times New Roman"/>
          <w:szCs w:val="24"/>
        </w:rPr>
        <w:t>V průběhu vývoje Evropské u</w:t>
      </w:r>
      <w:r w:rsidR="00045214">
        <w:rPr>
          <w:rFonts w:cs="Times New Roman"/>
          <w:szCs w:val="24"/>
        </w:rPr>
        <w:t xml:space="preserve">nie se setkáváme hned s několika negativními pojmy, jež byly často skloňovány právě v souvislosti s fungováním EU, či s jednou z forem společenství, které EU předcházely. Příkladem takového pojmu může být takzvaná </w:t>
      </w:r>
      <w:proofErr w:type="spellStart"/>
      <w:r w:rsidR="00056BA9">
        <w:rPr>
          <w:rFonts w:cs="Times New Roman"/>
          <w:szCs w:val="24"/>
        </w:rPr>
        <w:t>e</w:t>
      </w:r>
      <w:r w:rsidR="00045214">
        <w:rPr>
          <w:rFonts w:cs="Times New Roman"/>
          <w:szCs w:val="24"/>
        </w:rPr>
        <w:t>uroskleróza</w:t>
      </w:r>
      <w:proofErr w:type="spellEnd"/>
      <w:r w:rsidR="00045214">
        <w:rPr>
          <w:rFonts w:cs="Times New Roman"/>
          <w:szCs w:val="24"/>
        </w:rPr>
        <w:t xml:space="preserve">. Ta je spojovaná s obdobím 70. a 80. let </w:t>
      </w:r>
      <w:r w:rsidR="00F70B20">
        <w:rPr>
          <w:rFonts w:cs="Times New Roman"/>
          <w:szCs w:val="24"/>
        </w:rPr>
        <w:t>20</w:t>
      </w:r>
      <w:r w:rsidR="00045214">
        <w:rPr>
          <w:rFonts w:cs="Times New Roman"/>
          <w:szCs w:val="24"/>
        </w:rPr>
        <w:t>. století. V </w:t>
      </w:r>
      <w:r w:rsidR="00CA0CE6">
        <w:rPr>
          <w:rFonts w:cs="Times New Roman"/>
          <w:szCs w:val="24"/>
        </w:rPr>
        <w:t>dané</w:t>
      </w:r>
      <w:r w:rsidR="00045214">
        <w:rPr>
          <w:rFonts w:cs="Times New Roman"/>
          <w:szCs w:val="24"/>
        </w:rPr>
        <w:t xml:space="preserve"> době se tehdejší Evropské hospodářské společenství potýkalo s mnoha zásadními problémy. Prvním z nich byla </w:t>
      </w:r>
      <w:r w:rsidR="00F70B20">
        <w:rPr>
          <w:rFonts w:cs="Times New Roman"/>
          <w:szCs w:val="24"/>
        </w:rPr>
        <w:t>e</w:t>
      </w:r>
      <w:r w:rsidR="00045214">
        <w:rPr>
          <w:rFonts w:cs="Times New Roman"/>
          <w:szCs w:val="24"/>
        </w:rPr>
        <w:t xml:space="preserve">konomická krize, </w:t>
      </w:r>
      <w:r w:rsidR="00CA0CE6">
        <w:rPr>
          <w:rFonts w:cs="Times New Roman"/>
          <w:szCs w:val="24"/>
        </w:rPr>
        <w:t xml:space="preserve">jež byla </w:t>
      </w:r>
      <w:r w:rsidR="00045214">
        <w:rPr>
          <w:rFonts w:cs="Times New Roman"/>
          <w:szCs w:val="24"/>
        </w:rPr>
        <w:t xml:space="preserve">následována politickou krizí spolu s problematickým financováním zemědělské politiky. </w:t>
      </w:r>
      <w:proofErr w:type="spellStart"/>
      <w:r w:rsidR="00056BA9">
        <w:rPr>
          <w:rFonts w:cs="Times New Roman"/>
          <w:szCs w:val="24"/>
        </w:rPr>
        <w:t>E</w:t>
      </w:r>
      <w:r w:rsidR="00045214">
        <w:rPr>
          <w:rFonts w:cs="Times New Roman"/>
          <w:szCs w:val="24"/>
        </w:rPr>
        <w:t>uroskleróza</w:t>
      </w:r>
      <w:proofErr w:type="spellEnd"/>
      <w:r w:rsidR="00045214">
        <w:rPr>
          <w:rFonts w:cs="Times New Roman"/>
          <w:szCs w:val="24"/>
        </w:rPr>
        <w:t xml:space="preserve"> byla tedy pozorovatelná a odborně popsaná mnoha autory tehdejší doby. </w:t>
      </w:r>
    </w:p>
    <w:p w14:paraId="6D2BFE95" w14:textId="07198EA3" w:rsidR="00690779" w:rsidRDefault="00045214" w:rsidP="00C0223E">
      <w:pPr>
        <w:spacing w:line="360" w:lineRule="auto"/>
        <w:rPr>
          <w:rFonts w:cs="Times New Roman"/>
          <w:szCs w:val="24"/>
        </w:rPr>
      </w:pPr>
      <w:r>
        <w:rPr>
          <w:rFonts w:cs="Times New Roman"/>
          <w:szCs w:val="24"/>
        </w:rPr>
        <w:t xml:space="preserve">Otázkou </w:t>
      </w:r>
      <w:r w:rsidR="00F70B20">
        <w:rPr>
          <w:rFonts w:cs="Times New Roman"/>
          <w:szCs w:val="24"/>
        </w:rPr>
        <w:t>zůstává</w:t>
      </w:r>
      <w:r>
        <w:rPr>
          <w:rFonts w:cs="Times New Roman"/>
          <w:szCs w:val="24"/>
        </w:rPr>
        <w:t xml:space="preserve">, jak řešit problém, u kterého jedna část představitelů a občanů členských států jeho </w:t>
      </w:r>
      <w:r w:rsidR="00B91F1D">
        <w:rPr>
          <w:rFonts w:cs="Times New Roman"/>
          <w:szCs w:val="24"/>
        </w:rPr>
        <w:t>bytí odmítá a druhá část je</w:t>
      </w:r>
      <w:r w:rsidR="00F70B20">
        <w:rPr>
          <w:rFonts w:cs="Times New Roman"/>
          <w:szCs w:val="24"/>
        </w:rPr>
        <w:t xml:space="preserve"> naopak</w:t>
      </w:r>
      <w:r w:rsidR="00B91F1D">
        <w:rPr>
          <w:rFonts w:cs="Times New Roman"/>
          <w:szCs w:val="24"/>
        </w:rPr>
        <w:t xml:space="preserve"> o jeho existenci </w:t>
      </w:r>
      <w:r w:rsidR="00605E01">
        <w:rPr>
          <w:rFonts w:cs="Times New Roman"/>
          <w:szCs w:val="24"/>
        </w:rPr>
        <w:t xml:space="preserve">přesvědčena. Jedná se o pojem </w:t>
      </w:r>
      <w:r w:rsidR="00605E01" w:rsidRPr="00A544E8">
        <w:rPr>
          <w:rFonts w:cs="Times New Roman"/>
          <w:i/>
          <w:szCs w:val="24"/>
        </w:rPr>
        <w:t>„d</w:t>
      </w:r>
      <w:r w:rsidR="00B91F1D" w:rsidRPr="00A544E8">
        <w:rPr>
          <w:rFonts w:cs="Times New Roman"/>
          <w:i/>
          <w:szCs w:val="24"/>
        </w:rPr>
        <w:t>emokratického deficitu“</w:t>
      </w:r>
      <w:r w:rsidR="00A544E8">
        <w:rPr>
          <w:rFonts w:cs="Times New Roman"/>
          <w:szCs w:val="24"/>
        </w:rPr>
        <w:t>. Ten se do po</w:t>
      </w:r>
      <w:r w:rsidR="00B91F1D">
        <w:rPr>
          <w:rFonts w:cs="Times New Roman"/>
          <w:szCs w:val="24"/>
        </w:rPr>
        <w:t>vědomí lidí dostal na počátku 21. století a stále na něj neexistuje jednotný názor. V odborné literatuře se často setkáváme s množstvím rozdílných definic s ohledem na autorovo pojetí d</w:t>
      </w:r>
      <w:r w:rsidR="00605E01">
        <w:rPr>
          <w:rFonts w:cs="Times New Roman"/>
          <w:szCs w:val="24"/>
        </w:rPr>
        <w:t>emokracie a vnímání e</w:t>
      </w:r>
      <w:r w:rsidR="00A038C2">
        <w:rPr>
          <w:rFonts w:cs="Times New Roman"/>
          <w:szCs w:val="24"/>
        </w:rPr>
        <w:t xml:space="preserve">vropské integrace. </w:t>
      </w:r>
    </w:p>
    <w:p w14:paraId="6D11CA41" w14:textId="2B144299" w:rsidR="00AE1A1C" w:rsidRDefault="00B91F1D" w:rsidP="00C0223E">
      <w:pPr>
        <w:spacing w:line="360" w:lineRule="auto"/>
        <w:rPr>
          <w:rFonts w:cs="Times New Roman"/>
          <w:szCs w:val="24"/>
        </w:rPr>
      </w:pPr>
      <w:r>
        <w:rPr>
          <w:rFonts w:cs="Times New Roman"/>
          <w:szCs w:val="24"/>
        </w:rPr>
        <w:t xml:space="preserve">Literatura zabývající se tímto tématem povětšinou zkoumá </w:t>
      </w:r>
      <w:r w:rsidR="002E2DBE">
        <w:rPr>
          <w:rFonts w:cs="Times New Roman"/>
          <w:szCs w:val="24"/>
        </w:rPr>
        <w:t>rozdíly mezi strukturami státu a EU. Nicméně je velmi obtížné srovnávat legislativní, exekutivní či</w:t>
      </w:r>
      <w:r w:rsidR="000532AD">
        <w:rPr>
          <w:rFonts w:cs="Times New Roman"/>
          <w:szCs w:val="24"/>
        </w:rPr>
        <w:t xml:space="preserve"> soudní</w:t>
      </w:r>
      <w:r w:rsidR="001341B6">
        <w:rPr>
          <w:rFonts w:cs="Times New Roman"/>
          <w:szCs w:val="24"/>
        </w:rPr>
        <w:t xml:space="preserve"> </w:t>
      </w:r>
      <w:r w:rsidR="002E2DBE">
        <w:rPr>
          <w:rFonts w:cs="Times New Roman"/>
          <w:szCs w:val="24"/>
        </w:rPr>
        <w:t>procedury jednoho státu se společenstvím</w:t>
      </w:r>
      <w:r w:rsidR="00A544E8">
        <w:rPr>
          <w:rFonts w:cs="Times New Roman"/>
          <w:szCs w:val="24"/>
        </w:rPr>
        <w:t>,</w:t>
      </w:r>
      <w:r w:rsidR="002E2DBE">
        <w:rPr>
          <w:rFonts w:cs="Times New Roman"/>
          <w:szCs w:val="24"/>
        </w:rPr>
        <w:t xml:space="preserve"> jehož jsou tyto jednotlivé státy členy. EU není stát, federace ani konfederace. Je to zcela nová entita, která se už ze své podstaty nemůže chovat jako stát, proto mohou být některé informace z prací založených čistě na tomto srovnání poněkud zavádějící. </w:t>
      </w:r>
    </w:p>
    <w:p w14:paraId="6D0DA9B0" w14:textId="77777777" w:rsidR="00AE1A1C" w:rsidRPr="00537279" w:rsidRDefault="00AE1A1C" w:rsidP="00AE1A1C">
      <w:pPr>
        <w:spacing w:line="360" w:lineRule="auto"/>
        <w:ind w:right="283"/>
        <w:rPr>
          <w:rFonts w:cs="Times New Roman"/>
          <w:sz w:val="28"/>
          <w:szCs w:val="28"/>
        </w:rPr>
      </w:pPr>
      <w:r w:rsidRPr="00537279">
        <w:rPr>
          <w:rFonts w:cs="Times New Roman"/>
          <w:sz w:val="28"/>
          <w:szCs w:val="28"/>
        </w:rPr>
        <w:t>Výzkumná otázka a cíl práce</w:t>
      </w:r>
    </w:p>
    <w:p w14:paraId="4033C271" w14:textId="0117EE13" w:rsidR="00AE1A1C" w:rsidRPr="00537279" w:rsidRDefault="00AE1A1C" w:rsidP="00FE7226">
      <w:pPr>
        <w:spacing w:line="360" w:lineRule="auto"/>
        <w:ind w:right="-2" w:firstLine="708"/>
        <w:rPr>
          <w:rFonts w:cs="Times New Roman"/>
          <w:szCs w:val="24"/>
        </w:rPr>
      </w:pPr>
      <w:r w:rsidRPr="00537279">
        <w:rPr>
          <w:rFonts w:cs="Times New Roman"/>
          <w:szCs w:val="24"/>
        </w:rPr>
        <w:t xml:space="preserve">Cílem této práce je pomocí tří různých teoretických konceptů představit, zda a do jaké míry přispěla Lisabonská smlouva ke snížení demokratického deficitu. Pro potřeby analýzy si </w:t>
      </w:r>
      <w:r w:rsidR="001341B6">
        <w:rPr>
          <w:rFonts w:cs="Times New Roman"/>
          <w:szCs w:val="24"/>
        </w:rPr>
        <w:t xml:space="preserve">autorka </w:t>
      </w:r>
      <w:r w:rsidRPr="00537279">
        <w:rPr>
          <w:rFonts w:cs="Times New Roman"/>
          <w:szCs w:val="24"/>
        </w:rPr>
        <w:t xml:space="preserve">stanovila následující výzkumnou otázku. </w:t>
      </w:r>
    </w:p>
    <w:p w14:paraId="1CB74C7C" w14:textId="434BC192" w:rsidR="00AE1A1C" w:rsidRPr="00537279" w:rsidRDefault="00AE1A1C" w:rsidP="00AE1A1C">
      <w:pPr>
        <w:spacing w:line="360" w:lineRule="auto"/>
        <w:ind w:right="-2"/>
        <w:rPr>
          <w:rFonts w:cs="Times New Roman"/>
          <w:i/>
          <w:iCs/>
          <w:szCs w:val="24"/>
        </w:rPr>
      </w:pPr>
      <w:r w:rsidRPr="00537279">
        <w:rPr>
          <w:rFonts w:cs="Times New Roman"/>
          <w:i/>
          <w:iCs/>
          <w:szCs w:val="24"/>
        </w:rPr>
        <w:t>Jaký formální dopad měla na posílení</w:t>
      </w:r>
      <w:r w:rsidR="00A544E8">
        <w:rPr>
          <w:rFonts w:cs="Times New Roman"/>
          <w:i/>
          <w:iCs/>
          <w:szCs w:val="24"/>
        </w:rPr>
        <w:t>,</w:t>
      </w:r>
      <w:r w:rsidRPr="00537279">
        <w:rPr>
          <w:rFonts w:cs="Times New Roman"/>
          <w:i/>
          <w:iCs/>
          <w:szCs w:val="24"/>
        </w:rPr>
        <w:t xml:space="preserve"> či oslabení demokratické</w:t>
      </w:r>
      <w:r w:rsidR="000532AD">
        <w:rPr>
          <w:rFonts w:cs="Times New Roman"/>
          <w:i/>
          <w:iCs/>
          <w:szCs w:val="24"/>
        </w:rPr>
        <w:t xml:space="preserve">ho deficitu </w:t>
      </w:r>
      <w:r w:rsidRPr="00537279">
        <w:rPr>
          <w:rFonts w:cs="Times New Roman"/>
          <w:i/>
          <w:iCs/>
          <w:szCs w:val="24"/>
        </w:rPr>
        <w:t>EU reforma primárního práva Lisabonskou smlouvou?</w:t>
      </w:r>
    </w:p>
    <w:p w14:paraId="3EFDE5F2" w14:textId="2F2854F1" w:rsidR="00AE1A1C" w:rsidRPr="00537279" w:rsidRDefault="00AE1A1C" w:rsidP="00AE1A1C">
      <w:pPr>
        <w:spacing w:line="360" w:lineRule="auto"/>
        <w:ind w:right="-2"/>
        <w:rPr>
          <w:rFonts w:cs="Times New Roman"/>
          <w:szCs w:val="24"/>
        </w:rPr>
      </w:pPr>
      <w:r w:rsidRPr="00537279">
        <w:rPr>
          <w:rFonts w:cs="Times New Roman"/>
          <w:i/>
          <w:iCs/>
          <w:szCs w:val="24"/>
        </w:rPr>
        <w:t xml:space="preserve"> </w:t>
      </w:r>
      <w:r w:rsidR="00A544E8">
        <w:rPr>
          <w:rFonts w:cs="Times New Roman"/>
          <w:szCs w:val="24"/>
        </w:rPr>
        <w:t>Daná</w:t>
      </w:r>
      <w:r w:rsidRPr="00537279">
        <w:rPr>
          <w:rFonts w:cs="Times New Roman"/>
          <w:szCs w:val="24"/>
        </w:rPr>
        <w:t xml:space="preserve"> otázka vychází z předpokladu, že byla tato smlouva přijata v domnění, že dojde nejen k větší transparentnosti EU, ale také ke zjednodušení legislativních procesů a v neposlední řadě ke sblížení EU s občany.</w:t>
      </w:r>
    </w:p>
    <w:p w14:paraId="2D6B57E5" w14:textId="77777777" w:rsidR="00AE1A1C" w:rsidRPr="00537279" w:rsidRDefault="00AE1A1C" w:rsidP="00AE1A1C">
      <w:pPr>
        <w:spacing w:line="360" w:lineRule="auto"/>
        <w:ind w:right="-2"/>
        <w:rPr>
          <w:rFonts w:cs="Times New Roman"/>
          <w:sz w:val="28"/>
          <w:szCs w:val="28"/>
        </w:rPr>
      </w:pPr>
      <w:r w:rsidRPr="00537279">
        <w:rPr>
          <w:rFonts w:cs="Times New Roman"/>
          <w:sz w:val="28"/>
          <w:szCs w:val="28"/>
        </w:rPr>
        <w:lastRenderedPageBreak/>
        <w:t>Časové a obsahové vymezení práce, metodologie</w:t>
      </w:r>
    </w:p>
    <w:p w14:paraId="0A17C403" w14:textId="403F00E5" w:rsidR="00AE1A1C" w:rsidRDefault="00AE1A1C" w:rsidP="00FE7226">
      <w:pPr>
        <w:spacing w:line="360" w:lineRule="auto"/>
        <w:ind w:right="-2" w:firstLine="708"/>
        <w:rPr>
          <w:rFonts w:cs="Times New Roman"/>
          <w:szCs w:val="24"/>
        </w:rPr>
      </w:pPr>
      <w:r w:rsidRPr="00537279">
        <w:rPr>
          <w:rFonts w:cs="Times New Roman"/>
          <w:szCs w:val="24"/>
        </w:rPr>
        <w:t xml:space="preserve">Vzhledem k tomu, že existuje mnoho různých přístupů ke zkoumání demokratického deficitu Evropské unie, rozhodla se </w:t>
      </w:r>
      <w:r w:rsidR="00F02A37">
        <w:rPr>
          <w:rFonts w:cs="Times New Roman"/>
          <w:szCs w:val="24"/>
        </w:rPr>
        <w:t>autorka</w:t>
      </w:r>
      <w:r w:rsidR="00F02A37">
        <w:rPr>
          <w:rStyle w:val="Odkaznakoment"/>
        </w:rPr>
        <w:t xml:space="preserve"> </w:t>
      </w:r>
      <w:r w:rsidRPr="00537279">
        <w:rPr>
          <w:rFonts w:cs="Times New Roman"/>
          <w:szCs w:val="24"/>
        </w:rPr>
        <w:t>provést</w:t>
      </w:r>
      <w:r w:rsidR="00F02A37">
        <w:rPr>
          <w:rFonts w:cs="Times New Roman"/>
          <w:szCs w:val="24"/>
        </w:rPr>
        <w:t xml:space="preserve"> analýzu</w:t>
      </w:r>
      <w:r w:rsidRPr="00537279">
        <w:rPr>
          <w:rFonts w:cs="Times New Roman"/>
          <w:szCs w:val="24"/>
        </w:rPr>
        <w:t xml:space="preserve"> na základě tří různých teoretických konceptů. První koncept pochází od </w:t>
      </w:r>
      <w:r w:rsidR="00DB7397">
        <w:rPr>
          <w:rFonts w:cs="Times New Roman"/>
          <w:szCs w:val="24"/>
        </w:rPr>
        <w:t xml:space="preserve">amerického </w:t>
      </w:r>
      <w:r w:rsidRPr="00537279">
        <w:rPr>
          <w:rFonts w:cs="Times New Roman"/>
          <w:szCs w:val="24"/>
        </w:rPr>
        <w:t>politologa A</w:t>
      </w:r>
      <w:r w:rsidR="00A9519F">
        <w:rPr>
          <w:rFonts w:cs="Times New Roman"/>
          <w:szCs w:val="24"/>
        </w:rPr>
        <w:t>n</w:t>
      </w:r>
      <w:r w:rsidRPr="00537279">
        <w:rPr>
          <w:rFonts w:cs="Times New Roman"/>
          <w:szCs w:val="24"/>
        </w:rPr>
        <w:t xml:space="preserve">drew </w:t>
      </w:r>
      <w:proofErr w:type="spellStart"/>
      <w:r w:rsidRPr="00537279">
        <w:rPr>
          <w:rFonts w:cs="Times New Roman"/>
          <w:szCs w:val="24"/>
        </w:rPr>
        <w:t>Moravcsika</w:t>
      </w:r>
      <w:proofErr w:type="spellEnd"/>
      <w:r w:rsidRPr="00537279">
        <w:rPr>
          <w:rFonts w:cs="Times New Roman"/>
          <w:szCs w:val="24"/>
        </w:rPr>
        <w:t>, který se touto problematikou dlouhodobě zabývá a jako jeden z mála zastává negativní postoj k existenci demokratického deficitu v evropských strukturách.</w:t>
      </w:r>
      <w:r w:rsidR="00743AD4">
        <w:rPr>
          <w:rFonts w:cs="Times New Roman"/>
          <w:szCs w:val="24"/>
        </w:rPr>
        <w:t xml:space="preserve"> </w:t>
      </w:r>
      <w:r w:rsidRPr="00537279">
        <w:rPr>
          <w:rFonts w:cs="Times New Roman"/>
          <w:szCs w:val="24"/>
        </w:rPr>
        <w:t xml:space="preserve">Druhý koncept </w:t>
      </w:r>
      <w:r w:rsidR="00743AD4">
        <w:rPr>
          <w:rFonts w:cs="Times New Roman"/>
          <w:szCs w:val="24"/>
        </w:rPr>
        <w:t>vy</w:t>
      </w:r>
      <w:r w:rsidRPr="00537279">
        <w:rPr>
          <w:rFonts w:cs="Times New Roman"/>
          <w:szCs w:val="24"/>
        </w:rPr>
        <w:t xml:space="preserve">chází od </w:t>
      </w:r>
      <w:proofErr w:type="spellStart"/>
      <w:r w:rsidRPr="00537279">
        <w:rPr>
          <w:rFonts w:cs="Times New Roman"/>
          <w:szCs w:val="24"/>
        </w:rPr>
        <w:t>Giandomenico</w:t>
      </w:r>
      <w:proofErr w:type="spellEnd"/>
      <w:r w:rsidRPr="00537279">
        <w:rPr>
          <w:rFonts w:cs="Times New Roman"/>
          <w:szCs w:val="24"/>
        </w:rPr>
        <w:t xml:space="preserve"> </w:t>
      </w:r>
      <w:proofErr w:type="spellStart"/>
      <w:r w:rsidRPr="00537279">
        <w:rPr>
          <w:rFonts w:cs="Times New Roman"/>
          <w:szCs w:val="24"/>
        </w:rPr>
        <w:t>Majoneho</w:t>
      </w:r>
      <w:proofErr w:type="spellEnd"/>
      <w:r w:rsidRPr="00537279">
        <w:rPr>
          <w:rFonts w:cs="Times New Roman"/>
          <w:szCs w:val="24"/>
        </w:rPr>
        <w:t xml:space="preserve">, </w:t>
      </w:r>
      <w:r w:rsidR="00DB7397">
        <w:rPr>
          <w:rFonts w:cs="Times New Roman"/>
          <w:szCs w:val="24"/>
        </w:rPr>
        <w:t xml:space="preserve">italského </w:t>
      </w:r>
      <w:r w:rsidRPr="00537279">
        <w:rPr>
          <w:rFonts w:cs="Times New Roman"/>
          <w:szCs w:val="24"/>
        </w:rPr>
        <w:t xml:space="preserve">politologa, který se tímto fenoménem </w:t>
      </w:r>
      <w:r w:rsidR="009A2827">
        <w:rPr>
          <w:rFonts w:cs="Times New Roman"/>
          <w:szCs w:val="24"/>
        </w:rPr>
        <w:t>zaobírá</w:t>
      </w:r>
      <w:r w:rsidRPr="00537279">
        <w:rPr>
          <w:rFonts w:cs="Times New Roman"/>
          <w:szCs w:val="24"/>
        </w:rPr>
        <w:t xml:space="preserve"> z ekonomického hlediska. Poslední koncept </w:t>
      </w:r>
      <w:r w:rsidR="00A544E8">
        <w:rPr>
          <w:rFonts w:cs="Times New Roman"/>
          <w:szCs w:val="24"/>
        </w:rPr>
        <w:t>je dílem</w:t>
      </w:r>
      <w:r w:rsidRPr="00537279">
        <w:rPr>
          <w:rFonts w:cs="Times New Roman"/>
          <w:szCs w:val="24"/>
        </w:rPr>
        <w:t xml:space="preserve"> </w:t>
      </w:r>
      <w:r w:rsidR="00DB7397">
        <w:rPr>
          <w:rFonts w:cs="Times New Roman"/>
          <w:szCs w:val="24"/>
        </w:rPr>
        <w:t xml:space="preserve">německého </w:t>
      </w:r>
      <w:r w:rsidRPr="00537279">
        <w:rPr>
          <w:rFonts w:cs="Times New Roman"/>
          <w:szCs w:val="24"/>
        </w:rPr>
        <w:t xml:space="preserve">výzkumníka Fritze </w:t>
      </w:r>
      <w:proofErr w:type="spellStart"/>
      <w:r w:rsidRPr="00537279">
        <w:rPr>
          <w:rFonts w:cs="Times New Roman"/>
          <w:szCs w:val="24"/>
        </w:rPr>
        <w:t>Scharpfa</w:t>
      </w:r>
      <w:proofErr w:type="spellEnd"/>
      <w:r w:rsidRPr="00537279">
        <w:rPr>
          <w:rFonts w:cs="Times New Roman"/>
          <w:szCs w:val="24"/>
        </w:rPr>
        <w:t>, který ve svých prací</w:t>
      </w:r>
      <w:r>
        <w:rPr>
          <w:rFonts w:cs="Times New Roman"/>
          <w:szCs w:val="24"/>
        </w:rPr>
        <w:t>ch</w:t>
      </w:r>
      <w:r w:rsidRPr="00537279">
        <w:rPr>
          <w:rFonts w:cs="Times New Roman"/>
          <w:szCs w:val="24"/>
        </w:rPr>
        <w:t xml:space="preserve"> </w:t>
      </w:r>
      <w:r w:rsidR="00743AD4">
        <w:rPr>
          <w:rFonts w:cs="Times New Roman"/>
          <w:szCs w:val="24"/>
        </w:rPr>
        <w:t>prosazuje</w:t>
      </w:r>
      <w:r w:rsidRPr="00537279">
        <w:rPr>
          <w:rFonts w:cs="Times New Roman"/>
          <w:szCs w:val="24"/>
        </w:rPr>
        <w:t xml:space="preserve"> názor existence demokratického deficitu, nicméně jej nechápe jako problém nastavených pravomocí jednotlivých institucí</w:t>
      </w:r>
      <w:r w:rsidR="00DB7397">
        <w:rPr>
          <w:rFonts w:cs="Times New Roman"/>
          <w:szCs w:val="24"/>
        </w:rPr>
        <w:t>,</w:t>
      </w:r>
      <w:r w:rsidRPr="00537279">
        <w:rPr>
          <w:rFonts w:cs="Times New Roman"/>
          <w:szCs w:val="24"/>
        </w:rPr>
        <w:t xml:space="preserve"> nýbrž jako problém </w:t>
      </w:r>
      <w:r>
        <w:rPr>
          <w:rFonts w:cs="Times New Roman"/>
          <w:szCs w:val="24"/>
        </w:rPr>
        <w:t>ekonomické integrace.</w:t>
      </w:r>
    </w:p>
    <w:p w14:paraId="4CC75612" w14:textId="7E4D208E" w:rsidR="00AE1A1C" w:rsidRDefault="00AE1A1C" w:rsidP="00AE1A1C">
      <w:pPr>
        <w:spacing w:line="360" w:lineRule="auto"/>
        <w:ind w:right="-2"/>
        <w:rPr>
          <w:rFonts w:cs="Times New Roman"/>
          <w:szCs w:val="24"/>
        </w:rPr>
      </w:pPr>
      <w:r>
        <w:rPr>
          <w:rFonts w:cs="Times New Roman"/>
          <w:szCs w:val="24"/>
        </w:rPr>
        <w:t>Práce se zaměřuje na vývoj institucí v primárním právu s cílem snížit demokratický deficit v</w:t>
      </w:r>
      <w:r w:rsidR="00A9519F">
        <w:rPr>
          <w:rFonts w:cs="Times New Roman"/>
          <w:szCs w:val="24"/>
        </w:rPr>
        <w:t> ES/</w:t>
      </w:r>
      <w:r>
        <w:rPr>
          <w:rFonts w:cs="Times New Roman"/>
          <w:szCs w:val="24"/>
        </w:rPr>
        <w:t>E</w:t>
      </w:r>
      <w:r w:rsidR="00A9519F">
        <w:rPr>
          <w:rFonts w:cs="Times New Roman"/>
          <w:szCs w:val="24"/>
        </w:rPr>
        <w:t>U</w:t>
      </w:r>
      <w:r>
        <w:rPr>
          <w:rFonts w:cs="Times New Roman"/>
          <w:szCs w:val="24"/>
        </w:rPr>
        <w:t xml:space="preserve">. Hlavní pozornost je věnována období po přijetí Lisabonské smlouvy, která byla přijata ve víře, že zvýší transparentnost rozhodovacích procesů a přiblíží Unii jejím občanům. </w:t>
      </w:r>
    </w:p>
    <w:p w14:paraId="163DC61C" w14:textId="715154D5" w:rsidR="00AE1A1C" w:rsidRDefault="00AE1A1C" w:rsidP="00AE1A1C">
      <w:pPr>
        <w:spacing w:line="360" w:lineRule="auto"/>
        <w:ind w:right="-2"/>
        <w:rPr>
          <w:rFonts w:cs="Times New Roman"/>
          <w:szCs w:val="24"/>
        </w:rPr>
      </w:pPr>
      <w:r w:rsidRPr="00537279">
        <w:rPr>
          <w:rFonts w:cs="Times New Roman"/>
          <w:szCs w:val="24"/>
        </w:rPr>
        <w:t xml:space="preserve">Co se týká metodologického zpracování této bakalářské práce, byla především využita analytická metoda </w:t>
      </w:r>
      <w:r w:rsidR="006D2CEA">
        <w:rPr>
          <w:rFonts w:cs="Times New Roman"/>
          <w:szCs w:val="24"/>
        </w:rPr>
        <w:t xml:space="preserve">jedinečné </w:t>
      </w:r>
      <w:r w:rsidRPr="00537279">
        <w:rPr>
          <w:rFonts w:cs="Times New Roman"/>
          <w:szCs w:val="24"/>
        </w:rPr>
        <w:t xml:space="preserve">případové studie. </w:t>
      </w:r>
      <w:r w:rsidR="00185EAB">
        <w:rPr>
          <w:rFonts w:cs="Times New Roman"/>
          <w:szCs w:val="24"/>
        </w:rPr>
        <w:t>Analytická metoda je založena na rozboru zkoumaného objektu na jednodušší části, aby mohly být stanoveny podstatné znaky. To umožňuje odhalit strukturu celku, oddělit podstatné od nepodstatného a zároveň redukovat složité na jednoduché. Cílem analýzy je poznat části jako prvky složitého celku (</w:t>
      </w:r>
      <w:proofErr w:type="spellStart"/>
      <w:r w:rsidR="00185EAB">
        <w:rPr>
          <w:rFonts w:cs="Times New Roman"/>
          <w:szCs w:val="24"/>
        </w:rPr>
        <w:t>Geršlová</w:t>
      </w:r>
      <w:proofErr w:type="spellEnd"/>
      <w:r w:rsidR="00185EAB">
        <w:rPr>
          <w:rFonts w:cs="Times New Roman"/>
          <w:szCs w:val="24"/>
        </w:rPr>
        <w:t xml:space="preserve">, 2005). </w:t>
      </w:r>
      <w:r w:rsidR="00E16F7F">
        <w:rPr>
          <w:rFonts w:cs="Times New Roman"/>
          <w:szCs w:val="24"/>
        </w:rPr>
        <w:t xml:space="preserve">Pro pochopení případové studie je nezbytné vědět, co je případ a co případová studie. Případ definujeme jako </w:t>
      </w:r>
      <w:r w:rsidR="00E16F7F" w:rsidRPr="00E16F7F">
        <w:rPr>
          <w:rFonts w:cs="Times New Roman"/>
          <w:i/>
          <w:iCs/>
          <w:szCs w:val="24"/>
        </w:rPr>
        <w:t>„dostatečně ohraničený aspekt historické epizody či dostatečně ohraničenou historickou epizodu samu o sobě.“</w:t>
      </w:r>
      <w:r w:rsidR="00E16F7F">
        <w:rPr>
          <w:rFonts w:cs="Times New Roman"/>
          <w:szCs w:val="24"/>
        </w:rPr>
        <w:t xml:space="preserve"> (</w:t>
      </w:r>
      <w:proofErr w:type="spellStart"/>
      <w:r w:rsidR="00E16F7F">
        <w:rPr>
          <w:rFonts w:cs="Times New Roman"/>
          <w:szCs w:val="24"/>
        </w:rPr>
        <w:t>Drulák</w:t>
      </w:r>
      <w:proofErr w:type="spellEnd"/>
      <w:r w:rsidR="00E16F7F">
        <w:rPr>
          <w:rFonts w:cs="Times New Roman"/>
          <w:szCs w:val="24"/>
        </w:rPr>
        <w:t xml:space="preserve">, 2008) Zatímco případovou studii definujeme jako </w:t>
      </w:r>
      <w:r w:rsidR="00E16F7F" w:rsidRPr="00E969EA">
        <w:rPr>
          <w:rFonts w:cs="Times New Roman"/>
          <w:i/>
          <w:iCs/>
          <w:szCs w:val="24"/>
        </w:rPr>
        <w:t xml:space="preserve">„detailní analýzu případu, který byl zvolen </w:t>
      </w:r>
      <w:r w:rsidR="00E969EA" w:rsidRPr="00E969EA">
        <w:rPr>
          <w:rFonts w:cs="Times New Roman"/>
          <w:i/>
          <w:iCs/>
          <w:szCs w:val="24"/>
        </w:rPr>
        <w:t>jako objekt výzkumu. Jejím cílem je poskytnout hluboké porozumění nebo příčinné vysvětlení vybraného problému.“</w:t>
      </w:r>
      <w:r w:rsidR="00E969EA">
        <w:rPr>
          <w:rFonts w:cs="Times New Roman"/>
          <w:szCs w:val="24"/>
        </w:rPr>
        <w:t xml:space="preserve"> (</w:t>
      </w:r>
      <w:proofErr w:type="spellStart"/>
      <w:r w:rsidR="00E969EA">
        <w:rPr>
          <w:rFonts w:cs="Times New Roman"/>
          <w:szCs w:val="24"/>
        </w:rPr>
        <w:t>Drulák</w:t>
      </w:r>
      <w:proofErr w:type="spellEnd"/>
      <w:r w:rsidR="00E969EA">
        <w:rPr>
          <w:rFonts w:cs="Times New Roman"/>
          <w:szCs w:val="24"/>
        </w:rPr>
        <w:t xml:space="preserve">, 2008) </w:t>
      </w:r>
      <w:r w:rsidR="006D2CEA">
        <w:rPr>
          <w:rFonts w:cs="Times New Roman"/>
          <w:szCs w:val="24"/>
        </w:rPr>
        <w:t>Jedinečná případová studie poukazuje na studium případu, který je zkoumán pro jeho vnitřní povahu a jedinečnost. Nezajímá nás proto, že bychom jeho prostřednictvím usilovali o poznání obecnějšího fenoménu nebo přispěli k</w:t>
      </w:r>
      <w:r w:rsidR="007F72D2">
        <w:rPr>
          <w:rFonts w:cs="Times New Roman"/>
          <w:szCs w:val="24"/>
        </w:rPr>
        <w:t> vývoji abstraktních teoretických konstrukcí (</w:t>
      </w:r>
      <w:proofErr w:type="spellStart"/>
      <w:r w:rsidR="007F72D2">
        <w:rPr>
          <w:rFonts w:cs="Times New Roman"/>
          <w:szCs w:val="24"/>
        </w:rPr>
        <w:t>Stake</w:t>
      </w:r>
      <w:proofErr w:type="spellEnd"/>
      <w:r w:rsidR="007F72D2">
        <w:rPr>
          <w:rFonts w:cs="Times New Roman"/>
          <w:szCs w:val="24"/>
        </w:rPr>
        <w:t>, 2005).</w:t>
      </w:r>
      <w:r w:rsidR="00C4750C">
        <w:rPr>
          <w:rFonts w:cs="Times New Roman"/>
          <w:szCs w:val="24"/>
        </w:rPr>
        <w:t xml:space="preserve"> </w:t>
      </w:r>
      <w:r w:rsidR="00F02A37">
        <w:rPr>
          <w:rFonts w:cs="Times New Roman"/>
          <w:szCs w:val="24"/>
        </w:rPr>
        <w:t>Z</w:t>
      </w:r>
      <w:r w:rsidR="00417F35">
        <w:rPr>
          <w:rFonts w:cs="Times New Roman"/>
          <w:szCs w:val="24"/>
        </w:rPr>
        <w:t xml:space="preserve">ásadní charakteristikou tohoto typu studií je tedy jejich úsilí o celostní a hluboké </w:t>
      </w:r>
      <w:r w:rsidR="00417F35">
        <w:rPr>
          <w:rFonts w:cs="Times New Roman"/>
          <w:szCs w:val="24"/>
        </w:rPr>
        <w:lastRenderedPageBreak/>
        <w:t xml:space="preserve">porozumění komplexním fenoménům bez ambice přispět k prohloubení poznání o fenoménech jiných. </w:t>
      </w:r>
      <w:r w:rsidRPr="00537279">
        <w:rPr>
          <w:rFonts w:cs="Times New Roman"/>
          <w:szCs w:val="24"/>
        </w:rPr>
        <w:t xml:space="preserve">Jelikož je demokratický deficit EU naprosto výjimečnou situací, zdá se tato metoda nejvhodnější volbou. Díky </w:t>
      </w:r>
      <w:r w:rsidR="0016407D">
        <w:rPr>
          <w:rFonts w:cs="Times New Roman"/>
          <w:szCs w:val="24"/>
        </w:rPr>
        <w:t>dané</w:t>
      </w:r>
      <w:r w:rsidRPr="00537279">
        <w:rPr>
          <w:rFonts w:cs="Times New Roman"/>
          <w:szCs w:val="24"/>
        </w:rPr>
        <w:t xml:space="preserve"> metodě bylo možno v práci zohlednit jak historický, tak i politický kontext demokratického deficitu v rámci EU. Následovně byla v práci využita klasická deskriptivní metoda, a to především při představování jednotlivých přístupů k demokratickému deficitu a legitimitě, ale také při popisu jednotlivých historických událostí evropské integrace a vývoji EU.</w:t>
      </w:r>
    </w:p>
    <w:p w14:paraId="5AE5E448" w14:textId="77777777" w:rsidR="00AE1A1C" w:rsidRPr="00537279" w:rsidRDefault="00AE1A1C" w:rsidP="00AE1A1C">
      <w:pPr>
        <w:spacing w:line="360" w:lineRule="auto"/>
        <w:ind w:right="-2"/>
        <w:rPr>
          <w:rFonts w:cs="Times New Roman"/>
          <w:sz w:val="28"/>
          <w:szCs w:val="28"/>
        </w:rPr>
      </w:pPr>
      <w:r w:rsidRPr="00537279">
        <w:rPr>
          <w:rFonts w:cs="Times New Roman"/>
          <w:sz w:val="28"/>
          <w:szCs w:val="28"/>
        </w:rPr>
        <w:t>Analýza literatury</w:t>
      </w:r>
    </w:p>
    <w:p w14:paraId="29731BF0" w14:textId="39E3C5C3" w:rsidR="00AE1A1C" w:rsidRPr="00C0223E" w:rsidRDefault="00AE1A1C" w:rsidP="00C0223E">
      <w:pPr>
        <w:spacing w:line="360" w:lineRule="auto"/>
        <w:ind w:right="-2" w:firstLine="708"/>
        <w:rPr>
          <w:rFonts w:cs="Times New Roman"/>
          <w:szCs w:val="24"/>
        </w:rPr>
      </w:pPr>
      <w:r w:rsidRPr="00CF2EC5">
        <w:rPr>
          <w:rFonts w:cs="Times New Roman"/>
          <w:szCs w:val="24"/>
        </w:rPr>
        <w:t xml:space="preserve">Při psaní této bakalářské práce </w:t>
      </w:r>
      <w:r w:rsidR="00E970B1">
        <w:rPr>
          <w:rFonts w:cs="Times New Roman"/>
          <w:szCs w:val="24"/>
        </w:rPr>
        <w:t xml:space="preserve">autorka </w:t>
      </w:r>
      <w:r w:rsidRPr="00CF2EC5">
        <w:rPr>
          <w:rFonts w:cs="Times New Roman"/>
          <w:szCs w:val="24"/>
        </w:rPr>
        <w:t xml:space="preserve">vycházela především z česky a anglicky psaných zdrojů. Z důvodu nedostatku kvalitně zpracovaných zdrojů v českém jazyce, či jejich omezené dostupnosti, převažují v této práci zdroje psané v anglickém jazyce. Jedná se především o monografie, jež se věnují pouze jednomu tématu a poskytují především faktické informace. </w:t>
      </w:r>
      <w:r w:rsidR="00AE2DF2">
        <w:rPr>
          <w:rFonts w:cs="Times New Roman"/>
          <w:szCs w:val="24"/>
        </w:rPr>
        <w:t>Souhrn údajů</w:t>
      </w:r>
      <w:r w:rsidRPr="00CF2EC5">
        <w:rPr>
          <w:rFonts w:cs="Times New Roman"/>
          <w:szCs w:val="24"/>
        </w:rPr>
        <w:t xml:space="preserve"> </w:t>
      </w:r>
      <w:r w:rsidR="0007254B">
        <w:rPr>
          <w:rFonts w:cs="Times New Roman"/>
          <w:szCs w:val="24"/>
        </w:rPr>
        <w:t xml:space="preserve">také </w:t>
      </w:r>
      <w:r w:rsidR="00CA4018">
        <w:rPr>
          <w:rFonts w:cs="Times New Roman"/>
          <w:szCs w:val="24"/>
        </w:rPr>
        <w:t xml:space="preserve">autorka </w:t>
      </w:r>
      <w:r w:rsidR="0007254B">
        <w:rPr>
          <w:rFonts w:cs="Times New Roman"/>
          <w:szCs w:val="24"/>
        </w:rPr>
        <w:t>čerpala</w:t>
      </w:r>
      <w:r w:rsidRPr="00CF2EC5">
        <w:rPr>
          <w:rFonts w:cs="Times New Roman"/>
          <w:szCs w:val="24"/>
        </w:rPr>
        <w:t xml:space="preserve"> z odborných článků. I v tomto případě převažuje anglický jazyk, jelikož se odborné články na téma demokratického deficitu v EU v </w:t>
      </w:r>
      <w:r w:rsidR="00E970B1">
        <w:rPr>
          <w:rFonts w:cs="Times New Roman"/>
          <w:szCs w:val="24"/>
        </w:rPr>
        <w:t>autorčině</w:t>
      </w:r>
      <w:r w:rsidRPr="00CF2EC5">
        <w:rPr>
          <w:rFonts w:cs="Times New Roman"/>
          <w:szCs w:val="24"/>
        </w:rPr>
        <w:t xml:space="preserve"> mateřském jazyce téměř neobjevují. Dále </w:t>
      </w:r>
      <w:r w:rsidR="00F02A37">
        <w:rPr>
          <w:rFonts w:cs="Times New Roman"/>
          <w:szCs w:val="24"/>
        </w:rPr>
        <w:t>autorka</w:t>
      </w:r>
      <w:r w:rsidRPr="00CF2EC5">
        <w:rPr>
          <w:rFonts w:cs="Times New Roman"/>
          <w:szCs w:val="24"/>
        </w:rPr>
        <w:t xml:space="preserve"> využila internetové zdroje. </w:t>
      </w:r>
    </w:p>
    <w:p w14:paraId="40039ADB" w14:textId="020A4D27" w:rsidR="00AE1A1C" w:rsidRDefault="00AE1A1C" w:rsidP="00831F81">
      <w:pPr>
        <w:spacing w:line="360" w:lineRule="auto"/>
        <w:ind w:right="-2"/>
      </w:pPr>
      <w:r>
        <w:rPr>
          <w:rFonts w:cs="Times New Roman"/>
          <w:szCs w:val="24"/>
        </w:rPr>
        <w:t>S ohledem na členění práce jsou i zdroje, ze kterých práce vychází</w:t>
      </w:r>
      <w:r w:rsidR="00AE2DF2">
        <w:rPr>
          <w:rFonts w:cs="Times New Roman"/>
          <w:szCs w:val="24"/>
        </w:rPr>
        <w:t>,</w:t>
      </w:r>
      <w:r>
        <w:rPr>
          <w:rFonts w:cs="Times New Roman"/>
          <w:szCs w:val="24"/>
        </w:rPr>
        <w:t xml:space="preserve"> rozděleny do několika okruhů. V teoretické části jsou představena díla autorů, která byla využita při psaní definic demokratického deficitu, l</w:t>
      </w:r>
      <w:r w:rsidR="00AE2DF2">
        <w:rPr>
          <w:rFonts w:cs="Times New Roman"/>
          <w:szCs w:val="24"/>
        </w:rPr>
        <w:t>egitimity</w:t>
      </w:r>
      <w:r>
        <w:rPr>
          <w:rFonts w:cs="Times New Roman"/>
          <w:szCs w:val="24"/>
        </w:rPr>
        <w:t xml:space="preserve"> a nakonec evropské integrace. Dále jsou v této</w:t>
      </w:r>
      <w:r w:rsidR="00AE2DF2">
        <w:rPr>
          <w:rFonts w:cs="Times New Roman"/>
          <w:szCs w:val="24"/>
        </w:rPr>
        <w:t xml:space="preserve"> části uvedena díla, na základě</w:t>
      </w:r>
      <w:r>
        <w:rPr>
          <w:rFonts w:cs="Times New Roman"/>
          <w:szCs w:val="24"/>
        </w:rPr>
        <w:t xml:space="preserve"> kterých byly představeny teoretické koncepty jednotlivýc</w:t>
      </w:r>
      <w:r w:rsidR="00AE2DF2">
        <w:rPr>
          <w:rFonts w:cs="Times New Roman"/>
          <w:szCs w:val="24"/>
        </w:rPr>
        <w:t>h autorů. Pro definování pojmu e</w:t>
      </w:r>
      <w:r>
        <w:rPr>
          <w:rFonts w:cs="Times New Roman"/>
          <w:szCs w:val="24"/>
        </w:rPr>
        <w:t xml:space="preserve">vropské integrace byla stěžejním dílem kniha </w:t>
      </w:r>
      <w:r w:rsidRPr="00F6578F">
        <w:rPr>
          <w:rFonts w:cs="Times New Roman"/>
          <w:i/>
          <w:iCs/>
          <w:szCs w:val="24"/>
        </w:rPr>
        <w:t>„</w:t>
      </w:r>
      <w:proofErr w:type="spellStart"/>
      <w:r w:rsidRPr="00F6578F">
        <w:rPr>
          <w:rFonts w:cs="Times New Roman"/>
          <w:i/>
          <w:iCs/>
          <w:szCs w:val="24"/>
        </w:rPr>
        <w:t>The</w:t>
      </w:r>
      <w:proofErr w:type="spellEnd"/>
      <w:r w:rsidRPr="00F6578F">
        <w:rPr>
          <w:rFonts w:cs="Times New Roman"/>
          <w:i/>
          <w:iCs/>
          <w:szCs w:val="24"/>
        </w:rPr>
        <w:t xml:space="preserve"> </w:t>
      </w:r>
      <w:proofErr w:type="spellStart"/>
      <w:r w:rsidRPr="00F6578F">
        <w:rPr>
          <w:rFonts w:cs="Times New Roman"/>
          <w:i/>
          <w:iCs/>
          <w:szCs w:val="24"/>
        </w:rPr>
        <w:t>Uniting</w:t>
      </w:r>
      <w:proofErr w:type="spellEnd"/>
      <w:r w:rsidRPr="00F6578F">
        <w:rPr>
          <w:rFonts w:cs="Times New Roman"/>
          <w:i/>
          <w:iCs/>
          <w:szCs w:val="24"/>
        </w:rPr>
        <w:t xml:space="preserve"> </w:t>
      </w:r>
      <w:proofErr w:type="spellStart"/>
      <w:r w:rsidRPr="00F6578F">
        <w:rPr>
          <w:rFonts w:cs="Times New Roman"/>
          <w:i/>
          <w:iCs/>
          <w:szCs w:val="24"/>
        </w:rPr>
        <w:t>of</w:t>
      </w:r>
      <w:proofErr w:type="spellEnd"/>
      <w:r w:rsidRPr="00F6578F">
        <w:rPr>
          <w:rFonts w:cs="Times New Roman"/>
          <w:i/>
          <w:iCs/>
          <w:szCs w:val="24"/>
        </w:rPr>
        <w:t xml:space="preserve"> </w:t>
      </w:r>
      <w:proofErr w:type="spellStart"/>
      <w:r w:rsidRPr="00F6578F">
        <w:rPr>
          <w:rFonts w:cs="Times New Roman"/>
          <w:i/>
          <w:iCs/>
          <w:szCs w:val="24"/>
        </w:rPr>
        <w:t>Europe</w:t>
      </w:r>
      <w:proofErr w:type="spellEnd"/>
      <w:r w:rsidRPr="00F6578F">
        <w:rPr>
          <w:rFonts w:cs="Times New Roman"/>
          <w:i/>
          <w:iCs/>
          <w:szCs w:val="24"/>
        </w:rPr>
        <w:t xml:space="preserve"> </w:t>
      </w:r>
      <w:proofErr w:type="spellStart"/>
      <w:r w:rsidRPr="00F6578F">
        <w:rPr>
          <w:rFonts w:cs="Times New Roman"/>
          <w:i/>
          <w:iCs/>
          <w:szCs w:val="24"/>
        </w:rPr>
        <w:t>Political</w:t>
      </w:r>
      <w:proofErr w:type="spellEnd"/>
      <w:r w:rsidRPr="00F6578F">
        <w:rPr>
          <w:rFonts w:cs="Times New Roman"/>
          <w:i/>
          <w:iCs/>
          <w:szCs w:val="24"/>
        </w:rPr>
        <w:t xml:space="preserve">, </w:t>
      </w:r>
      <w:proofErr w:type="spellStart"/>
      <w:r w:rsidRPr="00F6578F">
        <w:rPr>
          <w:rFonts w:cs="Times New Roman"/>
          <w:i/>
          <w:iCs/>
          <w:szCs w:val="24"/>
        </w:rPr>
        <w:t>Social</w:t>
      </w:r>
      <w:proofErr w:type="spellEnd"/>
      <w:r w:rsidRPr="00F6578F">
        <w:rPr>
          <w:rFonts w:cs="Times New Roman"/>
          <w:i/>
          <w:iCs/>
          <w:szCs w:val="24"/>
        </w:rPr>
        <w:t xml:space="preserve"> and </w:t>
      </w:r>
      <w:proofErr w:type="spellStart"/>
      <w:r w:rsidRPr="00F6578F">
        <w:rPr>
          <w:rFonts w:cs="Times New Roman"/>
          <w:i/>
          <w:iCs/>
          <w:szCs w:val="24"/>
        </w:rPr>
        <w:t>Economic</w:t>
      </w:r>
      <w:proofErr w:type="spellEnd"/>
      <w:r w:rsidRPr="00F6578F">
        <w:rPr>
          <w:rFonts w:cs="Times New Roman"/>
          <w:i/>
          <w:iCs/>
          <w:szCs w:val="24"/>
        </w:rPr>
        <w:t xml:space="preserve"> </w:t>
      </w:r>
      <w:proofErr w:type="spellStart"/>
      <w:r w:rsidRPr="00F6578F">
        <w:rPr>
          <w:rFonts w:cs="Times New Roman"/>
          <w:i/>
          <w:iCs/>
          <w:szCs w:val="24"/>
        </w:rPr>
        <w:t>Forces</w:t>
      </w:r>
      <w:proofErr w:type="spellEnd"/>
      <w:r w:rsidRPr="00F6578F">
        <w:rPr>
          <w:rFonts w:cs="Times New Roman"/>
          <w:i/>
          <w:iCs/>
          <w:szCs w:val="24"/>
        </w:rPr>
        <w:t xml:space="preserve">“ </w:t>
      </w:r>
      <w:r>
        <w:rPr>
          <w:rFonts w:cs="Times New Roman"/>
          <w:szCs w:val="24"/>
        </w:rPr>
        <w:t>(1958) od Ernsta Haase. Především pak její první část, ve k</w:t>
      </w:r>
      <w:r w:rsidR="00AE2DF2">
        <w:rPr>
          <w:rFonts w:cs="Times New Roman"/>
          <w:szCs w:val="24"/>
        </w:rPr>
        <w:t xml:space="preserve">teré autor uvádí svou definici </w:t>
      </w:r>
      <w:r w:rsidR="00051427">
        <w:rPr>
          <w:rFonts w:cs="Times New Roman"/>
          <w:szCs w:val="24"/>
        </w:rPr>
        <w:t>e</w:t>
      </w:r>
      <w:r>
        <w:rPr>
          <w:rFonts w:cs="Times New Roman"/>
          <w:szCs w:val="24"/>
        </w:rPr>
        <w:t xml:space="preserve">vropské integrace, </w:t>
      </w:r>
      <w:r w:rsidR="00AE2DF2">
        <w:rPr>
          <w:rFonts w:cs="Times New Roman"/>
          <w:szCs w:val="24"/>
        </w:rPr>
        <w:t>jež</w:t>
      </w:r>
      <w:r>
        <w:rPr>
          <w:rFonts w:cs="Times New Roman"/>
          <w:szCs w:val="24"/>
        </w:rPr>
        <w:t xml:space="preserve"> je v této práci využita. Při definování pojmu legitimity </w:t>
      </w:r>
      <w:r w:rsidR="00F02A37">
        <w:rPr>
          <w:rFonts w:cs="Times New Roman"/>
          <w:szCs w:val="24"/>
        </w:rPr>
        <w:t>autorka</w:t>
      </w:r>
      <w:r>
        <w:rPr>
          <w:rFonts w:cs="Times New Roman"/>
          <w:szCs w:val="24"/>
        </w:rPr>
        <w:t xml:space="preserve"> vycházela z publikace </w:t>
      </w:r>
      <w:r w:rsidRPr="001372B0">
        <w:rPr>
          <w:rFonts w:cs="Times New Roman"/>
          <w:i/>
          <w:iCs/>
          <w:szCs w:val="24"/>
        </w:rPr>
        <w:t>„</w:t>
      </w:r>
      <w:proofErr w:type="spellStart"/>
      <w:r w:rsidRPr="001372B0">
        <w:rPr>
          <w:rFonts w:cs="Times New Roman"/>
          <w:i/>
          <w:iCs/>
          <w:szCs w:val="24"/>
        </w:rPr>
        <w:t>Governing</w:t>
      </w:r>
      <w:proofErr w:type="spellEnd"/>
      <w:r w:rsidRPr="001372B0">
        <w:rPr>
          <w:rFonts w:cs="Times New Roman"/>
          <w:i/>
          <w:iCs/>
          <w:szCs w:val="24"/>
        </w:rPr>
        <w:t xml:space="preserve"> in </w:t>
      </w:r>
      <w:proofErr w:type="spellStart"/>
      <w:r w:rsidRPr="001372B0">
        <w:rPr>
          <w:rFonts w:cs="Times New Roman"/>
          <w:i/>
          <w:iCs/>
          <w:szCs w:val="24"/>
        </w:rPr>
        <w:t>Europe</w:t>
      </w:r>
      <w:proofErr w:type="spellEnd"/>
      <w:r w:rsidRPr="001372B0">
        <w:rPr>
          <w:rFonts w:cs="Times New Roman"/>
          <w:i/>
          <w:iCs/>
          <w:szCs w:val="24"/>
        </w:rPr>
        <w:t xml:space="preserve">: </w:t>
      </w:r>
      <w:proofErr w:type="spellStart"/>
      <w:r w:rsidRPr="001372B0">
        <w:rPr>
          <w:rFonts w:cs="Times New Roman"/>
          <w:i/>
          <w:iCs/>
          <w:szCs w:val="24"/>
        </w:rPr>
        <w:t>Effective</w:t>
      </w:r>
      <w:proofErr w:type="spellEnd"/>
      <w:r w:rsidRPr="001372B0">
        <w:rPr>
          <w:rFonts w:cs="Times New Roman"/>
          <w:i/>
          <w:iCs/>
          <w:szCs w:val="24"/>
        </w:rPr>
        <w:t xml:space="preserve"> and </w:t>
      </w:r>
      <w:proofErr w:type="spellStart"/>
      <w:r w:rsidRPr="001372B0">
        <w:rPr>
          <w:rFonts w:cs="Times New Roman"/>
          <w:i/>
          <w:iCs/>
          <w:szCs w:val="24"/>
        </w:rPr>
        <w:t>Democratic</w:t>
      </w:r>
      <w:proofErr w:type="spellEnd"/>
      <w:r w:rsidRPr="001372B0">
        <w:rPr>
          <w:rFonts w:cs="Times New Roman"/>
          <w:i/>
          <w:iCs/>
          <w:szCs w:val="24"/>
        </w:rPr>
        <w:t>?</w:t>
      </w:r>
      <w:r>
        <w:rPr>
          <w:rFonts w:cs="Times New Roman"/>
          <w:i/>
          <w:iCs/>
          <w:szCs w:val="24"/>
        </w:rPr>
        <w:t>“</w:t>
      </w:r>
      <w:r w:rsidR="00AE2DF2">
        <w:rPr>
          <w:rFonts w:cs="Times New Roman"/>
          <w:szCs w:val="24"/>
        </w:rPr>
        <w:t xml:space="preserve"> o</w:t>
      </w:r>
      <w:r>
        <w:rPr>
          <w:rFonts w:cs="Times New Roman"/>
          <w:szCs w:val="24"/>
        </w:rPr>
        <w:t xml:space="preserve">d Fritze </w:t>
      </w:r>
      <w:proofErr w:type="spellStart"/>
      <w:r>
        <w:rPr>
          <w:rFonts w:cs="Times New Roman"/>
          <w:szCs w:val="24"/>
        </w:rPr>
        <w:t>Scharpfa</w:t>
      </w:r>
      <w:proofErr w:type="spellEnd"/>
      <w:r>
        <w:rPr>
          <w:rFonts w:cs="Times New Roman"/>
          <w:szCs w:val="24"/>
        </w:rPr>
        <w:t>. V </w:t>
      </w:r>
      <w:r w:rsidR="00AE2DF2">
        <w:rPr>
          <w:rFonts w:cs="Times New Roman"/>
          <w:szCs w:val="24"/>
        </w:rPr>
        <w:t>dané</w:t>
      </w:r>
      <w:r>
        <w:rPr>
          <w:rFonts w:cs="Times New Roman"/>
          <w:szCs w:val="24"/>
        </w:rPr>
        <w:t xml:space="preserve"> publikaci se autor zabývá nejen typy legitimity, ale také strategie</w:t>
      </w:r>
      <w:r w:rsidR="00AE2DF2">
        <w:rPr>
          <w:rFonts w:cs="Times New Roman"/>
          <w:szCs w:val="24"/>
        </w:rPr>
        <w:t>mi</w:t>
      </w:r>
      <w:r>
        <w:rPr>
          <w:rFonts w:cs="Times New Roman"/>
          <w:szCs w:val="24"/>
        </w:rPr>
        <w:t xml:space="preserve"> n</w:t>
      </w:r>
      <w:r w:rsidR="00AE2DF2">
        <w:rPr>
          <w:rFonts w:cs="Times New Roman"/>
          <w:szCs w:val="24"/>
        </w:rPr>
        <w:t>a národní úrovni, které by mohly</w:t>
      </w:r>
      <w:r>
        <w:rPr>
          <w:rFonts w:cs="Times New Roman"/>
          <w:szCs w:val="24"/>
        </w:rPr>
        <w:t xml:space="preserve"> uspět v udržování cílů sociálního státu za podmínek mezinárodní hospodářské soutěže. </w:t>
      </w:r>
      <w:r w:rsidR="00FD1D5E">
        <w:rPr>
          <w:rFonts w:cs="Times New Roman"/>
          <w:szCs w:val="24"/>
        </w:rPr>
        <w:t xml:space="preserve">Velkým přínosem byla při stanovování obecné definice demokratického deficitu práce </w:t>
      </w:r>
      <w:r w:rsidR="00FD1D5E" w:rsidRPr="00EA485A">
        <w:rPr>
          <w:rFonts w:cs="Times New Roman"/>
          <w:i/>
          <w:iCs/>
          <w:szCs w:val="24"/>
        </w:rPr>
        <w:t xml:space="preserve">„A </w:t>
      </w:r>
      <w:proofErr w:type="spellStart"/>
      <w:r w:rsidR="00FD1D5E" w:rsidRPr="00EA485A">
        <w:rPr>
          <w:rFonts w:cs="Times New Roman"/>
          <w:i/>
          <w:iCs/>
          <w:szCs w:val="24"/>
        </w:rPr>
        <w:t>democratic</w:t>
      </w:r>
      <w:proofErr w:type="spellEnd"/>
      <w:r w:rsidR="00FD1D5E" w:rsidRPr="00EA485A">
        <w:rPr>
          <w:rFonts w:cs="Times New Roman"/>
          <w:i/>
          <w:iCs/>
          <w:szCs w:val="24"/>
        </w:rPr>
        <w:t xml:space="preserve"> deficit in </w:t>
      </w:r>
      <w:proofErr w:type="spellStart"/>
      <w:r w:rsidR="00FD1D5E" w:rsidRPr="00EA485A">
        <w:rPr>
          <w:rFonts w:cs="Times New Roman"/>
          <w:i/>
          <w:iCs/>
          <w:szCs w:val="24"/>
        </w:rPr>
        <w:t>the</w:t>
      </w:r>
      <w:proofErr w:type="spellEnd"/>
      <w:r w:rsidR="00FD1D5E" w:rsidRPr="00EA485A">
        <w:rPr>
          <w:rFonts w:cs="Times New Roman"/>
          <w:i/>
          <w:iCs/>
          <w:szCs w:val="24"/>
        </w:rPr>
        <w:t xml:space="preserve"> </w:t>
      </w:r>
      <w:proofErr w:type="spellStart"/>
      <w:r w:rsidR="00FD1D5E" w:rsidRPr="00EA485A">
        <w:rPr>
          <w:rFonts w:cs="Times New Roman"/>
          <w:i/>
          <w:iCs/>
          <w:szCs w:val="24"/>
        </w:rPr>
        <w:t>European</w:t>
      </w:r>
      <w:proofErr w:type="spellEnd"/>
      <w:r w:rsidR="00FD1D5E" w:rsidRPr="00EA485A">
        <w:rPr>
          <w:rFonts w:cs="Times New Roman"/>
          <w:i/>
          <w:iCs/>
          <w:szCs w:val="24"/>
        </w:rPr>
        <w:t xml:space="preserve"> Union?“</w:t>
      </w:r>
      <w:r w:rsidR="00FD1D5E">
        <w:rPr>
          <w:rFonts w:cs="Times New Roman"/>
          <w:szCs w:val="24"/>
        </w:rPr>
        <w:t xml:space="preserve"> od </w:t>
      </w:r>
      <w:proofErr w:type="spellStart"/>
      <w:r w:rsidR="00FD1D5E">
        <w:rPr>
          <w:rFonts w:cs="Times New Roman"/>
          <w:szCs w:val="24"/>
        </w:rPr>
        <w:t>Mihaila</w:t>
      </w:r>
      <w:proofErr w:type="spellEnd"/>
      <w:r w:rsidR="00FD1D5E">
        <w:rPr>
          <w:rFonts w:cs="Times New Roman"/>
          <w:szCs w:val="24"/>
        </w:rPr>
        <w:t xml:space="preserve"> Mileva (2004), který především v úvodu své práce popisuje vznik </w:t>
      </w:r>
      <w:r w:rsidR="00AE2DF2">
        <w:rPr>
          <w:rFonts w:cs="Times New Roman"/>
          <w:szCs w:val="24"/>
        </w:rPr>
        <w:t>daného</w:t>
      </w:r>
      <w:r w:rsidR="00FD1D5E">
        <w:rPr>
          <w:rFonts w:cs="Times New Roman"/>
          <w:szCs w:val="24"/>
        </w:rPr>
        <w:t xml:space="preserve"> fenoménu a </w:t>
      </w:r>
      <w:r w:rsidR="00AE2DF2">
        <w:rPr>
          <w:rFonts w:cs="Times New Roman"/>
          <w:szCs w:val="24"/>
        </w:rPr>
        <w:t xml:space="preserve">přibližuje </w:t>
      </w:r>
      <w:r w:rsidR="00FD1D5E">
        <w:rPr>
          <w:rFonts w:cs="Times New Roman"/>
          <w:szCs w:val="24"/>
        </w:rPr>
        <w:t xml:space="preserve">prvního autora, který tento název použil. K pochopení vývoje </w:t>
      </w:r>
      <w:r w:rsidR="00AE2DF2">
        <w:rPr>
          <w:rFonts w:cs="Times New Roman"/>
          <w:szCs w:val="24"/>
        </w:rPr>
        <w:t>zmíněného</w:t>
      </w:r>
      <w:r w:rsidR="00FD1D5E">
        <w:rPr>
          <w:rFonts w:cs="Times New Roman"/>
          <w:szCs w:val="24"/>
        </w:rPr>
        <w:t xml:space="preserve"> pojmu byl stěžejní </w:t>
      </w:r>
      <w:r w:rsidR="00FD1D5E">
        <w:rPr>
          <w:rFonts w:cs="Times New Roman"/>
          <w:szCs w:val="24"/>
        </w:rPr>
        <w:lastRenderedPageBreak/>
        <w:t xml:space="preserve">článek </w:t>
      </w:r>
      <w:r w:rsidR="00FD1D5E" w:rsidRPr="00F42CF5">
        <w:rPr>
          <w:rFonts w:cs="Times New Roman"/>
          <w:i/>
          <w:iCs/>
          <w:szCs w:val="24"/>
        </w:rPr>
        <w:t>„Co je to demokratický deficit?“</w:t>
      </w:r>
      <w:r w:rsidR="00FD1D5E">
        <w:rPr>
          <w:rFonts w:cs="Times New Roman"/>
          <w:szCs w:val="24"/>
        </w:rPr>
        <w:t xml:space="preserve"> od českého autora Ivo Šebestíka. Ten se v článku zabývá tím, </w:t>
      </w:r>
      <w:r w:rsidR="00AE2DF2">
        <w:rPr>
          <w:rFonts w:cs="Times New Roman"/>
          <w:szCs w:val="24"/>
        </w:rPr>
        <w:t>jak se daný termín dostal do po</w:t>
      </w:r>
      <w:r w:rsidR="00FD1D5E">
        <w:rPr>
          <w:rFonts w:cs="Times New Roman"/>
          <w:szCs w:val="24"/>
        </w:rPr>
        <w:t xml:space="preserve">vědomí široké veřejnosti, ale také proč je politiky často zneužíván.  Dále se zde autor </w:t>
      </w:r>
      <w:r w:rsidR="00051427">
        <w:rPr>
          <w:rFonts w:cs="Times New Roman"/>
          <w:szCs w:val="24"/>
        </w:rPr>
        <w:t>věnuje vývoji</w:t>
      </w:r>
      <w:r w:rsidR="00FD1D5E">
        <w:rPr>
          <w:rFonts w:cs="Times New Roman"/>
          <w:szCs w:val="24"/>
        </w:rPr>
        <w:t xml:space="preserve"> debaty o demokratickém deficitu v České republice. </w:t>
      </w:r>
      <w:r>
        <w:rPr>
          <w:rFonts w:cs="Times New Roman"/>
          <w:szCs w:val="24"/>
        </w:rPr>
        <w:t xml:space="preserve">Při představování teoretického konceptu Andrew </w:t>
      </w:r>
      <w:proofErr w:type="spellStart"/>
      <w:r>
        <w:rPr>
          <w:rFonts w:cs="Times New Roman"/>
          <w:szCs w:val="24"/>
        </w:rPr>
        <w:t>Moravcsika</w:t>
      </w:r>
      <w:proofErr w:type="spellEnd"/>
      <w:r>
        <w:rPr>
          <w:rFonts w:cs="Times New Roman"/>
          <w:szCs w:val="24"/>
        </w:rPr>
        <w:t xml:space="preserve"> jsem vycházela ze dvou jeho nejznámějších publikací </w:t>
      </w:r>
      <w:r w:rsidRPr="00436976">
        <w:rPr>
          <w:rFonts w:cs="Times New Roman"/>
          <w:i/>
          <w:iCs/>
          <w:szCs w:val="24"/>
        </w:rPr>
        <w:t xml:space="preserve">„In defense </w:t>
      </w:r>
      <w:proofErr w:type="spellStart"/>
      <w:r w:rsidRPr="00436976">
        <w:rPr>
          <w:rFonts w:cs="Times New Roman"/>
          <w:i/>
          <w:iCs/>
          <w:szCs w:val="24"/>
        </w:rPr>
        <w:t>of</w:t>
      </w:r>
      <w:proofErr w:type="spellEnd"/>
      <w:r w:rsidRPr="00436976">
        <w:rPr>
          <w:rFonts w:cs="Times New Roman"/>
          <w:i/>
          <w:iCs/>
          <w:szCs w:val="24"/>
        </w:rPr>
        <w:t xml:space="preserve"> </w:t>
      </w:r>
      <w:proofErr w:type="spellStart"/>
      <w:r w:rsidRPr="00436976">
        <w:rPr>
          <w:rFonts w:cs="Times New Roman"/>
          <w:i/>
          <w:iCs/>
          <w:szCs w:val="24"/>
        </w:rPr>
        <w:t>Democratic</w:t>
      </w:r>
      <w:proofErr w:type="spellEnd"/>
      <w:r w:rsidRPr="00436976">
        <w:rPr>
          <w:rFonts w:cs="Times New Roman"/>
          <w:i/>
          <w:iCs/>
          <w:szCs w:val="24"/>
        </w:rPr>
        <w:t xml:space="preserve"> Deficit: </w:t>
      </w:r>
      <w:proofErr w:type="spellStart"/>
      <w:r w:rsidRPr="00436976">
        <w:rPr>
          <w:rFonts w:cs="Times New Roman"/>
          <w:i/>
          <w:iCs/>
          <w:szCs w:val="24"/>
        </w:rPr>
        <w:t>Reassessinng</w:t>
      </w:r>
      <w:proofErr w:type="spellEnd"/>
      <w:r w:rsidRPr="00436976">
        <w:rPr>
          <w:rFonts w:cs="Times New Roman"/>
          <w:i/>
          <w:iCs/>
          <w:szCs w:val="24"/>
        </w:rPr>
        <w:t xml:space="preserve"> </w:t>
      </w:r>
      <w:proofErr w:type="spellStart"/>
      <w:r w:rsidRPr="00436976">
        <w:rPr>
          <w:rFonts w:cs="Times New Roman"/>
          <w:i/>
          <w:iCs/>
          <w:szCs w:val="24"/>
        </w:rPr>
        <w:t>Legitimacy</w:t>
      </w:r>
      <w:proofErr w:type="spellEnd"/>
      <w:r w:rsidRPr="00436976">
        <w:rPr>
          <w:rFonts w:cs="Times New Roman"/>
          <w:i/>
          <w:iCs/>
          <w:szCs w:val="24"/>
        </w:rPr>
        <w:t xml:space="preserve"> In </w:t>
      </w:r>
      <w:proofErr w:type="spellStart"/>
      <w:r w:rsidRPr="00436976">
        <w:rPr>
          <w:rFonts w:cs="Times New Roman"/>
          <w:i/>
          <w:iCs/>
          <w:szCs w:val="24"/>
        </w:rPr>
        <w:t>The</w:t>
      </w:r>
      <w:proofErr w:type="spellEnd"/>
      <w:r w:rsidRPr="00436976">
        <w:rPr>
          <w:rFonts w:cs="Times New Roman"/>
          <w:i/>
          <w:iCs/>
          <w:szCs w:val="24"/>
        </w:rPr>
        <w:t xml:space="preserve"> </w:t>
      </w:r>
      <w:proofErr w:type="spellStart"/>
      <w:r w:rsidRPr="00436976">
        <w:rPr>
          <w:rFonts w:cs="Times New Roman"/>
          <w:i/>
          <w:iCs/>
          <w:szCs w:val="24"/>
        </w:rPr>
        <w:t>European</w:t>
      </w:r>
      <w:proofErr w:type="spellEnd"/>
      <w:r w:rsidRPr="00436976">
        <w:rPr>
          <w:rFonts w:cs="Times New Roman"/>
          <w:i/>
          <w:iCs/>
          <w:szCs w:val="24"/>
        </w:rPr>
        <w:t xml:space="preserve"> Union“ </w:t>
      </w:r>
      <w:r>
        <w:rPr>
          <w:rFonts w:cs="Times New Roman"/>
          <w:szCs w:val="24"/>
        </w:rPr>
        <w:t xml:space="preserve">(2004) a </w:t>
      </w:r>
      <w:r w:rsidRPr="008918B2">
        <w:rPr>
          <w:rFonts w:cs="Times New Roman"/>
          <w:i/>
          <w:iCs/>
          <w:szCs w:val="24"/>
        </w:rPr>
        <w:t>„</w:t>
      </w:r>
      <w:proofErr w:type="spellStart"/>
      <w:r w:rsidRPr="008918B2">
        <w:rPr>
          <w:rFonts w:cs="Times New Roman"/>
          <w:i/>
          <w:iCs/>
          <w:szCs w:val="24"/>
        </w:rPr>
        <w:t>The</w:t>
      </w:r>
      <w:proofErr w:type="spellEnd"/>
      <w:r w:rsidRPr="008918B2">
        <w:rPr>
          <w:rFonts w:cs="Times New Roman"/>
          <w:i/>
          <w:iCs/>
          <w:szCs w:val="24"/>
        </w:rPr>
        <w:t xml:space="preserve"> Myth </w:t>
      </w:r>
      <w:proofErr w:type="spellStart"/>
      <w:r w:rsidRPr="008918B2">
        <w:rPr>
          <w:rFonts w:cs="Times New Roman"/>
          <w:i/>
          <w:iCs/>
          <w:szCs w:val="24"/>
        </w:rPr>
        <w:t>of</w:t>
      </w:r>
      <w:proofErr w:type="spellEnd"/>
      <w:r w:rsidRPr="008918B2">
        <w:rPr>
          <w:rFonts w:cs="Times New Roman"/>
          <w:i/>
          <w:iCs/>
          <w:szCs w:val="24"/>
        </w:rPr>
        <w:t xml:space="preserve"> </w:t>
      </w:r>
      <w:proofErr w:type="spellStart"/>
      <w:r w:rsidRPr="008918B2">
        <w:rPr>
          <w:rFonts w:cs="Times New Roman"/>
          <w:i/>
          <w:iCs/>
          <w:szCs w:val="24"/>
        </w:rPr>
        <w:t>Europe</w:t>
      </w:r>
      <w:proofErr w:type="spellEnd"/>
      <w:r w:rsidRPr="008918B2">
        <w:rPr>
          <w:rFonts w:cs="Times New Roman"/>
          <w:i/>
          <w:iCs/>
          <w:szCs w:val="24"/>
        </w:rPr>
        <w:t xml:space="preserve"> ´s „</w:t>
      </w:r>
      <w:proofErr w:type="spellStart"/>
      <w:r w:rsidRPr="008918B2">
        <w:rPr>
          <w:rFonts w:cs="Times New Roman"/>
          <w:i/>
          <w:iCs/>
          <w:szCs w:val="24"/>
        </w:rPr>
        <w:t>Democratic</w:t>
      </w:r>
      <w:proofErr w:type="spellEnd"/>
      <w:r w:rsidRPr="008918B2">
        <w:rPr>
          <w:rFonts w:cs="Times New Roman"/>
          <w:i/>
          <w:iCs/>
          <w:szCs w:val="24"/>
        </w:rPr>
        <w:t xml:space="preserve"> Deficit“</w:t>
      </w:r>
      <w:r>
        <w:rPr>
          <w:rFonts w:cs="Times New Roman"/>
          <w:szCs w:val="24"/>
        </w:rPr>
        <w:t xml:space="preserve"> (2008).</w:t>
      </w:r>
      <w:r w:rsidRPr="00E43330">
        <w:rPr>
          <w:rFonts w:cs="Times New Roman"/>
          <w:szCs w:val="24"/>
        </w:rPr>
        <w:t xml:space="preserve"> </w:t>
      </w:r>
      <w:proofErr w:type="spellStart"/>
      <w:r w:rsidRPr="00E43330">
        <w:rPr>
          <w:rFonts w:cs="Times New Roman"/>
          <w:szCs w:val="24"/>
        </w:rPr>
        <w:t>Mora</w:t>
      </w:r>
      <w:r w:rsidR="0007254B">
        <w:rPr>
          <w:rFonts w:cs="Times New Roman"/>
          <w:szCs w:val="24"/>
        </w:rPr>
        <w:t>v</w:t>
      </w:r>
      <w:r w:rsidRPr="00E43330">
        <w:rPr>
          <w:rFonts w:cs="Times New Roman"/>
          <w:szCs w:val="24"/>
        </w:rPr>
        <w:t>csik</w:t>
      </w:r>
      <w:proofErr w:type="spellEnd"/>
      <w:r w:rsidRPr="00E43330">
        <w:rPr>
          <w:rFonts w:cs="Times New Roman"/>
          <w:szCs w:val="24"/>
        </w:rPr>
        <w:t xml:space="preserve"> předkládá ve sv</w:t>
      </w:r>
      <w:r>
        <w:rPr>
          <w:rFonts w:cs="Times New Roman"/>
          <w:szCs w:val="24"/>
        </w:rPr>
        <w:t>ých</w:t>
      </w:r>
      <w:r w:rsidR="00AE2DF2">
        <w:rPr>
          <w:rFonts w:cs="Times New Roman"/>
          <w:szCs w:val="24"/>
        </w:rPr>
        <w:t xml:space="preserve"> pra</w:t>
      </w:r>
      <w:r w:rsidRPr="00E43330">
        <w:rPr>
          <w:rFonts w:cs="Times New Roman"/>
          <w:szCs w:val="24"/>
        </w:rPr>
        <w:t>c</w:t>
      </w:r>
      <w:r>
        <w:rPr>
          <w:rFonts w:cs="Times New Roman"/>
          <w:szCs w:val="24"/>
        </w:rPr>
        <w:t xml:space="preserve">ích </w:t>
      </w:r>
      <w:r w:rsidRPr="00E43330">
        <w:rPr>
          <w:rFonts w:cs="Times New Roman"/>
          <w:szCs w:val="24"/>
        </w:rPr>
        <w:t xml:space="preserve">hned několik argumentů, jež vylučují existenci demokratického deficitu v EU. Kritizuje odborníky, kteří se </w:t>
      </w:r>
      <w:r w:rsidR="00444C95">
        <w:rPr>
          <w:rFonts w:cs="Times New Roman"/>
          <w:szCs w:val="24"/>
        </w:rPr>
        <w:t>zmíněnému</w:t>
      </w:r>
      <w:r w:rsidRPr="00E43330">
        <w:rPr>
          <w:rFonts w:cs="Times New Roman"/>
          <w:szCs w:val="24"/>
        </w:rPr>
        <w:t xml:space="preserve"> tématu věnují právě v rámci EU. Podle autora často zapomínají vzít v potaz, že EU není stát ani jeden národ</w:t>
      </w:r>
      <w:r w:rsidR="00444C95">
        <w:rPr>
          <w:rFonts w:cs="Times New Roman"/>
          <w:szCs w:val="24"/>
        </w:rPr>
        <w:t>,</w:t>
      </w:r>
      <w:r w:rsidRPr="00E43330">
        <w:rPr>
          <w:rFonts w:cs="Times New Roman"/>
          <w:szCs w:val="24"/>
        </w:rPr>
        <w:t xml:space="preserve"> a zkoumají tak EU pouze v porovnání s ideou dokonalé demokracie, což nikdy nemůže vyústit v pozitivní závěr jejich výzkumu.</w:t>
      </w:r>
      <w:r>
        <w:rPr>
          <w:rFonts w:cs="Times New Roman"/>
          <w:szCs w:val="24"/>
        </w:rPr>
        <w:t xml:space="preserve"> Teoretický koncept </w:t>
      </w:r>
      <w:proofErr w:type="spellStart"/>
      <w:r>
        <w:rPr>
          <w:rFonts w:cs="Times New Roman"/>
          <w:szCs w:val="24"/>
        </w:rPr>
        <w:t>Giandomenica</w:t>
      </w:r>
      <w:proofErr w:type="spellEnd"/>
      <w:r>
        <w:rPr>
          <w:rFonts w:cs="Times New Roman"/>
          <w:szCs w:val="24"/>
        </w:rPr>
        <w:t xml:space="preserve"> </w:t>
      </w:r>
      <w:proofErr w:type="spellStart"/>
      <w:r>
        <w:rPr>
          <w:rFonts w:cs="Times New Roman"/>
          <w:szCs w:val="24"/>
        </w:rPr>
        <w:t>Majoneho</w:t>
      </w:r>
      <w:proofErr w:type="spellEnd"/>
      <w:r w:rsidR="0007254B">
        <w:rPr>
          <w:rFonts w:cs="Times New Roman"/>
          <w:szCs w:val="24"/>
        </w:rPr>
        <w:t xml:space="preserve"> autorka</w:t>
      </w:r>
      <w:r>
        <w:rPr>
          <w:rFonts w:cs="Times New Roman"/>
          <w:szCs w:val="24"/>
        </w:rPr>
        <w:t xml:space="preserve"> vypracovala na základě jeho publikace </w:t>
      </w:r>
      <w:r w:rsidR="00BD215A">
        <w:rPr>
          <w:rFonts w:cs="Times New Roman"/>
          <w:szCs w:val="24"/>
        </w:rPr>
        <w:t>„</w:t>
      </w:r>
      <w:proofErr w:type="spellStart"/>
      <w:r w:rsidR="00BD215A" w:rsidRPr="0007254B">
        <w:rPr>
          <w:rFonts w:cs="Times New Roman"/>
          <w:i/>
          <w:iCs/>
          <w:szCs w:val="24"/>
        </w:rPr>
        <w:t>From</w:t>
      </w:r>
      <w:proofErr w:type="spellEnd"/>
      <w:r w:rsidR="00BD215A" w:rsidRPr="0007254B">
        <w:rPr>
          <w:rFonts w:cs="Times New Roman"/>
          <w:i/>
          <w:iCs/>
          <w:szCs w:val="24"/>
        </w:rPr>
        <w:t xml:space="preserve"> </w:t>
      </w:r>
      <w:proofErr w:type="spellStart"/>
      <w:r w:rsidR="00BD215A" w:rsidRPr="0007254B">
        <w:rPr>
          <w:rFonts w:cs="Times New Roman"/>
          <w:i/>
          <w:iCs/>
          <w:szCs w:val="24"/>
        </w:rPr>
        <w:t>the</w:t>
      </w:r>
      <w:proofErr w:type="spellEnd"/>
      <w:r w:rsidR="00BD215A" w:rsidRPr="0007254B">
        <w:rPr>
          <w:rFonts w:cs="Times New Roman"/>
          <w:i/>
          <w:iCs/>
          <w:szCs w:val="24"/>
        </w:rPr>
        <w:t xml:space="preserve"> Positive to </w:t>
      </w:r>
      <w:proofErr w:type="spellStart"/>
      <w:r w:rsidR="00BD215A" w:rsidRPr="0007254B">
        <w:rPr>
          <w:rFonts w:cs="Times New Roman"/>
          <w:i/>
          <w:iCs/>
          <w:szCs w:val="24"/>
        </w:rPr>
        <w:t>the</w:t>
      </w:r>
      <w:proofErr w:type="spellEnd"/>
      <w:r w:rsidR="00BD215A" w:rsidRPr="0007254B">
        <w:rPr>
          <w:rFonts w:cs="Times New Roman"/>
          <w:i/>
          <w:iCs/>
          <w:szCs w:val="24"/>
        </w:rPr>
        <w:t xml:space="preserve"> </w:t>
      </w:r>
      <w:proofErr w:type="spellStart"/>
      <w:r w:rsidR="00BD215A" w:rsidRPr="0007254B">
        <w:rPr>
          <w:rFonts w:cs="Times New Roman"/>
          <w:i/>
          <w:iCs/>
          <w:szCs w:val="24"/>
        </w:rPr>
        <w:t>Regulatory</w:t>
      </w:r>
      <w:proofErr w:type="spellEnd"/>
      <w:r w:rsidR="00BD215A" w:rsidRPr="0007254B">
        <w:rPr>
          <w:rFonts w:cs="Times New Roman"/>
          <w:i/>
          <w:iCs/>
          <w:szCs w:val="24"/>
        </w:rPr>
        <w:t xml:space="preserve"> </w:t>
      </w:r>
      <w:proofErr w:type="spellStart"/>
      <w:r w:rsidR="00BD215A" w:rsidRPr="0007254B">
        <w:rPr>
          <w:rFonts w:cs="Times New Roman"/>
          <w:i/>
          <w:iCs/>
          <w:szCs w:val="24"/>
        </w:rPr>
        <w:t>State</w:t>
      </w:r>
      <w:proofErr w:type="spellEnd"/>
      <w:r w:rsidR="00BD215A" w:rsidRPr="0007254B">
        <w:rPr>
          <w:rFonts w:cs="Times New Roman"/>
          <w:i/>
          <w:iCs/>
          <w:szCs w:val="24"/>
        </w:rPr>
        <w:t xml:space="preserve">: </w:t>
      </w:r>
      <w:proofErr w:type="spellStart"/>
      <w:r w:rsidR="00BD215A" w:rsidRPr="0007254B">
        <w:rPr>
          <w:rFonts w:cs="Times New Roman"/>
          <w:i/>
          <w:iCs/>
          <w:szCs w:val="24"/>
        </w:rPr>
        <w:t>Causes</w:t>
      </w:r>
      <w:proofErr w:type="spellEnd"/>
      <w:r w:rsidR="00BD215A" w:rsidRPr="0007254B">
        <w:rPr>
          <w:rFonts w:cs="Times New Roman"/>
          <w:i/>
          <w:iCs/>
          <w:szCs w:val="24"/>
        </w:rPr>
        <w:t xml:space="preserve"> and </w:t>
      </w:r>
      <w:proofErr w:type="spellStart"/>
      <w:r w:rsidR="00BD215A" w:rsidRPr="0007254B">
        <w:rPr>
          <w:rFonts w:cs="Times New Roman"/>
          <w:i/>
          <w:iCs/>
          <w:szCs w:val="24"/>
        </w:rPr>
        <w:t>Consequences</w:t>
      </w:r>
      <w:proofErr w:type="spellEnd"/>
      <w:r w:rsidR="00BD215A" w:rsidRPr="0007254B">
        <w:rPr>
          <w:rFonts w:cs="Times New Roman"/>
          <w:i/>
          <w:iCs/>
          <w:szCs w:val="24"/>
        </w:rPr>
        <w:t xml:space="preserve"> </w:t>
      </w:r>
      <w:proofErr w:type="spellStart"/>
      <w:r w:rsidR="00BD215A" w:rsidRPr="0007254B">
        <w:rPr>
          <w:rFonts w:cs="Times New Roman"/>
          <w:i/>
          <w:iCs/>
          <w:szCs w:val="24"/>
        </w:rPr>
        <w:t>of</w:t>
      </w:r>
      <w:proofErr w:type="spellEnd"/>
      <w:r w:rsidR="00BD215A" w:rsidRPr="0007254B">
        <w:rPr>
          <w:rFonts w:cs="Times New Roman"/>
          <w:i/>
          <w:iCs/>
          <w:szCs w:val="24"/>
        </w:rPr>
        <w:t xml:space="preserve"> </w:t>
      </w:r>
      <w:proofErr w:type="spellStart"/>
      <w:r w:rsidR="00BD215A" w:rsidRPr="0007254B">
        <w:rPr>
          <w:rFonts w:cs="Times New Roman"/>
          <w:i/>
          <w:iCs/>
          <w:szCs w:val="24"/>
        </w:rPr>
        <w:t>Changes</w:t>
      </w:r>
      <w:proofErr w:type="spellEnd"/>
      <w:r w:rsidR="00BD215A" w:rsidRPr="0007254B">
        <w:rPr>
          <w:rFonts w:cs="Times New Roman"/>
          <w:i/>
          <w:iCs/>
          <w:szCs w:val="24"/>
        </w:rPr>
        <w:t xml:space="preserve"> in </w:t>
      </w:r>
      <w:proofErr w:type="spellStart"/>
      <w:r w:rsidR="00BD215A" w:rsidRPr="0007254B">
        <w:rPr>
          <w:rFonts w:cs="Times New Roman"/>
          <w:i/>
          <w:iCs/>
          <w:szCs w:val="24"/>
        </w:rPr>
        <w:t>the</w:t>
      </w:r>
      <w:proofErr w:type="spellEnd"/>
      <w:r w:rsidR="00BD215A" w:rsidRPr="0007254B">
        <w:rPr>
          <w:rFonts w:cs="Times New Roman"/>
          <w:i/>
          <w:iCs/>
          <w:szCs w:val="24"/>
        </w:rPr>
        <w:t xml:space="preserve"> Mode </w:t>
      </w:r>
      <w:proofErr w:type="spellStart"/>
      <w:r w:rsidR="00BD215A" w:rsidRPr="0007254B">
        <w:rPr>
          <w:rFonts w:cs="Times New Roman"/>
          <w:i/>
          <w:iCs/>
          <w:szCs w:val="24"/>
        </w:rPr>
        <w:t>of</w:t>
      </w:r>
      <w:proofErr w:type="spellEnd"/>
      <w:r w:rsidR="00BD215A" w:rsidRPr="0007254B">
        <w:rPr>
          <w:rFonts w:cs="Times New Roman"/>
          <w:i/>
          <w:iCs/>
          <w:szCs w:val="24"/>
        </w:rPr>
        <w:t xml:space="preserve"> </w:t>
      </w:r>
      <w:proofErr w:type="spellStart"/>
      <w:r w:rsidR="00BD215A" w:rsidRPr="0007254B">
        <w:rPr>
          <w:rFonts w:cs="Times New Roman"/>
          <w:i/>
          <w:iCs/>
          <w:szCs w:val="24"/>
        </w:rPr>
        <w:t>Governance</w:t>
      </w:r>
      <w:proofErr w:type="spellEnd"/>
      <w:r w:rsidR="00BD215A" w:rsidRPr="0007254B">
        <w:rPr>
          <w:rFonts w:cs="Times New Roman"/>
          <w:i/>
          <w:iCs/>
          <w:szCs w:val="24"/>
        </w:rPr>
        <w:t xml:space="preserve">“ </w:t>
      </w:r>
      <w:r w:rsidR="00BD215A">
        <w:rPr>
          <w:rFonts w:cs="Times New Roman"/>
          <w:szCs w:val="24"/>
        </w:rPr>
        <w:t xml:space="preserve">z roku 1997. </w:t>
      </w:r>
      <w:r w:rsidR="00BE7C81">
        <w:rPr>
          <w:rFonts w:cs="Times New Roman"/>
          <w:szCs w:val="24"/>
        </w:rPr>
        <w:t xml:space="preserve">Zde autor srozumitelně vysvětluje koncepci regulačního státu a své pojetí demokratického deficitu, což je pro účely této práce zásadní. </w:t>
      </w:r>
      <w:r w:rsidR="005464E0">
        <w:rPr>
          <w:rFonts w:cs="Times New Roman"/>
          <w:szCs w:val="24"/>
        </w:rPr>
        <w:t>Pro vypracování</w:t>
      </w:r>
      <w:r w:rsidR="00BE7C81">
        <w:rPr>
          <w:rFonts w:cs="Times New Roman"/>
          <w:szCs w:val="24"/>
        </w:rPr>
        <w:t xml:space="preserve"> </w:t>
      </w:r>
      <w:r w:rsidR="005464E0">
        <w:rPr>
          <w:rFonts w:cs="Times New Roman"/>
          <w:szCs w:val="24"/>
        </w:rPr>
        <w:t>teoretického konceptu</w:t>
      </w:r>
      <w:r w:rsidR="00BE7C81">
        <w:rPr>
          <w:rFonts w:cs="Times New Roman"/>
          <w:szCs w:val="24"/>
        </w:rPr>
        <w:t xml:space="preserve"> Fritze </w:t>
      </w:r>
      <w:proofErr w:type="spellStart"/>
      <w:r w:rsidR="00BE7C81">
        <w:rPr>
          <w:rFonts w:cs="Times New Roman"/>
          <w:szCs w:val="24"/>
        </w:rPr>
        <w:t>Scharpfa</w:t>
      </w:r>
      <w:proofErr w:type="spellEnd"/>
      <w:r w:rsidR="00BE7C81">
        <w:rPr>
          <w:rFonts w:cs="Times New Roman"/>
          <w:szCs w:val="24"/>
        </w:rPr>
        <w:t xml:space="preserve"> </w:t>
      </w:r>
      <w:r w:rsidR="005464E0">
        <w:rPr>
          <w:rFonts w:cs="Times New Roman"/>
          <w:szCs w:val="24"/>
        </w:rPr>
        <w:t xml:space="preserve">byl stěžejním dílem jeho článek </w:t>
      </w:r>
      <w:r w:rsidR="005464E0" w:rsidRPr="005464E0">
        <w:rPr>
          <w:rFonts w:cs="Times New Roman"/>
          <w:i/>
          <w:iCs/>
          <w:szCs w:val="24"/>
        </w:rPr>
        <w:t>„</w:t>
      </w:r>
      <w:proofErr w:type="spellStart"/>
      <w:r w:rsidR="005464E0" w:rsidRPr="005464E0">
        <w:rPr>
          <w:i/>
          <w:iCs/>
        </w:rPr>
        <w:t>Problem</w:t>
      </w:r>
      <w:proofErr w:type="spellEnd"/>
      <w:r w:rsidR="005464E0" w:rsidRPr="005464E0">
        <w:rPr>
          <w:i/>
          <w:iCs/>
        </w:rPr>
        <w:t xml:space="preserve"> </w:t>
      </w:r>
      <w:proofErr w:type="spellStart"/>
      <w:r w:rsidR="005464E0" w:rsidRPr="005464E0">
        <w:rPr>
          <w:i/>
          <w:iCs/>
        </w:rPr>
        <w:t>Solving</w:t>
      </w:r>
      <w:proofErr w:type="spellEnd"/>
      <w:r w:rsidR="005464E0" w:rsidRPr="005464E0">
        <w:rPr>
          <w:i/>
          <w:iCs/>
        </w:rPr>
        <w:t xml:space="preserve"> </w:t>
      </w:r>
      <w:proofErr w:type="spellStart"/>
      <w:r w:rsidR="005464E0" w:rsidRPr="005464E0">
        <w:rPr>
          <w:i/>
          <w:iCs/>
        </w:rPr>
        <w:t>Effectiveness</w:t>
      </w:r>
      <w:proofErr w:type="spellEnd"/>
      <w:r w:rsidR="005464E0" w:rsidRPr="005464E0">
        <w:rPr>
          <w:i/>
          <w:iCs/>
        </w:rPr>
        <w:t xml:space="preserve"> and </w:t>
      </w:r>
      <w:proofErr w:type="spellStart"/>
      <w:r w:rsidR="005464E0" w:rsidRPr="005464E0">
        <w:rPr>
          <w:i/>
          <w:iCs/>
        </w:rPr>
        <w:t>Democratic</w:t>
      </w:r>
      <w:proofErr w:type="spellEnd"/>
      <w:r w:rsidR="005464E0" w:rsidRPr="005464E0">
        <w:rPr>
          <w:i/>
          <w:iCs/>
        </w:rPr>
        <w:t xml:space="preserve"> </w:t>
      </w:r>
      <w:proofErr w:type="spellStart"/>
      <w:r w:rsidR="005464E0" w:rsidRPr="005464E0">
        <w:rPr>
          <w:i/>
          <w:iCs/>
        </w:rPr>
        <w:t>Accountability</w:t>
      </w:r>
      <w:proofErr w:type="spellEnd"/>
      <w:r w:rsidR="005464E0" w:rsidRPr="005464E0">
        <w:rPr>
          <w:i/>
          <w:iCs/>
        </w:rPr>
        <w:t xml:space="preserve"> in </w:t>
      </w:r>
      <w:proofErr w:type="spellStart"/>
      <w:r w:rsidR="005464E0" w:rsidRPr="005464E0">
        <w:rPr>
          <w:i/>
          <w:iCs/>
        </w:rPr>
        <w:t>the</w:t>
      </w:r>
      <w:proofErr w:type="spellEnd"/>
      <w:r w:rsidR="005464E0" w:rsidRPr="005464E0">
        <w:rPr>
          <w:i/>
          <w:iCs/>
        </w:rPr>
        <w:t xml:space="preserve"> EU“</w:t>
      </w:r>
      <w:r w:rsidR="005464E0">
        <w:rPr>
          <w:i/>
          <w:iCs/>
        </w:rPr>
        <w:t xml:space="preserve"> </w:t>
      </w:r>
      <w:r w:rsidR="00194EB7">
        <w:t xml:space="preserve">z roku 2006, kde autor představuje </w:t>
      </w:r>
      <w:r w:rsidR="00831F81">
        <w:t xml:space="preserve">takzvaný </w:t>
      </w:r>
      <w:r w:rsidR="00831F81" w:rsidRPr="00051427">
        <w:rPr>
          <w:i/>
        </w:rPr>
        <w:t>„</w:t>
      </w:r>
      <w:proofErr w:type="spellStart"/>
      <w:r w:rsidR="00831F81" w:rsidRPr="00051427">
        <w:rPr>
          <w:i/>
        </w:rPr>
        <w:t>problem-solving</w:t>
      </w:r>
      <w:proofErr w:type="spellEnd"/>
      <w:r w:rsidR="00831F81" w:rsidRPr="00051427">
        <w:rPr>
          <w:i/>
        </w:rPr>
        <w:t xml:space="preserve"> gap“</w:t>
      </w:r>
      <w:r w:rsidR="00831F81">
        <w:t xml:space="preserve">, který autor považuje za příčinu demokratického deficitu. Proto považuji tuto literaturu za vhodnou volbu vzhledem k povaze </w:t>
      </w:r>
      <w:r w:rsidR="00444C95">
        <w:t>dané</w:t>
      </w:r>
      <w:r w:rsidR="00831F81">
        <w:t xml:space="preserve"> práce. </w:t>
      </w:r>
    </w:p>
    <w:p w14:paraId="2284339F" w14:textId="6D31EBD9" w:rsidR="008F1D17" w:rsidRDefault="00831F81" w:rsidP="0016685D">
      <w:pPr>
        <w:spacing w:line="360" w:lineRule="auto"/>
        <w:ind w:right="-2"/>
        <w:rPr>
          <w:rFonts w:cs="Times New Roman"/>
          <w:szCs w:val="24"/>
        </w:rPr>
      </w:pPr>
      <w:r>
        <w:t xml:space="preserve">Druhá část se věnuje literatuře, kterou </w:t>
      </w:r>
      <w:r w:rsidR="00F02A37">
        <w:t>autorka</w:t>
      </w:r>
      <w:r>
        <w:t xml:space="preserve"> využila při zpracování analytické části práce. Jedná se především o kompletní znění zakládajících a pozměňujících smluv. K vypracování historického vývoje pravomocí jednotlivých institucí </w:t>
      </w:r>
      <w:r w:rsidR="00F02A37">
        <w:t>autorka po</w:t>
      </w:r>
      <w:r>
        <w:t>užila Smlouvu o založení Evropského hospod</w:t>
      </w:r>
      <w:r w:rsidR="009611E1">
        <w:t>ářského společenství, Jednotný e</w:t>
      </w:r>
      <w:r>
        <w:t>vropský akt, Maastrichtsk</w:t>
      </w:r>
      <w:r w:rsidR="0016685D">
        <w:t>ou</w:t>
      </w:r>
      <w:r>
        <w:t xml:space="preserve"> smlouv</w:t>
      </w:r>
      <w:r w:rsidR="0016685D">
        <w:t xml:space="preserve">u, Amsterdamskou </w:t>
      </w:r>
      <w:proofErr w:type="gramStart"/>
      <w:r w:rsidR="0016685D">
        <w:t>smlo</w:t>
      </w:r>
      <w:r w:rsidR="00444C95">
        <w:t>uvu</w:t>
      </w:r>
      <w:proofErr w:type="gramEnd"/>
      <w:r w:rsidR="0016685D">
        <w:t xml:space="preserve"> a nakonec Smlouvu z Nice. </w:t>
      </w:r>
      <w:r w:rsidR="00C0223E">
        <w:t xml:space="preserve">Vzhledem k faktické povaze </w:t>
      </w:r>
      <w:r w:rsidR="00051427">
        <w:t>zmíněných</w:t>
      </w:r>
      <w:r w:rsidR="00C0223E">
        <w:t xml:space="preserve"> smluv bylo zapotřebí doplnit literaturu o sekundární zdroje</w:t>
      </w:r>
      <w:r w:rsidR="00444C95">
        <w:t>, které</w:t>
      </w:r>
      <w:r w:rsidR="00C0223E">
        <w:t xml:space="preserve"> tvořily především vědecké články a výzkumné zprávy. </w:t>
      </w:r>
      <w:r w:rsidR="00C43BA6">
        <w:t xml:space="preserve">Mezi stěžejní zdroje pro vypracování historického vývoje </w:t>
      </w:r>
      <w:r w:rsidR="00E33DEB">
        <w:t xml:space="preserve">patří </w:t>
      </w:r>
      <w:r w:rsidR="00E33DEB" w:rsidRPr="002214A7">
        <w:rPr>
          <w:i/>
          <w:iCs/>
        </w:rPr>
        <w:t>„</w:t>
      </w:r>
      <w:proofErr w:type="spellStart"/>
      <w:r w:rsidR="00E33DEB" w:rsidRPr="002214A7">
        <w:rPr>
          <w:i/>
          <w:iCs/>
        </w:rPr>
        <w:t>Budgetary</w:t>
      </w:r>
      <w:proofErr w:type="spellEnd"/>
      <w:r w:rsidR="00E33DEB" w:rsidRPr="002214A7">
        <w:rPr>
          <w:i/>
          <w:iCs/>
        </w:rPr>
        <w:t xml:space="preserve"> </w:t>
      </w:r>
      <w:proofErr w:type="spellStart"/>
      <w:r w:rsidR="00E33DEB" w:rsidRPr="002214A7">
        <w:rPr>
          <w:i/>
          <w:iCs/>
        </w:rPr>
        <w:t>Treaties</w:t>
      </w:r>
      <w:proofErr w:type="spellEnd"/>
      <w:r w:rsidR="00E33DEB" w:rsidRPr="002214A7">
        <w:rPr>
          <w:i/>
          <w:iCs/>
        </w:rPr>
        <w:t xml:space="preserve"> and </w:t>
      </w:r>
      <w:proofErr w:type="spellStart"/>
      <w:r w:rsidR="00E33DEB" w:rsidRPr="002214A7">
        <w:rPr>
          <w:i/>
          <w:iCs/>
        </w:rPr>
        <w:t>European</w:t>
      </w:r>
      <w:proofErr w:type="spellEnd"/>
      <w:r w:rsidR="00E33DEB" w:rsidRPr="002214A7">
        <w:rPr>
          <w:i/>
          <w:iCs/>
        </w:rPr>
        <w:t xml:space="preserve"> Union </w:t>
      </w:r>
      <w:proofErr w:type="spellStart"/>
      <w:r w:rsidR="00E33DEB" w:rsidRPr="002214A7">
        <w:rPr>
          <w:i/>
          <w:iCs/>
        </w:rPr>
        <w:t>Politics</w:t>
      </w:r>
      <w:proofErr w:type="spellEnd"/>
      <w:r w:rsidR="00E33DEB" w:rsidRPr="002214A7">
        <w:rPr>
          <w:i/>
          <w:iCs/>
        </w:rPr>
        <w:t>“</w:t>
      </w:r>
      <w:r w:rsidR="00E33DEB">
        <w:rPr>
          <w:i/>
          <w:iCs/>
        </w:rPr>
        <w:t xml:space="preserve"> </w:t>
      </w:r>
      <w:r w:rsidR="00E33DEB" w:rsidRPr="00E33DEB">
        <w:t>od</w:t>
      </w:r>
      <w:r w:rsidR="00E33DEB">
        <w:t xml:space="preserve"> dánského politologa</w:t>
      </w:r>
      <w:r w:rsidR="00E33DEB">
        <w:rPr>
          <w:i/>
          <w:iCs/>
        </w:rPr>
        <w:t xml:space="preserve"> </w:t>
      </w:r>
      <w:r w:rsidR="00444C95">
        <w:t xml:space="preserve">Finna </w:t>
      </w:r>
      <w:proofErr w:type="spellStart"/>
      <w:r w:rsidR="00444C95">
        <w:t>Laursena</w:t>
      </w:r>
      <w:proofErr w:type="spellEnd"/>
      <w:r w:rsidR="0007254B">
        <w:t>.</w:t>
      </w:r>
      <w:r w:rsidR="00444C95">
        <w:t xml:space="preserve"> </w:t>
      </w:r>
      <w:r w:rsidR="00E33DEB">
        <w:t>Autor v </w:t>
      </w:r>
      <w:r w:rsidR="00051427">
        <w:t>dané</w:t>
      </w:r>
      <w:r w:rsidR="00E33DEB">
        <w:t xml:space="preserve"> práci poskytuje detailní analýzu změn zavedených jak Lucemburskou, tak i Bruselskou smlouvou včetně dopadů, které tyto smlouvy měly na fungování Společenství. </w:t>
      </w:r>
      <w:r w:rsidR="003677A3">
        <w:t>Při psaní vývoje primá</w:t>
      </w:r>
      <w:r w:rsidR="009611E1">
        <w:t>rního práva v rámci Jednotného e</w:t>
      </w:r>
      <w:r w:rsidR="003677A3">
        <w:t xml:space="preserve">vropského aktu </w:t>
      </w:r>
      <w:r w:rsidR="00F02A37">
        <w:lastRenderedPageBreak/>
        <w:t>autorka</w:t>
      </w:r>
      <w:r w:rsidR="003677A3">
        <w:t xml:space="preserve"> vycházela z práce </w:t>
      </w:r>
      <w:proofErr w:type="spellStart"/>
      <w:r w:rsidR="003677A3">
        <w:t>Émile</w:t>
      </w:r>
      <w:proofErr w:type="spellEnd"/>
      <w:r w:rsidR="003677A3">
        <w:t xml:space="preserve"> </w:t>
      </w:r>
      <w:proofErr w:type="spellStart"/>
      <w:r w:rsidR="003677A3">
        <w:t>Noëla</w:t>
      </w:r>
      <w:proofErr w:type="spellEnd"/>
      <w:r w:rsidR="003677A3">
        <w:t xml:space="preserve"> </w:t>
      </w:r>
      <w:r w:rsidR="003677A3" w:rsidRPr="003677A3">
        <w:rPr>
          <w:i/>
          <w:iCs/>
        </w:rPr>
        <w:t>„</w:t>
      </w:r>
      <w:proofErr w:type="spellStart"/>
      <w:r w:rsidR="003677A3" w:rsidRPr="003677A3">
        <w:rPr>
          <w:i/>
          <w:iCs/>
        </w:rPr>
        <w:t>The</w:t>
      </w:r>
      <w:proofErr w:type="spellEnd"/>
      <w:r w:rsidR="003677A3" w:rsidRPr="003677A3">
        <w:rPr>
          <w:i/>
          <w:iCs/>
        </w:rPr>
        <w:t xml:space="preserve"> Single </w:t>
      </w:r>
      <w:proofErr w:type="spellStart"/>
      <w:r w:rsidR="003677A3" w:rsidRPr="003677A3">
        <w:rPr>
          <w:i/>
          <w:iCs/>
        </w:rPr>
        <w:t>European</w:t>
      </w:r>
      <w:proofErr w:type="spellEnd"/>
      <w:r w:rsidR="003677A3" w:rsidRPr="003677A3">
        <w:rPr>
          <w:i/>
          <w:iCs/>
        </w:rPr>
        <w:t xml:space="preserve"> </w:t>
      </w:r>
      <w:proofErr w:type="spellStart"/>
      <w:r w:rsidR="003677A3" w:rsidRPr="003677A3">
        <w:rPr>
          <w:i/>
          <w:iCs/>
        </w:rPr>
        <w:t>Act</w:t>
      </w:r>
      <w:proofErr w:type="spellEnd"/>
      <w:r w:rsidR="003677A3">
        <w:rPr>
          <w:i/>
          <w:iCs/>
        </w:rPr>
        <w:t xml:space="preserve">“. </w:t>
      </w:r>
      <w:r w:rsidR="003677A3" w:rsidRPr="003677A3">
        <w:t xml:space="preserve">Autor se v publikaci zaměřuje především </w:t>
      </w:r>
      <w:r w:rsidR="003677A3">
        <w:t xml:space="preserve">na jednání ohledně vytvoření rozsáhlého vnitřního trhu a na principy, které se státy zavázaly dodržovat. </w:t>
      </w:r>
      <w:r w:rsidR="004773E7">
        <w:t>Práce poskytuje přehledné a srozumitelné informace nejen o jednáních, které vedly k rozhodnutí o vytvoření rozsáhlého vnitřního trhu</w:t>
      </w:r>
      <w:r w:rsidR="009611E1">
        <w:t>,</w:t>
      </w:r>
      <w:r w:rsidR="004773E7">
        <w:t xml:space="preserve"> ale také o zásadách jeho vzniku. V případě změn zavedených v rámci </w:t>
      </w:r>
      <w:proofErr w:type="spellStart"/>
      <w:r w:rsidR="004773E7">
        <w:t>Maastrichstké</w:t>
      </w:r>
      <w:proofErr w:type="spellEnd"/>
      <w:r w:rsidR="004773E7">
        <w:t xml:space="preserve"> smlouvy </w:t>
      </w:r>
      <w:r w:rsidR="00F02A37">
        <w:t>autorka</w:t>
      </w:r>
      <w:r w:rsidR="004773E7">
        <w:t xml:space="preserve"> využila </w:t>
      </w:r>
      <w:r w:rsidR="00546610">
        <w:t xml:space="preserve">hlavně informace </w:t>
      </w:r>
      <w:r w:rsidR="00051427">
        <w:br/>
      </w:r>
      <w:r w:rsidR="00546610">
        <w:t xml:space="preserve">z </w:t>
      </w:r>
      <w:r w:rsidR="004773E7">
        <w:t xml:space="preserve">publikace </w:t>
      </w:r>
      <w:r w:rsidR="004773E7" w:rsidRPr="00F67F47">
        <w:rPr>
          <w:rFonts w:cs="Times New Roman"/>
          <w:i/>
          <w:iCs/>
          <w:szCs w:val="24"/>
        </w:rPr>
        <w:t>„</w:t>
      </w:r>
      <w:proofErr w:type="spellStart"/>
      <w:r w:rsidR="004773E7" w:rsidRPr="00F67F47">
        <w:rPr>
          <w:rFonts w:cs="Times New Roman"/>
          <w:i/>
          <w:iCs/>
          <w:szCs w:val="24"/>
        </w:rPr>
        <w:t>Creating</w:t>
      </w:r>
      <w:proofErr w:type="spellEnd"/>
      <w:r w:rsidR="004773E7" w:rsidRPr="00F67F47">
        <w:rPr>
          <w:rFonts w:cs="Times New Roman"/>
          <w:i/>
          <w:iCs/>
          <w:szCs w:val="24"/>
        </w:rPr>
        <w:t xml:space="preserve"> a </w:t>
      </w:r>
      <w:proofErr w:type="spellStart"/>
      <w:r w:rsidR="004773E7" w:rsidRPr="00F67F47">
        <w:rPr>
          <w:rFonts w:cs="Times New Roman"/>
          <w:i/>
          <w:iCs/>
          <w:szCs w:val="24"/>
        </w:rPr>
        <w:t>Unified</w:t>
      </w:r>
      <w:proofErr w:type="spellEnd"/>
      <w:r w:rsidR="004773E7" w:rsidRPr="00F67F47">
        <w:rPr>
          <w:rFonts w:cs="Times New Roman"/>
          <w:i/>
          <w:iCs/>
          <w:szCs w:val="24"/>
        </w:rPr>
        <w:t xml:space="preserve"> </w:t>
      </w:r>
      <w:proofErr w:type="spellStart"/>
      <w:r w:rsidR="004773E7" w:rsidRPr="00F67F47">
        <w:rPr>
          <w:rFonts w:cs="Times New Roman"/>
          <w:i/>
          <w:iCs/>
          <w:szCs w:val="24"/>
        </w:rPr>
        <w:t>Europe</w:t>
      </w:r>
      <w:proofErr w:type="spellEnd"/>
      <w:r w:rsidR="004773E7" w:rsidRPr="00F67F47">
        <w:rPr>
          <w:rFonts w:cs="Times New Roman"/>
          <w:i/>
          <w:iCs/>
          <w:szCs w:val="24"/>
        </w:rPr>
        <w:t xml:space="preserve">: Maastricht and </w:t>
      </w:r>
      <w:proofErr w:type="spellStart"/>
      <w:r w:rsidR="004773E7" w:rsidRPr="00F67F47">
        <w:rPr>
          <w:rFonts w:cs="Times New Roman"/>
          <w:i/>
          <w:iCs/>
          <w:szCs w:val="24"/>
        </w:rPr>
        <w:t>Beyond</w:t>
      </w:r>
      <w:proofErr w:type="spellEnd"/>
      <w:r w:rsidR="004773E7" w:rsidRPr="00F67F47">
        <w:rPr>
          <w:rFonts w:cs="Times New Roman"/>
          <w:i/>
          <w:iCs/>
          <w:szCs w:val="24"/>
        </w:rPr>
        <w:t>“</w:t>
      </w:r>
      <w:r w:rsidR="00546610">
        <w:rPr>
          <w:rFonts w:cs="Times New Roman"/>
          <w:szCs w:val="24"/>
        </w:rPr>
        <w:t xml:space="preserve"> od Sari </w:t>
      </w:r>
      <w:proofErr w:type="spellStart"/>
      <w:r w:rsidR="00546610">
        <w:rPr>
          <w:rFonts w:cs="Times New Roman"/>
          <w:szCs w:val="24"/>
        </w:rPr>
        <w:t>La</w:t>
      </w:r>
      <w:r w:rsidR="00E970B1">
        <w:rPr>
          <w:rFonts w:cs="Times New Roman"/>
          <w:szCs w:val="24"/>
        </w:rPr>
        <w:t>i</w:t>
      </w:r>
      <w:r w:rsidR="00546610">
        <w:rPr>
          <w:rFonts w:cs="Times New Roman"/>
          <w:szCs w:val="24"/>
        </w:rPr>
        <w:t>tinena</w:t>
      </w:r>
      <w:r w:rsidR="00E970B1">
        <w:rPr>
          <w:rFonts w:cs="Times New Roman"/>
          <w:szCs w:val="24"/>
        </w:rPr>
        <w:t>-</w:t>
      </w:r>
      <w:r w:rsidR="00546610">
        <w:rPr>
          <w:rFonts w:cs="Times New Roman"/>
          <w:szCs w:val="24"/>
        </w:rPr>
        <w:t>Rawany</w:t>
      </w:r>
      <w:proofErr w:type="spellEnd"/>
      <w:r w:rsidR="00546610">
        <w:rPr>
          <w:rFonts w:cs="Times New Roman"/>
          <w:szCs w:val="24"/>
        </w:rPr>
        <w:t xml:space="preserve">, který se v práci zaměřuje především na proceduru spolurozhodování, která byla touto smlouvou zavedena. Autor v práci uceleně představuje, jak by měla </w:t>
      </w:r>
      <w:r w:rsidR="009611E1">
        <w:rPr>
          <w:rFonts w:cs="Times New Roman"/>
          <w:szCs w:val="24"/>
        </w:rPr>
        <w:t>daná procedura fungovat</w:t>
      </w:r>
      <w:r w:rsidR="00546610">
        <w:rPr>
          <w:rFonts w:cs="Times New Roman"/>
          <w:szCs w:val="24"/>
        </w:rPr>
        <w:t xml:space="preserve"> a také objektivně hodnotí možné dopady jejího zavedení. Stěžejním zdrojem při zkoumání změn, které zavedla Amsterodamská smlouva</w:t>
      </w:r>
      <w:r w:rsidR="009611E1">
        <w:rPr>
          <w:rFonts w:cs="Times New Roman"/>
          <w:szCs w:val="24"/>
        </w:rPr>
        <w:t>,</w:t>
      </w:r>
      <w:r w:rsidR="00546610">
        <w:rPr>
          <w:rFonts w:cs="Times New Roman"/>
          <w:szCs w:val="24"/>
        </w:rPr>
        <w:t xml:space="preserve"> byla publikace od Simona </w:t>
      </w:r>
      <w:proofErr w:type="spellStart"/>
      <w:r w:rsidR="00546610">
        <w:rPr>
          <w:rFonts w:cs="Times New Roman"/>
          <w:szCs w:val="24"/>
        </w:rPr>
        <w:t>Hixe</w:t>
      </w:r>
      <w:proofErr w:type="spellEnd"/>
      <w:r w:rsidR="00546610">
        <w:rPr>
          <w:rFonts w:cs="Times New Roman"/>
          <w:szCs w:val="24"/>
        </w:rPr>
        <w:t xml:space="preserve"> s názvem „</w:t>
      </w:r>
      <w:r w:rsidR="00546610" w:rsidRPr="00E85596">
        <w:rPr>
          <w:rFonts w:cs="Times New Roman"/>
          <w:i/>
          <w:iCs/>
          <w:szCs w:val="24"/>
        </w:rPr>
        <w:t>„</w:t>
      </w:r>
      <w:proofErr w:type="spellStart"/>
      <w:r w:rsidR="00546610" w:rsidRPr="00E85596">
        <w:rPr>
          <w:rFonts w:cs="Times New Roman"/>
          <w:i/>
          <w:iCs/>
          <w:szCs w:val="24"/>
        </w:rPr>
        <w:t>Constitutional</w:t>
      </w:r>
      <w:proofErr w:type="spellEnd"/>
      <w:r w:rsidR="00546610" w:rsidRPr="00E85596">
        <w:rPr>
          <w:rFonts w:cs="Times New Roman"/>
          <w:i/>
          <w:iCs/>
          <w:szCs w:val="24"/>
        </w:rPr>
        <w:t xml:space="preserve"> Agenda-</w:t>
      </w:r>
      <w:proofErr w:type="spellStart"/>
      <w:r w:rsidR="00546610" w:rsidRPr="00E85596">
        <w:rPr>
          <w:rFonts w:cs="Times New Roman"/>
          <w:i/>
          <w:iCs/>
          <w:szCs w:val="24"/>
        </w:rPr>
        <w:t>Setting</w:t>
      </w:r>
      <w:proofErr w:type="spellEnd"/>
      <w:r w:rsidR="00546610" w:rsidRPr="00E85596">
        <w:rPr>
          <w:rFonts w:cs="Times New Roman"/>
          <w:i/>
          <w:iCs/>
          <w:szCs w:val="24"/>
        </w:rPr>
        <w:t xml:space="preserve"> </w:t>
      </w:r>
      <w:proofErr w:type="spellStart"/>
      <w:r w:rsidR="00546610" w:rsidRPr="00E85596">
        <w:rPr>
          <w:rFonts w:cs="Times New Roman"/>
          <w:i/>
          <w:iCs/>
          <w:szCs w:val="24"/>
        </w:rPr>
        <w:t>Through</w:t>
      </w:r>
      <w:proofErr w:type="spellEnd"/>
      <w:r w:rsidR="00546610" w:rsidRPr="00E85596">
        <w:rPr>
          <w:rFonts w:cs="Times New Roman"/>
          <w:i/>
          <w:iCs/>
          <w:szCs w:val="24"/>
        </w:rPr>
        <w:t xml:space="preserve"> </w:t>
      </w:r>
      <w:proofErr w:type="spellStart"/>
      <w:r w:rsidR="00546610" w:rsidRPr="00E85596">
        <w:rPr>
          <w:rFonts w:cs="Times New Roman"/>
          <w:i/>
          <w:iCs/>
          <w:szCs w:val="24"/>
        </w:rPr>
        <w:t>Dicretion</w:t>
      </w:r>
      <w:proofErr w:type="spellEnd"/>
      <w:r w:rsidR="00546610" w:rsidRPr="00E85596">
        <w:rPr>
          <w:rFonts w:cs="Times New Roman"/>
          <w:i/>
          <w:iCs/>
          <w:szCs w:val="24"/>
        </w:rPr>
        <w:t xml:space="preserve"> in Rule </w:t>
      </w:r>
      <w:proofErr w:type="spellStart"/>
      <w:r w:rsidR="00546610" w:rsidRPr="00E85596">
        <w:rPr>
          <w:rFonts w:cs="Times New Roman"/>
          <w:i/>
          <w:iCs/>
          <w:szCs w:val="24"/>
        </w:rPr>
        <w:t>Interpretation</w:t>
      </w:r>
      <w:proofErr w:type="spellEnd"/>
      <w:r w:rsidR="00546610" w:rsidRPr="00E85596">
        <w:rPr>
          <w:rFonts w:cs="Times New Roman"/>
          <w:i/>
          <w:iCs/>
          <w:szCs w:val="24"/>
        </w:rPr>
        <w:t xml:space="preserve">: </w:t>
      </w:r>
      <w:proofErr w:type="spellStart"/>
      <w:r w:rsidR="00546610" w:rsidRPr="00E85596">
        <w:rPr>
          <w:rFonts w:cs="Times New Roman"/>
          <w:i/>
          <w:iCs/>
          <w:szCs w:val="24"/>
        </w:rPr>
        <w:t>Why</w:t>
      </w:r>
      <w:proofErr w:type="spellEnd"/>
      <w:r w:rsidR="00546610" w:rsidRPr="00E85596">
        <w:rPr>
          <w:rFonts w:cs="Times New Roman"/>
          <w:i/>
          <w:iCs/>
          <w:szCs w:val="24"/>
        </w:rPr>
        <w:t xml:space="preserve"> </w:t>
      </w:r>
      <w:proofErr w:type="spellStart"/>
      <w:r w:rsidR="00546610" w:rsidRPr="00E85596">
        <w:rPr>
          <w:rFonts w:cs="Times New Roman"/>
          <w:i/>
          <w:iCs/>
          <w:szCs w:val="24"/>
        </w:rPr>
        <w:t>the</w:t>
      </w:r>
      <w:proofErr w:type="spellEnd"/>
      <w:r w:rsidR="00546610" w:rsidRPr="00E85596">
        <w:rPr>
          <w:rFonts w:cs="Times New Roman"/>
          <w:i/>
          <w:iCs/>
          <w:szCs w:val="24"/>
        </w:rPr>
        <w:t xml:space="preserve"> </w:t>
      </w:r>
      <w:proofErr w:type="spellStart"/>
      <w:r w:rsidR="00546610" w:rsidRPr="00E85596">
        <w:rPr>
          <w:rFonts w:cs="Times New Roman"/>
          <w:i/>
          <w:iCs/>
          <w:szCs w:val="24"/>
        </w:rPr>
        <w:t>European</w:t>
      </w:r>
      <w:proofErr w:type="spellEnd"/>
      <w:r w:rsidR="00546610" w:rsidRPr="00E85596">
        <w:rPr>
          <w:rFonts w:cs="Times New Roman"/>
          <w:i/>
          <w:iCs/>
          <w:szCs w:val="24"/>
        </w:rPr>
        <w:t xml:space="preserve"> </w:t>
      </w:r>
      <w:proofErr w:type="spellStart"/>
      <w:r w:rsidR="00546610" w:rsidRPr="00E85596">
        <w:rPr>
          <w:rFonts w:cs="Times New Roman"/>
          <w:i/>
          <w:iCs/>
          <w:szCs w:val="24"/>
        </w:rPr>
        <w:t>Parliament</w:t>
      </w:r>
      <w:proofErr w:type="spellEnd"/>
      <w:r w:rsidR="00546610" w:rsidRPr="00E85596">
        <w:rPr>
          <w:rFonts w:cs="Times New Roman"/>
          <w:i/>
          <w:iCs/>
          <w:szCs w:val="24"/>
        </w:rPr>
        <w:t xml:space="preserve"> </w:t>
      </w:r>
      <w:proofErr w:type="spellStart"/>
      <w:r w:rsidR="00546610" w:rsidRPr="00E85596">
        <w:rPr>
          <w:rFonts w:cs="Times New Roman"/>
          <w:i/>
          <w:iCs/>
          <w:szCs w:val="24"/>
        </w:rPr>
        <w:t>Won</w:t>
      </w:r>
      <w:proofErr w:type="spellEnd"/>
      <w:r w:rsidR="00546610" w:rsidRPr="00E85596">
        <w:rPr>
          <w:rFonts w:cs="Times New Roman"/>
          <w:i/>
          <w:iCs/>
          <w:szCs w:val="24"/>
        </w:rPr>
        <w:t xml:space="preserve"> </w:t>
      </w:r>
      <w:proofErr w:type="spellStart"/>
      <w:r w:rsidR="00546610" w:rsidRPr="00E85596">
        <w:rPr>
          <w:rFonts w:cs="Times New Roman"/>
          <w:i/>
          <w:iCs/>
          <w:szCs w:val="24"/>
        </w:rPr>
        <w:t>at</w:t>
      </w:r>
      <w:proofErr w:type="spellEnd"/>
      <w:r w:rsidR="00546610" w:rsidRPr="00E85596">
        <w:rPr>
          <w:rFonts w:cs="Times New Roman"/>
          <w:i/>
          <w:iCs/>
          <w:szCs w:val="24"/>
        </w:rPr>
        <w:t xml:space="preserve"> Amsterdam?“</w:t>
      </w:r>
      <w:r w:rsidR="00546610">
        <w:rPr>
          <w:rFonts w:cs="Times New Roman"/>
          <w:i/>
          <w:iCs/>
          <w:szCs w:val="24"/>
        </w:rPr>
        <w:t xml:space="preserve">. </w:t>
      </w:r>
      <w:r w:rsidR="00546610">
        <w:rPr>
          <w:rFonts w:cs="Times New Roman"/>
          <w:szCs w:val="24"/>
        </w:rPr>
        <w:t>V </w:t>
      </w:r>
      <w:r w:rsidR="00051427">
        <w:rPr>
          <w:rFonts w:cs="Times New Roman"/>
          <w:szCs w:val="24"/>
        </w:rPr>
        <w:t>dané</w:t>
      </w:r>
      <w:r w:rsidR="00546610">
        <w:rPr>
          <w:rFonts w:cs="Times New Roman"/>
          <w:szCs w:val="24"/>
        </w:rPr>
        <w:t xml:space="preserve"> publikaci autor představuje </w:t>
      </w:r>
      <w:r w:rsidR="008F1D17">
        <w:rPr>
          <w:rFonts w:cs="Times New Roman"/>
          <w:szCs w:val="24"/>
        </w:rPr>
        <w:t xml:space="preserve">svou teorii, proč bylo zapotřebí nové smlouvy tak krátce po přijetí Maastrichtské smlouvy. Autor v práci uvádí argumenty, které jeho teorii podporují a následně ji podrobuje testování. </w:t>
      </w:r>
      <w:r w:rsidR="00275F09">
        <w:rPr>
          <w:rFonts w:cs="Times New Roman"/>
          <w:szCs w:val="24"/>
        </w:rPr>
        <w:t xml:space="preserve">Při zkoumání reforem zavedených v rámci Niceské smlouvy </w:t>
      </w:r>
      <w:r w:rsidR="00F02A37">
        <w:rPr>
          <w:rFonts w:cs="Times New Roman"/>
          <w:szCs w:val="24"/>
        </w:rPr>
        <w:t>autorka</w:t>
      </w:r>
      <w:r w:rsidR="00275F09">
        <w:rPr>
          <w:rFonts w:cs="Times New Roman"/>
          <w:szCs w:val="24"/>
        </w:rPr>
        <w:t xml:space="preserve"> vycházela z publikace od Franklina </w:t>
      </w:r>
      <w:proofErr w:type="spellStart"/>
      <w:r w:rsidR="00275F09">
        <w:rPr>
          <w:rFonts w:cs="Times New Roman"/>
          <w:szCs w:val="24"/>
        </w:rPr>
        <w:t>Dehousse</w:t>
      </w:r>
      <w:proofErr w:type="spellEnd"/>
      <w:r w:rsidR="00F57EF3">
        <w:rPr>
          <w:rFonts w:cs="Times New Roman"/>
          <w:szCs w:val="24"/>
        </w:rPr>
        <w:t xml:space="preserve"> </w:t>
      </w:r>
      <w:r w:rsidR="00F57EF3" w:rsidRPr="00B9504E">
        <w:rPr>
          <w:rFonts w:cs="Times New Roman"/>
          <w:i/>
          <w:iCs/>
          <w:szCs w:val="24"/>
        </w:rPr>
        <w:t>„</w:t>
      </w:r>
      <w:proofErr w:type="spellStart"/>
      <w:r w:rsidR="00F57EF3" w:rsidRPr="00B9504E">
        <w:rPr>
          <w:rFonts w:cs="Times New Roman"/>
          <w:i/>
          <w:iCs/>
          <w:szCs w:val="24"/>
        </w:rPr>
        <w:t>The</w:t>
      </w:r>
      <w:proofErr w:type="spellEnd"/>
      <w:r w:rsidR="00F57EF3" w:rsidRPr="00B9504E">
        <w:rPr>
          <w:rFonts w:cs="Times New Roman"/>
          <w:i/>
          <w:iCs/>
          <w:szCs w:val="24"/>
        </w:rPr>
        <w:t xml:space="preserve"> </w:t>
      </w:r>
      <w:proofErr w:type="spellStart"/>
      <w:r w:rsidR="00F57EF3" w:rsidRPr="00B9504E">
        <w:rPr>
          <w:rFonts w:cs="Times New Roman"/>
          <w:i/>
          <w:iCs/>
          <w:szCs w:val="24"/>
        </w:rPr>
        <w:t>Treaty</w:t>
      </w:r>
      <w:proofErr w:type="spellEnd"/>
      <w:r w:rsidR="00F57EF3" w:rsidRPr="00B9504E">
        <w:rPr>
          <w:rFonts w:cs="Times New Roman"/>
          <w:i/>
          <w:iCs/>
          <w:szCs w:val="24"/>
        </w:rPr>
        <w:t xml:space="preserve"> </w:t>
      </w:r>
      <w:proofErr w:type="spellStart"/>
      <w:r w:rsidR="00F57EF3" w:rsidRPr="00B9504E">
        <w:rPr>
          <w:rFonts w:cs="Times New Roman"/>
          <w:i/>
          <w:iCs/>
          <w:szCs w:val="24"/>
        </w:rPr>
        <w:t>of</w:t>
      </w:r>
      <w:proofErr w:type="spellEnd"/>
      <w:r w:rsidR="00F57EF3" w:rsidRPr="00B9504E">
        <w:rPr>
          <w:rFonts w:cs="Times New Roman"/>
          <w:i/>
          <w:iCs/>
          <w:szCs w:val="24"/>
        </w:rPr>
        <w:t xml:space="preserve"> Nice: A </w:t>
      </w:r>
      <w:proofErr w:type="spellStart"/>
      <w:r w:rsidR="00F57EF3" w:rsidRPr="00B9504E">
        <w:rPr>
          <w:rFonts w:cs="Times New Roman"/>
          <w:i/>
          <w:iCs/>
          <w:szCs w:val="24"/>
        </w:rPr>
        <w:t>Watershed</w:t>
      </w:r>
      <w:proofErr w:type="spellEnd"/>
      <w:r w:rsidR="00F57EF3" w:rsidRPr="00B9504E">
        <w:rPr>
          <w:rFonts w:cs="Times New Roman"/>
          <w:i/>
          <w:iCs/>
          <w:szCs w:val="24"/>
        </w:rPr>
        <w:t xml:space="preserve"> in </w:t>
      </w:r>
      <w:proofErr w:type="spellStart"/>
      <w:r w:rsidR="00F57EF3" w:rsidRPr="00B9504E">
        <w:rPr>
          <w:rFonts w:cs="Times New Roman"/>
          <w:i/>
          <w:iCs/>
          <w:szCs w:val="24"/>
        </w:rPr>
        <w:t>The</w:t>
      </w:r>
      <w:proofErr w:type="spellEnd"/>
      <w:r w:rsidR="00F57EF3" w:rsidRPr="00B9504E">
        <w:rPr>
          <w:rFonts w:cs="Times New Roman"/>
          <w:i/>
          <w:iCs/>
          <w:szCs w:val="24"/>
        </w:rPr>
        <w:t xml:space="preserve"> </w:t>
      </w:r>
      <w:proofErr w:type="spellStart"/>
      <w:r w:rsidR="00F57EF3" w:rsidRPr="00B9504E">
        <w:rPr>
          <w:rFonts w:cs="Times New Roman"/>
          <w:i/>
          <w:iCs/>
          <w:szCs w:val="24"/>
        </w:rPr>
        <w:t>History</w:t>
      </w:r>
      <w:proofErr w:type="spellEnd"/>
      <w:r w:rsidR="00F57EF3" w:rsidRPr="00B9504E">
        <w:rPr>
          <w:rFonts w:cs="Times New Roman"/>
          <w:i/>
          <w:iCs/>
          <w:szCs w:val="24"/>
        </w:rPr>
        <w:t xml:space="preserve"> </w:t>
      </w:r>
      <w:proofErr w:type="spellStart"/>
      <w:r w:rsidR="00F57EF3" w:rsidRPr="00B9504E">
        <w:rPr>
          <w:rFonts w:cs="Times New Roman"/>
          <w:i/>
          <w:iCs/>
          <w:szCs w:val="24"/>
        </w:rPr>
        <w:t>European</w:t>
      </w:r>
      <w:proofErr w:type="spellEnd"/>
      <w:r w:rsidR="00F57EF3" w:rsidRPr="00B9504E">
        <w:rPr>
          <w:rFonts w:cs="Times New Roman"/>
          <w:i/>
          <w:iCs/>
          <w:szCs w:val="24"/>
        </w:rPr>
        <w:t xml:space="preserve"> </w:t>
      </w:r>
      <w:proofErr w:type="spellStart"/>
      <w:r w:rsidR="00F57EF3" w:rsidRPr="00B9504E">
        <w:rPr>
          <w:rFonts w:cs="Times New Roman"/>
          <w:i/>
          <w:iCs/>
          <w:szCs w:val="24"/>
        </w:rPr>
        <w:t>Integration</w:t>
      </w:r>
      <w:proofErr w:type="spellEnd"/>
      <w:r w:rsidR="00F57EF3" w:rsidRPr="00B9504E">
        <w:rPr>
          <w:rFonts w:cs="Times New Roman"/>
          <w:i/>
          <w:iCs/>
          <w:szCs w:val="24"/>
        </w:rPr>
        <w:t>“</w:t>
      </w:r>
      <w:r w:rsidR="00F57EF3">
        <w:rPr>
          <w:rFonts w:cs="Times New Roman"/>
          <w:i/>
          <w:iCs/>
          <w:szCs w:val="24"/>
        </w:rPr>
        <w:t>.</w:t>
      </w:r>
      <w:r w:rsidR="00F57EF3">
        <w:rPr>
          <w:rFonts w:cs="Times New Roman"/>
          <w:szCs w:val="24"/>
        </w:rPr>
        <w:t xml:space="preserve"> Autor se v této práci zabývá detailní analýzou jednotlivých institucionálních změn, které tato smlouva zavedla, což s ohledem na povahu této práce považuji za klíčové.</w:t>
      </w:r>
    </w:p>
    <w:p w14:paraId="52288DA5" w14:textId="16DCF2A1" w:rsidR="00B85A42" w:rsidRPr="00687F9D" w:rsidRDefault="00B85A42" w:rsidP="0016685D">
      <w:pPr>
        <w:spacing w:line="360" w:lineRule="auto"/>
        <w:ind w:right="-2"/>
        <w:rPr>
          <w:rFonts w:cs="Times New Roman"/>
          <w:szCs w:val="24"/>
        </w:rPr>
      </w:pPr>
      <w:r>
        <w:t xml:space="preserve">Změny, </w:t>
      </w:r>
      <w:r w:rsidR="009611E1">
        <w:t>jež</w:t>
      </w:r>
      <w:r>
        <w:t xml:space="preserve"> Lisabonská smlouva zavedla</w:t>
      </w:r>
      <w:r w:rsidR="009611E1">
        <w:t>,</w:t>
      </w:r>
      <w:r>
        <w:t xml:space="preserve"> </w:t>
      </w:r>
      <w:r w:rsidR="00F02A37">
        <w:t xml:space="preserve">autorka </w:t>
      </w:r>
      <w:r>
        <w:t>vypracovala na základě informací získaných právě z </w:t>
      </w:r>
      <w:r w:rsidR="009611E1">
        <w:t>dané</w:t>
      </w:r>
      <w:r>
        <w:t xml:space="preserve"> smlouvy. Za účelem poskytnutí komplexní p</w:t>
      </w:r>
      <w:r w:rsidR="009611E1">
        <w:t>ředstavy o zavedených reformách</w:t>
      </w:r>
      <w:r>
        <w:t xml:space="preserve"> bylo nutné vycházet také ze zdrojů sekundární literatury. Při zkoumání mechanismu barevných karet </w:t>
      </w:r>
      <w:r w:rsidR="00F02A37">
        <w:t xml:space="preserve">autorka </w:t>
      </w:r>
      <w:r>
        <w:t xml:space="preserve">vycházela z publikací dvou autorů, </w:t>
      </w:r>
      <w:proofErr w:type="spellStart"/>
      <w:r>
        <w:t>Rafaella</w:t>
      </w:r>
      <w:proofErr w:type="spellEnd"/>
      <w:r>
        <w:t xml:space="preserve"> </w:t>
      </w:r>
      <w:proofErr w:type="spellStart"/>
      <w:r>
        <w:t>Matarazza</w:t>
      </w:r>
      <w:proofErr w:type="spellEnd"/>
      <w:r>
        <w:t xml:space="preserve"> </w:t>
      </w:r>
      <w:r w:rsidR="00FC1645">
        <w:t>(</w:t>
      </w:r>
      <w:r w:rsidR="00FC1645" w:rsidRPr="000A4F71">
        <w:rPr>
          <w:i/>
          <w:iCs/>
        </w:rPr>
        <w:t>„</w:t>
      </w:r>
      <w:proofErr w:type="spellStart"/>
      <w:r w:rsidR="00FC1645" w:rsidRPr="000A4F71">
        <w:rPr>
          <w:i/>
          <w:iCs/>
        </w:rPr>
        <w:t>Democracy</w:t>
      </w:r>
      <w:proofErr w:type="spellEnd"/>
      <w:r w:rsidR="00FC1645" w:rsidRPr="000A4F71">
        <w:rPr>
          <w:i/>
          <w:iCs/>
        </w:rPr>
        <w:t xml:space="preserve"> in EU </w:t>
      </w:r>
      <w:proofErr w:type="spellStart"/>
      <w:r w:rsidR="00FC1645" w:rsidRPr="000A4F71">
        <w:rPr>
          <w:i/>
          <w:iCs/>
        </w:rPr>
        <w:t>after</w:t>
      </w:r>
      <w:proofErr w:type="spellEnd"/>
      <w:r w:rsidR="00FC1645" w:rsidRPr="000A4F71">
        <w:rPr>
          <w:i/>
          <w:iCs/>
        </w:rPr>
        <w:t xml:space="preserve"> </w:t>
      </w:r>
      <w:proofErr w:type="spellStart"/>
      <w:r w:rsidR="00FC1645" w:rsidRPr="000A4F71">
        <w:rPr>
          <w:i/>
          <w:iCs/>
        </w:rPr>
        <w:t>the</w:t>
      </w:r>
      <w:proofErr w:type="spellEnd"/>
      <w:r w:rsidR="00FC1645" w:rsidRPr="000A4F71">
        <w:rPr>
          <w:i/>
          <w:iCs/>
        </w:rPr>
        <w:t xml:space="preserve"> </w:t>
      </w:r>
      <w:proofErr w:type="spellStart"/>
      <w:r w:rsidR="00FC1645" w:rsidRPr="000A4F71">
        <w:rPr>
          <w:i/>
          <w:iCs/>
        </w:rPr>
        <w:t>Lisbon</w:t>
      </w:r>
      <w:proofErr w:type="spellEnd"/>
      <w:r w:rsidR="00FC1645" w:rsidRPr="000A4F71">
        <w:rPr>
          <w:i/>
          <w:iCs/>
        </w:rPr>
        <w:t xml:space="preserve"> </w:t>
      </w:r>
      <w:proofErr w:type="spellStart"/>
      <w:r w:rsidR="00FC1645" w:rsidRPr="000A4F71">
        <w:rPr>
          <w:i/>
          <w:iCs/>
        </w:rPr>
        <w:t>Treaty</w:t>
      </w:r>
      <w:proofErr w:type="spellEnd"/>
      <w:r w:rsidR="00FC1645" w:rsidRPr="000A4F71">
        <w:rPr>
          <w:i/>
          <w:iCs/>
        </w:rPr>
        <w:t>“</w:t>
      </w:r>
      <w:r w:rsidR="00FC1645">
        <w:t xml:space="preserve">) </w:t>
      </w:r>
      <w:r>
        <w:t>a Roberta Schütze</w:t>
      </w:r>
      <w:r w:rsidR="00FC1645">
        <w:t xml:space="preserve"> (</w:t>
      </w:r>
      <w:r w:rsidR="00FC1645" w:rsidRPr="00FC1645">
        <w:rPr>
          <w:i/>
          <w:iCs/>
        </w:rPr>
        <w:t xml:space="preserve">„Subsidiarity </w:t>
      </w:r>
      <w:proofErr w:type="spellStart"/>
      <w:r w:rsidR="00FC1645" w:rsidRPr="00FC1645">
        <w:rPr>
          <w:i/>
          <w:iCs/>
        </w:rPr>
        <w:t>after</w:t>
      </w:r>
      <w:proofErr w:type="spellEnd"/>
      <w:r w:rsidR="00FC1645" w:rsidRPr="00FC1645">
        <w:rPr>
          <w:i/>
          <w:iCs/>
        </w:rPr>
        <w:t xml:space="preserve"> </w:t>
      </w:r>
      <w:proofErr w:type="spellStart"/>
      <w:r w:rsidR="00FC1645" w:rsidRPr="00FC1645">
        <w:rPr>
          <w:i/>
          <w:iCs/>
        </w:rPr>
        <w:t>Lisbon</w:t>
      </w:r>
      <w:proofErr w:type="spellEnd"/>
      <w:r w:rsidR="00FC1645" w:rsidRPr="00FC1645">
        <w:rPr>
          <w:i/>
          <w:iCs/>
        </w:rPr>
        <w:t xml:space="preserve">: </w:t>
      </w:r>
      <w:proofErr w:type="spellStart"/>
      <w:r w:rsidR="00FC1645" w:rsidRPr="00FC1645">
        <w:rPr>
          <w:i/>
          <w:iCs/>
        </w:rPr>
        <w:t>Reinforcing</w:t>
      </w:r>
      <w:proofErr w:type="spellEnd"/>
      <w:r w:rsidR="00FC1645" w:rsidRPr="00FC1645">
        <w:rPr>
          <w:i/>
          <w:iCs/>
        </w:rPr>
        <w:t xml:space="preserve"> </w:t>
      </w:r>
      <w:proofErr w:type="spellStart"/>
      <w:r w:rsidR="00FC1645" w:rsidRPr="00FC1645">
        <w:rPr>
          <w:i/>
          <w:iCs/>
        </w:rPr>
        <w:t>the</w:t>
      </w:r>
      <w:proofErr w:type="spellEnd"/>
      <w:r w:rsidR="00FC1645" w:rsidRPr="00FC1645">
        <w:rPr>
          <w:i/>
          <w:iCs/>
        </w:rPr>
        <w:t xml:space="preserve"> </w:t>
      </w:r>
      <w:proofErr w:type="spellStart"/>
      <w:r w:rsidR="00FC1645" w:rsidRPr="00FC1645">
        <w:rPr>
          <w:i/>
          <w:iCs/>
        </w:rPr>
        <w:t>Safeguards</w:t>
      </w:r>
      <w:proofErr w:type="spellEnd"/>
      <w:r w:rsidR="00FC1645" w:rsidRPr="00FC1645">
        <w:rPr>
          <w:i/>
          <w:iCs/>
        </w:rPr>
        <w:t xml:space="preserve"> </w:t>
      </w:r>
      <w:proofErr w:type="spellStart"/>
      <w:r w:rsidR="00FC1645" w:rsidRPr="00FC1645">
        <w:rPr>
          <w:i/>
          <w:iCs/>
        </w:rPr>
        <w:t>of</w:t>
      </w:r>
      <w:proofErr w:type="spellEnd"/>
      <w:r w:rsidR="00FC1645" w:rsidRPr="00FC1645">
        <w:rPr>
          <w:i/>
          <w:iCs/>
        </w:rPr>
        <w:t xml:space="preserve"> </w:t>
      </w:r>
      <w:proofErr w:type="spellStart"/>
      <w:r w:rsidR="00FC1645" w:rsidRPr="00FC1645">
        <w:rPr>
          <w:i/>
          <w:iCs/>
        </w:rPr>
        <w:t>Federalism</w:t>
      </w:r>
      <w:proofErr w:type="spellEnd"/>
      <w:r w:rsidR="00FC1645" w:rsidRPr="00FC1645">
        <w:rPr>
          <w:i/>
          <w:iCs/>
        </w:rPr>
        <w:t>?“</w:t>
      </w:r>
      <w:r w:rsidR="00FC1645">
        <w:t>).</w:t>
      </w:r>
      <w:r w:rsidR="0086666A">
        <w:t xml:space="preserve"> Schütze se ve</w:t>
      </w:r>
      <w:r w:rsidR="00A042D0">
        <w:t xml:space="preserve"> své práci zabývá zejména mechanismem </w:t>
      </w:r>
      <w:r w:rsidR="00A042D0" w:rsidRPr="00A042D0">
        <w:rPr>
          <w:i/>
          <w:iCs/>
        </w:rPr>
        <w:t>„červené karty“</w:t>
      </w:r>
      <w:r w:rsidR="00A042D0">
        <w:t>,</w:t>
      </w:r>
      <w:r w:rsidR="0086666A">
        <w:t xml:space="preserve"> představuje názory na tento mechanismus jak jeho zastánců, tak i odpůrců</w:t>
      </w:r>
      <w:r w:rsidR="009611E1">
        <w:t>,</w:t>
      </w:r>
      <w:r w:rsidR="0086666A">
        <w:t xml:space="preserve"> a doplňuje tak publikaci od </w:t>
      </w:r>
      <w:proofErr w:type="spellStart"/>
      <w:r w:rsidR="0086666A">
        <w:t>Rafaella</w:t>
      </w:r>
      <w:proofErr w:type="spellEnd"/>
      <w:r w:rsidR="0086666A">
        <w:t xml:space="preserve"> </w:t>
      </w:r>
      <w:proofErr w:type="spellStart"/>
      <w:r w:rsidR="0086666A">
        <w:t>Matarazza</w:t>
      </w:r>
      <w:proofErr w:type="spellEnd"/>
      <w:r w:rsidR="0086666A">
        <w:t>, jež se zabývá především formální stránkou zaveden</w:t>
      </w:r>
      <w:r w:rsidR="00645B55">
        <w:t xml:space="preserve">ých </w:t>
      </w:r>
      <w:r w:rsidR="0086666A">
        <w:t>mechanism</w:t>
      </w:r>
      <w:r w:rsidR="00645B55">
        <w:t>ů</w:t>
      </w:r>
      <w:r w:rsidR="0086666A">
        <w:rPr>
          <w:i/>
          <w:iCs/>
        </w:rPr>
        <w:t xml:space="preserve"> „žluté“</w:t>
      </w:r>
      <w:r w:rsidR="0086666A">
        <w:t xml:space="preserve"> a </w:t>
      </w:r>
      <w:r w:rsidR="0086666A" w:rsidRPr="0086666A">
        <w:rPr>
          <w:i/>
          <w:iCs/>
        </w:rPr>
        <w:t>„oranžové“</w:t>
      </w:r>
      <w:r w:rsidR="0086666A">
        <w:t xml:space="preserve"> karty.</w:t>
      </w:r>
      <w:r w:rsidR="00645B55">
        <w:t xml:space="preserve"> </w:t>
      </w:r>
      <w:r w:rsidR="009611E1">
        <w:t>Vydané dílo</w:t>
      </w:r>
      <w:r w:rsidR="00645B55">
        <w:t xml:space="preserve"> od</w:t>
      </w:r>
      <w:r w:rsidR="009611E1">
        <w:t xml:space="preserve"> </w:t>
      </w:r>
      <w:proofErr w:type="spellStart"/>
      <w:r w:rsidR="009611E1">
        <w:t>Rafaella</w:t>
      </w:r>
      <w:proofErr w:type="spellEnd"/>
      <w:r w:rsidR="009611E1">
        <w:t xml:space="preserve"> </w:t>
      </w:r>
      <w:proofErr w:type="spellStart"/>
      <w:r w:rsidR="009611E1">
        <w:t>Matarazza</w:t>
      </w:r>
      <w:proofErr w:type="spellEnd"/>
      <w:r w:rsidR="009611E1">
        <w:t xml:space="preserve"> bylo</w:t>
      </w:r>
      <w:r w:rsidR="00645B55">
        <w:t xml:space="preserve"> velkým přínosem také při zkoumání reformy v rámci ročního legislativního programu, jelikož dostupnost prací, které by se touto reformou zabývaly</w:t>
      </w:r>
      <w:r w:rsidR="009611E1">
        <w:t>,</w:t>
      </w:r>
      <w:r w:rsidR="00645B55">
        <w:t xml:space="preserve"> je velmi </w:t>
      </w:r>
      <w:r w:rsidR="00645B55">
        <w:lastRenderedPageBreak/>
        <w:t>omezená. Při psaní podkapitoly věnující se posílení pravomocí Evropského parlamentu v rámci spolurozhodová</w:t>
      </w:r>
      <w:r w:rsidR="004321C7">
        <w:t>ní s R</w:t>
      </w:r>
      <w:r w:rsidR="00645B55">
        <w:t xml:space="preserve">adou ministrů byly klíčové především dvě publikace, </w:t>
      </w:r>
      <w:r w:rsidR="00645B55" w:rsidRPr="00E363AA">
        <w:rPr>
          <w:i/>
          <w:iCs/>
        </w:rPr>
        <w:t>„</w:t>
      </w:r>
      <w:proofErr w:type="spellStart"/>
      <w:r w:rsidR="00645B55" w:rsidRPr="00E363AA">
        <w:rPr>
          <w:i/>
          <w:iCs/>
        </w:rPr>
        <w:t>The</w:t>
      </w:r>
      <w:proofErr w:type="spellEnd"/>
      <w:r w:rsidR="00645B55" w:rsidRPr="00E363AA">
        <w:rPr>
          <w:i/>
          <w:iCs/>
        </w:rPr>
        <w:t xml:space="preserve"> </w:t>
      </w:r>
      <w:proofErr w:type="spellStart"/>
      <w:r w:rsidR="00645B55" w:rsidRPr="00E363AA">
        <w:rPr>
          <w:i/>
          <w:iCs/>
        </w:rPr>
        <w:t>Birth</w:t>
      </w:r>
      <w:proofErr w:type="spellEnd"/>
      <w:r w:rsidR="00645B55" w:rsidRPr="00E363AA">
        <w:rPr>
          <w:i/>
          <w:iCs/>
        </w:rPr>
        <w:t xml:space="preserve"> </w:t>
      </w:r>
      <w:proofErr w:type="spellStart"/>
      <w:r w:rsidR="00645B55" w:rsidRPr="00E363AA">
        <w:rPr>
          <w:i/>
          <w:iCs/>
        </w:rPr>
        <w:t>of</w:t>
      </w:r>
      <w:proofErr w:type="spellEnd"/>
      <w:r w:rsidR="00645B55" w:rsidRPr="00E363AA">
        <w:rPr>
          <w:i/>
          <w:iCs/>
        </w:rPr>
        <w:t xml:space="preserve"> </w:t>
      </w:r>
      <w:proofErr w:type="spellStart"/>
      <w:r w:rsidR="00645B55" w:rsidRPr="00E363AA">
        <w:rPr>
          <w:i/>
          <w:iCs/>
        </w:rPr>
        <w:t>Legislature</w:t>
      </w:r>
      <w:proofErr w:type="spellEnd"/>
      <w:r w:rsidR="00645B55" w:rsidRPr="00E363AA">
        <w:rPr>
          <w:i/>
          <w:iCs/>
        </w:rPr>
        <w:t xml:space="preserve">: </w:t>
      </w:r>
      <w:proofErr w:type="spellStart"/>
      <w:r w:rsidR="00645B55" w:rsidRPr="00E363AA">
        <w:rPr>
          <w:i/>
          <w:iCs/>
        </w:rPr>
        <w:t>The</w:t>
      </w:r>
      <w:proofErr w:type="spellEnd"/>
      <w:r w:rsidR="00645B55" w:rsidRPr="00E363AA">
        <w:rPr>
          <w:i/>
          <w:iCs/>
        </w:rPr>
        <w:t xml:space="preserve"> EU </w:t>
      </w:r>
      <w:proofErr w:type="spellStart"/>
      <w:r w:rsidR="00645B55" w:rsidRPr="00E363AA">
        <w:rPr>
          <w:i/>
          <w:iCs/>
        </w:rPr>
        <w:t>Parliament</w:t>
      </w:r>
      <w:proofErr w:type="spellEnd"/>
      <w:r w:rsidR="00645B55" w:rsidRPr="00E363AA">
        <w:rPr>
          <w:i/>
          <w:iCs/>
        </w:rPr>
        <w:t xml:space="preserve"> </w:t>
      </w:r>
      <w:proofErr w:type="spellStart"/>
      <w:r w:rsidR="00645B55" w:rsidRPr="00E363AA">
        <w:rPr>
          <w:i/>
          <w:iCs/>
        </w:rPr>
        <w:t>After</w:t>
      </w:r>
      <w:proofErr w:type="spellEnd"/>
      <w:r w:rsidR="00645B55" w:rsidRPr="00E363AA">
        <w:rPr>
          <w:i/>
          <w:iCs/>
        </w:rPr>
        <w:t xml:space="preserve"> </w:t>
      </w:r>
      <w:proofErr w:type="spellStart"/>
      <w:r w:rsidR="00645B55" w:rsidRPr="00E363AA">
        <w:rPr>
          <w:i/>
          <w:iCs/>
        </w:rPr>
        <w:t>the</w:t>
      </w:r>
      <w:proofErr w:type="spellEnd"/>
      <w:r w:rsidR="00645B55" w:rsidRPr="00E363AA">
        <w:rPr>
          <w:i/>
          <w:iCs/>
        </w:rPr>
        <w:t xml:space="preserve"> </w:t>
      </w:r>
      <w:proofErr w:type="spellStart"/>
      <w:r w:rsidR="00645B55" w:rsidRPr="00E363AA">
        <w:rPr>
          <w:i/>
          <w:iCs/>
        </w:rPr>
        <w:t>Lisbon</w:t>
      </w:r>
      <w:proofErr w:type="spellEnd"/>
      <w:r w:rsidR="00645B55" w:rsidRPr="00E363AA">
        <w:rPr>
          <w:i/>
          <w:iCs/>
        </w:rPr>
        <w:t xml:space="preserve"> </w:t>
      </w:r>
      <w:proofErr w:type="spellStart"/>
      <w:r w:rsidR="00645B55" w:rsidRPr="00E363AA">
        <w:rPr>
          <w:i/>
          <w:iCs/>
        </w:rPr>
        <w:t>Treaty</w:t>
      </w:r>
      <w:proofErr w:type="spellEnd"/>
      <w:r w:rsidR="00645B55" w:rsidRPr="00E363AA">
        <w:rPr>
          <w:i/>
          <w:iCs/>
        </w:rPr>
        <w:t>“</w:t>
      </w:r>
      <w:r w:rsidR="00645B55">
        <w:rPr>
          <w:i/>
          <w:iCs/>
        </w:rPr>
        <w:t xml:space="preserve"> </w:t>
      </w:r>
      <w:r w:rsidR="00645B55">
        <w:t xml:space="preserve">od </w:t>
      </w:r>
      <w:proofErr w:type="spellStart"/>
      <w:r w:rsidR="00645B55">
        <w:t>Wim</w:t>
      </w:r>
      <w:proofErr w:type="spellEnd"/>
      <w:r w:rsidR="00645B55">
        <w:t xml:space="preserve"> J. M. </w:t>
      </w:r>
      <w:proofErr w:type="spellStart"/>
      <w:r w:rsidR="00645B55">
        <w:t>Woermanse</w:t>
      </w:r>
      <w:proofErr w:type="spellEnd"/>
      <w:r w:rsidR="00645B55">
        <w:t xml:space="preserve"> </w:t>
      </w:r>
      <w:r w:rsidR="00005CB9">
        <w:t xml:space="preserve">a </w:t>
      </w:r>
      <w:r w:rsidR="00005CB9" w:rsidRPr="00E827FB">
        <w:rPr>
          <w:i/>
          <w:iCs/>
        </w:rPr>
        <w:t>„</w:t>
      </w:r>
      <w:proofErr w:type="spellStart"/>
      <w:r w:rsidR="00005CB9" w:rsidRPr="00E827FB">
        <w:rPr>
          <w:i/>
          <w:iCs/>
        </w:rPr>
        <w:t>The</w:t>
      </w:r>
      <w:proofErr w:type="spellEnd"/>
      <w:r w:rsidR="00005CB9" w:rsidRPr="00E827FB">
        <w:rPr>
          <w:i/>
          <w:iCs/>
        </w:rPr>
        <w:t xml:space="preserve"> EU budget </w:t>
      </w:r>
      <w:proofErr w:type="spellStart"/>
      <w:r w:rsidR="00005CB9" w:rsidRPr="00E827FB">
        <w:rPr>
          <w:i/>
          <w:iCs/>
        </w:rPr>
        <w:t>after</w:t>
      </w:r>
      <w:proofErr w:type="spellEnd"/>
      <w:r w:rsidR="00005CB9" w:rsidRPr="00E827FB">
        <w:rPr>
          <w:i/>
          <w:iCs/>
        </w:rPr>
        <w:t xml:space="preserve"> </w:t>
      </w:r>
      <w:proofErr w:type="spellStart"/>
      <w:r w:rsidR="00005CB9" w:rsidRPr="00E827FB">
        <w:rPr>
          <w:i/>
          <w:iCs/>
        </w:rPr>
        <w:t>Lisbon</w:t>
      </w:r>
      <w:proofErr w:type="spellEnd"/>
      <w:r w:rsidR="00005CB9" w:rsidRPr="00E827FB">
        <w:rPr>
          <w:i/>
          <w:iCs/>
        </w:rPr>
        <w:t xml:space="preserve">: Rigidity and </w:t>
      </w:r>
      <w:proofErr w:type="spellStart"/>
      <w:r w:rsidR="00005CB9" w:rsidRPr="00E827FB">
        <w:rPr>
          <w:i/>
          <w:iCs/>
        </w:rPr>
        <w:t>reduced</w:t>
      </w:r>
      <w:proofErr w:type="spellEnd"/>
      <w:r w:rsidR="00005CB9" w:rsidRPr="00E827FB">
        <w:rPr>
          <w:i/>
          <w:iCs/>
        </w:rPr>
        <w:t xml:space="preserve"> </w:t>
      </w:r>
      <w:proofErr w:type="spellStart"/>
      <w:r w:rsidR="00005CB9" w:rsidRPr="00E827FB">
        <w:rPr>
          <w:i/>
          <w:iCs/>
        </w:rPr>
        <w:t>spending</w:t>
      </w:r>
      <w:proofErr w:type="spellEnd"/>
      <w:r w:rsidR="00005CB9" w:rsidRPr="00E827FB">
        <w:rPr>
          <w:i/>
          <w:iCs/>
        </w:rPr>
        <w:t>?“</w:t>
      </w:r>
      <w:r w:rsidR="00005CB9">
        <w:rPr>
          <w:i/>
          <w:iCs/>
        </w:rPr>
        <w:t xml:space="preserve"> </w:t>
      </w:r>
      <w:r w:rsidR="00005CB9">
        <w:t xml:space="preserve">od Giacoma </w:t>
      </w:r>
      <w:proofErr w:type="spellStart"/>
      <w:r w:rsidR="00005CB9">
        <w:t>Benedetta</w:t>
      </w:r>
      <w:proofErr w:type="spellEnd"/>
      <w:r w:rsidR="00005CB9">
        <w:t>. Autor první</w:t>
      </w:r>
      <w:r w:rsidR="00F02A37">
        <w:t>ho</w:t>
      </w:r>
      <w:r w:rsidR="00005CB9">
        <w:t xml:space="preserve"> </w:t>
      </w:r>
      <w:r w:rsidR="00F02A37">
        <w:t>díla</w:t>
      </w:r>
      <w:r w:rsidR="00005CB9">
        <w:t xml:space="preserve"> kriticky zkoumá pozitiva a negativa zavedené procedury řádného legislativního postupu, což bylo s ohledem na cíl této práce velmi přínosné. V druhé publikaci od Giacoma </w:t>
      </w:r>
      <w:proofErr w:type="spellStart"/>
      <w:r w:rsidR="00005CB9">
        <w:t>Benedetta</w:t>
      </w:r>
      <w:proofErr w:type="spellEnd"/>
      <w:r w:rsidR="00005CB9">
        <w:t xml:space="preserve"> je pozornost věnována změnám v oblasti schvalování rozpočtu s odkazem na Bruselskou smlouvu</w:t>
      </w:r>
      <w:r w:rsidR="000D4870">
        <w:t xml:space="preserve">, </w:t>
      </w:r>
      <w:r w:rsidR="009611E1">
        <w:t>zmíněné dílo bylo</w:t>
      </w:r>
      <w:r w:rsidR="000D4870">
        <w:t xml:space="preserve"> přínosem především při formulování závěrů této práce. V rámci zkoumání procedury </w:t>
      </w:r>
      <w:proofErr w:type="spellStart"/>
      <w:r w:rsidR="000D4870">
        <w:t>Spitzenkandidaten</w:t>
      </w:r>
      <w:proofErr w:type="spellEnd"/>
      <w:r w:rsidR="000D4870">
        <w:t xml:space="preserve"> byl stěžejním zdrojem článek od autorů Simona </w:t>
      </w:r>
      <w:proofErr w:type="spellStart"/>
      <w:r w:rsidR="000D4870">
        <w:t>Hixe</w:t>
      </w:r>
      <w:proofErr w:type="spellEnd"/>
      <w:r w:rsidR="000D4870">
        <w:t xml:space="preserve"> a Stuarta </w:t>
      </w:r>
      <w:proofErr w:type="spellStart"/>
      <w:r w:rsidR="000D4870">
        <w:t>Wilks-Heega</w:t>
      </w:r>
      <w:proofErr w:type="spellEnd"/>
      <w:r w:rsidR="000D4870">
        <w:t xml:space="preserve"> </w:t>
      </w:r>
      <w:r w:rsidR="000D4870" w:rsidRPr="000D4870">
        <w:rPr>
          <w:i/>
          <w:iCs/>
        </w:rPr>
        <w:t>„</w:t>
      </w:r>
      <w:r w:rsidR="000D4870" w:rsidRPr="000D4870">
        <w:rPr>
          <w:rFonts w:cs="Times New Roman"/>
          <w:i/>
          <w:iCs/>
          <w:szCs w:val="24"/>
        </w:rPr>
        <w:t xml:space="preserve">Media </w:t>
      </w:r>
      <w:proofErr w:type="spellStart"/>
      <w:r w:rsidR="000D4870" w:rsidRPr="000D4870">
        <w:rPr>
          <w:rFonts w:cs="Times New Roman"/>
          <w:i/>
          <w:iCs/>
          <w:szCs w:val="24"/>
        </w:rPr>
        <w:t>coverage</w:t>
      </w:r>
      <w:proofErr w:type="spellEnd"/>
      <w:r w:rsidR="000D4870" w:rsidRPr="000D4870">
        <w:rPr>
          <w:rFonts w:cs="Times New Roman"/>
          <w:i/>
          <w:iCs/>
          <w:szCs w:val="24"/>
        </w:rPr>
        <w:t xml:space="preserve"> in Germany and </w:t>
      </w:r>
      <w:proofErr w:type="spellStart"/>
      <w:r w:rsidR="000D4870" w:rsidRPr="000D4870">
        <w:rPr>
          <w:rFonts w:cs="Times New Roman"/>
          <w:i/>
          <w:iCs/>
          <w:szCs w:val="24"/>
        </w:rPr>
        <w:t>the</w:t>
      </w:r>
      <w:proofErr w:type="spellEnd"/>
      <w:r w:rsidR="000D4870" w:rsidRPr="000D4870">
        <w:rPr>
          <w:rFonts w:cs="Times New Roman"/>
          <w:i/>
          <w:iCs/>
          <w:szCs w:val="24"/>
        </w:rPr>
        <w:t xml:space="preserve"> UK </w:t>
      </w:r>
      <w:proofErr w:type="spellStart"/>
      <w:r w:rsidR="000D4870" w:rsidRPr="000D4870">
        <w:rPr>
          <w:rFonts w:cs="Times New Roman"/>
          <w:i/>
          <w:iCs/>
          <w:szCs w:val="24"/>
        </w:rPr>
        <w:t>shows</w:t>
      </w:r>
      <w:proofErr w:type="spellEnd"/>
      <w:r w:rsidR="000D4870" w:rsidRPr="000D4870">
        <w:rPr>
          <w:rFonts w:cs="Times New Roman"/>
          <w:i/>
          <w:iCs/>
          <w:szCs w:val="24"/>
        </w:rPr>
        <w:t xml:space="preserve"> </w:t>
      </w:r>
      <w:proofErr w:type="spellStart"/>
      <w:r w:rsidR="000D4870" w:rsidRPr="000D4870">
        <w:rPr>
          <w:rFonts w:cs="Times New Roman"/>
          <w:i/>
          <w:iCs/>
          <w:szCs w:val="24"/>
        </w:rPr>
        <w:t>why</w:t>
      </w:r>
      <w:proofErr w:type="spellEnd"/>
      <w:r w:rsidR="000D4870" w:rsidRPr="000D4870">
        <w:rPr>
          <w:rFonts w:cs="Times New Roman"/>
          <w:i/>
          <w:iCs/>
          <w:szCs w:val="24"/>
        </w:rPr>
        <w:t xml:space="preserve"> </w:t>
      </w:r>
      <w:proofErr w:type="spellStart"/>
      <w:r w:rsidR="000D4870" w:rsidRPr="000D4870">
        <w:rPr>
          <w:rFonts w:cs="Times New Roman"/>
          <w:i/>
          <w:iCs/>
          <w:szCs w:val="24"/>
        </w:rPr>
        <w:t>both</w:t>
      </w:r>
      <w:proofErr w:type="spellEnd"/>
      <w:r w:rsidR="000D4870" w:rsidRPr="000D4870">
        <w:rPr>
          <w:rFonts w:cs="Times New Roman"/>
          <w:i/>
          <w:iCs/>
          <w:szCs w:val="24"/>
        </w:rPr>
        <w:t xml:space="preserve"> </w:t>
      </w:r>
      <w:proofErr w:type="spellStart"/>
      <w:r w:rsidR="000D4870" w:rsidRPr="000D4870">
        <w:rPr>
          <w:rFonts w:cs="Times New Roman"/>
          <w:i/>
          <w:iCs/>
          <w:szCs w:val="24"/>
        </w:rPr>
        <w:t>countries</w:t>
      </w:r>
      <w:proofErr w:type="spellEnd"/>
      <w:r w:rsidR="000D4870" w:rsidRPr="000D4870">
        <w:rPr>
          <w:rFonts w:cs="Times New Roman"/>
          <w:i/>
          <w:iCs/>
          <w:szCs w:val="24"/>
        </w:rPr>
        <w:t xml:space="preserve"> </w:t>
      </w:r>
      <w:proofErr w:type="spellStart"/>
      <w:r w:rsidR="000D4870" w:rsidRPr="000D4870">
        <w:rPr>
          <w:rFonts w:cs="Times New Roman"/>
          <w:i/>
          <w:iCs/>
          <w:szCs w:val="24"/>
        </w:rPr>
        <w:t>have</w:t>
      </w:r>
      <w:proofErr w:type="spellEnd"/>
      <w:r w:rsidR="000D4870" w:rsidRPr="000D4870">
        <w:rPr>
          <w:rFonts w:cs="Times New Roman"/>
          <w:i/>
          <w:iCs/>
          <w:szCs w:val="24"/>
        </w:rPr>
        <w:t xml:space="preserve"> </w:t>
      </w:r>
      <w:proofErr w:type="spellStart"/>
      <w:r w:rsidR="000D4870" w:rsidRPr="000D4870">
        <w:rPr>
          <w:rFonts w:cs="Times New Roman"/>
          <w:i/>
          <w:iCs/>
          <w:szCs w:val="24"/>
        </w:rPr>
        <w:t>radically</w:t>
      </w:r>
      <w:proofErr w:type="spellEnd"/>
      <w:r w:rsidR="000D4870" w:rsidRPr="000D4870">
        <w:rPr>
          <w:rFonts w:cs="Times New Roman"/>
          <w:i/>
          <w:iCs/>
          <w:szCs w:val="24"/>
        </w:rPr>
        <w:t xml:space="preserve"> </w:t>
      </w:r>
      <w:proofErr w:type="spellStart"/>
      <w:r w:rsidR="000D4870" w:rsidRPr="000D4870">
        <w:rPr>
          <w:rFonts w:cs="Times New Roman"/>
          <w:i/>
          <w:iCs/>
          <w:szCs w:val="24"/>
        </w:rPr>
        <w:t>different</w:t>
      </w:r>
      <w:proofErr w:type="spellEnd"/>
      <w:r w:rsidR="000D4870" w:rsidRPr="000D4870">
        <w:rPr>
          <w:rFonts w:cs="Times New Roman"/>
          <w:i/>
          <w:iCs/>
          <w:szCs w:val="24"/>
        </w:rPr>
        <w:t xml:space="preserve"> </w:t>
      </w:r>
      <w:proofErr w:type="spellStart"/>
      <w:r w:rsidR="000D4870" w:rsidRPr="000D4870">
        <w:rPr>
          <w:rFonts w:cs="Times New Roman"/>
          <w:i/>
          <w:iCs/>
          <w:szCs w:val="24"/>
        </w:rPr>
        <w:t>views</w:t>
      </w:r>
      <w:proofErr w:type="spellEnd"/>
      <w:r w:rsidR="000D4870" w:rsidRPr="000D4870">
        <w:rPr>
          <w:rFonts w:cs="Times New Roman"/>
          <w:i/>
          <w:iCs/>
          <w:szCs w:val="24"/>
        </w:rPr>
        <w:t xml:space="preserve"> </w:t>
      </w:r>
      <w:proofErr w:type="spellStart"/>
      <w:r w:rsidR="000D4870" w:rsidRPr="000D4870">
        <w:rPr>
          <w:rFonts w:cs="Times New Roman"/>
          <w:i/>
          <w:iCs/>
          <w:szCs w:val="24"/>
        </w:rPr>
        <w:t>over</w:t>
      </w:r>
      <w:proofErr w:type="spellEnd"/>
      <w:r w:rsidR="000D4870" w:rsidRPr="000D4870">
        <w:rPr>
          <w:rFonts w:cs="Times New Roman"/>
          <w:i/>
          <w:iCs/>
          <w:szCs w:val="24"/>
        </w:rPr>
        <w:t xml:space="preserve"> </w:t>
      </w:r>
      <w:proofErr w:type="spellStart"/>
      <w:r w:rsidR="000D4870" w:rsidRPr="000D4870">
        <w:rPr>
          <w:rFonts w:cs="Times New Roman"/>
          <w:i/>
          <w:iCs/>
          <w:szCs w:val="24"/>
        </w:rPr>
        <w:t>who</w:t>
      </w:r>
      <w:proofErr w:type="spellEnd"/>
      <w:r w:rsidR="000D4870" w:rsidRPr="000D4870">
        <w:rPr>
          <w:rFonts w:cs="Times New Roman"/>
          <w:i/>
          <w:iCs/>
          <w:szCs w:val="24"/>
        </w:rPr>
        <w:t xml:space="preserve"> </w:t>
      </w:r>
      <w:proofErr w:type="spellStart"/>
      <w:r w:rsidR="000D4870" w:rsidRPr="000D4870">
        <w:rPr>
          <w:rFonts w:cs="Times New Roman"/>
          <w:i/>
          <w:iCs/>
          <w:szCs w:val="24"/>
        </w:rPr>
        <w:t>should</w:t>
      </w:r>
      <w:proofErr w:type="spellEnd"/>
      <w:r w:rsidR="000D4870" w:rsidRPr="000D4870">
        <w:rPr>
          <w:rFonts w:cs="Times New Roman"/>
          <w:i/>
          <w:iCs/>
          <w:szCs w:val="24"/>
        </w:rPr>
        <w:t xml:space="preserve"> </w:t>
      </w:r>
      <w:proofErr w:type="spellStart"/>
      <w:r w:rsidR="000D4870" w:rsidRPr="000D4870">
        <w:rPr>
          <w:rFonts w:cs="Times New Roman"/>
          <w:i/>
          <w:iCs/>
          <w:szCs w:val="24"/>
        </w:rPr>
        <w:t>be</w:t>
      </w:r>
      <w:proofErr w:type="spellEnd"/>
      <w:r w:rsidR="000D4870" w:rsidRPr="000D4870">
        <w:rPr>
          <w:rFonts w:cs="Times New Roman"/>
          <w:i/>
          <w:iCs/>
          <w:szCs w:val="24"/>
        </w:rPr>
        <w:t xml:space="preserve"> </w:t>
      </w:r>
      <w:proofErr w:type="spellStart"/>
      <w:r w:rsidR="000D4870" w:rsidRPr="000D4870">
        <w:rPr>
          <w:rFonts w:cs="Times New Roman"/>
          <w:i/>
          <w:iCs/>
          <w:szCs w:val="24"/>
        </w:rPr>
        <w:t>the</w:t>
      </w:r>
      <w:proofErr w:type="spellEnd"/>
      <w:r w:rsidR="000D4870" w:rsidRPr="000D4870">
        <w:rPr>
          <w:rFonts w:cs="Times New Roman"/>
          <w:i/>
          <w:iCs/>
          <w:szCs w:val="24"/>
        </w:rPr>
        <w:t xml:space="preserve"> </w:t>
      </w:r>
      <w:proofErr w:type="spellStart"/>
      <w:r w:rsidR="000D4870" w:rsidRPr="000D4870">
        <w:rPr>
          <w:rFonts w:cs="Times New Roman"/>
          <w:i/>
          <w:iCs/>
          <w:szCs w:val="24"/>
        </w:rPr>
        <w:t>next</w:t>
      </w:r>
      <w:proofErr w:type="spellEnd"/>
      <w:r w:rsidR="000D4870" w:rsidRPr="000D4870">
        <w:rPr>
          <w:rFonts w:cs="Times New Roman"/>
          <w:i/>
          <w:iCs/>
          <w:szCs w:val="24"/>
        </w:rPr>
        <w:t xml:space="preserve"> </w:t>
      </w:r>
      <w:proofErr w:type="spellStart"/>
      <w:r w:rsidR="000D4870" w:rsidRPr="000D4870">
        <w:rPr>
          <w:rFonts w:cs="Times New Roman"/>
          <w:i/>
          <w:iCs/>
          <w:szCs w:val="24"/>
        </w:rPr>
        <w:t>Commission</w:t>
      </w:r>
      <w:proofErr w:type="spellEnd"/>
      <w:r w:rsidR="000D4870" w:rsidRPr="000D4870">
        <w:rPr>
          <w:rFonts w:cs="Times New Roman"/>
          <w:i/>
          <w:iCs/>
          <w:szCs w:val="24"/>
        </w:rPr>
        <w:t xml:space="preserve"> President“</w:t>
      </w:r>
      <w:r w:rsidR="000D4870">
        <w:rPr>
          <w:rFonts w:cs="Times New Roman"/>
          <w:szCs w:val="24"/>
        </w:rPr>
        <w:t xml:space="preserve">. Přesto, že se autoři v článku věnují </w:t>
      </w:r>
      <w:r w:rsidR="00B65B09">
        <w:rPr>
          <w:rFonts w:cs="Times New Roman"/>
          <w:szCs w:val="24"/>
        </w:rPr>
        <w:t>srovnávání pouze mezi dvěma členskými státy, poskytuje práce náhled do problematiky rozdí</w:t>
      </w:r>
      <w:r w:rsidR="00687F9D">
        <w:rPr>
          <w:rFonts w:cs="Times New Roman"/>
          <w:szCs w:val="24"/>
        </w:rPr>
        <w:t>lného vnímání e</w:t>
      </w:r>
      <w:r w:rsidR="00B65B09">
        <w:rPr>
          <w:rFonts w:cs="Times New Roman"/>
          <w:szCs w:val="24"/>
        </w:rPr>
        <w:t xml:space="preserve">vropských voleb v rámci jednotlivých států, což je zásadní pro pochopení </w:t>
      </w:r>
      <w:r w:rsidR="00687F9D">
        <w:rPr>
          <w:rFonts w:cs="Times New Roman"/>
          <w:szCs w:val="24"/>
        </w:rPr>
        <w:t>dané</w:t>
      </w:r>
      <w:r w:rsidR="00B65B09">
        <w:rPr>
          <w:rFonts w:cs="Times New Roman"/>
          <w:szCs w:val="24"/>
        </w:rPr>
        <w:t xml:space="preserve"> procedury. Stěžejním</w:t>
      </w:r>
      <w:r w:rsidR="00687F9D">
        <w:rPr>
          <w:rFonts w:cs="Times New Roman"/>
          <w:szCs w:val="24"/>
        </w:rPr>
        <w:t xml:space="preserve"> dílem pro pochopení procedury e</w:t>
      </w:r>
      <w:r w:rsidR="00B65B09">
        <w:rPr>
          <w:rFonts w:cs="Times New Roman"/>
          <w:szCs w:val="24"/>
        </w:rPr>
        <w:t>vropské občanské iniciativy byla výzkumná zpráva o</w:t>
      </w:r>
      <w:r w:rsidR="00687F9D">
        <w:rPr>
          <w:rFonts w:cs="Times New Roman"/>
          <w:szCs w:val="24"/>
        </w:rPr>
        <w:t>d</w:t>
      </w:r>
      <w:r w:rsidR="00B65B09">
        <w:rPr>
          <w:rFonts w:cs="Times New Roman"/>
          <w:szCs w:val="24"/>
        </w:rPr>
        <w:t xml:space="preserve"> Stephena </w:t>
      </w:r>
      <w:proofErr w:type="spellStart"/>
      <w:r w:rsidR="00B65B09">
        <w:rPr>
          <w:rFonts w:cs="Times New Roman"/>
          <w:szCs w:val="24"/>
        </w:rPr>
        <w:t>Bouchera</w:t>
      </w:r>
      <w:proofErr w:type="spellEnd"/>
      <w:r w:rsidR="00B65B09">
        <w:rPr>
          <w:rFonts w:cs="Times New Roman"/>
          <w:szCs w:val="24"/>
        </w:rPr>
        <w:t xml:space="preserve"> </w:t>
      </w:r>
      <w:r w:rsidR="00B65B09" w:rsidRPr="0063766F">
        <w:rPr>
          <w:rFonts w:cs="Times New Roman"/>
          <w:i/>
          <w:iCs/>
          <w:color w:val="1E1E1F"/>
          <w:szCs w:val="24"/>
          <w:shd w:val="clear" w:color="auto" w:fill="FFFFFF"/>
        </w:rPr>
        <w:t>„</w:t>
      </w:r>
      <w:proofErr w:type="spellStart"/>
      <w:r w:rsidR="00B65B09" w:rsidRPr="0063766F">
        <w:rPr>
          <w:rFonts w:cs="Times New Roman"/>
          <w:i/>
          <w:iCs/>
          <w:color w:val="1E1E1F"/>
          <w:szCs w:val="24"/>
          <w:shd w:val="clear" w:color="auto" w:fill="FFFFFF"/>
        </w:rPr>
        <w:t>Six</w:t>
      </w:r>
      <w:proofErr w:type="spellEnd"/>
      <w:r w:rsidR="00B65B09" w:rsidRPr="0063766F">
        <w:rPr>
          <w:rFonts w:cs="Times New Roman"/>
          <w:i/>
          <w:iCs/>
          <w:color w:val="1E1E1F"/>
          <w:szCs w:val="24"/>
          <w:shd w:val="clear" w:color="auto" w:fill="FFFFFF"/>
        </w:rPr>
        <w:t xml:space="preserve"> </w:t>
      </w:r>
      <w:proofErr w:type="spellStart"/>
      <w:r w:rsidR="00B65B09" w:rsidRPr="0063766F">
        <w:rPr>
          <w:rFonts w:cs="Times New Roman"/>
          <w:i/>
          <w:iCs/>
          <w:color w:val="1E1E1F"/>
          <w:szCs w:val="24"/>
          <w:shd w:val="clear" w:color="auto" w:fill="FFFFFF"/>
        </w:rPr>
        <w:t>Ideas</w:t>
      </w:r>
      <w:proofErr w:type="spellEnd"/>
      <w:r w:rsidR="00B65B09" w:rsidRPr="0063766F">
        <w:rPr>
          <w:rFonts w:cs="Times New Roman"/>
          <w:i/>
          <w:iCs/>
          <w:color w:val="1E1E1F"/>
          <w:szCs w:val="24"/>
          <w:shd w:val="clear" w:color="auto" w:fill="FFFFFF"/>
        </w:rPr>
        <w:t xml:space="preserve"> </w:t>
      </w:r>
      <w:proofErr w:type="spellStart"/>
      <w:r w:rsidR="00B65B09" w:rsidRPr="0063766F">
        <w:rPr>
          <w:rFonts w:cs="Times New Roman"/>
          <w:i/>
          <w:iCs/>
          <w:color w:val="1E1E1F"/>
          <w:szCs w:val="24"/>
          <w:shd w:val="clear" w:color="auto" w:fill="FFFFFF"/>
        </w:rPr>
        <w:t>for</w:t>
      </w:r>
      <w:proofErr w:type="spellEnd"/>
      <w:r w:rsidR="00B65B09" w:rsidRPr="0063766F">
        <w:rPr>
          <w:rFonts w:cs="Times New Roman"/>
          <w:i/>
          <w:iCs/>
          <w:color w:val="1E1E1F"/>
          <w:szCs w:val="24"/>
          <w:shd w:val="clear" w:color="auto" w:fill="FFFFFF"/>
        </w:rPr>
        <w:t xml:space="preserve"> </w:t>
      </w:r>
      <w:proofErr w:type="spellStart"/>
      <w:r w:rsidR="00B65B09" w:rsidRPr="0063766F">
        <w:rPr>
          <w:rFonts w:cs="Times New Roman"/>
          <w:i/>
          <w:iCs/>
          <w:color w:val="1E1E1F"/>
          <w:szCs w:val="24"/>
          <w:shd w:val="clear" w:color="auto" w:fill="FFFFFF"/>
        </w:rPr>
        <w:t>Rejuvenating</w:t>
      </w:r>
      <w:proofErr w:type="spellEnd"/>
      <w:r w:rsidR="00B65B09" w:rsidRPr="0063766F">
        <w:rPr>
          <w:rFonts w:cs="Times New Roman"/>
          <w:i/>
          <w:iCs/>
          <w:color w:val="1E1E1F"/>
          <w:szCs w:val="24"/>
          <w:shd w:val="clear" w:color="auto" w:fill="FFFFFF"/>
        </w:rPr>
        <w:t xml:space="preserve"> </w:t>
      </w:r>
      <w:proofErr w:type="spellStart"/>
      <w:r w:rsidR="00B65B09" w:rsidRPr="0063766F">
        <w:rPr>
          <w:rFonts w:cs="Times New Roman"/>
          <w:i/>
          <w:iCs/>
          <w:color w:val="1E1E1F"/>
          <w:szCs w:val="24"/>
          <w:shd w:val="clear" w:color="auto" w:fill="FFFFFF"/>
        </w:rPr>
        <w:t>European</w:t>
      </w:r>
      <w:proofErr w:type="spellEnd"/>
      <w:r w:rsidR="00B65B09" w:rsidRPr="0063766F">
        <w:rPr>
          <w:rFonts w:cs="Times New Roman"/>
          <w:i/>
          <w:iCs/>
          <w:color w:val="1E1E1F"/>
          <w:szCs w:val="24"/>
          <w:shd w:val="clear" w:color="auto" w:fill="FFFFFF"/>
        </w:rPr>
        <w:t xml:space="preserve"> </w:t>
      </w:r>
      <w:proofErr w:type="spellStart"/>
      <w:r w:rsidR="00B65B09" w:rsidRPr="0063766F">
        <w:rPr>
          <w:rFonts w:cs="Times New Roman"/>
          <w:i/>
          <w:iCs/>
          <w:color w:val="1E1E1F"/>
          <w:szCs w:val="24"/>
          <w:shd w:val="clear" w:color="auto" w:fill="FFFFFF"/>
        </w:rPr>
        <w:t>Democracy</w:t>
      </w:r>
      <w:proofErr w:type="spellEnd"/>
      <w:r w:rsidR="00B65B09" w:rsidRPr="0063766F">
        <w:rPr>
          <w:rFonts w:cs="Times New Roman"/>
          <w:i/>
          <w:iCs/>
          <w:color w:val="1E1E1F"/>
          <w:szCs w:val="24"/>
          <w:shd w:val="clear" w:color="auto" w:fill="FFFFFF"/>
        </w:rPr>
        <w:t>“</w:t>
      </w:r>
      <w:r w:rsidR="00B65B09">
        <w:rPr>
          <w:rFonts w:cs="Times New Roman"/>
          <w:i/>
          <w:iCs/>
          <w:color w:val="1E1E1F"/>
          <w:szCs w:val="24"/>
          <w:shd w:val="clear" w:color="auto" w:fill="FFFFFF"/>
        </w:rPr>
        <w:t>.</w:t>
      </w:r>
      <w:r w:rsidR="00B65B09">
        <w:rPr>
          <w:rFonts w:cs="Times New Roman"/>
          <w:color w:val="1E1E1F"/>
          <w:szCs w:val="24"/>
          <w:shd w:val="clear" w:color="auto" w:fill="FFFFFF"/>
        </w:rPr>
        <w:t xml:space="preserve"> </w:t>
      </w:r>
      <w:r w:rsidR="00B65B09" w:rsidRPr="00687F9D">
        <w:rPr>
          <w:rFonts w:cs="Times New Roman"/>
          <w:szCs w:val="24"/>
          <w:shd w:val="clear" w:color="auto" w:fill="FFFFFF"/>
        </w:rPr>
        <w:t xml:space="preserve">Autor objektivně zkoumá proces občanské iniciativy a předkládá </w:t>
      </w:r>
      <w:r w:rsidR="001B2EBD" w:rsidRPr="00687F9D">
        <w:rPr>
          <w:rFonts w:cs="Times New Roman"/>
          <w:szCs w:val="24"/>
          <w:shd w:val="clear" w:color="auto" w:fill="FFFFFF"/>
        </w:rPr>
        <w:t xml:space="preserve">další možné návrhy reforem, které by měly přispět ke zvýšení transparentnosti tohoto procesu a jeho větší efektivnosti. </w:t>
      </w:r>
      <w:r w:rsidR="00B65B09" w:rsidRPr="00687F9D">
        <w:rPr>
          <w:rFonts w:cs="Times New Roman"/>
          <w:szCs w:val="24"/>
          <w:shd w:val="clear" w:color="auto" w:fill="FFFFFF"/>
        </w:rPr>
        <w:t xml:space="preserve"> </w:t>
      </w:r>
      <w:r w:rsidR="00B65B09" w:rsidRPr="00687F9D">
        <w:rPr>
          <w:rFonts w:cs="Times New Roman"/>
          <w:i/>
          <w:iCs/>
          <w:szCs w:val="24"/>
          <w:shd w:val="clear" w:color="auto" w:fill="FFFFFF"/>
        </w:rPr>
        <w:t xml:space="preserve"> </w:t>
      </w:r>
      <w:r w:rsidR="00B65B09" w:rsidRPr="00687F9D">
        <w:rPr>
          <w:rFonts w:cs="Times New Roman"/>
          <w:szCs w:val="24"/>
        </w:rPr>
        <w:t xml:space="preserve"> </w:t>
      </w:r>
    </w:p>
    <w:p w14:paraId="56CF6BE9" w14:textId="5EFE465F" w:rsidR="0016685D" w:rsidRDefault="0016685D" w:rsidP="00AE1A1C">
      <w:pPr>
        <w:spacing w:after="0" w:line="360" w:lineRule="auto"/>
        <w:ind w:right="-2"/>
        <w:rPr>
          <w:sz w:val="28"/>
          <w:szCs w:val="28"/>
        </w:rPr>
      </w:pPr>
      <w:r>
        <w:rPr>
          <w:sz w:val="28"/>
          <w:szCs w:val="28"/>
        </w:rPr>
        <w:t>Členění práce</w:t>
      </w:r>
    </w:p>
    <w:p w14:paraId="6F9DD601" w14:textId="0AB9522E" w:rsidR="00C0223E" w:rsidRDefault="0016685D" w:rsidP="00C0223E">
      <w:pPr>
        <w:spacing w:line="360" w:lineRule="auto"/>
        <w:ind w:right="-2" w:firstLine="708"/>
        <w:rPr>
          <w:szCs w:val="24"/>
        </w:rPr>
      </w:pPr>
      <w:r>
        <w:rPr>
          <w:szCs w:val="24"/>
        </w:rPr>
        <w:t xml:space="preserve">Tato bakalářská práce se dělí do </w:t>
      </w:r>
      <w:r w:rsidR="001E5222">
        <w:rPr>
          <w:szCs w:val="24"/>
        </w:rPr>
        <w:t>čtyř</w:t>
      </w:r>
      <w:r>
        <w:rPr>
          <w:szCs w:val="24"/>
        </w:rPr>
        <w:t xml:space="preserve"> hlavních kapitol.</w:t>
      </w:r>
      <w:r w:rsidR="009B3009">
        <w:rPr>
          <w:szCs w:val="24"/>
        </w:rPr>
        <w:t xml:space="preserve"> Teoretické části jsou věnované první dvě kapitoly. První kapitola </w:t>
      </w:r>
      <w:r w:rsidR="00FE7226">
        <w:rPr>
          <w:szCs w:val="24"/>
        </w:rPr>
        <w:t xml:space="preserve">se </w:t>
      </w:r>
      <w:r w:rsidR="00687F9D">
        <w:rPr>
          <w:szCs w:val="24"/>
        </w:rPr>
        <w:t>zaměřuje na definování</w:t>
      </w:r>
      <w:r w:rsidR="00FE7226">
        <w:rPr>
          <w:szCs w:val="24"/>
        </w:rPr>
        <w:t xml:space="preserve"> hlavních pojmů, tedy legitimity</w:t>
      </w:r>
      <w:r w:rsidR="00FD1D5E">
        <w:rPr>
          <w:szCs w:val="24"/>
        </w:rPr>
        <w:t>,</w:t>
      </w:r>
      <w:r w:rsidR="00FE7226">
        <w:rPr>
          <w:szCs w:val="24"/>
        </w:rPr>
        <w:t xml:space="preserve"> evropské integrace</w:t>
      </w:r>
      <w:r w:rsidR="00FD1D5E">
        <w:rPr>
          <w:szCs w:val="24"/>
        </w:rPr>
        <w:t xml:space="preserve"> a demokratického deficitu</w:t>
      </w:r>
      <w:r w:rsidR="00FE7226">
        <w:rPr>
          <w:szCs w:val="24"/>
        </w:rPr>
        <w:t xml:space="preserve">. Představuje historický vývoj těchto pojmů a autory, kteří se jimi zabývají. Druhá kapitola se věnuje konkrétním teoretickým konceptům, </w:t>
      </w:r>
      <w:r w:rsidR="00687F9D">
        <w:rPr>
          <w:szCs w:val="24"/>
        </w:rPr>
        <w:t>daná</w:t>
      </w:r>
      <w:r w:rsidR="00FE7226">
        <w:rPr>
          <w:szCs w:val="24"/>
        </w:rPr>
        <w:t xml:space="preserve"> kapitola je rozdělena do tří podkapitol, z nichž každá se věnuje konceptu jednoho autora.  </w:t>
      </w:r>
    </w:p>
    <w:p w14:paraId="2B35120F" w14:textId="394D0CE4" w:rsidR="00C0223E" w:rsidRPr="001C5256" w:rsidRDefault="00FE7226" w:rsidP="00476521">
      <w:pPr>
        <w:spacing w:line="360" w:lineRule="auto"/>
        <w:ind w:right="-2"/>
        <w:rPr>
          <w:szCs w:val="24"/>
        </w:rPr>
      </w:pPr>
      <w:r>
        <w:rPr>
          <w:szCs w:val="24"/>
        </w:rPr>
        <w:t xml:space="preserve">Třetí kapitola </w:t>
      </w:r>
      <w:r w:rsidR="00687F9D">
        <w:rPr>
          <w:szCs w:val="24"/>
        </w:rPr>
        <w:t>popisuje změny</w:t>
      </w:r>
      <w:r w:rsidR="007F136F">
        <w:rPr>
          <w:szCs w:val="24"/>
        </w:rPr>
        <w:t>, které zavedly jednotlivé smlouvy</w:t>
      </w:r>
      <w:r w:rsidR="001C5256">
        <w:rPr>
          <w:szCs w:val="24"/>
        </w:rPr>
        <w:t>,</w:t>
      </w:r>
      <w:r w:rsidR="001C5256" w:rsidRPr="001C5256">
        <w:rPr>
          <w:rFonts w:eastAsia="Times New Roman" w:cs="Times New Roman"/>
          <w:szCs w:val="24"/>
          <w:lang w:eastAsia="cs-CZ"/>
        </w:rPr>
        <w:t xml:space="preserve"> </w:t>
      </w:r>
      <w:r w:rsidR="001C5256" w:rsidRPr="001C5256">
        <w:rPr>
          <w:szCs w:val="24"/>
        </w:rPr>
        <w:t>přičemž pozornost bude věnována zejména těm reformám, jež lze považovat za snahy posilovat legitimitu, demokratickou správu a eliminovat pocit demokratického deficitu.</w:t>
      </w:r>
      <w:r w:rsidR="001C5256">
        <w:rPr>
          <w:szCs w:val="24"/>
        </w:rPr>
        <w:t xml:space="preserve"> </w:t>
      </w:r>
      <w:r w:rsidR="00687F9D">
        <w:rPr>
          <w:szCs w:val="24"/>
        </w:rPr>
        <w:t>Daná</w:t>
      </w:r>
      <w:r w:rsidR="007F136F">
        <w:rPr>
          <w:szCs w:val="24"/>
        </w:rPr>
        <w:t xml:space="preserve"> kapitola je rozdělena do </w:t>
      </w:r>
      <w:r w:rsidR="008C6A4E">
        <w:rPr>
          <w:szCs w:val="24"/>
        </w:rPr>
        <w:t>šesti</w:t>
      </w:r>
      <w:r w:rsidR="007F136F">
        <w:rPr>
          <w:szCs w:val="24"/>
        </w:rPr>
        <w:t xml:space="preserve"> podkapitol, z nichž první je věnována Římské smlouvě, která založila Evropské hospodářské společenství. Druhá podkapitola se věnuje dvěma rozpočtovým smlouvám, </w:t>
      </w:r>
      <w:r w:rsidR="008C6A4E">
        <w:rPr>
          <w:szCs w:val="24"/>
        </w:rPr>
        <w:t>které byl</w:t>
      </w:r>
      <w:r w:rsidR="00687F9D">
        <w:rPr>
          <w:szCs w:val="24"/>
        </w:rPr>
        <w:t>y přijaty před Jednotným e</w:t>
      </w:r>
      <w:r w:rsidR="008C6A4E">
        <w:rPr>
          <w:szCs w:val="24"/>
        </w:rPr>
        <w:t xml:space="preserve">vropským aktem </w:t>
      </w:r>
      <w:r w:rsidR="008C6A4E">
        <w:rPr>
          <w:szCs w:val="24"/>
        </w:rPr>
        <w:lastRenderedPageBreak/>
        <w:t>a měly především za úkol zajistit vlastní financování Společenství a navýšení pravomocí Shromáždění v oblasti rozpočtové politiky. Třetí podk</w:t>
      </w:r>
      <w:r w:rsidR="00687F9D">
        <w:rPr>
          <w:szCs w:val="24"/>
        </w:rPr>
        <w:t>apitola je věnována Jednotnému e</w:t>
      </w:r>
      <w:r w:rsidR="008C6A4E">
        <w:rPr>
          <w:szCs w:val="24"/>
        </w:rPr>
        <w:t xml:space="preserve">vropskému aktu, který měl za cíl </w:t>
      </w:r>
      <w:r w:rsidR="008B7C63">
        <w:rPr>
          <w:szCs w:val="24"/>
        </w:rPr>
        <w:t>dokončení</w:t>
      </w:r>
      <w:r w:rsidR="008C6A4E">
        <w:rPr>
          <w:szCs w:val="24"/>
        </w:rPr>
        <w:t xml:space="preserve"> rozsáhlého vnitřního trhu a měl přispět k větší soudržnost</w:t>
      </w:r>
      <w:r w:rsidR="00687F9D">
        <w:rPr>
          <w:szCs w:val="24"/>
        </w:rPr>
        <w:t>i</w:t>
      </w:r>
      <w:r w:rsidR="008C6A4E">
        <w:rPr>
          <w:szCs w:val="24"/>
        </w:rPr>
        <w:t xml:space="preserve"> členských států. Čtvrtá kapitola </w:t>
      </w:r>
      <w:r w:rsidR="00687F9D">
        <w:rPr>
          <w:szCs w:val="24"/>
        </w:rPr>
        <w:t>se zabývá</w:t>
      </w:r>
      <w:r w:rsidR="008C6A4E">
        <w:rPr>
          <w:szCs w:val="24"/>
        </w:rPr>
        <w:t xml:space="preserve"> Maastrichtsk</w:t>
      </w:r>
      <w:r w:rsidR="008B7C63">
        <w:rPr>
          <w:szCs w:val="24"/>
        </w:rPr>
        <w:t>ou</w:t>
      </w:r>
      <w:r w:rsidR="008C6A4E">
        <w:rPr>
          <w:szCs w:val="24"/>
        </w:rPr>
        <w:t xml:space="preserve"> smlouv</w:t>
      </w:r>
      <w:r w:rsidR="008B7C63">
        <w:rPr>
          <w:szCs w:val="24"/>
        </w:rPr>
        <w:t>ou</w:t>
      </w:r>
      <w:r w:rsidR="00E068A3">
        <w:rPr>
          <w:szCs w:val="24"/>
        </w:rPr>
        <w:t xml:space="preserve"> a jejím nejvýznamnějším změnám</w:t>
      </w:r>
      <w:r w:rsidR="00687F9D">
        <w:rPr>
          <w:szCs w:val="24"/>
        </w:rPr>
        <w:t>,</w:t>
      </w:r>
      <w:r w:rsidR="00E068A3">
        <w:rPr>
          <w:szCs w:val="24"/>
        </w:rPr>
        <w:t xml:space="preserve"> jako je zavedení systému tří pilířů</w:t>
      </w:r>
      <w:r w:rsidR="008B7C63">
        <w:rPr>
          <w:szCs w:val="24"/>
        </w:rPr>
        <w:t xml:space="preserve"> </w:t>
      </w:r>
      <w:r w:rsidR="00E068A3">
        <w:rPr>
          <w:szCs w:val="24"/>
        </w:rPr>
        <w:t>anebo zakotvení principu subsidiarity. Amsterdamské smlouvě se věnuje pátá podkapitola. Hlavním cíle</w:t>
      </w:r>
      <w:r w:rsidR="004321C7">
        <w:rPr>
          <w:szCs w:val="24"/>
        </w:rPr>
        <w:t>m</w:t>
      </w:r>
      <w:r w:rsidR="00E068A3">
        <w:rPr>
          <w:szCs w:val="24"/>
        </w:rPr>
        <w:t xml:space="preserve"> této smlouvy bylo zjednodušit právní ustanovení z předešlých smluv. Šest</w:t>
      </w:r>
      <w:r w:rsidR="0098252C">
        <w:rPr>
          <w:szCs w:val="24"/>
        </w:rPr>
        <w:t>á a zároveň poslední podkapitola</w:t>
      </w:r>
      <w:r w:rsidR="00E068A3">
        <w:rPr>
          <w:szCs w:val="24"/>
        </w:rPr>
        <w:t xml:space="preserve"> </w:t>
      </w:r>
      <w:r w:rsidR="0098252C">
        <w:rPr>
          <w:szCs w:val="24"/>
        </w:rPr>
        <w:t>přibližuje Smlouvu</w:t>
      </w:r>
      <w:r w:rsidR="00E068A3">
        <w:rPr>
          <w:szCs w:val="24"/>
        </w:rPr>
        <w:t xml:space="preserve"> z Nice. Ta měla za úkol </w:t>
      </w:r>
      <w:r w:rsidR="00002C0A">
        <w:rPr>
          <w:rFonts w:cs="Times New Roman"/>
          <w:szCs w:val="24"/>
        </w:rPr>
        <w:t xml:space="preserve">především </w:t>
      </w:r>
      <w:r w:rsidR="0098252C">
        <w:rPr>
          <w:rFonts w:cs="Times New Roman"/>
          <w:szCs w:val="24"/>
        </w:rPr>
        <w:t>vyřešit</w:t>
      </w:r>
      <w:r w:rsidR="00002C0A">
        <w:rPr>
          <w:rFonts w:cs="Times New Roman"/>
          <w:szCs w:val="24"/>
        </w:rPr>
        <w:t xml:space="preserve"> </w:t>
      </w:r>
      <w:r w:rsidR="0098252C">
        <w:rPr>
          <w:rFonts w:cs="Times New Roman"/>
          <w:szCs w:val="24"/>
        </w:rPr>
        <w:t>neukončené</w:t>
      </w:r>
      <w:r w:rsidR="00002C0A">
        <w:rPr>
          <w:rFonts w:cs="Times New Roman"/>
          <w:szCs w:val="24"/>
        </w:rPr>
        <w:t xml:space="preserve"> institucionální otázky v rámci příprav na východní rozšiřování.</w:t>
      </w:r>
    </w:p>
    <w:p w14:paraId="397763EB" w14:textId="742C193C" w:rsidR="00476521" w:rsidRDefault="00476521" w:rsidP="00476521">
      <w:pPr>
        <w:spacing w:line="360" w:lineRule="auto"/>
        <w:ind w:right="-2"/>
        <w:rPr>
          <w:szCs w:val="24"/>
        </w:rPr>
      </w:pPr>
      <w:r>
        <w:rPr>
          <w:szCs w:val="24"/>
        </w:rPr>
        <w:t xml:space="preserve">Čtvrtá kapitola je věnována změnám, které zavedla Lisabonská smlouva za účelem snížení demokratického deficitu. Tato kapitola se dělí do pěti podkapitol, přičemž každá z nich </w:t>
      </w:r>
      <w:r w:rsidR="0098252C">
        <w:rPr>
          <w:szCs w:val="24"/>
        </w:rPr>
        <w:t>přibližuje jednu reformu</w:t>
      </w:r>
      <w:r>
        <w:rPr>
          <w:szCs w:val="24"/>
        </w:rPr>
        <w:t>. První reforma se zabývá mechanismem barevných karet, který m</w:t>
      </w:r>
      <w:r w:rsidR="0098252C">
        <w:rPr>
          <w:szCs w:val="24"/>
        </w:rPr>
        <w:t>ěl posílit kontrolu subsidiarity</w:t>
      </w:r>
      <w:r>
        <w:rPr>
          <w:szCs w:val="24"/>
        </w:rPr>
        <w:t xml:space="preserve"> národními parlamenty. Ročním legislativním programem se zabývá druhá podkapitola. </w:t>
      </w:r>
      <w:r w:rsidR="008B7C63" w:rsidRPr="008B7C63">
        <w:rPr>
          <w:szCs w:val="24"/>
        </w:rPr>
        <w:t>Schvalování daného programu mělo přispět k posílení kontrolních pravomocí Rady, Evropského parlamentu, a zejména národních parlamentů</w:t>
      </w:r>
      <w:r w:rsidR="008B7C63">
        <w:rPr>
          <w:szCs w:val="24"/>
        </w:rPr>
        <w:t xml:space="preserve">. </w:t>
      </w:r>
      <w:r>
        <w:rPr>
          <w:szCs w:val="24"/>
        </w:rPr>
        <w:t xml:space="preserve">Třetí z podkapitol se </w:t>
      </w:r>
      <w:r w:rsidR="004321C7">
        <w:rPr>
          <w:szCs w:val="24"/>
        </w:rPr>
        <w:t>zabývá</w:t>
      </w:r>
      <w:r>
        <w:rPr>
          <w:szCs w:val="24"/>
        </w:rPr>
        <w:t xml:space="preserve"> posílení</w:t>
      </w:r>
      <w:r w:rsidR="004321C7">
        <w:rPr>
          <w:szCs w:val="24"/>
        </w:rPr>
        <w:t>m</w:t>
      </w:r>
      <w:r>
        <w:rPr>
          <w:szCs w:val="24"/>
        </w:rPr>
        <w:t xml:space="preserve"> pravomocí Evropského parlamentu v rámci spolurozhodování s Radou ministrů. Podkapitola číslo čtyři </w:t>
      </w:r>
      <w:r w:rsidR="004321C7">
        <w:rPr>
          <w:szCs w:val="24"/>
        </w:rPr>
        <w:t>obsahuje</w:t>
      </w:r>
      <w:r w:rsidR="001E5222">
        <w:rPr>
          <w:szCs w:val="24"/>
        </w:rPr>
        <w:t xml:space="preserve"> procedu</w:t>
      </w:r>
      <w:r w:rsidR="004321C7">
        <w:rPr>
          <w:szCs w:val="24"/>
        </w:rPr>
        <w:t>ru</w:t>
      </w:r>
      <w:r w:rsidR="001E5222">
        <w:rPr>
          <w:szCs w:val="24"/>
        </w:rPr>
        <w:t xml:space="preserve"> </w:t>
      </w:r>
      <w:proofErr w:type="spellStart"/>
      <w:r w:rsidR="001E5222">
        <w:rPr>
          <w:szCs w:val="24"/>
        </w:rPr>
        <w:t>Spitzenkandidaten</w:t>
      </w:r>
      <w:proofErr w:type="spellEnd"/>
      <w:r w:rsidR="001E5222">
        <w:rPr>
          <w:szCs w:val="24"/>
        </w:rPr>
        <w:t xml:space="preserve">, která sama o sobě není v Lisabonské smlouvě zakotvena, nicméně vznik </w:t>
      </w:r>
      <w:r w:rsidR="0098252C">
        <w:rPr>
          <w:szCs w:val="24"/>
        </w:rPr>
        <w:t>dané</w:t>
      </w:r>
      <w:r w:rsidR="001E5222">
        <w:rPr>
          <w:szCs w:val="24"/>
        </w:rPr>
        <w:t xml:space="preserve"> procedury nijak neodporuje právním ustanovením </w:t>
      </w:r>
      <w:r w:rsidR="0098252C">
        <w:rPr>
          <w:szCs w:val="24"/>
        </w:rPr>
        <w:t>ve zmíněné</w:t>
      </w:r>
      <w:r w:rsidR="001E5222">
        <w:rPr>
          <w:szCs w:val="24"/>
        </w:rPr>
        <w:t xml:space="preserve"> smlouvě. Poslední podkapitola je pak věnována občanské iniciativě</w:t>
      </w:r>
      <w:r w:rsidR="0098252C">
        <w:rPr>
          <w:szCs w:val="24"/>
        </w:rPr>
        <w:t>, jež</w:t>
      </w:r>
      <w:r w:rsidR="001E5222">
        <w:rPr>
          <w:szCs w:val="24"/>
        </w:rPr>
        <w:t xml:space="preserve"> měla přispět k většímu zapojení občanů do běžného života Evropské unie.</w:t>
      </w:r>
    </w:p>
    <w:p w14:paraId="5AFFEF8E" w14:textId="3E4A9138" w:rsidR="001E5222" w:rsidRDefault="001E5222" w:rsidP="00476521">
      <w:pPr>
        <w:spacing w:line="360" w:lineRule="auto"/>
        <w:ind w:right="-2"/>
        <w:rPr>
          <w:szCs w:val="24"/>
        </w:rPr>
      </w:pPr>
    </w:p>
    <w:p w14:paraId="4AB0C658" w14:textId="2A41C850" w:rsidR="00FE7226" w:rsidRDefault="0086773B" w:rsidP="00476521">
      <w:pPr>
        <w:spacing w:line="360" w:lineRule="auto"/>
        <w:ind w:right="-2"/>
        <w:rPr>
          <w:szCs w:val="24"/>
        </w:rPr>
      </w:pPr>
      <w:r>
        <w:rPr>
          <w:szCs w:val="24"/>
        </w:rPr>
        <w:t xml:space="preserve"> </w:t>
      </w:r>
    </w:p>
    <w:p w14:paraId="1DAEBB5F" w14:textId="77777777" w:rsidR="00FE7226" w:rsidRPr="0016685D" w:rsidRDefault="00FE7226" w:rsidP="00AE1A1C">
      <w:pPr>
        <w:spacing w:after="0" w:line="360" w:lineRule="auto"/>
        <w:ind w:right="-2"/>
        <w:rPr>
          <w:szCs w:val="24"/>
        </w:rPr>
      </w:pPr>
    </w:p>
    <w:p w14:paraId="0CEF0333" w14:textId="71C2BCBC" w:rsidR="00831F81" w:rsidRPr="005464E0" w:rsidRDefault="0016685D" w:rsidP="00AE1A1C">
      <w:pPr>
        <w:spacing w:after="0" w:line="360" w:lineRule="auto"/>
        <w:ind w:right="-2"/>
        <w:rPr>
          <w:rFonts w:cs="Times New Roman"/>
          <w:szCs w:val="24"/>
        </w:rPr>
      </w:pPr>
      <w:r>
        <w:t xml:space="preserve"> </w:t>
      </w:r>
    </w:p>
    <w:p w14:paraId="573075D0" w14:textId="4783A1E2" w:rsidR="00853952" w:rsidRDefault="00F87F33" w:rsidP="00690779">
      <w:pPr>
        <w:spacing w:after="0" w:line="360" w:lineRule="auto"/>
        <w:rPr>
          <w:rFonts w:cs="Times New Roman"/>
          <w:i/>
          <w:iCs/>
          <w:szCs w:val="24"/>
        </w:rPr>
      </w:pPr>
      <w:r>
        <w:rPr>
          <w:rFonts w:cs="Times New Roman"/>
          <w:szCs w:val="24"/>
        </w:rPr>
        <w:t xml:space="preserve"> </w:t>
      </w:r>
    </w:p>
    <w:p w14:paraId="3C50AF02" w14:textId="77777777" w:rsidR="0044783E" w:rsidRPr="0044783E" w:rsidRDefault="0044783E" w:rsidP="007A6E14">
      <w:pPr>
        <w:spacing w:after="0" w:line="360" w:lineRule="auto"/>
        <w:ind w:firstLine="708"/>
        <w:rPr>
          <w:rFonts w:cs="Times New Roman"/>
          <w:i/>
          <w:iCs/>
          <w:szCs w:val="24"/>
        </w:rPr>
      </w:pPr>
    </w:p>
    <w:p w14:paraId="47503090" w14:textId="76E27C29" w:rsidR="007A6E14" w:rsidRDefault="007A6E14">
      <w:pPr>
        <w:spacing w:line="259" w:lineRule="auto"/>
        <w:rPr>
          <w:rFonts w:cs="Times New Roman"/>
          <w:szCs w:val="24"/>
        </w:rPr>
      </w:pPr>
      <w:r>
        <w:rPr>
          <w:rFonts w:cs="Times New Roman"/>
          <w:szCs w:val="24"/>
        </w:rPr>
        <w:br w:type="page"/>
      </w:r>
    </w:p>
    <w:p w14:paraId="6DE0078F" w14:textId="286300A1" w:rsidR="00486166" w:rsidRPr="0068494F" w:rsidRDefault="000F7180" w:rsidP="0068494F">
      <w:pPr>
        <w:pStyle w:val="Nadpis1"/>
        <w:numPr>
          <w:ilvl w:val="0"/>
          <w:numId w:val="9"/>
        </w:numPr>
        <w:spacing w:after="240"/>
      </w:pPr>
      <w:bookmarkStart w:id="8" w:name="_Toc70660093"/>
      <w:r>
        <w:lastRenderedPageBreak/>
        <w:t>Pojem</w:t>
      </w:r>
      <w:r w:rsidR="007A6E14" w:rsidRPr="00944210">
        <w:t xml:space="preserve"> demokratického deficitu a legitimity</w:t>
      </w:r>
      <w:bookmarkEnd w:id="8"/>
      <w:r w:rsidR="007A6E14" w:rsidRPr="00944210">
        <w:t xml:space="preserve"> </w:t>
      </w:r>
    </w:p>
    <w:p w14:paraId="541BD1AC" w14:textId="4CC1A6EA" w:rsidR="00501735" w:rsidRPr="00486166" w:rsidRDefault="00486166" w:rsidP="00486166">
      <w:pPr>
        <w:pStyle w:val="Nadpis1"/>
        <w:numPr>
          <w:ilvl w:val="1"/>
          <w:numId w:val="9"/>
        </w:numPr>
        <w:spacing w:line="360" w:lineRule="auto"/>
      </w:pPr>
      <w:r>
        <w:t xml:space="preserve"> </w:t>
      </w:r>
      <w:bookmarkStart w:id="9" w:name="_Toc70660094"/>
      <w:r w:rsidR="00996DC5">
        <w:t>Vymezení pojmu e</w:t>
      </w:r>
      <w:r>
        <w:t>vropské integrace</w:t>
      </w:r>
      <w:bookmarkEnd w:id="9"/>
    </w:p>
    <w:p w14:paraId="7392A9D7" w14:textId="3804DD29" w:rsidR="00486166" w:rsidRDefault="006F498B" w:rsidP="00C43BA6">
      <w:pPr>
        <w:spacing w:line="360" w:lineRule="auto"/>
        <w:ind w:firstLine="432"/>
        <w:rPr>
          <w:rFonts w:cs="Times New Roman"/>
          <w:szCs w:val="24"/>
        </w:rPr>
      </w:pPr>
      <w:r>
        <w:rPr>
          <w:rFonts w:cs="Times New Roman"/>
          <w:szCs w:val="24"/>
        </w:rPr>
        <w:t>Evropská integrace započala se vznikem Evropského společenství uhlí a oceli a dále se prohlubovala se vznikem další</w:t>
      </w:r>
      <w:r w:rsidR="00F70B20">
        <w:rPr>
          <w:rFonts w:cs="Times New Roman"/>
          <w:szCs w:val="24"/>
        </w:rPr>
        <w:t>ch</w:t>
      </w:r>
      <w:r>
        <w:rPr>
          <w:rFonts w:cs="Times New Roman"/>
          <w:szCs w:val="24"/>
        </w:rPr>
        <w:t xml:space="preserve"> forem společenství. Evropská integrace se tedy dá definovat takto</w:t>
      </w:r>
      <w:r w:rsidRPr="00587449">
        <w:rPr>
          <w:rFonts w:cs="Times New Roman"/>
          <w:i/>
          <w:iCs/>
          <w:szCs w:val="24"/>
        </w:rPr>
        <w:t>: „Integrace je proces, při němž jsou političtí aktéři z rozdílného národního prostředí vedeni k tomu, aby přesunuli svou loajalitu, očekávání a politické aktivity k novému centru, jehož instituce disponují jurisdikcí, nad již existujícími státy, anebo ji požadují.“</w:t>
      </w:r>
      <w:r>
        <w:rPr>
          <w:rFonts w:cs="Times New Roman"/>
          <w:szCs w:val="24"/>
        </w:rPr>
        <w:t xml:space="preserve"> (Haas</w:t>
      </w:r>
      <w:r w:rsidR="006A1323">
        <w:rPr>
          <w:rFonts w:cs="Times New Roman"/>
          <w:szCs w:val="24"/>
        </w:rPr>
        <w:t>,</w:t>
      </w:r>
      <w:r>
        <w:rPr>
          <w:rFonts w:cs="Times New Roman"/>
          <w:szCs w:val="24"/>
        </w:rPr>
        <w:t xml:space="preserve"> 1958) Ovšem toto je pouze všeobecná definice, která příliš nerozlišuje mezi dvěma typy integrace, jimiž jsou ekonomická a politická integrace.</w:t>
      </w:r>
    </w:p>
    <w:p w14:paraId="168435B7" w14:textId="42C7AD94" w:rsidR="00486166" w:rsidRDefault="006F498B" w:rsidP="00C43BA6">
      <w:pPr>
        <w:spacing w:line="360" w:lineRule="auto"/>
        <w:rPr>
          <w:rFonts w:cs="Times New Roman"/>
          <w:szCs w:val="24"/>
        </w:rPr>
      </w:pPr>
      <w:r>
        <w:rPr>
          <w:rFonts w:cs="Times New Roman"/>
          <w:szCs w:val="24"/>
        </w:rPr>
        <w:t>Pro účel této práce je pro nás důležitá právě integrace politická, jež dala vzniknout velké debatě, která se dosud zabývá tím, na jaké institucionální rovině by se měla otázka integrace řešit. Tak vznikly dva hlavní přístupy, které se touto otázkou zabývají. Těmi jsou mezivládní přístup a přístup nadnárodní (</w:t>
      </w:r>
      <w:proofErr w:type="spellStart"/>
      <w:r>
        <w:rPr>
          <w:rFonts w:cs="Times New Roman"/>
          <w:szCs w:val="24"/>
        </w:rPr>
        <w:t>supranacionální</w:t>
      </w:r>
      <w:proofErr w:type="spellEnd"/>
      <w:r>
        <w:rPr>
          <w:rFonts w:cs="Times New Roman"/>
          <w:szCs w:val="24"/>
        </w:rPr>
        <w:t>)</w:t>
      </w:r>
      <w:r w:rsidR="00E12E93">
        <w:rPr>
          <w:rFonts w:cs="Times New Roman"/>
          <w:szCs w:val="24"/>
        </w:rPr>
        <w:t xml:space="preserve"> (</w:t>
      </w:r>
      <w:r w:rsidR="009E40D1">
        <w:rPr>
          <w:rFonts w:cs="Times New Roman"/>
          <w:szCs w:val="24"/>
        </w:rPr>
        <w:t>Haas</w:t>
      </w:r>
      <w:r w:rsidR="00E12E93">
        <w:rPr>
          <w:rFonts w:cs="Times New Roman"/>
          <w:szCs w:val="24"/>
        </w:rPr>
        <w:t xml:space="preserve">, </w:t>
      </w:r>
      <w:r w:rsidR="009E40D1">
        <w:rPr>
          <w:rFonts w:cs="Times New Roman"/>
          <w:szCs w:val="24"/>
        </w:rPr>
        <w:t>1958</w:t>
      </w:r>
      <w:r w:rsidR="00E12E93">
        <w:rPr>
          <w:rFonts w:cs="Times New Roman"/>
          <w:szCs w:val="24"/>
        </w:rPr>
        <w:t>)</w:t>
      </w:r>
      <w:r w:rsidR="008548DA">
        <w:rPr>
          <w:rFonts w:cs="Times New Roman"/>
          <w:szCs w:val="24"/>
        </w:rPr>
        <w:t xml:space="preserve">. </w:t>
      </w:r>
      <w:r w:rsidR="00996DC5">
        <w:rPr>
          <w:rFonts w:cs="Times New Roman"/>
          <w:szCs w:val="24"/>
        </w:rPr>
        <w:t>Dané</w:t>
      </w:r>
      <w:r w:rsidR="008548DA">
        <w:rPr>
          <w:rFonts w:cs="Times New Roman"/>
          <w:szCs w:val="24"/>
        </w:rPr>
        <w:t xml:space="preserve"> téma nemá zdánlivě s demokratickým deficitem moc společného, ale opak je pravdou.</w:t>
      </w:r>
      <w:r w:rsidR="00E12E93">
        <w:rPr>
          <w:rFonts w:cs="Times New Roman"/>
          <w:szCs w:val="24"/>
        </w:rPr>
        <w:t xml:space="preserve"> </w:t>
      </w:r>
    </w:p>
    <w:p w14:paraId="7BC90FDD" w14:textId="12B36F2C" w:rsidR="00AC3A50" w:rsidRDefault="008548DA" w:rsidP="00486166">
      <w:pPr>
        <w:spacing w:after="0" w:line="360" w:lineRule="auto"/>
        <w:rPr>
          <w:rFonts w:cs="Times New Roman"/>
          <w:szCs w:val="24"/>
        </w:rPr>
      </w:pPr>
      <w:r>
        <w:rPr>
          <w:rFonts w:cs="Times New Roman"/>
          <w:szCs w:val="24"/>
        </w:rPr>
        <w:t xml:space="preserve">Pokud se podíváme na mezivládní přístup a jeho charakteristiku, zjistíme, že zastánci tohoto směru upřednostňují </w:t>
      </w:r>
      <w:r w:rsidR="00AC3A50">
        <w:rPr>
          <w:rFonts w:cs="Times New Roman"/>
          <w:szCs w:val="24"/>
        </w:rPr>
        <w:t>názor, že by postup a cíle integrace měly být projednávány výhradně nejvyššími představiteli členských zemí</w:t>
      </w:r>
      <w:r w:rsidR="00F70B20">
        <w:rPr>
          <w:rFonts w:cs="Times New Roman"/>
          <w:szCs w:val="24"/>
        </w:rPr>
        <w:t xml:space="preserve">, a to </w:t>
      </w:r>
      <w:r w:rsidR="00AC3A50">
        <w:rPr>
          <w:rFonts w:cs="Times New Roman"/>
          <w:szCs w:val="24"/>
        </w:rPr>
        <w:t>s ohledem na jejich vnitropolitickou situaci, aby tak nedocházelo ke znevýhodnění malých států, nebo aby naopak nedocházelo ke zvýhodnění podnikatelů a různých institucí jedné země vůči zbylým členským státům</w:t>
      </w:r>
      <w:r w:rsidR="00E12E93">
        <w:rPr>
          <w:rFonts w:cs="Times New Roman"/>
          <w:szCs w:val="24"/>
        </w:rPr>
        <w:t xml:space="preserve"> (</w:t>
      </w:r>
      <w:r w:rsidR="009E40D1">
        <w:rPr>
          <w:rFonts w:cs="Times New Roman"/>
          <w:szCs w:val="24"/>
        </w:rPr>
        <w:t>Haas, 1958</w:t>
      </w:r>
      <w:r w:rsidR="00E12E93">
        <w:rPr>
          <w:rFonts w:cs="Times New Roman"/>
          <w:szCs w:val="24"/>
        </w:rPr>
        <w:t>)</w:t>
      </w:r>
      <w:r w:rsidR="00AC3A50">
        <w:rPr>
          <w:rFonts w:cs="Times New Roman"/>
          <w:szCs w:val="24"/>
        </w:rPr>
        <w:t xml:space="preserve">. </w:t>
      </w:r>
      <w:r w:rsidR="00CA0C00">
        <w:rPr>
          <w:rFonts w:cs="Times New Roman"/>
          <w:szCs w:val="24"/>
        </w:rPr>
        <w:t>Ovšem pokud se podíváme na fungování EU</w:t>
      </w:r>
      <w:r w:rsidR="00703FD8">
        <w:rPr>
          <w:rFonts w:cs="Times New Roman"/>
          <w:szCs w:val="24"/>
        </w:rPr>
        <w:t xml:space="preserve">, </w:t>
      </w:r>
      <w:r w:rsidR="00996DC5">
        <w:rPr>
          <w:rFonts w:cs="Times New Roman"/>
          <w:szCs w:val="24"/>
        </w:rPr>
        <w:t>odhalíme,</w:t>
      </w:r>
      <w:r w:rsidR="00703FD8">
        <w:rPr>
          <w:rFonts w:cs="Times New Roman"/>
          <w:szCs w:val="24"/>
        </w:rPr>
        <w:t xml:space="preserve"> že některé instituce zcela neodpovídají představám zastánců tohoto směru. Příkladem za všechny může být často kritizovaná </w:t>
      </w:r>
      <w:r w:rsidR="00E321DD">
        <w:rPr>
          <w:rFonts w:cs="Times New Roman"/>
          <w:szCs w:val="24"/>
        </w:rPr>
        <w:t xml:space="preserve">Evropská komise, která funguje </w:t>
      </w:r>
      <w:r w:rsidR="001960F8">
        <w:rPr>
          <w:rFonts w:cs="Times New Roman"/>
          <w:szCs w:val="24"/>
        </w:rPr>
        <w:t>na nadnárodní</w:t>
      </w:r>
      <w:r w:rsidR="00E321DD">
        <w:rPr>
          <w:rFonts w:cs="Times New Roman"/>
          <w:szCs w:val="24"/>
        </w:rPr>
        <w:t>m</w:t>
      </w:r>
      <w:r w:rsidR="001960F8">
        <w:rPr>
          <w:rFonts w:cs="Times New Roman"/>
          <w:szCs w:val="24"/>
        </w:rPr>
        <w:t xml:space="preserve"> </w:t>
      </w:r>
      <w:r w:rsidR="00F66C5C">
        <w:rPr>
          <w:rFonts w:cs="Times New Roman"/>
          <w:szCs w:val="24"/>
        </w:rPr>
        <w:t>principu</w:t>
      </w:r>
      <w:r w:rsidR="001960F8">
        <w:rPr>
          <w:rFonts w:cs="Times New Roman"/>
          <w:szCs w:val="24"/>
        </w:rPr>
        <w:t xml:space="preserve">. Dohromady zde pracuje asi 32 </w:t>
      </w:r>
      <w:r w:rsidR="00DA135E">
        <w:rPr>
          <w:rFonts w:cs="Times New Roman"/>
          <w:szCs w:val="24"/>
        </w:rPr>
        <w:t xml:space="preserve">tisíc </w:t>
      </w:r>
      <w:r w:rsidR="001960F8">
        <w:rPr>
          <w:rFonts w:cs="Times New Roman"/>
          <w:szCs w:val="24"/>
        </w:rPr>
        <w:t xml:space="preserve">úředníků. </w:t>
      </w:r>
      <w:r w:rsidR="001A696B">
        <w:rPr>
          <w:rFonts w:cs="Times New Roman"/>
          <w:szCs w:val="24"/>
        </w:rPr>
        <w:t>Č</w:t>
      </w:r>
      <w:r w:rsidR="001960F8">
        <w:rPr>
          <w:rFonts w:cs="Times New Roman"/>
          <w:szCs w:val="24"/>
        </w:rPr>
        <w:t>leny tvoří 27 komisařů</w:t>
      </w:r>
      <w:r w:rsidR="001A696B">
        <w:rPr>
          <w:rFonts w:cs="Times New Roman"/>
          <w:szCs w:val="24"/>
        </w:rPr>
        <w:t>.</w:t>
      </w:r>
      <w:r w:rsidR="001960F8">
        <w:rPr>
          <w:rFonts w:cs="Times New Roman"/>
          <w:szCs w:val="24"/>
        </w:rPr>
        <w:t xml:space="preserve"> </w:t>
      </w:r>
      <w:r w:rsidR="001A696B">
        <w:rPr>
          <w:rFonts w:cs="Times New Roman"/>
          <w:szCs w:val="24"/>
        </w:rPr>
        <w:t>T</w:t>
      </w:r>
      <w:r w:rsidR="001960F8">
        <w:rPr>
          <w:rFonts w:cs="Times New Roman"/>
          <w:szCs w:val="24"/>
        </w:rPr>
        <w:t>i sice nejsou přímo voleni, ale navrhují je samotné členské státy</w:t>
      </w:r>
      <w:r w:rsidR="003D1700">
        <w:rPr>
          <w:rFonts w:cs="Times New Roman"/>
          <w:szCs w:val="24"/>
        </w:rPr>
        <w:t xml:space="preserve">. Poté jsou </w:t>
      </w:r>
      <w:r w:rsidR="001A696B">
        <w:rPr>
          <w:rFonts w:cs="Times New Roman"/>
          <w:szCs w:val="24"/>
        </w:rPr>
        <w:t>schvalováni</w:t>
      </w:r>
      <w:r w:rsidR="003D1700">
        <w:rPr>
          <w:rFonts w:cs="Times New Roman"/>
          <w:szCs w:val="24"/>
        </w:rPr>
        <w:t xml:space="preserve"> Evropským parlamentem, kde opět figurují zvolení zástupci z jednotlivých členských států</w:t>
      </w:r>
      <w:r w:rsidR="00CD6CF7">
        <w:rPr>
          <w:rFonts w:cs="Times New Roman"/>
          <w:szCs w:val="24"/>
        </w:rPr>
        <w:t xml:space="preserve"> (Evropská unie, 2020)</w:t>
      </w:r>
      <w:r w:rsidR="003D1700">
        <w:rPr>
          <w:rFonts w:cs="Times New Roman"/>
          <w:szCs w:val="24"/>
        </w:rPr>
        <w:t xml:space="preserve">. Problém pro mezivládní zastánce představuje hlavně </w:t>
      </w:r>
      <w:r w:rsidR="001A696B">
        <w:rPr>
          <w:rFonts w:cs="Times New Roman"/>
          <w:szCs w:val="24"/>
        </w:rPr>
        <w:t>nedostatek kontrolních nástrojů v </w:t>
      </w:r>
      <w:r w:rsidR="003D1700">
        <w:rPr>
          <w:rFonts w:cs="Times New Roman"/>
          <w:szCs w:val="24"/>
        </w:rPr>
        <w:t>r</w:t>
      </w:r>
      <w:r w:rsidR="001A696B">
        <w:rPr>
          <w:rFonts w:cs="Times New Roman"/>
          <w:szCs w:val="24"/>
        </w:rPr>
        <w:t>ámci provádění nařízení</w:t>
      </w:r>
      <w:r w:rsidR="003D1700">
        <w:rPr>
          <w:rFonts w:cs="Times New Roman"/>
          <w:szCs w:val="24"/>
        </w:rPr>
        <w:t xml:space="preserve"> </w:t>
      </w:r>
      <w:r w:rsidR="008D3962">
        <w:rPr>
          <w:rFonts w:cs="Times New Roman"/>
          <w:szCs w:val="24"/>
        </w:rPr>
        <w:t>K</w:t>
      </w:r>
      <w:r w:rsidR="003D1700">
        <w:rPr>
          <w:rFonts w:cs="Times New Roman"/>
          <w:szCs w:val="24"/>
        </w:rPr>
        <w:t>omis</w:t>
      </w:r>
      <w:r w:rsidR="001A696B">
        <w:rPr>
          <w:rFonts w:cs="Times New Roman"/>
          <w:szCs w:val="24"/>
        </w:rPr>
        <w:t>í</w:t>
      </w:r>
      <w:r w:rsidR="003D1700">
        <w:rPr>
          <w:rFonts w:cs="Times New Roman"/>
          <w:szCs w:val="24"/>
        </w:rPr>
        <w:t>, ale také složitost volebních procesů ať už komisařů, či samotného p</w:t>
      </w:r>
      <w:r w:rsidR="001A696B">
        <w:rPr>
          <w:rFonts w:cs="Times New Roman"/>
          <w:szCs w:val="24"/>
        </w:rPr>
        <w:t>ředsedy</w:t>
      </w:r>
      <w:r w:rsidR="003D1700">
        <w:rPr>
          <w:rFonts w:cs="Times New Roman"/>
          <w:szCs w:val="24"/>
        </w:rPr>
        <w:t xml:space="preserve"> </w:t>
      </w:r>
      <w:r w:rsidR="008D3962">
        <w:rPr>
          <w:rFonts w:cs="Times New Roman"/>
          <w:szCs w:val="24"/>
        </w:rPr>
        <w:t>K</w:t>
      </w:r>
      <w:r w:rsidR="003D1700">
        <w:rPr>
          <w:rFonts w:cs="Times New Roman"/>
          <w:szCs w:val="24"/>
        </w:rPr>
        <w:t>omise, což mnozí z nich m</w:t>
      </w:r>
      <w:r w:rsidR="00F70B20">
        <w:rPr>
          <w:rFonts w:cs="Times New Roman"/>
          <w:szCs w:val="24"/>
        </w:rPr>
        <w:t>oh</w:t>
      </w:r>
      <w:r w:rsidR="003D1700">
        <w:rPr>
          <w:rFonts w:cs="Times New Roman"/>
          <w:szCs w:val="24"/>
        </w:rPr>
        <w:t xml:space="preserve">ou označovat právě za demokratický deficit. </w:t>
      </w:r>
    </w:p>
    <w:p w14:paraId="37261FE3" w14:textId="77777777" w:rsidR="00486166" w:rsidRDefault="00486166" w:rsidP="00486166">
      <w:pPr>
        <w:spacing w:after="0" w:line="360" w:lineRule="auto"/>
        <w:rPr>
          <w:rFonts w:cs="Times New Roman"/>
          <w:szCs w:val="24"/>
        </w:rPr>
      </w:pPr>
    </w:p>
    <w:p w14:paraId="23382475" w14:textId="581BE83F" w:rsidR="003646B6" w:rsidRPr="006F498B" w:rsidRDefault="006E3A1F" w:rsidP="00486166">
      <w:pPr>
        <w:spacing w:after="0" w:line="360" w:lineRule="auto"/>
        <w:rPr>
          <w:rFonts w:cs="Times New Roman"/>
          <w:szCs w:val="24"/>
        </w:rPr>
      </w:pPr>
      <w:r>
        <w:rPr>
          <w:rFonts w:cs="Times New Roman"/>
          <w:szCs w:val="24"/>
        </w:rPr>
        <w:t>Nadnárodní přístup zastává diametrálně odlišné názory. S</w:t>
      </w:r>
      <w:r w:rsidR="003B308A">
        <w:rPr>
          <w:rFonts w:cs="Times New Roman"/>
          <w:szCs w:val="24"/>
        </w:rPr>
        <w:t>upra</w:t>
      </w:r>
      <w:r>
        <w:rPr>
          <w:rFonts w:cs="Times New Roman"/>
          <w:szCs w:val="24"/>
        </w:rPr>
        <w:t>-</w:t>
      </w:r>
      <w:r w:rsidR="003B308A">
        <w:rPr>
          <w:rFonts w:cs="Times New Roman"/>
          <w:szCs w:val="24"/>
        </w:rPr>
        <w:t>nacionalisté</w:t>
      </w:r>
      <w:r w:rsidR="00E3788A">
        <w:rPr>
          <w:rFonts w:cs="Times New Roman"/>
          <w:szCs w:val="24"/>
        </w:rPr>
        <w:t xml:space="preserve"> považují Evropskou komisi za </w:t>
      </w:r>
      <w:r w:rsidR="003B308A">
        <w:rPr>
          <w:rFonts w:cs="Times New Roman"/>
          <w:szCs w:val="24"/>
        </w:rPr>
        <w:t>„</w:t>
      </w:r>
      <w:r w:rsidR="00E3788A">
        <w:rPr>
          <w:rFonts w:cs="Times New Roman"/>
          <w:szCs w:val="24"/>
        </w:rPr>
        <w:t>motor integrace</w:t>
      </w:r>
      <w:r w:rsidR="003B308A">
        <w:rPr>
          <w:rFonts w:cs="Times New Roman"/>
          <w:szCs w:val="24"/>
        </w:rPr>
        <w:t>“</w:t>
      </w:r>
      <w:r w:rsidR="00E3788A">
        <w:rPr>
          <w:rFonts w:cs="Times New Roman"/>
          <w:szCs w:val="24"/>
        </w:rPr>
        <w:t>.</w:t>
      </w:r>
      <w:r w:rsidR="003B308A">
        <w:rPr>
          <w:rFonts w:cs="Times New Roman"/>
          <w:szCs w:val="24"/>
        </w:rPr>
        <w:t xml:space="preserve"> </w:t>
      </w:r>
      <w:r>
        <w:rPr>
          <w:rFonts w:cs="Times New Roman"/>
          <w:szCs w:val="24"/>
        </w:rPr>
        <w:t xml:space="preserve"> </w:t>
      </w:r>
      <w:r w:rsidR="00186DF5">
        <w:rPr>
          <w:rFonts w:cs="Times New Roman"/>
          <w:szCs w:val="24"/>
        </w:rPr>
        <w:t>Zdůrazňují například úlohu podnikatelských svazů a evropských institucí. Pro zastánce tohoto přístupu existuje pouze jediný možný způsob, jak zachovat mír a demokracii. Tím je odstranění principu svrchovaného státu a jeho nahrazení mezinárodní institucí (federací)</w:t>
      </w:r>
      <w:r w:rsidR="00E12E93">
        <w:rPr>
          <w:rFonts w:cs="Times New Roman"/>
          <w:szCs w:val="24"/>
        </w:rPr>
        <w:t xml:space="preserve"> (</w:t>
      </w:r>
      <w:r w:rsidR="009E40D1">
        <w:rPr>
          <w:rFonts w:cs="Times New Roman"/>
          <w:szCs w:val="24"/>
        </w:rPr>
        <w:t>Haas, 1958</w:t>
      </w:r>
      <w:r w:rsidR="00E12E93">
        <w:rPr>
          <w:rFonts w:cs="Times New Roman"/>
          <w:szCs w:val="24"/>
        </w:rPr>
        <w:t>)</w:t>
      </w:r>
      <w:r>
        <w:rPr>
          <w:rFonts w:cs="Times New Roman"/>
          <w:szCs w:val="24"/>
        </w:rPr>
        <w:t>.</w:t>
      </w:r>
    </w:p>
    <w:p w14:paraId="075CDBF3" w14:textId="6FE33392" w:rsidR="00736E49" w:rsidRDefault="003646B6" w:rsidP="00FD2432">
      <w:pPr>
        <w:pStyle w:val="Nadpis1"/>
        <w:numPr>
          <w:ilvl w:val="1"/>
          <w:numId w:val="9"/>
        </w:numPr>
        <w:spacing w:after="240" w:line="360" w:lineRule="auto"/>
      </w:pPr>
      <w:r>
        <w:t xml:space="preserve"> </w:t>
      </w:r>
      <w:bookmarkStart w:id="10" w:name="_Toc70660095"/>
      <w:r>
        <w:t>Vymezení pojmu legitimity</w:t>
      </w:r>
      <w:bookmarkEnd w:id="10"/>
    </w:p>
    <w:p w14:paraId="346A0EA9" w14:textId="64B13516" w:rsidR="003646B6" w:rsidRDefault="00786986" w:rsidP="00AA702C">
      <w:pPr>
        <w:spacing w:line="360" w:lineRule="auto"/>
        <w:rPr>
          <w:rFonts w:cs="Times New Roman"/>
          <w:szCs w:val="24"/>
        </w:rPr>
      </w:pPr>
      <w:r>
        <w:t xml:space="preserve"> </w:t>
      </w:r>
      <w:r w:rsidR="002A5E01">
        <w:tab/>
      </w:r>
      <w:r w:rsidR="002A5E01">
        <w:rPr>
          <w:rFonts w:cs="Times New Roman"/>
          <w:szCs w:val="24"/>
        </w:rPr>
        <w:t xml:space="preserve">Pojem legitimity neodmyslitelně patří k pojmu demokratického deficitu. Tyto dva pojmy jsou těsně provázané a navzájem se ovlivňují. Stejně jako u demokratického deficitu existuje řada různých definic pro pojem legitimity. </w:t>
      </w:r>
      <w:r w:rsidR="003646B6">
        <w:rPr>
          <w:rFonts w:cs="Times New Roman"/>
          <w:szCs w:val="24"/>
        </w:rPr>
        <w:t>Pro účely této práce je zásadní</w:t>
      </w:r>
      <w:r w:rsidR="003B0A9B">
        <w:rPr>
          <w:rFonts w:cs="Times New Roman"/>
          <w:szCs w:val="24"/>
        </w:rPr>
        <w:t xml:space="preserve"> </w:t>
      </w:r>
      <w:r w:rsidR="00C67262">
        <w:rPr>
          <w:rFonts w:cs="Times New Roman"/>
          <w:szCs w:val="24"/>
        </w:rPr>
        <w:t>dělení legitimity</w:t>
      </w:r>
      <w:r w:rsidR="003646B6">
        <w:rPr>
          <w:rFonts w:cs="Times New Roman"/>
          <w:szCs w:val="24"/>
        </w:rPr>
        <w:t>, které</w:t>
      </w:r>
      <w:r w:rsidR="00C67262">
        <w:rPr>
          <w:rFonts w:cs="Times New Roman"/>
          <w:szCs w:val="24"/>
        </w:rPr>
        <w:t xml:space="preserve"> pochází od německého profesora Fritze </w:t>
      </w:r>
      <w:proofErr w:type="spellStart"/>
      <w:r w:rsidR="00C67262">
        <w:rPr>
          <w:rFonts w:cs="Times New Roman"/>
          <w:szCs w:val="24"/>
        </w:rPr>
        <w:t>Scharpfa</w:t>
      </w:r>
      <w:proofErr w:type="spellEnd"/>
      <w:r w:rsidR="00AF70B7">
        <w:rPr>
          <w:rFonts w:cs="Times New Roman"/>
          <w:szCs w:val="24"/>
        </w:rPr>
        <w:t>, který</w:t>
      </w:r>
      <w:r w:rsidR="00C67262">
        <w:rPr>
          <w:rFonts w:cs="Times New Roman"/>
          <w:szCs w:val="24"/>
        </w:rPr>
        <w:t xml:space="preserve"> rozděluje legitimitu do dvou kategorií. První nese název „Input </w:t>
      </w:r>
      <w:proofErr w:type="spellStart"/>
      <w:r w:rsidR="00C67262">
        <w:rPr>
          <w:rFonts w:cs="Times New Roman"/>
          <w:szCs w:val="24"/>
        </w:rPr>
        <w:t>Legitimacy</w:t>
      </w:r>
      <w:proofErr w:type="spellEnd"/>
      <w:r w:rsidR="00C67262">
        <w:rPr>
          <w:rFonts w:cs="Times New Roman"/>
          <w:szCs w:val="24"/>
        </w:rPr>
        <w:t xml:space="preserve">“ a druhá se nazývá „Output </w:t>
      </w:r>
      <w:proofErr w:type="spellStart"/>
      <w:r w:rsidR="00C67262">
        <w:rPr>
          <w:rFonts w:cs="Times New Roman"/>
          <w:szCs w:val="24"/>
        </w:rPr>
        <w:t>Legitimacy</w:t>
      </w:r>
      <w:proofErr w:type="spellEnd"/>
      <w:r w:rsidR="00C67262">
        <w:rPr>
          <w:rFonts w:cs="Times New Roman"/>
          <w:szCs w:val="24"/>
        </w:rPr>
        <w:t>“.</w:t>
      </w:r>
    </w:p>
    <w:p w14:paraId="7B43DC3F" w14:textId="63A8D73C" w:rsidR="003646B6" w:rsidRDefault="00C67262" w:rsidP="00AA702C">
      <w:pPr>
        <w:spacing w:line="360" w:lineRule="auto"/>
        <w:rPr>
          <w:rFonts w:cs="Times New Roman"/>
          <w:szCs w:val="24"/>
        </w:rPr>
      </w:pPr>
      <w:r>
        <w:rPr>
          <w:rFonts w:cs="Times New Roman"/>
          <w:szCs w:val="24"/>
        </w:rPr>
        <w:t xml:space="preserve">„Input </w:t>
      </w:r>
      <w:proofErr w:type="spellStart"/>
      <w:r>
        <w:rPr>
          <w:rFonts w:cs="Times New Roman"/>
          <w:szCs w:val="24"/>
        </w:rPr>
        <w:t>Legitimacy</w:t>
      </w:r>
      <w:proofErr w:type="spellEnd"/>
      <w:r>
        <w:rPr>
          <w:rFonts w:cs="Times New Roman"/>
          <w:szCs w:val="24"/>
        </w:rPr>
        <w:t>“ je typ legitimity, kterou mnoho lidí považ</w:t>
      </w:r>
      <w:r w:rsidR="00996DC5">
        <w:rPr>
          <w:rFonts w:cs="Times New Roman"/>
          <w:szCs w:val="24"/>
        </w:rPr>
        <w:t>uje za rozhodující p</w:t>
      </w:r>
      <w:r>
        <w:rPr>
          <w:rFonts w:cs="Times New Roman"/>
          <w:szCs w:val="24"/>
        </w:rPr>
        <w:t>ři určování, zda je daný politický systém demokratický</w:t>
      </w:r>
      <w:r w:rsidR="00996DC5">
        <w:rPr>
          <w:rFonts w:cs="Times New Roman"/>
          <w:szCs w:val="24"/>
        </w:rPr>
        <w:t>,</w:t>
      </w:r>
      <w:r>
        <w:rPr>
          <w:rFonts w:cs="Times New Roman"/>
          <w:szCs w:val="24"/>
        </w:rPr>
        <w:t xml:space="preserve"> či nikoliv. Zaměřuje se především na možnost občanů aktivně se zapojovat do rozhodovacích procesů ve státě. Čím víc občanů se může těchto procesů účastnit, tím víc se </w:t>
      </w:r>
      <w:r w:rsidR="00D55AF6">
        <w:rPr>
          <w:rFonts w:cs="Times New Roman"/>
          <w:szCs w:val="24"/>
        </w:rPr>
        <w:t xml:space="preserve">zvyšuje „Input </w:t>
      </w:r>
      <w:proofErr w:type="spellStart"/>
      <w:r w:rsidR="00D55AF6">
        <w:rPr>
          <w:rFonts w:cs="Times New Roman"/>
          <w:szCs w:val="24"/>
        </w:rPr>
        <w:t>Legitimacy</w:t>
      </w:r>
      <w:proofErr w:type="spellEnd"/>
      <w:r w:rsidR="00D55AF6">
        <w:rPr>
          <w:rFonts w:cs="Times New Roman"/>
          <w:szCs w:val="24"/>
        </w:rPr>
        <w:t>“. Nástroji tohoto druhu legitimity jsou především volby, ale také referenda či odborová shromáždění</w:t>
      </w:r>
      <w:r w:rsidR="00AB064F">
        <w:rPr>
          <w:rFonts w:cs="Times New Roman"/>
          <w:szCs w:val="24"/>
        </w:rPr>
        <w:t xml:space="preserve"> (</w:t>
      </w:r>
      <w:proofErr w:type="spellStart"/>
      <w:r w:rsidR="00AB064F">
        <w:rPr>
          <w:rFonts w:cs="Times New Roman"/>
          <w:szCs w:val="24"/>
        </w:rPr>
        <w:t>Sharpf</w:t>
      </w:r>
      <w:proofErr w:type="spellEnd"/>
      <w:r w:rsidR="00AB064F">
        <w:rPr>
          <w:rFonts w:cs="Times New Roman"/>
          <w:szCs w:val="24"/>
        </w:rPr>
        <w:t>, 1999)</w:t>
      </w:r>
      <w:r w:rsidR="00CF3EC7">
        <w:rPr>
          <w:rFonts w:cs="Times New Roman"/>
          <w:szCs w:val="24"/>
        </w:rPr>
        <w:t>.</w:t>
      </w:r>
    </w:p>
    <w:p w14:paraId="1B4796A2" w14:textId="50653A36" w:rsidR="003646B6" w:rsidRDefault="00D55AF6" w:rsidP="00AA702C">
      <w:pPr>
        <w:spacing w:line="360" w:lineRule="auto"/>
        <w:rPr>
          <w:rFonts w:cs="Times New Roman"/>
          <w:szCs w:val="24"/>
        </w:rPr>
      </w:pPr>
      <w:r>
        <w:rPr>
          <w:rFonts w:cs="Times New Roman"/>
          <w:szCs w:val="24"/>
        </w:rPr>
        <w:t xml:space="preserve">„Output </w:t>
      </w:r>
      <w:proofErr w:type="spellStart"/>
      <w:r>
        <w:rPr>
          <w:rFonts w:cs="Times New Roman"/>
          <w:szCs w:val="24"/>
        </w:rPr>
        <w:t>Legitimacy</w:t>
      </w:r>
      <w:proofErr w:type="spellEnd"/>
      <w:r>
        <w:rPr>
          <w:rFonts w:cs="Times New Roman"/>
          <w:szCs w:val="24"/>
        </w:rPr>
        <w:t>“ naopak ukazuje</w:t>
      </w:r>
      <w:r w:rsidR="00996DC5">
        <w:rPr>
          <w:rFonts w:cs="Times New Roman"/>
          <w:szCs w:val="24"/>
        </w:rPr>
        <w:t>,</w:t>
      </w:r>
      <w:r>
        <w:rPr>
          <w:rFonts w:cs="Times New Roman"/>
          <w:szCs w:val="24"/>
        </w:rPr>
        <w:t xml:space="preserve"> do jaké míry jsou vládnoucí autority schopny efektivně řešit společenské problémy a zda jsou schopné vyhovět přáním a požadavkům nejen většinové společnosti</w:t>
      </w:r>
      <w:r w:rsidR="00996DC5">
        <w:rPr>
          <w:rFonts w:cs="Times New Roman"/>
          <w:szCs w:val="24"/>
        </w:rPr>
        <w:t>,</w:t>
      </w:r>
      <w:r>
        <w:rPr>
          <w:rFonts w:cs="Times New Roman"/>
          <w:szCs w:val="24"/>
        </w:rPr>
        <w:t xml:space="preserve"> ale také různým národnostním minoritám. </w:t>
      </w:r>
      <w:r w:rsidR="00996DC5">
        <w:rPr>
          <w:rFonts w:cs="Times New Roman"/>
          <w:szCs w:val="24"/>
        </w:rPr>
        <w:t xml:space="preserve">„Output </w:t>
      </w:r>
      <w:proofErr w:type="spellStart"/>
      <w:r w:rsidR="00996DC5">
        <w:rPr>
          <w:rFonts w:cs="Times New Roman"/>
          <w:szCs w:val="24"/>
        </w:rPr>
        <w:t>Legitimacy</w:t>
      </w:r>
      <w:proofErr w:type="spellEnd"/>
      <w:r w:rsidR="00996DC5">
        <w:rPr>
          <w:rFonts w:cs="Times New Roman"/>
          <w:szCs w:val="24"/>
        </w:rPr>
        <w:t xml:space="preserve">“ se tak </w:t>
      </w:r>
      <w:r>
        <w:rPr>
          <w:rFonts w:cs="Times New Roman"/>
          <w:szCs w:val="24"/>
        </w:rPr>
        <w:t>týká i například toho, jak plní své předvolební sliby</w:t>
      </w:r>
      <w:r w:rsidR="00AB064F">
        <w:rPr>
          <w:rFonts w:cs="Times New Roman"/>
          <w:szCs w:val="24"/>
        </w:rPr>
        <w:t xml:space="preserve"> (</w:t>
      </w:r>
      <w:proofErr w:type="spellStart"/>
      <w:r w:rsidR="00AB064F">
        <w:rPr>
          <w:rFonts w:cs="Times New Roman"/>
          <w:szCs w:val="24"/>
        </w:rPr>
        <w:t>Scharpf</w:t>
      </w:r>
      <w:proofErr w:type="spellEnd"/>
      <w:r w:rsidR="00AB064F">
        <w:rPr>
          <w:rFonts w:cs="Times New Roman"/>
          <w:szCs w:val="24"/>
        </w:rPr>
        <w:t>, 1999)</w:t>
      </w:r>
      <w:r w:rsidR="00CF3EC7">
        <w:rPr>
          <w:rFonts w:cs="Times New Roman"/>
          <w:szCs w:val="24"/>
        </w:rPr>
        <w:t>.</w:t>
      </w:r>
    </w:p>
    <w:p w14:paraId="7AB07FD3" w14:textId="6F02EB03" w:rsidR="0068494F" w:rsidRDefault="00D55AF6" w:rsidP="003646B6">
      <w:pPr>
        <w:spacing w:after="0" w:line="360" w:lineRule="auto"/>
      </w:pPr>
      <w:r>
        <w:rPr>
          <w:rFonts w:cs="Times New Roman"/>
          <w:szCs w:val="24"/>
        </w:rPr>
        <w:t>V roce 2003 doplnil</w:t>
      </w:r>
      <w:r w:rsidR="00CF3EC7">
        <w:rPr>
          <w:rFonts w:cs="Times New Roman"/>
          <w:szCs w:val="24"/>
        </w:rPr>
        <w:t>a</w:t>
      </w:r>
      <w:r>
        <w:rPr>
          <w:rFonts w:cs="Times New Roman"/>
          <w:szCs w:val="24"/>
        </w:rPr>
        <w:t xml:space="preserve"> </w:t>
      </w:r>
      <w:r w:rsidR="00996DC5">
        <w:rPr>
          <w:rFonts w:cs="Times New Roman"/>
          <w:szCs w:val="24"/>
        </w:rPr>
        <w:t>danou</w:t>
      </w:r>
      <w:r>
        <w:rPr>
          <w:rFonts w:cs="Times New Roman"/>
          <w:szCs w:val="24"/>
        </w:rPr>
        <w:t xml:space="preserve"> teorii Vivien Smith o třetí kategorii. Ta dostala název „</w:t>
      </w:r>
      <w:proofErr w:type="spellStart"/>
      <w:r>
        <w:rPr>
          <w:rFonts w:cs="Times New Roman"/>
          <w:szCs w:val="24"/>
        </w:rPr>
        <w:t>Troughput</w:t>
      </w:r>
      <w:proofErr w:type="spellEnd"/>
      <w:r>
        <w:rPr>
          <w:rFonts w:cs="Times New Roman"/>
          <w:szCs w:val="24"/>
        </w:rPr>
        <w:t xml:space="preserve"> </w:t>
      </w:r>
      <w:proofErr w:type="spellStart"/>
      <w:r>
        <w:rPr>
          <w:rFonts w:cs="Times New Roman"/>
          <w:szCs w:val="24"/>
        </w:rPr>
        <w:t>Legitimacy</w:t>
      </w:r>
      <w:proofErr w:type="spellEnd"/>
      <w:r>
        <w:rPr>
          <w:rFonts w:cs="Times New Roman"/>
          <w:szCs w:val="24"/>
        </w:rPr>
        <w:t xml:space="preserve">“. </w:t>
      </w:r>
      <w:r w:rsidR="00996DC5">
        <w:rPr>
          <w:rFonts w:cs="Times New Roman"/>
          <w:szCs w:val="24"/>
        </w:rPr>
        <w:t>Zmíněný</w:t>
      </w:r>
      <w:r>
        <w:rPr>
          <w:rFonts w:cs="Times New Roman"/>
          <w:szCs w:val="24"/>
        </w:rPr>
        <w:t xml:space="preserve"> druh legitimity se zabývá </w:t>
      </w:r>
      <w:r w:rsidR="00C705F0">
        <w:rPr>
          <w:rFonts w:cs="Times New Roman"/>
          <w:szCs w:val="24"/>
        </w:rPr>
        <w:t>tím, jakým způsobem celý rozhodovací pro</w:t>
      </w:r>
      <w:r w:rsidR="00A15923">
        <w:rPr>
          <w:rFonts w:cs="Times New Roman"/>
          <w:szCs w:val="24"/>
        </w:rPr>
        <w:t>ces</w:t>
      </w:r>
      <w:r w:rsidR="00AF70B7">
        <w:rPr>
          <w:rFonts w:cs="Times New Roman"/>
          <w:szCs w:val="24"/>
        </w:rPr>
        <w:t xml:space="preserve"> probíhá</w:t>
      </w:r>
      <w:r w:rsidR="00A15923">
        <w:rPr>
          <w:rFonts w:cs="Times New Roman"/>
          <w:szCs w:val="24"/>
        </w:rPr>
        <w:t xml:space="preserve">. </w:t>
      </w:r>
      <w:r w:rsidR="00A15923" w:rsidRPr="00587449">
        <w:rPr>
          <w:rFonts w:cs="Times New Roman"/>
          <w:i/>
          <w:iCs/>
          <w:szCs w:val="24"/>
        </w:rPr>
        <w:t>„To může tedy zahrnovat širokou škálu věcí, jako i politický systém v dané zemi“</w:t>
      </w:r>
      <w:r w:rsidR="00A15923">
        <w:rPr>
          <w:rFonts w:cs="Times New Roman"/>
          <w:szCs w:val="24"/>
        </w:rPr>
        <w:t xml:space="preserve"> (legitimacy.eu)</w:t>
      </w:r>
      <w:r w:rsidR="00CF3EC7">
        <w:rPr>
          <w:rFonts w:cs="Times New Roman"/>
          <w:szCs w:val="24"/>
        </w:rPr>
        <w:t>.</w:t>
      </w:r>
      <w:r w:rsidR="00A15923">
        <w:rPr>
          <w:rFonts w:cs="Times New Roman"/>
          <w:szCs w:val="24"/>
        </w:rPr>
        <w:t xml:space="preserve"> Dále tento dojem zahrnuje míru transparentnosti rozhodovacích procesů nebo kvalitu vyjednávacích procesů</w:t>
      </w:r>
      <w:r w:rsidR="00395250">
        <w:rPr>
          <w:rFonts w:cs="Times New Roman"/>
          <w:szCs w:val="24"/>
        </w:rPr>
        <w:t xml:space="preserve"> (Schmidt, 2013).</w:t>
      </w:r>
      <w:r w:rsidR="00853952">
        <w:tab/>
      </w:r>
    </w:p>
    <w:p w14:paraId="7D5607E9" w14:textId="77777777" w:rsidR="0068494F" w:rsidRPr="0061221B" w:rsidRDefault="0068494F" w:rsidP="0068494F">
      <w:pPr>
        <w:pStyle w:val="Nadpis1"/>
        <w:numPr>
          <w:ilvl w:val="1"/>
          <w:numId w:val="9"/>
        </w:numPr>
        <w:spacing w:after="240" w:line="360" w:lineRule="auto"/>
        <w:rPr>
          <w:sz w:val="26"/>
          <w:szCs w:val="26"/>
        </w:rPr>
      </w:pPr>
      <w:bookmarkStart w:id="11" w:name="_Toc70660096"/>
      <w:r>
        <w:lastRenderedPageBreak/>
        <w:t>Vymezení pojmu demokratický deficit</w:t>
      </w:r>
      <w:bookmarkEnd w:id="11"/>
      <w:r>
        <w:rPr>
          <w:rFonts w:cs="Times New Roman"/>
          <w:sz w:val="24"/>
          <w:szCs w:val="24"/>
        </w:rPr>
        <w:t xml:space="preserve"> </w:t>
      </w:r>
    </w:p>
    <w:p w14:paraId="3A33782B" w14:textId="6B0EBF58" w:rsidR="0068494F" w:rsidRDefault="0068494F" w:rsidP="00AA702C">
      <w:pPr>
        <w:spacing w:line="360" w:lineRule="auto"/>
        <w:rPr>
          <w:rFonts w:cs="Times New Roman"/>
          <w:szCs w:val="24"/>
        </w:rPr>
      </w:pPr>
      <w:r>
        <w:rPr>
          <w:rFonts w:cs="Times New Roman"/>
          <w:szCs w:val="24"/>
        </w:rPr>
        <w:tab/>
        <w:t xml:space="preserve">Tento pojem byl poprvé použit Davidem </w:t>
      </w:r>
      <w:proofErr w:type="spellStart"/>
      <w:r>
        <w:rPr>
          <w:rFonts w:cs="Times New Roman"/>
          <w:szCs w:val="24"/>
        </w:rPr>
        <w:t>Marquandem</w:t>
      </w:r>
      <w:proofErr w:type="spellEnd"/>
      <w:r>
        <w:rPr>
          <w:rFonts w:cs="Times New Roman"/>
          <w:szCs w:val="24"/>
        </w:rPr>
        <w:t xml:space="preserve">. </w:t>
      </w:r>
      <w:r w:rsidRPr="00587449">
        <w:rPr>
          <w:rFonts w:cs="Times New Roman"/>
          <w:i/>
          <w:iCs/>
          <w:szCs w:val="24"/>
        </w:rPr>
        <w:t>„</w:t>
      </w:r>
      <w:proofErr w:type="spellStart"/>
      <w:r w:rsidRPr="00587449">
        <w:rPr>
          <w:rFonts w:cs="Times New Roman"/>
          <w:i/>
          <w:iCs/>
          <w:szCs w:val="24"/>
        </w:rPr>
        <w:t>Marquand</w:t>
      </w:r>
      <w:proofErr w:type="spellEnd"/>
      <w:r w:rsidRPr="00587449">
        <w:rPr>
          <w:rFonts w:cs="Times New Roman"/>
          <w:i/>
          <w:iCs/>
          <w:szCs w:val="24"/>
        </w:rPr>
        <w:t xml:space="preserve"> použil pojem demokratického deficitu k popsání slabosti demokratické legitimity institucí Evropského společenství v 70. letech.“</w:t>
      </w:r>
      <w:r>
        <w:rPr>
          <w:rFonts w:cs="Times New Roman"/>
          <w:szCs w:val="24"/>
        </w:rPr>
        <w:t xml:space="preserve"> (Milev, 2004) Zmíněný akademik a politik tehdy navrhoval zavedení přímých</w:t>
      </w:r>
      <w:r w:rsidR="00097740">
        <w:rPr>
          <w:rFonts w:cs="Times New Roman"/>
          <w:szCs w:val="24"/>
        </w:rPr>
        <w:t xml:space="preserve"> voleb do Evropského parlamentu</w:t>
      </w:r>
      <w:r>
        <w:rPr>
          <w:rFonts w:cs="Times New Roman"/>
          <w:szCs w:val="24"/>
        </w:rPr>
        <w:t xml:space="preserve"> místo jmenování jednotlivých členů příslušným národním parlamentem (Milev, 2004). S přijetím Jednotného evropského aktu se o demokratickém deficitu začíná v akademické obci více hovořit, jelikož smlouva zahrnovala mimo jiné také plán na dokončení vnitřního trhu (Milev, 2004). Ovšem nejvýznamnější událostí v historickém vývoji tohoto pojmu představuje přijetí Maastrichtské smlouvy. Tehdy totiž došlo k zásadnímu rozšíření pravomocí společenství do nových oblastí politiky, ve kterých jediný přímo volený orgán společenství neměl žádné pravomoci. </w:t>
      </w:r>
      <w:r w:rsidR="007259A5">
        <w:rPr>
          <w:rFonts w:cs="Times New Roman"/>
          <w:szCs w:val="24"/>
        </w:rPr>
        <w:t>To se týkalo především oblastí, které tvořily druhý a třetí pilíř Unie.</w:t>
      </w:r>
      <w:r w:rsidR="00E321DD">
        <w:rPr>
          <w:rFonts w:cs="Times New Roman"/>
          <w:szCs w:val="24"/>
        </w:rPr>
        <w:t xml:space="preserve"> (Milev, 2004)</w:t>
      </w:r>
      <w:r>
        <w:rPr>
          <w:rFonts w:cs="Times New Roman"/>
          <w:szCs w:val="24"/>
        </w:rPr>
        <w:t xml:space="preserve">  </w:t>
      </w:r>
    </w:p>
    <w:p w14:paraId="09A587A3" w14:textId="518B9582" w:rsidR="0068494F" w:rsidRDefault="0068494F" w:rsidP="00AA702C">
      <w:pPr>
        <w:spacing w:line="360" w:lineRule="auto"/>
        <w:rPr>
          <w:rFonts w:cs="Times New Roman"/>
          <w:szCs w:val="24"/>
        </w:rPr>
      </w:pPr>
      <w:r>
        <w:rPr>
          <w:rFonts w:cs="Times New Roman"/>
          <w:szCs w:val="24"/>
        </w:rPr>
        <w:t>Pojem se do povědomí široké společnosti dostal počátkem 21. století, kdy se o něj začala zajímat média. Už podstata těchto slov naznačovala, že by se měl</w:t>
      </w:r>
      <w:r w:rsidR="00097740">
        <w:rPr>
          <w:rFonts w:cs="Times New Roman"/>
          <w:szCs w:val="24"/>
        </w:rPr>
        <w:t>o jednat pouze o dočasnou chybu. N</w:t>
      </w:r>
      <w:r>
        <w:rPr>
          <w:rFonts w:cs="Times New Roman"/>
          <w:szCs w:val="24"/>
        </w:rPr>
        <w:t>icméně z demokratického deficitu se stala, z velké části zás</w:t>
      </w:r>
      <w:r w:rsidR="00097740">
        <w:rPr>
          <w:rFonts w:cs="Times New Roman"/>
          <w:szCs w:val="24"/>
        </w:rPr>
        <w:t>luhou právě médií, jakási fráze</w:t>
      </w:r>
      <w:r>
        <w:rPr>
          <w:rFonts w:cs="Times New Roman"/>
          <w:szCs w:val="24"/>
        </w:rPr>
        <w:t xml:space="preserve"> či univerzální odpověď na všechny problémy (Šebestík, 2009)</w:t>
      </w:r>
      <w:r w:rsidR="00E321DD">
        <w:rPr>
          <w:rFonts w:cs="Times New Roman"/>
          <w:szCs w:val="24"/>
        </w:rPr>
        <w:t>.</w:t>
      </w:r>
      <w:r>
        <w:rPr>
          <w:rFonts w:cs="Times New Roman"/>
          <w:szCs w:val="24"/>
        </w:rPr>
        <w:t xml:space="preserve"> Jako hlavní příčinu, proč k</w:t>
      </w:r>
      <w:r w:rsidR="00097740">
        <w:rPr>
          <w:rFonts w:cs="Times New Roman"/>
          <w:szCs w:val="24"/>
        </w:rPr>
        <w:t> dané skutečnosti</w:t>
      </w:r>
      <w:r>
        <w:rPr>
          <w:rFonts w:cs="Times New Roman"/>
          <w:szCs w:val="24"/>
        </w:rPr>
        <w:t xml:space="preserve"> došlo</w:t>
      </w:r>
      <w:r w:rsidR="00097740">
        <w:rPr>
          <w:rFonts w:cs="Times New Roman"/>
          <w:szCs w:val="24"/>
        </w:rPr>
        <w:t>,</w:t>
      </w:r>
      <w:r>
        <w:rPr>
          <w:rFonts w:cs="Times New Roman"/>
          <w:szCs w:val="24"/>
        </w:rPr>
        <w:t xml:space="preserve"> se dá považovat nejednoznačnost pojmu a chybějící povědomí občanů o tom, co to vlastně ten demokratický deficit je. Také proto bývá </w:t>
      </w:r>
      <w:r w:rsidR="00097740">
        <w:rPr>
          <w:rFonts w:cs="Times New Roman"/>
          <w:szCs w:val="24"/>
        </w:rPr>
        <w:t>zmíněný</w:t>
      </w:r>
      <w:r>
        <w:rPr>
          <w:rFonts w:cs="Times New Roman"/>
          <w:szCs w:val="24"/>
        </w:rPr>
        <w:t xml:space="preserve"> pojem často zneužíván k prosazování institucionálních změn, které mohou být pro fungování Unie klíčové. </w:t>
      </w:r>
    </w:p>
    <w:p w14:paraId="1CE87D55" w14:textId="57DBB1B3" w:rsidR="0068494F" w:rsidRDefault="0068494F" w:rsidP="00AA702C">
      <w:pPr>
        <w:spacing w:line="360" w:lineRule="auto"/>
        <w:rPr>
          <w:rFonts w:cs="Times New Roman"/>
          <w:szCs w:val="24"/>
        </w:rPr>
      </w:pPr>
      <w:r>
        <w:rPr>
          <w:rFonts w:cs="Times New Roman"/>
          <w:szCs w:val="24"/>
        </w:rPr>
        <w:t>V České republice byl pojem nejvíce skloňován zejména v souvislosti s LS, kdy média upozorňovala na možnost zvýšení demokratického deficitu v důsledku jejího přijetí (Šebestík, 2009)</w:t>
      </w:r>
      <w:r w:rsidR="00E321DD">
        <w:rPr>
          <w:rFonts w:cs="Times New Roman"/>
          <w:szCs w:val="24"/>
        </w:rPr>
        <w:t>.</w:t>
      </w:r>
      <w:r>
        <w:rPr>
          <w:rFonts w:cs="Times New Roman"/>
          <w:szCs w:val="24"/>
        </w:rPr>
        <w:t xml:space="preserve"> Opětovně ale nebyla média schopna přesně vysvětlit, o co přesně</w:t>
      </w:r>
      <w:r w:rsidR="00E321DD">
        <w:rPr>
          <w:rFonts w:cs="Times New Roman"/>
          <w:szCs w:val="24"/>
        </w:rPr>
        <w:t xml:space="preserve"> se</w:t>
      </w:r>
      <w:r>
        <w:rPr>
          <w:rFonts w:cs="Times New Roman"/>
          <w:szCs w:val="24"/>
        </w:rPr>
        <w:t xml:space="preserve"> jedná, či v jakém smyslu je toto tvrzení myšleno. </w:t>
      </w:r>
    </w:p>
    <w:p w14:paraId="253EF66C" w14:textId="6FCDAD6F" w:rsidR="0068494F" w:rsidRDefault="0068494F" w:rsidP="0068494F">
      <w:pPr>
        <w:spacing w:after="0" w:line="360" w:lineRule="auto"/>
        <w:rPr>
          <w:rFonts w:cs="Times New Roman"/>
          <w:szCs w:val="24"/>
        </w:rPr>
      </w:pPr>
      <w:r>
        <w:rPr>
          <w:rFonts w:cs="Times New Roman"/>
          <w:szCs w:val="24"/>
        </w:rPr>
        <w:t>V souvislosti s EU tedy demokratický deficit upozorňuje například na nedostatečné zastoupení menších států, nicméně bývá častěji spojován</w:t>
      </w:r>
      <w:r w:rsidR="00E321DD">
        <w:rPr>
          <w:rFonts w:cs="Times New Roman"/>
          <w:szCs w:val="24"/>
        </w:rPr>
        <w:t xml:space="preserve"> i</w:t>
      </w:r>
      <w:r>
        <w:rPr>
          <w:rFonts w:cs="Times New Roman"/>
          <w:szCs w:val="24"/>
        </w:rPr>
        <w:t xml:space="preserve"> s legislativními procesy nebo s nedostatečným zapojením občanů členských států do politiky a dění v EU.</w:t>
      </w:r>
    </w:p>
    <w:p w14:paraId="09B0F413" w14:textId="2016067E" w:rsidR="0068494F" w:rsidRPr="0068494F" w:rsidRDefault="0068494F" w:rsidP="0068494F">
      <w:pPr>
        <w:spacing w:line="259" w:lineRule="auto"/>
        <w:jc w:val="left"/>
        <w:rPr>
          <w:rFonts w:cs="Times New Roman"/>
          <w:szCs w:val="24"/>
        </w:rPr>
      </w:pPr>
      <w:r>
        <w:rPr>
          <w:rFonts w:cs="Times New Roman"/>
          <w:szCs w:val="24"/>
        </w:rPr>
        <w:br w:type="page"/>
      </w:r>
    </w:p>
    <w:p w14:paraId="137CEA20" w14:textId="5FD28C77" w:rsidR="003646B6" w:rsidRDefault="005A7678" w:rsidP="00FD2432">
      <w:pPr>
        <w:pStyle w:val="Nadpis1"/>
        <w:numPr>
          <w:ilvl w:val="0"/>
          <w:numId w:val="9"/>
        </w:numPr>
        <w:spacing w:after="240"/>
      </w:pPr>
      <w:bookmarkStart w:id="12" w:name="_Toc70660097"/>
      <w:r>
        <w:lastRenderedPageBreak/>
        <w:t>Koncepty demokratického deficitu</w:t>
      </w:r>
      <w:bookmarkEnd w:id="12"/>
      <w:r>
        <w:t xml:space="preserve"> </w:t>
      </w:r>
    </w:p>
    <w:p w14:paraId="2B639ABB" w14:textId="4AB76C84" w:rsidR="0068494F" w:rsidRPr="0068494F" w:rsidRDefault="0068494F" w:rsidP="0068494F">
      <w:pPr>
        <w:spacing w:line="360" w:lineRule="auto"/>
        <w:ind w:firstLine="432"/>
        <w:rPr>
          <w:rFonts w:cs="Times New Roman"/>
          <w:szCs w:val="24"/>
        </w:rPr>
      </w:pPr>
      <w:r>
        <w:rPr>
          <w:rFonts w:cs="Times New Roman"/>
          <w:szCs w:val="24"/>
        </w:rPr>
        <w:t>V rámci akademické debaty ohledně demokratického deficitu existuje množství různých definic s ohledem na to, jak jednotliví autoři nahlíží na samotný pojem demokracie</w:t>
      </w:r>
      <w:r w:rsidR="00097740">
        <w:rPr>
          <w:rFonts w:cs="Times New Roman"/>
          <w:szCs w:val="24"/>
        </w:rPr>
        <w:t>,</w:t>
      </w:r>
      <w:r>
        <w:rPr>
          <w:rFonts w:cs="Times New Roman"/>
          <w:szCs w:val="24"/>
        </w:rPr>
        <w:t xml:space="preserve"> ale také na to, jak vnímají samotnou Evropskou unii a v neposlední řadě</w:t>
      </w:r>
      <w:r w:rsidR="00E321DD">
        <w:rPr>
          <w:rFonts w:cs="Times New Roman"/>
          <w:szCs w:val="24"/>
        </w:rPr>
        <w:t>,</w:t>
      </w:r>
      <w:r>
        <w:rPr>
          <w:rFonts w:cs="Times New Roman"/>
          <w:szCs w:val="24"/>
        </w:rPr>
        <w:t xml:space="preserve"> jaký zaujímají přístup k evropské integraci</w:t>
      </w:r>
      <w:r w:rsidR="00E321DD">
        <w:rPr>
          <w:rFonts w:cs="Times New Roman"/>
          <w:szCs w:val="24"/>
        </w:rPr>
        <w:t xml:space="preserve">. </w:t>
      </w:r>
    </w:p>
    <w:p w14:paraId="6AE1A70E" w14:textId="4E938B28" w:rsidR="005A7678" w:rsidRDefault="005A7678" w:rsidP="00FD2432">
      <w:pPr>
        <w:pStyle w:val="Nadpis1"/>
        <w:numPr>
          <w:ilvl w:val="1"/>
          <w:numId w:val="9"/>
        </w:numPr>
        <w:spacing w:after="240" w:line="360" w:lineRule="auto"/>
      </w:pPr>
      <w:r>
        <w:t xml:space="preserve"> </w:t>
      </w:r>
      <w:bookmarkStart w:id="13" w:name="_Toc70660098"/>
      <w:r>
        <w:t xml:space="preserve">Koncept demokratického deficitu Andrew </w:t>
      </w:r>
      <w:proofErr w:type="spellStart"/>
      <w:r>
        <w:t>Moravcsika</w:t>
      </w:r>
      <w:bookmarkEnd w:id="13"/>
      <w:proofErr w:type="spellEnd"/>
    </w:p>
    <w:p w14:paraId="19398341" w14:textId="5101F6D8" w:rsidR="007A3A1C" w:rsidRDefault="000D38F2" w:rsidP="00316CCA">
      <w:pPr>
        <w:spacing w:line="360" w:lineRule="auto"/>
        <w:ind w:firstLine="348"/>
      </w:pPr>
      <w:r>
        <w:t xml:space="preserve">Andrew </w:t>
      </w:r>
      <w:proofErr w:type="spellStart"/>
      <w:r>
        <w:t>Moravcsik</w:t>
      </w:r>
      <w:proofErr w:type="spellEnd"/>
      <w:r>
        <w:t xml:space="preserve"> je </w:t>
      </w:r>
      <w:r w:rsidR="002B2C3E">
        <w:t>americký politolog vyučující na univerzitě v </w:t>
      </w:r>
      <w:proofErr w:type="spellStart"/>
      <w:r w:rsidR="002B2C3E">
        <w:t>Princetonu</w:t>
      </w:r>
      <w:proofErr w:type="spellEnd"/>
      <w:r w:rsidR="002B2C3E">
        <w:t xml:space="preserve">. Co se týká přístupu k integraci, </w:t>
      </w:r>
      <w:proofErr w:type="spellStart"/>
      <w:r w:rsidR="002B2C3E">
        <w:t>Moravcsik</w:t>
      </w:r>
      <w:proofErr w:type="spellEnd"/>
      <w:r w:rsidR="002B2C3E">
        <w:t xml:space="preserve"> zastává mezivládní přístup a je jedním z mála odpůrců existence demokratického deficitu. </w:t>
      </w:r>
      <w:r w:rsidR="005E3916">
        <w:t>Část</w:t>
      </w:r>
      <w:r w:rsidR="002B2C3E">
        <w:t xml:space="preserve"> své akademické práce věnoval právě </w:t>
      </w:r>
      <w:r w:rsidR="00097740">
        <w:t>zmíněnému</w:t>
      </w:r>
      <w:r w:rsidR="002B2C3E">
        <w:t xml:space="preserve"> fenoménu </w:t>
      </w:r>
      <w:r w:rsidR="000B45FD">
        <w:t xml:space="preserve">(Andrew </w:t>
      </w:r>
      <w:proofErr w:type="spellStart"/>
      <w:r w:rsidR="000B45FD">
        <w:t>Moravcsik</w:t>
      </w:r>
      <w:proofErr w:type="spellEnd"/>
      <w:r w:rsidR="000B45FD">
        <w:t>, 2021).</w:t>
      </w:r>
    </w:p>
    <w:p w14:paraId="44C77E2A" w14:textId="21CFFCB5" w:rsidR="007A3A1C" w:rsidRDefault="007A3A1C" w:rsidP="00316CCA">
      <w:pPr>
        <w:spacing w:line="360" w:lineRule="auto"/>
      </w:pPr>
      <w:r>
        <w:t xml:space="preserve">Problematice demokratického deficitu Evropské unie se </w:t>
      </w:r>
      <w:proofErr w:type="spellStart"/>
      <w:r>
        <w:t>Moravcsik</w:t>
      </w:r>
      <w:proofErr w:type="spellEnd"/>
      <w:r>
        <w:t xml:space="preserve"> věnuje především v práci </w:t>
      </w:r>
      <w:r w:rsidRPr="00587449">
        <w:rPr>
          <w:rFonts w:cs="Times New Roman"/>
          <w:i/>
          <w:iCs/>
          <w:szCs w:val="24"/>
        </w:rPr>
        <w:t xml:space="preserve">In Defense </w:t>
      </w:r>
      <w:proofErr w:type="spellStart"/>
      <w:r w:rsidRPr="00587449">
        <w:rPr>
          <w:rFonts w:cs="Times New Roman"/>
          <w:i/>
          <w:iCs/>
          <w:szCs w:val="24"/>
        </w:rPr>
        <w:t>of</w:t>
      </w:r>
      <w:proofErr w:type="spellEnd"/>
      <w:r w:rsidRPr="00587449">
        <w:rPr>
          <w:rFonts w:cs="Times New Roman"/>
          <w:i/>
          <w:iCs/>
          <w:szCs w:val="24"/>
        </w:rPr>
        <w:t xml:space="preserve"> </w:t>
      </w:r>
      <w:proofErr w:type="spellStart"/>
      <w:r w:rsidRPr="00587449">
        <w:rPr>
          <w:rFonts w:cs="Times New Roman"/>
          <w:i/>
          <w:iCs/>
          <w:szCs w:val="24"/>
        </w:rPr>
        <w:t>the</w:t>
      </w:r>
      <w:proofErr w:type="spellEnd"/>
      <w:r w:rsidRPr="00587449">
        <w:rPr>
          <w:rFonts w:cs="Times New Roman"/>
          <w:i/>
          <w:iCs/>
          <w:szCs w:val="24"/>
        </w:rPr>
        <w:t xml:space="preserve"> </w:t>
      </w:r>
      <w:proofErr w:type="spellStart"/>
      <w:r w:rsidRPr="00587449">
        <w:rPr>
          <w:rFonts w:cs="Times New Roman"/>
          <w:i/>
          <w:iCs/>
          <w:szCs w:val="24"/>
        </w:rPr>
        <w:t>Democratic</w:t>
      </w:r>
      <w:proofErr w:type="spellEnd"/>
      <w:r w:rsidRPr="00587449">
        <w:rPr>
          <w:rFonts w:cs="Times New Roman"/>
          <w:i/>
          <w:iCs/>
          <w:szCs w:val="24"/>
        </w:rPr>
        <w:t xml:space="preserve"> Deficit: </w:t>
      </w:r>
      <w:proofErr w:type="spellStart"/>
      <w:r w:rsidRPr="00587449">
        <w:rPr>
          <w:rFonts w:cs="Times New Roman"/>
          <w:i/>
          <w:iCs/>
          <w:szCs w:val="24"/>
        </w:rPr>
        <w:t>Reassessing</w:t>
      </w:r>
      <w:proofErr w:type="spellEnd"/>
      <w:r w:rsidRPr="00587449">
        <w:rPr>
          <w:rFonts w:cs="Times New Roman"/>
          <w:i/>
          <w:iCs/>
          <w:szCs w:val="24"/>
        </w:rPr>
        <w:t xml:space="preserve"> </w:t>
      </w:r>
      <w:proofErr w:type="spellStart"/>
      <w:r w:rsidRPr="00587449">
        <w:rPr>
          <w:rFonts w:cs="Times New Roman"/>
          <w:i/>
          <w:iCs/>
          <w:szCs w:val="24"/>
        </w:rPr>
        <w:t>Legitimacy</w:t>
      </w:r>
      <w:proofErr w:type="spellEnd"/>
      <w:r w:rsidRPr="00587449">
        <w:rPr>
          <w:rFonts w:cs="Times New Roman"/>
          <w:i/>
          <w:iCs/>
          <w:szCs w:val="24"/>
        </w:rPr>
        <w:t xml:space="preserve"> in </w:t>
      </w:r>
      <w:proofErr w:type="spellStart"/>
      <w:r w:rsidRPr="00587449">
        <w:rPr>
          <w:rFonts w:cs="Times New Roman"/>
          <w:i/>
          <w:iCs/>
          <w:szCs w:val="24"/>
        </w:rPr>
        <w:t>the</w:t>
      </w:r>
      <w:proofErr w:type="spellEnd"/>
      <w:r w:rsidRPr="00587449">
        <w:rPr>
          <w:rFonts w:cs="Times New Roman"/>
          <w:i/>
          <w:iCs/>
          <w:szCs w:val="24"/>
        </w:rPr>
        <w:t xml:space="preserve"> </w:t>
      </w:r>
      <w:proofErr w:type="spellStart"/>
      <w:r w:rsidRPr="00587449">
        <w:rPr>
          <w:rFonts w:cs="Times New Roman"/>
          <w:i/>
          <w:iCs/>
          <w:szCs w:val="24"/>
        </w:rPr>
        <w:t>European</w:t>
      </w:r>
      <w:proofErr w:type="spellEnd"/>
      <w:r w:rsidRPr="00587449">
        <w:rPr>
          <w:rFonts w:cs="Times New Roman"/>
          <w:i/>
          <w:iCs/>
          <w:szCs w:val="24"/>
        </w:rPr>
        <w:t xml:space="preserve"> Union</w:t>
      </w:r>
      <w:r>
        <w:rPr>
          <w:rFonts w:cs="Times New Roman"/>
          <w:szCs w:val="24"/>
        </w:rPr>
        <w:t xml:space="preserve"> z roku 2004 a v práci </w:t>
      </w:r>
      <w:bookmarkStart w:id="14" w:name="_Hlk69560543"/>
      <w:proofErr w:type="spellStart"/>
      <w:r w:rsidRPr="00587449">
        <w:rPr>
          <w:rFonts w:cs="Times New Roman"/>
          <w:i/>
          <w:iCs/>
          <w:szCs w:val="24"/>
        </w:rPr>
        <w:t>The</w:t>
      </w:r>
      <w:proofErr w:type="spellEnd"/>
      <w:r w:rsidRPr="00587449">
        <w:rPr>
          <w:rFonts w:cs="Times New Roman"/>
          <w:i/>
          <w:iCs/>
          <w:szCs w:val="24"/>
        </w:rPr>
        <w:t xml:space="preserve"> Myth </w:t>
      </w:r>
      <w:proofErr w:type="spellStart"/>
      <w:r w:rsidRPr="00587449">
        <w:rPr>
          <w:rFonts w:cs="Times New Roman"/>
          <w:i/>
          <w:iCs/>
          <w:szCs w:val="24"/>
        </w:rPr>
        <w:t>of</w:t>
      </w:r>
      <w:proofErr w:type="spellEnd"/>
      <w:r w:rsidRPr="00587449">
        <w:rPr>
          <w:rFonts w:cs="Times New Roman"/>
          <w:i/>
          <w:iCs/>
          <w:szCs w:val="24"/>
        </w:rPr>
        <w:t xml:space="preserve"> </w:t>
      </w:r>
      <w:proofErr w:type="spellStart"/>
      <w:r w:rsidRPr="00587449">
        <w:rPr>
          <w:rFonts w:cs="Times New Roman"/>
          <w:i/>
          <w:iCs/>
          <w:szCs w:val="24"/>
        </w:rPr>
        <w:t>Europe</w:t>
      </w:r>
      <w:proofErr w:type="spellEnd"/>
      <w:r w:rsidRPr="00587449">
        <w:rPr>
          <w:rFonts w:cs="Times New Roman"/>
          <w:i/>
          <w:iCs/>
          <w:szCs w:val="24"/>
        </w:rPr>
        <w:t xml:space="preserve"> ´s „</w:t>
      </w:r>
      <w:proofErr w:type="spellStart"/>
      <w:r w:rsidRPr="00587449">
        <w:rPr>
          <w:rFonts w:cs="Times New Roman"/>
          <w:i/>
          <w:iCs/>
          <w:szCs w:val="24"/>
        </w:rPr>
        <w:t>Democratic</w:t>
      </w:r>
      <w:proofErr w:type="spellEnd"/>
      <w:r w:rsidRPr="00587449">
        <w:rPr>
          <w:rFonts w:cs="Times New Roman"/>
          <w:i/>
          <w:iCs/>
          <w:szCs w:val="24"/>
        </w:rPr>
        <w:t xml:space="preserve"> Deficit</w:t>
      </w:r>
      <w:r w:rsidR="00CA4018">
        <w:rPr>
          <w:rFonts w:cs="Times New Roman"/>
          <w:i/>
          <w:iCs/>
          <w:szCs w:val="24"/>
        </w:rPr>
        <w:t>“</w:t>
      </w:r>
      <w:r w:rsidRPr="00587449">
        <w:rPr>
          <w:rFonts w:cs="Times New Roman"/>
          <w:i/>
          <w:iCs/>
          <w:szCs w:val="24"/>
        </w:rPr>
        <w:t xml:space="preserve"> </w:t>
      </w:r>
      <w:bookmarkEnd w:id="14"/>
      <w:r>
        <w:rPr>
          <w:rFonts w:cs="Times New Roman"/>
          <w:szCs w:val="24"/>
        </w:rPr>
        <w:t xml:space="preserve">z roku 2008. </w:t>
      </w:r>
    </w:p>
    <w:p w14:paraId="1A9A4F0B" w14:textId="6B3A7341" w:rsidR="002B2C3E" w:rsidRDefault="00A9699A" w:rsidP="00316CCA">
      <w:pPr>
        <w:spacing w:line="360" w:lineRule="auto"/>
      </w:pPr>
      <w:r>
        <w:t>Za hlavní problém prací, které existenci demokratického deficitu obhajují</w:t>
      </w:r>
      <w:r w:rsidR="009671C3">
        <w:t>,</w:t>
      </w:r>
      <w:r>
        <w:t xml:space="preserve"> </w:t>
      </w:r>
      <w:r w:rsidR="009671C3">
        <w:t xml:space="preserve">považuje </w:t>
      </w:r>
      <w:proofErr w:type="spellStart"/>
      <w:r w:rsidR="009671C3">
        <w:t>Moravcsik</w:t>
      </w:r>
      <w:proofErr w:type="spellEnd"/>
      <w:r w:rsidR="009671C3">
        <w:t xml:space="preserve"> snahu autorů</w:t>
      </w:r>
      <w:r>
        <w:t xml:space="preserve"> srovnávat</w:t>
      </w:r>
      <w:r w:rsidR="00B71AA3">
        <w:t xml:space="preserve"> fungování</w:t>
      </w:r>
      <w:r>
        <w:t xml:space="preserve"> Evropsk</w:t>
      </w:r>
      <w:r w:rsidR="00B71AA3">
        <w:t>é</w:t>
      </w:r>
      <w:r w:rsidR="009671C3">
        <w:t xml:space="preserve"> u</w:t>
      </w:r>
      <w:r>
        <w:t>ni</w:t>
      </w:r>
      <w:r w:rsidR="00B71AA3">
        <w:t>e</w:t>
      </w:r>
      <w:r>
        <w:t xml:space="preserve"> s</w:t>
      </w:r>
      <w:r w:rsidR="006956E4">
        <w:t xml:space="preserve"> podobou </w:t>
      </w:r>
      <w:r>
        <w:t>ideální</w:t>
      </w:r>
      <w:r w:rsidR="006956E4">
        <w:t>ho demokratického státu</w:t>
      </w:r>
      <w:r w:rsidR="00B71AA3">
        <w:t xml:space="preserve"> Westminsterského</w:t>
      </w:r>
      <w:r w:rsidR="00743AD4">
        <w:rPr>
          <w:rStyle w:val="Znakapoznpodarou"/>
        </w:rPr>
        <w:footnoteReference w:id="1"/>
      </w:r>
      <w:r w:rsidR="00B71AA3">
        <w:t xml:space="preserve"> nebo starořeckého typu,</w:t>
      </w:r>
      <w:r w:rsidR="006956E4">
        <w:t xml:space="preserve"> a nikoliv s</w:t>
      </w:r>
      <w:r w:rsidR="00B71AA3">
        <w:t xml:space="preserve"> fungováním </w:t>
      </w:r>
      <w:r w:rsidR="006956E4">
        <w:t>vyspěl</w:t>
      </w:r>
      <w:r w:rsidR="00B71AA3">
        <w:t>ého</w:t>
      </w:r>
      <w:r w:rsidR="006956E4">
        <w:t xml:space="preserve"> demokratick</w:t>
      </w:r>
      <w:r w:rsidR="00B71AA3">
        <w:t>ého</w:t>
      </w:r>
      <w:r w:rsidR="006956E4">
        <w:t xml:space="preserve"> stát</w:t>
      </w:r>
      <w:r w:rsidR="009671C3">
        <w:t>u</w:t>
      </w:r>
      <w:r w:rsidR="00B71AA3">
        <w:t xml:space="preserve"> (</w:t>
      </w:r>
      <w:proofErr w:type="spellStart"/>
      <w:r w:rsidR="00B71AA3">
        <w:t>Moravcsik</w:t>
      </w:r>
      <w:proofErr w:type="spellEnd"/>
      <w:r w:rsidR="00B71AA3">
        <w:t>, 2008)</w:t>
      </w:r>
      <w:r w:rsidR="009671C3">
        <w:t>.</w:t>
      </w:r>
      <w:r w:rsidR="00B71AA3">
        <w:t xml:space="preserve"> </w:t>
      </w:r>
      <w:r w:rsidR="009F0553">
        <w:t xml:space="preserve">Takovým autorem je například Michael </w:t>
      </w:r>
      <w:proofErr w:type="spellStart"/>
      <w:r w:rsidR="009F0553">
        <w:t>Newman</w:t>
      </w:r>
      <w:proofErr w:type="spellEnd"/>
      <w:r w:rsidR="009F0553">
        <w:t>, který ve své teorii klade na fungování Evropské unie přehnané nároky, a tak je jeho teorie</w:t>
      </w:r>
      <w:r w:rsidR="008B2555">
        <w:t xml:space="preserve"> pouze cenným vhledem do úspěchů a neúspěchů EU, jelikož neposkytuje dostatečné prostředky k pochopení a vyřešení demokratického deficitu reálně fungující EU (Rovný 2003). </w:t>
      </w:r>
    </w:p>
    <w:p w14:paraId="7A11E447" w14:textId="74B1E883" w:rsidR="00622628" w:rsidRDefault="00622628" w:rsidP="00316CCA">
      <w:pPr>
        <w:spacing w:line="360" w:lineRule="auto"/>
      </w:pPr>
      <w:r>
        <w:t>Za problematick</w:t>
      </w:r>
      <w:r w:rsidR="005616E7">
        <w:t xml:space="preserve">ý považuje také názor, že hlavní příčinou demokratického deficitu je nedostatek demokratické legitimity institucí EU. </w:t>
      </w:r>
      <w:proofErr w:type="spellStart"/>
      <w:r w:rsidR="002B619C">
        <w:t>Moravcsik</w:t>
      </w:r>
      <w:proofErr w:type="spellEnd"/>
      <w:r w:rsidR="002B619C">
        <w:t xml:space="preserve"> ovšem tvrdí, že organizace takových rozměrů</w:t>
      </w:r>
      <w:r w:rsidR="009671C3">
        <w:t>,</w:t>
      </w:r>
      <w:r w:rsidR="002B619C">
        <w:t xml:space="preserve"> jako je právě Evropská unie, která sdružuje 27 odlišných národů s odlišným historickým vývojem a kulturou</w:t>
      </w:r>
      <w:r w:rsidR="001B3BBC">
        <w:t>,</w:t>
      </w:r>
      <w:r w:rsidR="002B619C">
        <w:t xml:space="preserve"> se již ze své podstaty bude vždy jevit vzdálená potřebám </w:t>
      </w:r>
      <w:r w:rsidR="001B3BBC">
        <w:t>svých</w:t>
      </w:r>
      <w:r w:rsidR="002B619C">
        <w:t xml:space="preserve"> občanů (</w:t>
      </w:r>
      <w:proofErr w:type="spellStart"/>
      <w:r w:rsidR="002B619C">
        <w:t>Moravcsik</w:t>
      </w:r>
      <w:proofErr w:type="spellEnd"/>
      <w:r w:rsidR="002B619C">
        <w:t>, 200</w:t>
      </w:r>
      <w:r w:rsidR="007C4B07">
        <w:t>2</w:t>
      </w:r>
      <w:r w:rsidR="002B619C">
        <w:t xml:space="preserve">). </w:t>
      </w:r>
      <w:r w:rsidR="001B3BBC">
        <w:t xml:space="preserve">Tvrdí, že </w:t>
      </w:r>
      <w:r w:rsidR="001B3BBC">
        <w:lastRenderedPageBreak/>
        <w:t>poku</w:t>
      </w:r>
      <w:r w:rsidR="009671C3">
        <w:t>d si stanovíme rozumná kritéria</w:t>
      </w:r>
      <w:r w:rsidR="001B3BBC">
        <w:t xml:space="preserve"> odpovídající velikosti a povaze této organizace</w:t>
      </w:r>
      <w:r w:rsidR="009671C3">
        <w:t>,</w:t>
      </w:r>
      <w:r w:rsidR="001B3BBC">
        <w:t xml:space="preserve"> </w:t>
      </w:r>
      <w:r w:rsidR="006629FD">
        <w:t xml:space="preserve">zjistíme, že legitimita EU je zajištěna systémem </w:t>
      </w:r>
      <w:r w:rsidR="006629FD" w:rsidRPr="00E619A7">
        <w:rPr>
          <w:i/>
          <w:iCs/>
        </w:rPr>
        <w:t>„</w:t>
      </w:r>
      <w:proofErr w:type="spellStart"/>
      <w:r w:rsidR="006629FD" w:rsidRPr="00E619A7">
        <w:rPr>
          <w:i/>
          <w:iCs/>
        </w:rPr>
        <w:t>checks</w:t>
      </w:r>
      <w:proofErr w:type="spellEnd"/>
      <w:r w:rsidR="006629FD" w:rsidRPr="00E619A7">
        <w:rPr>
          <w:i/>
          <w:iCs/>
        </w:rPr>
        <w:t xml:space="preserve"> and </w:t>
      </w:r>
      <w:proofErr w:type="spellStart"/>
      <w:r w:rsidR="006629FD" w:rsidRPr="00E619A7">
        <w:rPr>
          <w:i/>
          <w:iCs/>
        </w:rPr>
        <w:t>balances</w:t>
      </w:r>
      <w:proofErr w:type="spellEnd"/>
      <w:r w:rsidR="006629FD" w:rsidRPr="00E619A7">
        <w:rPr>
          <w:i/>
          <w:iCs/>
        </w:rPr>
        <w:t>“</w:t>
      </w:r>
      <w:r w:rsidR="00C234B0">
        <w:rPr>
          <w:rStyle w:val="Znakapoznpodarou"/>
          <w:i/>
          <w:iCs/>
        </w:rPr>
        <w:footnoteReference w:id="2"/>
      </w:r>
      <w:r w:rsidR="006629FD">
        <w:t xml:space="preserve">, který je </w:t>
      </w:r>
      <w:r w:rsidR="009671C3">
        <w:t>zaručen</w:t>
      </w:r>
      <w:r w:rsidR="006629FD">
        <w:t xml:space="preserve"> vysoko nastavenou většinou pro příjímání legislativních nařízení, nepřímou kontrolou </w:t>
      </w:r>
      <w:r w:rsidR="007C4B07">
        <w:t>národních vlád</w:t>
      </w:r>
      <w:r w:rsidR="009671C3">
        <w:t>,</w:t>
      </w:r>
      <w:r w:rsidR="007C4B07">
        <w:t xml:space="preserve"> ale také narůstajícími pr</w:t>
      </w:r>
      <w:r w:rsidR="009671C3">
        <w:t>avomocemi Evropského parlamentu</w:t>
      </w:r>
      <w:r w:rsidR="007C4B07">
        <w:t xml:space="preserve"> jako jediného přímo voleného orgánu EU (</w:t>
      </w:r>
      <w:proofErr w:type="spellStart"/>
      <w:r w:rsidR="007C4B07">
        <w:t>Moravcsik</w:t>
      </w:r>
      <w:proofErr w:type="spellEnd"/>
      <w:r w:rsidR="007C4B07">
        <w:t xml:space="preserve">, 2002). </w:t>
      </w:r>
    </w:p>
    <w:p w14:paraId="1B60BA08" w14:textId="6B499AFA" w:rsidR="00DF7954" w:rsidRPr="00DF7954" w:rsidRDefault="007C4B07" w:rsidP="00316CCA">
      <w:pPr>
        <w:spacing w:line="360" w:lineRule="auto"/>
      </w:pPr>
      <w:r>
        <w:t xml:space="preserve">V neposlední řadě se </w:t>
      </w:r>
      <w:proofErr w:type="spellStart"/>
      <w:r>
        <w:t>Moravcsik</w:t>
      </w:r>
      <w:proofErr w:type="spellEnd"/>
      <w:r>
        <w:t xml:space="preserve"> snaží vyvrátit tvrzení</w:t>
      </w:r>
      <w:r w:rsidR="0012725F">
        <w:t xml:space="preserve"> o takzvaném „superstátu“. Dle mnohých zastánců demokratického deficitu dochází k rozšiřování politické angažovanosti EU v záležitostech členských států a k zásahu do práv a výsad jejich občanů</w:t>
      </w:r>
      <w:r w:rsidR="003C19DE">
        <w:t xml:space="preserve"> (</w:t>
      </w:r>
      <w:proofErr w:type="spellStart"/>
      <w:r w:rsidR="003C19DE">
        <w:t>Moravcsik</w:t>
      </w:r>
      <w:proofErr w:type="spellEnd"/>
      <w:r w:rsidR="003C19DE">
        <w:t xml:space="preserve">, 2008). Nicméně </w:t>
      </w:r>
      <w:proofErr w:type="spellStart"/>
      <w:r w:rsidR="003C19DE">
        <w:t>Moravcsik</w:t>
      </w:r>
      <w:proofErr w:type="spellEnd"/>
      <w:r w:rsidR="003C19DE">
        <w:t xml:space="preserve"> poukazuje na fakt, že z celk</w:t>
      </w:r>
      <w:r w:rsidR="009671C3">
        <w:t>ového množství přijatých zákonů</w:t>
      </w:r>
      <w:r w:rsidR="003C19DE">
        <w:t xml:space="preserve"> </w:t>
      </w:r>
      <w:r w:rsidR="004412F4">
        <w:t xml:space="preserve">pochází pouze malé procento z nich </w:t>
      </w:r>
      <w:r w:rsidR="009671C3">
        <w:t>z Bru</w:t>
      </w:r>
      <w:r w:rsidR="003C19DE">
        <w:t>selu (</w:t>
      </w:r>
      <w:r w:rsidR="009671C3">
        <w:t>10</w:t>
      </w:r>
      <w:r w:rsidR="009671C3">
        <w:rPr>
          <w:rFonts w:cs="Times New Roman"/>
        </w:rPr>
        <w:t>–</w:t>
      </w:r>
      <w:r w:rsidR="004412F4">
        <w:t>20 %</w:t>
      </w:r>
      <w:r w:rsidR="003C19DE">
        <w:t xml:space="preserve"> v roce 2008)</w:t>
      </w:r>
      <w:r w:rsidR="004412F4">
        <w:t xml:space="preserve"> (</w:t>
      </w:r>
      <w:proofErr w:type="spellStart"/>
      <w:r w:rsidR="004412F4">
        <w:t>Moravcsik</w:t>
      </w:r>
      <w:proofErr w:type="spellEnd"/>
      <w:r w:rsidR="004412F4">
        <w:t xml:space="preserve">, 2008). </w:t>
      </w:r>
    </w:p>
    <w:p w14:paraId="5D42B387" w14:textId="605A288D" w:rsidR="005A7678" w:rsidRDefault="00DF7954" w:rsidP="00FD2432">
      <w:pPr>
        <w:pStyle w:val="Nadpis1"/>
        <w:numPr>
          <w:ilvl w:val="1"/>
          <w:numId w:val="9"/>
        </w:numPr>
        <w:spacing w:after="240" w:line="360" w:lineRule="auto"/>
      </w:pPr>
      <w:r>
        <w:t xml:space="preserve"> </w:t>
      </w:r>
      <w:bookmarkStart w:id="15" w:name="_Toc70660099"/>
      <w:r>
        <w:t xml:space="preserve">Koncept demokratického deficitu </w:t>
      </w:r>
      <w:proofErr w:type="spellStart"/>
      <w:r>
        <w:t>Giandomenica</w:t>
      </w:r>
      <w:proofErr w:type="spellEnd"/>
      <w:r>
        <w:t xml:space="preserve"> </w:t>
      </w:r>
      <w:proofErr w:type="spellStart"/>
      <w:r>
        <w:t>Majoneho</w:t>
      </w:r>
      <w:bookmarkEnd w:id="15"/>
      <w:proofErr w:type="spellEnd"/>
    </w:p>
    <w:p w14:paraId="597DE199" w14:textId="16952E2F" w:rsidR="00BC7F55" w:rsidRDefault="001677D3" w:rsidP="000E0A41">
      <w:pPr>
        <w:spacing w:line="360" w:lineRule="auto"/>
        <w:ind w:firstLine="360"/>
      </w:pPr>
      <w:proofErr w:type="spellStart"/>
      <w:r>
        <w:t>Giandomenico</w:t>
      </w:r>
      <w:proofErr w:type="spellEnd"/>
      <w:r>
        <w:t xml:space="preserve"> </w:t>
      </w:r>
      <w:proofErr w:type="spellStart"/>
      <w:r>
        <w:t>Majone</w:t>
      </w:r>
      <w:proofErr w:type="spellEnd"/>
      <w:r>
        <w:t xml:space="preserve"> je italský politolog vyučující na Florentské univerzitě, který se zaměřuje na výzkum v oblastech regulační politiky EU a teorie delegovaných pravomocí a jejich vliv na vnímání demokratického deficitu EU</w:t>
      </w:r>
      <w:r w:rsidR="009E4E5C">
        <w:t xml:space="preserve"> (</w:t>
      </w:r>
      <w:proofErr w:type="spellStart"/>
      <w:r w:rsidR="001531CE" w:rsidRPr="001531CE">
        <w:t>Fondo</w:t>
      </w:r>
      <w:proofErr w:type="spellEnd"/>
      <w:r w:rsidR="001531CE" w:rsidRPr="001531CE">
        <w:t xml:space="preserve"> de </w:t>
      </w:r>
      <w:proofErr w:type="spellStart"/>
      <w:r w:rsidR="001531CE" w:rsidRPr="001531CE">
        <w:t>cultura</w:t>
      </w:r>
      <w:proofErr w:type="spellEnd"/>
      <w:r w:rsidR="001531CE" w:rsidRPr="001531CE">
        <w:t xml:space="preserve"> </w:t>
      </w:r>
      <w:proofErr w:type="spellStart"/>
      <w:r w:rsidR="001531CE" w:rsidRPr="001531CE">
        <w:t>económica</w:t>
      </w:r>
      <w:proofErr w:type="spellEnd"/>
      <w:r w:rsidR="009E4E5C">
        <w:t>, 2017)</w:t>
      </w:r>
      <w:r>
        <w:t xml:space="preserve">. </w:t>
      </w:r>
    </w:p>
    <w:p w14:paraId="01CA7D05" w14:textId="6E2BE7C1" w:rsidR="009E276C" w:rsidRDefault="00F11628" w:rsidP="000E0A41">
      <w:pPr>
        <w:spacing w:line="360" w:lineRule="auto"/>
      </w:pPr>
      <w:r>
        <w:t xml:space="preserve">Ve své práci </w:t>
      </w:r>
      <w:proofErr w:type="spellStart"/>
      <w:r w:rsidRPr="00F11628">
        <w:rPr>
          <w:rFonts w:cs="Times New Roman"/>
          <w:i/>
          <w:iCs/>
          <w:szCs w:val="24"/>
        </w:rPr>
        <w:t>From</w:t>
      </w:r>
      <w:proofErr w:type="spellEnd"/>
      <w:r w:rsidRPr="00F11628">
        <w:rPr>
          <w:rFonts w:cs="Times New Roman"/>
          <w:i/>
          <w:iCs/>
          <w:szCs w:val="24"/>
        </w:rPr>
        <w:t xml:space="preserve"> </w:t>
      </w:r>
      <w:proofErr w:type="spellStart"/>
      <w:r w:rsidRPr="00F11628">
        <w:rPr>
          <w:rFonts w:cs="Times New Roman"/>
          <w:i/>
          <w:iCs/>
          <w:szCs w:val="24"/>
        </w:rPr>
        <w:t>the</w:t>
      </w:r>
      <w:proofErr w:type="spellEnd"/>
      <w:r w:rsidRPr="00F11628">
        <w:rPr>
          <w:rFonts w:cs="Times New Roman"/>
          <w:i/>
          <w:iCs/>
          <w:szCs w:val="24"/>
        </w:rPr>
        <w:t xml:space="preserve"> Positive to </w:t>
      </w:r>
      <w:proofErr w:type="spellStart"/>
      <w:r w:rsidRPr="00F11628">
        <w:rPr>
          <w:rFonts w:cs="Times New Roman"/>
          <w:i/>
          <w:iCs/>
          <w:szCs w:val="24"/>
        </w:rPr>
        <w:t>the</w:t>
      </w:r>
      <w:proofErr w:type="spellEnd"/>
      <w:r w:rsidRPr="00F11628">
        <w:rPr>
          <w:rFonts w:cs="Times New Roman"/>
          <w:i/>
          <w:iCs/>
          <w:szCs w:val="24"/>
        </w:rPr>
        <w:t xml:space="preserve"> </w:t>
      </w:r>
      <w:proofErr w:type="spellStart"/>
      <w:r w:rsidRPr="00F11628">
        <w:rPr>
          <w:rFonts w:cs="Times New Roman"/>
          <w:i/>
          <w:iCs/>
          <w:szCs w:val="24"/>
        </w:rPr>
        <w:t>Regulatory</w:t>
      </w:r>
      <w:proofErr w:type="spellEnd"/>
      <w:r w:rsidRPr="00F11628">
        <w:rPr>
          <w:rFonts w:cs="Times New Roman"/>
          <w:i/>
          <w:iCs/>
          <w:szCs w:val="24"/>
        </w:rPr>
        <w:t xml:space="preserve"> </w:t>
      </w:r>
      <w:proofErr w:type="spellStart"/>
      <w:r w:rsidRPr="00F11628">
        <w:rPr>
          <w:rFonts w:cs="Times New Roman"/>
          <w:i/>
          <w:iCs/>
          <w:szCs w:val="24"/>
        </w:rPr>
        <w:t>State</w:t>
      </w:r>
      <w:proofErr w:type="spellEnd"/>
      <w:r w:rsidRPr="00F11628">
        <w:rPr>
          <w:rFonts w:cs="Times New Roman"/>
          <w:i/>
          <w:iCs/>
          <w:szCs w:val="24"/>
        </w:rPr>
        <w:t xml:space="preserve">: </w:t>
      </w:r>
      <w:proofErr w:type="spellStart"/>
      <w:r w:rsidRPr="00F11628">
        <w:rPr>
          <w:rFonts w:cs="Times New Roman"/>
          <w:i/>
          <w:iCs/>
          <w:szCs w:val="24"/>
        </w:rPr>
        <w:t>Causes</w:t>
      </w:r>
      <w:proofErr w:type="spellEnd"/>
      <w:r w:rsidRPr="00F11628">
        <w:rPr>
          <w:rFonts w:cs="Times New Roman"/>
          <w:i/>
          <w:iCs/>
          <w:szCs w:val="24"/>
        </w:rPr>
        <w:t xml:space="preserve"> and </w:t>
      </w:r>
      <w:proofErr w:type="spellStart"/>
      <w:r w:rsidRPr="00F11628">
        <w:rPr>
          <w:rFonts w:cs="Times New Roman"/>
          <w:i/>
          <w:iCs/>
          <w:szCs w:val="24"/>
        </w:rPr>
        <w:t>Consequences</w:t>
      </w:r>
      <w:proofErr w:type="spellEnd"/>
      <w:r w:rsidRPr="00F11628">
        <w:rPr>
          <w:rFonts w:cs="Times New Roman"/>
          <w:i/>
          <w:iCs/>
          <w:szCs w:val="24"/>
        </w:rPr>
        <w:t xml:space="preserve"> </w:t>
      </w:r>
      <w:proofErr w:type="spellStart"/>
      <w:r w:rsidRPr="00F11628">
        <w:rPr>
          <w:rFonts w:cs="Times New Roman"/>
          <w:i/>
          <w:iCs/>
          <w:szCs w:val="24"/>
        </w:rPr>
        <w:t>of</w:t>
      </w:r>
      <w:proofErr w:type="spellEnd"/>
      <w:r w:rsidRPr="00F11628">
        <w:rPr>
          <w:rFonts w:cs="Times New Roman"/>
          <w:i/>
          <w:iCs/>
          <w:szCs w:val="24"/>
        </w:rPr>
        <w:t xml:space="preserve"> </w:t>
      </w:r>
      <w:proofErr w:type="spellStart"/>
      <w:r w:rsidRPr="00F11628">
        <w:rPr>
          <w:rFonts w:cs="Times New Roman"/>
          <w:i/>
          <w:iCs/>
          <w:szCs w:val="24"/>
        </w:rPr>
        <w:t>Changes</w:t>
      </w:r>
      <w:proofErr w:type="spellEnd"/>
      <w:r w:rsidRPr="00F11628">
        <w:rPr>
          <w:rFonts w:cs="Times New Roman"/>
          <w:i/>
          <w:iCs/>
          <w:szCs w:val="24"/>
        </w:rPr>
        <w:t xml:space="preserve"> in </w:t>
      </w:r>
      <w:proofErr w:type="spellStart"/>
      <w:r w:rsidRPr="00F11628">
        <w:rPr>
          <w:rFonts w:cs="Times New Roman"/>
          <w:i/>
          <w:iCs/>
          <w:szCs w:val="24"/>
        </w:rPr>
        <w:t>the</w:t>
      </w:r>
      <w:proofErr w:type="spellEnd"/>
      <w:r w:rsidRPr="00F11628">
        <w:rPr>
          <w:rFonts w:cs="Times New Roman"/>
          <w:i/>
          <w:iCs/>
          <w:szCs w:val="24"/>
        </w:rPr>
        <w:t xml:space="preserve"> Mode </w:t>
      </w:r>
      <w:proofErr w:type="spellStart"/>
      <w:r w:rsidRPr="00F11628">
        <w:rPr>
          <w:rFonts w:cs="Times New Roman"/>
          <w:i/>
          <w:iCs/>
          <w:szCs w:val="24"/>
        </w:rPr>
        <w:t>of</w:t>
      </w:r>
      <w:proofErr w:type="spellEnd"/>
      <w:r w:rsidRPr="00F11628">
        <w:rPr>
          <w:rFonts w:cs="Times New Roman"/>
          <w:i/>
          <w:iCs/>
          <w:szCs w:val="24"/>
        </w:rPr>
        <w:t xml:space="preserve"> </w:t>
      </w:r>
      <w:proofErr w:type="spellStart"/>
      <w:r w:rsidRPr="00F11628">
        <w:rPr>
          <w:rFonts w:cs="Times New Roman"/>
          <w:i/>
          <w:iCs/>
          <w:szCs w:val="24"/>
        </w:rPr>
        <w:t>Governance</w:t>
      </w:r>
      <w:proofErr w:type="spellEnd"/>
      <w:r>
        <w:t xml:space="preserve"> se autor zabýval pojmem regulačního státu. </w:t>
      </w:r>
      <w:r w:rsidR="00BC7F55">
        <w:t xml:space="preserve"> </w:t>
      </w:r>
      <w:r>
        <w:t>N</w:t>
      </w:r>
      <w:r w:rsidR="00BC7F55">
        <w:t xml:space="preserve">a </w:t>
      </w:r>
      <w:r w:rsidR="00FF34FD">
        <w:t xml:space="preserve">takový </w:t>
      </w:r>
      <w:r w:rsidR="00022296">
        <w:t>stát</w:t>
      </w:r>
      <w:r w:rsidR="00BC7F55">
        <w:t xml:space="preserve"> není možné při zkoumání její legitimity vycházet z kritérií využívaných při zkoumání legitimity národních států. </w:t>
      </w:r>
      <w:r w:rsidR="001677D3">
        <w:t xml:space="preserve">Dle </w:t>
      </w:r>
      <w:proofErr w:type="spellStart"/>
      <w:r w:rsidR="001677D3">
        <w:t>Majoneho</w:t>
      </w:r>
      <w:proofErr w:type="spellEnd"/>
      <w:r w:rsidR="001677D3">
        <w:t xml:space="preserve"> jednoduché definice se regulační politika vyznačuje tím, že </w:t>
      </w:r>
      <w:r w:rsidR="001677D3" w:rsidRPr="00587449">
        <w:rPr>
          <w:i/>
          <w:iCs/>
        </w:rPr>
        <w:t xml:space="preserve">„tvorba legislativy nahrazuje </w:t>
      </w:r>
      <w:r w:rsidR="00FF6D2A" w:rsidRPr="00587449">
        <w:rPr>
          <w:i/>
          <w:iCs/>
        </w:rPr>
        <w:t>z</w:t>
      </w:r>
      <w:r w:rsidR="001677D3" w:rsidRPr="00587449">
        <w:rPr>
          <w:i/>
          <w:iCs/>
        </w:rPr>
        <w:t>daně</w:t>
      </w:r>
      <w:r w:rsidR="00FF6D2A" w:rsidRPr="00587449">
        <w:rPr>
          <w:i/>
          <w:iCs/>
        </w:rPr>
        <w:t>ní</w:t>
      </w:r>
      <w:r w:rsidR="001677D3" w:rsidRPr="00587449">
        <w:rPr>
          <w:i/>
          <w:iCs/>
        </w:rPr>
        <w:t xml:space="preserve"> a výdaje“</w:t>
      </w:r>
      <w:r w:rsidR="001677D3">
        <w:t>. (</w:t>
      </w:r>
      <w:proofErr w:type="spellStart"/>
      <w:r w:rsidR="001677D3">
        <w:t>Majone</w:t>
      </w:r>
      <w:proofErr w:type="spellEnd"/>
      <w:r w:rsidR="00022296">
        <w:t>,</w:t>
      </w:r>
      <w:r w:rsidR="001677D3">
        <w:t xml:space="preserve"> 1997)</w:t>
      </w:r>
      <w:r w:rsidR="00022296">
        <w:t>.</w:t>
      </w:r>
      <w:r w:rsidR="001677D3">
        <w:t xml:space="preserve"> </w:t>
      </w:r>
      <w:r w:rsidR="00FF6D2A">
        <w:t>Zdanění podléh</w:t>
      </w:r>
      <w:r w:rsidR="00CF3EC7">
        <w:t>a</w:t>
      </w:r>
      <w:r w:rsidR="00022296">
        <w:t xml:space="preserve">jí dle </w:t>
      </w:r>
      <w:proofErr w:type="spellStart"/>
      <w:r w:rsidR="00022296">
        <w:t>Moravcsika</w:t>
      </w:r>
      <w:proofErr w:type="spellEnd"/>
      <w:r w:rsidR="00022296">
        <w:t xml:space="preserve"> pouze 2</w:t>
      </w:r>
      <w:r w:rsidR="00022296">
        <w:rPr>
          <w:rFonts w:cs="Times New Roman"/>
        </w:rPr>
        <w:t>–</w:t>
      </w:r>
      <w:r w:rsidR="00CA47E0">
        <w:t>3 %</w:t>
      </w:r>
      <w:r w:rsidR="00FF6D2A">
        <w:t xml:space="preserve"> hrubého domácího produktu členských států</w:t>
      </w:r>
      <w:r w:rsidR="00BC7F55">
        <w:t xml:space="preserve"> </w:t>
      </w:r>
      <w:r w:rsidR="00FF6D2A">
        <w:t>(</w:t>
      </w:r>
      <w:proofErr w:type="spellStart"/>
      <w:r w:rsidR="00FF6D2A">
        <w:t>Moravcsik</w:t>
      </w:r>
      <w:proofErr w:type="spellEnd"/>
      <w:r w:rsidR="00022296">
        <w:t>,</w:t>
      </w:r>
      <w:r w:rsidR="00FF6D2A">
        <w:t xml:space="preserve"> 2004)</w:t>
      </w:r>
      <w:r w:rsidR="00BC7F55">
        <w:t>.</w:t>
      </w:r>
      <w:r w:rsidR="00FF6D2A">
        <w:t xml:space="preserve"> Nicméně množství legislativních </w:t>
      </w:r>
      <w:r w:rsidR="00BC7F55">
        <w:t>nařízení vydané EU výrazně narostlo v průběhu posledních tří dekád, a to i přesto, že se její oblast působnosti výrazně nezměnila a stále se jedná především o nařízení ekonomické, sociální a enviromentální povahy (</w:t>
      </w:r>
      <w:proofErr w:type="spellStart"/>
      <w:r w:rsidR="00BC7F55">
        <w:t>Majone</w:t>
      </w:r>
      <w:proofErr w:type="spellEnd"/>
      <w:r w:rsidR="00022296">
        <w:t>,</w:t>
      </w:r>
      <w:r w:rsidR="00BC7F55">
        <w:t xml:space="preserve"> 1997</w:t>
      </w:r>
      <w:r w:rsidR="00CA4018">
        <w:t>)</w:t>
      </w:r>
      <w:r w:rsidR="00BC7F55">
        <w:t xml:space="preserve">. </w:t>
      </w:r>
      <w:proofErr w:type="spellStart"/>
      <w:r w:rsidR="00BC7F55">
        <w:t>Majone</w:t>
      </w:r>
      <w:proofErr w:type="spellEnd"/>
      <w:r w:rsidR="00BC7F55">
        <w:t xml:space="preserve"> tvrdí, že se nezvýšil pouze počet vydávaných nařízení</w:t>
      </w:r>
      <w:r w:rsidR="00CF3EC7">
        <w:t>,</w:t>
      </w:r>
      <w:r w:rsidR="00BC7F55">
        <w:t xml:space="preserve"> ale také jejich kvalita. </w:t>
      </w:r>
      <w:r w:rsidR="00BC7F55" w:rsidRPr="00587449">
        <w:rPr>
          <w:i/>
          <w:iCs/>
        </w:rPr>
        <w:t>„</w:t>
      </w:r>
      <w:r w:rsidR="00FB5B01" w:rsidRPr="00587449">
        <w:rPr>
          <w:i/>
          <w:iCs/>
        </w:rPr>
        <w:t xml:space="preserve">Evropská </w:t>
      </w:r>
      <w:r w:rsidR="00FB5B01" w:rsidRPr="00587449">
        <w:rPr>
          <w:i/>
          <w:iCs/>
        </w:rPr>
        <w:lastRenderedPageBreak/>
        <w:t>pravidla jsou často inovativnější</w:t>
      </w:r>
      <w:r w:rsidR="00CA4018">
        <w:rPr>
          <w:i/>
          <w:iCs/>
        </w:rPr>
        <w:t xml:space="preserve"> </w:t>
      </w:r>
      <w:r w:rsidR="00FB5B01" w:rsidRPr="00587449">
        <w:rPr>
          <w:i/>
          <w:iCs/>
        </w:rPr>
        <w:t>než pravidla všech nebo většiny zemí EU.“</w:t>
      </w:r>
      <w:r w:rsidR="00FB5B01">
        <w:t xml:space="preserve"> (</w:t>
      </w:r>
      <w:proofErr w:type="spellStart"/>
      <w:r w:rsidR="00FB5B01">
        <w:t>Majone</w:t>
      </w:r>
      <w:proofErr w:type="spellEnd"/>
      <w:r w:rsidR="00022296">
        <w:t>,</w:t>
      </w:r>
      <w:r w:rsidR="00FB5B01">
        <w:t xml:space="preserve"> 1997) </w:t>
      </w:r>
      <w:r w:rsidR="00022296">
        <w:t>Jako</w:t>
      </w:r>
      <w:r w:rsidR="00FB5B01">
        <w:t xml:space="preserve"> příklad autor uvádí oblast životního prostředí, která k roku 1997 </w:t>
      </w:r>
      <w:r w:rsidR="00D51A6E">
        <w:t xml:space="preserve">obsahovala </w:t>
      </w:r>
      <w:r w:rsidR="00FB5B01">
        <w:t xml:space="preserve">více než </w:t>
      </w:r>
      <w:r w:rsidR="009E276C">
        <w:t>200 nařízení</w:t>
      </w:r>
      <w:r w:rsidR="00FB5B01">
        <w:t>, což</w:t>
      </w:r>
      <w:r w:rsidR="00D51A6E">
        <w:t xml:space="preserve"> ve většině členských zemí představovalo naprostou většinu nařízení přijatých v této oblasti. </w:t>
      </w:r>
      <w:r w:rsidR="00FB5B01">
        <w:t xml:space="preserve"> </w:t>
      </w:r>
      <w:r w:rsidR="009E276C">
        <w:t>Oblasti působnosti EU jsou tedy odvozeny od hlavního cíle EU</w:t>
      </w:r>
      <w:r w:rsidR="00022296">
        <w:t>, čímž je ekonomická integrace. Z</w:t>
      </w:r>
      <w:r w:rsidR="009E276C">
        <w:t> toho důvodu p</w:t>
      </w:r>
      <w:r w:rsidR="00022296">
        <w:t>ovažuje autor menšinové standard</w:t>
      </w:r>
      <w:r w:rsidR="009E276C">
        <w:t xml:space="preserve">y legitimity za dostačující k ospravedlnění přenesených kompetencí. </w:t>
      </w:r>
    </w:p>
    <w:p w14:paraId="0E061DC1" w14:textId="238E88D7" w:rsidR="00726A1D" w:rsidRPr="001677D3" w:rsidRDefault="009E276C" w:rsidP="000E0A41">
      <w:pPr>
        <w:spacing w:line="360" w:lineRule="auto"/>
      </w:pPr>
      <w:r>
        <w:t>Dále</w:t>
      </w:r>
      <w:r w:rsidR="00726A1D">
        <w:t xml:space="preserve"> </w:t>
      </w:r>
      <w:r w:rsidR="003A356B">
        <w:t>je</w:t>
      </w:r>
      <w:r w:rsidR="00726A1D">
        <w:t xml:space="preserve"> při výzkumu demokratického deficitu </w:t>
      </w:r>
      <w:r w:rsidR="003A356B">
        <w:t xml:space="preserve">považován </w:t>
      </w:r>
      <w:r>
        <w:t xml:space="preserve">za </w:t>
      </w:r>
      <w:r w:rsidR="00726A1D">
        <w:t>důležitý především charakter konečných cílů integračního procesu</w:t>
      </w:r>
      <w:r w:rsidR="003A356B">
        <w:t xml:space="preserve"> (Rovný 2003)</w:t>
      </w:r>
      <w:r>
        <w:t xml:space="preserve">, což z části souvisí s předešlým odstavcem. </w:t>
      </w:r>
      <w:r w:rsidR="00651F4F">
        <w:t>V akademické debatě o demokratickém deficitu existují tací autoři, kteří jsou přesvědčeni, že ekonomická integrace musí nutně vést také k politické integraci</w:t>
      </w:r>
      <w:r w:rsidR="00CA47E0">
        <w:t xml:space="preserve"> (</w:t>
      </w:r>
      <w:proofErr w:type="spellStart"/>
      <w:r w:rsidR="00CA47E0">
        <w:t>Majone</w:t>
      </w:r>
      <w:proofErr w:type="spellEnd"/>
      <w:r w:rsidR="00CA47E0">
        <w:t xml:space="preserve"> 1998)</w:t>
      </w:r>
      <w:r w:rsidR="00651F4F">
        <w:t xml:space="preserve">, což znamená, že by se v konečné fázi této integrace měla z EU stát v ideálním případě federace. Tito autoři mají pak tendence zkoumat fungování a legitimitu evropských institucí na základě kritérií odvozených z teorie a praxe </w:t>
      </w:r>
      <w:r w:rsidR="00CA47E0">
        <w:t>parlamentních demokracií</w:t>
      </w:r>
      <w:r w:rsidR="00CF3EC7">
        <w:t>.</w:t>
      </w:r>
      <w:r w:rsidR="00CA47E0">
        <w:t xml:space="preserve"> </w:t>
      </w:r>
      <w:r w:rsidR="00022296">
        <w:t xml:space="preserve">Danou </w:t>
      </w:r>
      <w:r w:rsidR="002109B8">
        <w:t>tezi</w:t>
      </w:r>
      <w:r w:rsidR="00CA47E0">
        <w:t xml:space="preserve"> autor považuje za irelevantní, jelikož není možné, s ohledem na strukturu EU, očekávat takovou míru demokracie jako v národních státech </w:t>
      </w:r>
      <w:r w:rsidR="00CF3EC7">
        <w:t>(</w:t>
      </w:r>
      <w:proofErr w:type="spellStart"/>
      <w:r w:rsidR="00CF3EC7">
        <w:t>Majone</w:t>
      </w:r>
      <w:proofErr w:type="spellEnd"/>
      <w:r w:rsidR="00CF3EC7">
        <w:t>, 1998).</w:t>
      </w:r>
    </w:p>
    <w:p w14:paraId="43347F6D" w14:textId="6B22842E" w:rsidR="00DF7954" w:rsidRDefault="00DF7954" w:rsidP="00FD2432">
      <w:pPr>
        <w:pStyle w:val="Nadpis1"/>
        <w:numPr>
          <w:ilvl w:val="1"/>
          <w:numId w:val="9"/>
        </w:numPr>
        <w:spacing w:after="240" w:line="360" w:lineRule="auto"/>
      </w:pPr>
      <w:r>
        <w:t xml:space="preserve"> </w:t>
      </w:r>
      <w:bookmarkStart w:id="16" w:name="_Toc70660100"/>
      <w:r>
        <w:t xml:space="preserve">Koncept demokratického deficitu Fritze </w:t>
      </w:r>
      <w:proofErr w:type="spellStart"/>
      <w:r>
        <w:t>Scharpfa</w:t>
      </w:r>
      <w:bookmarkEnd w:id="16"/>
      <w:proofErr w:type="spellEnd"/>
    </w:p>
    <w:p w14:paraId="049D4C0E" w14:textId="49521A8A" w:rsidR="00D17701" w:rsidRDefault="00955FFE" w:rsidP="00316CCA">
      <w:pPr>
        <w:spacing w:line="360" w:lineRule="auto"/>
        <w:ind w:firstLine="285"/>
      </w:pPr>
      <w:r>
        <w:t xml:space="preserve">Fritz </w:t>
      </w:r>
      <w:proofErr w:type="spellStart"/>
      <w:r>
        <w:t>Scharpf</w:t>
      </w:r>
      <w:proofErr w:type="spellEnd"/>
      <w:r>
        <w:t xml:space="preserve"> je německý profesor a emeritní ředitel Max Planckova institutu pro výzkum sociálních věd. </w:t>
      </w:r>
      <w:r w:rsidR="00392B08">
        <w:t xml:space="preserve">V roce 2000 získal ocenění Johanna </w:t>
      </w:r>
      <w:proofErr w:type="spellStart"/>
      <w:r w:rsidR="00392B08">
        <w:t>Skytte</w:t>
      </w:r>
      <w:proofErr w:type="spellEnd"/>
      <w:r w:rsidR="00392B08">
        <w:t xml:space="preserve"> za výzkum v oblasti politiky. </w:t>
      </w:r>
      <w:proofErr w:type="spellStart"/>
      <w:r w:rsidR="00392B08">
        <w:t>Scharpf</w:t>
      </w:r>
      <w:proofErr w:type="spellEnd"/>
      <w:r w:rsidR="00392B08">
        <w:t xml:space="preserve"> se zabýval výzkumem v oblasti rozhodovacích procesů především </w:t>
      </w:r>
      <w:r w:rsidR="00D17701">
        <w:t>ve federálních státech nebo v Evropské unii</w:t>
      </w:r>
      <w:r w:rsidR="00D17AD8">
        <w:t xml:space="preserve"> (Max Planck Institute </w:t>
      </w:r>
      <w:proofErr w:type="spellStart"/>
      <w:r w:rsidR="00D17AD8">
        <w:t>For</w:t>
      </w:r>
      <w:proofErr w:type="spellEnd"/>
      <w:r w:rsidR="00D17AD8">
        <w:t xml:space="preserve"> </w:t>
      </w:r>
      <w:proofErr w:type="spellStart"/>
      <w:r w:rsidR="00D17AD8">
        <w:t>The</w:t>
      </w:r>
      <w:proofErr w:type="spellEnd"/>
      <w:r w:rsidR="00D17AD8">
        <w:t xml:space="preserve"> Study </w:t>
      </w:r>
      <w:proofErr w:type="spellStart"/>
      <w:r w:rsidR="00D17AD8">
        <w:t>of</w:t>
      </w:r>
      <w:proofErr w:type="spellEnd"/>
      <w:r w:rsidR="00D17AD8">
        <w:t xml:space="preserve"> </w:t>
      </w:r>
      <w:proofErr w:type="spellStart"/>
      <w:r w:rsidR="00D17AD8">
        <w:t>Societies</w:t>
      </w:r>
      <w:proofErr w:type="spellEnd"/>
      <w:r w:rsidR="00D17AD8">
        <w:t>, 2021).</w:t>
      </w:r>
    </w:p>
    <w:p w14:paraId="56808896" w14:textId="2E2455C1" w:rsidR="00D17701" w:rsidRDefault="00D17701" w:rsidP="00316CCA">
      <w:pPr>
        <w:spacing w:line="360" w:lineRule="auto"/>
        <w:ind w:firstLine="2"/>
      </w:pPr>
      <w:r>
        <w:t xml:space="preserve">Ve své práci </w:t>
      </w:r>
      <w:proofErr w:type="spellStart"/>
      <w:r w:rsidRPr="00587449">
        <w:rPr>
          <w:i/>
          <w:iCs/>
        </w:rPr>
        <w:t>Problem</w:t>
      </w:r>
      <w:proofErr w:type="spellEnd"/>
      <w:r w:rsidRPr="00587449">
        <w:rPr>
          <w:i/>
          <w:iCs/>
        </w:rPr>
        <w:t xml:space="preserve"> </w:t>
      </w:r>
      <w:proofErr w:type="spellStart"/>
      <w:r w:rsidRPr="00587449">
        <w:rPr>
          <w:i/>
          <w:iCs/>
        </w:rPr>
        <w:t>Solving</w:t>
      </w:r>
      <w:proofErr w:type="spellEnd"/>
      <w:r w:rsidRPr="00587449">
        <w:rPr>
          <w:i/>
          <w:iCs/>
        </w:rPr>
        <w:t xml:space="preserve"> </w:t>
      </w:r>
      <w:proofErr w:type="spellStart"/>
      <w:r w:rsidRPr="00587449">
        <w:rPr>
          <w:i/>
          <w:iCs/>
        </w:rPr>
        <w:t>Effectiveness</w:t>
      </w:r>
      <w:proofErr w:type="spellEnd"/>
      <w:r w:rsidRPr="00587449">
        <w:rPr>
          <w:i/>
          <w:iCs/>
        </w:rPr>
        <w:t xml:space="preserve"> and </w:t>
      </w:r>
      <w:proofErr w:type="spellStart"/>
      <w:r w:rsidRPr="00587449">
        <w:rPr>
          <w:i/>
          <w:iCs/>
        </w:rPr>
        <w:t>Democratic</w:t>
      </w:r>
      <w:proofErr w:type="spellEnd"/>
      <w:r w:rsidRPr="00587449">
        <w:rPr>
          <w:i/>
          <w:iCs/>
        </w:rPr>
        <w:t xml:space="preserve"> </w:t>
      </w:r>
      <w:proofErr w:type="spellStart"/>
      <w:r w:rsidRPr="00587449">
        <w:rPr>
          <w:i/>
          <w:iCs/>
        </w:rPr>
        <w:t>Accountibility</w:t>
      </w:r>
      <w:proofErr w:type="spellEnd"/>
      <w:r w:rsidRPr="00587449">
        <w:rPr>
          <w:i/>
          <w:iCs/>
        </w:rPr>
        <w:t xml:space="preserve"> in </w:t>
      </w:r>
      <w:proofErr w:type="spellStart"/>
      <w:r w:rsidRPr="00587449">
        <w:rPr>
          <w:i/>
          <w:iCs/>
        </w:rPr>
        <w:t>the</w:t>
      </w:r>
      <w:proofErr w:type="spellEnd"/>
      <w:r w:rsidRPr="00587449">
        <w:rPr>
          <w:i/>
          <w:iCs/>
        </w:rPr>
        <w:t xml:space="preserve"> EU</w:t>
      </w:r>
      <w:r w:rsidR="00D71BB0" w:rsidRPr="00587449">
        <w:rPr>
          <w:i/>
          <w:iCs/>
        </w:rPr>
        <w:t xml:space="preserve"> </w:t>
      </w:r>
      <w:r w:rsidR="00D71BB0">
        <w:t xml:space="preserve">se </w:t>
      </w:r>
      <w:proofErr w:type="spellStart"/>
      <w:r w:rsidR="00D71BB0">
        <w:t>Scharpf</w:t>
      </w:r>
      <w:proofErr w:type="spellEnd"/>
      <w:r w:rsidR="00D71BB0">
        <w:t xml:space="preserve"> věnoval analýze rozhodovacích procesů na základě tří modelů vládnutí (mezivládní, </w:t>
      </w:r>
      <w:proofErr w:type="spellStart"/>
      <w:r w:rsidR="00D71BB0">
        <w:t>supranacionální</w:t>
      </w:r>
      <w:proofErr w:type="spellEnd"/>
      <w:r w:rsidR="00D71BB0">
        <w:t xml:space="preserve"> a model společného rozhodování). Na základě provedené analýzy </w:t>
      </w:r>
      <w:r w:rsidR="00717F41">
        <w:t xml:space="preserve">autor dochází k tvrzení, že demokratický deficit </w:t>
      </w:r>
      <w:r w:rsidR="00F950BA">
        <w:t xml:space="preserve">a potažmo nedostatek legitimity </w:t>
      </w:r>
      <w:r w:rsidR="00717F41">
        <w:t>není problémem EU jako celku, ale pouze</w:t>
      </w:r>
      <w:r w:rsidR="00F950BA">
        <w:t xml:space="preserve"> </w:t>
      </w:r>
      <w:r w:rsidR="00803762">
        <w:t>konkrétních politik (</w:t>
      </w:r>
      <w:proofErr w:type="spellStart"/>
      <w:r w:rsidR="00803762">
        <w:t>Scharpf</w:t>
      </w:r>
      <w:proofErr w:type="spellEnd"/>
      <w:r w:rsidR="002109B8">
        <w:t>,</w:t>
      </w:r>
      <w:r w:rsidR="00803762">
        <w:t xml:space="preserve"> 2006)</w:t>
      </w:r>
      <w:r w:rsidR="0088388E">
        <w:t xml:space="preserve">. </w:t>
      </w:r>
    </w:p>
    <w:p w14:paraId="029867FE" w14:textId="71D1959C" w:rsidR="000C6EB4" w:rsidRPr="0067702E" w:rsidRDefault="00803762" w:rsidP="0067702E">
      <w:pPr>
        <w:spacing w:line="360" w:lineRule="auto"/>
      </w:pPr>
      <w:r>
        <w:t xml:space="preserve">Za hlavní příčinu demokratického deficitu považuje </w:t>
      </w:r>
      <w:proofErr w:type="spellStart"/>
      <w:r>
        <w:t>Scharpf</w:t>
      </w:r>
      <w:proofErr w:type="spellEnd"/>
      <w:r>
        <w:t xml:space="preserve"> </w:t>
      </w:r>
      <w:r w:rsidR="00C15922">
        <w:t xml:space="preserve">takzvaný </w:t>
      </w:r>
      <w:r w:rsidR="00C15922" w:rsidRPr="00EE53C2">
        <w:rPr>
          <w:i/>
          <w:iCs/>
        </w:rPr>
        <w:t>„</w:t>
      </w:r>
      <w:proofErr w:type="spellStart"/>
      <w:r w:rsidR="00C15922" w:rsidRPr="00EE53C2">
        <w:rPr>
          <w:i/>
          <w:iCs/>
        </w:rPr>
        <w:t>problem-solving</w:t>
      </w:r>
      <w:proofErr w:type="spellEnd"/>
      <w:r w:rsidR="00C15922" w:rsidRPr="00EE53C2">
        <w:rPr>
          <w:i/>
          <w:iCs/>
        </w:rPr>
        <w:t xml:space="preserve"> gap“</w:t>
      </w:r>
      <w:r w:rsidR="00C15922">
        <w:t>. Ten paradoxně vzniká</w:t>
      </w:r>
      <w:r w:rsidR="00FB12C5">
        <w:t xml:space="preserve"> </w:t>
      </w:r>
      <w:r w:rsidR="00C15922">
        <w:t xml:space="preserve">prostřednictvím </w:t>
      </w:r>
      <w:r w:rsidR="00613E28">
        <w:t xml:space="preserve">úspěšné ekonomické integrace. </w:t>
      </w:r>
      <w:r w:rsidR="00FB12C5">
        <w:lastRenderedPageBreak/>
        <w:t xml:space="preserve">Evropský jednotný trh odstranil celní překážky, zpřísnil kontrolu státních dotací a liberalizoval obchod se službami. </w:t>
      </w:r>
      <w:r w:rsidR="00B3041B" w:rsidRPr="00587449">
        <w:rPr>
          <w:i/>
          <w:iCs/>
        </w:rPr>
        <w:t>„</w:t>
      </w:r>
      <w:r w:rsidR="00FB12C5" w:rsidRPr="00587449">
        <w:rPr>
          <w:i/>
          <w:iCs/>
        </w:rPr>
        <w:t xml:space="preserve">Měnová unie eliminovala devalvaci jako politický nástroj, </w:t>
      </w:r>
      <w:r w:rsidR="00B3041B" w:rsidRPr="00587449">
        <w:rPr>
          <w:i/>
          <w:iCs/>
        </w:rPr>
        <w:t>který by mohl napravit ztrátu mezinárodní konkurenceschopnosti, ale také ukládá jednotné úrokové sazby, které nevyhovují národním ekonomikám s rychlejším, či pomalejším růstem a inflací, a omezují tak fiskálně-politické reakce vlád členských států.“</w:t>
      </w:r>
      <w:r w:rsidR="00B3041B">
        <w:t xml:space="preserve"> (</w:t>
      </w:r>
      <w:proofErr w:type="spellStart"/>
      <w:r w:rsidR="00B3041B">
        <w:t>Scharpf</w:t>
      </w:r>
      <w:proofErr w:type="spellEnd"/>
      <w:r w:rsidR="002109B8">
        <w:t>,</w:t>
      </w:r>
      <w:r w:rsidR="00B3041B">
        <w:t xml:space="preserve"> 2006) </w:t>
      </w:r>
      <w:r w:rsidR="00DE5372">
        <w:t xml:space="preserve">To zapříčinilo, že mnoho států </w:t>
      </w:r>
      <w:r w:rsidR="000F0A9D">
        <w:t>není schopno reagovat na ekonomické změny. Jelikož smlouvy zaručují nadřazenost unijních nařízení nad národními, je v podstatě nemožné tyto problémy řešit n</w:t>
      </w:r>
      <w:r w:rsidR="00E619A7">
        <w:t>a</w:t>
      </w:r>
      <w:r w:rsidR="000F0A9D">
        <w:t xml:space="preserve"> </w:t>
      </w:r>
      <w:r w:rsidR="006F5717">
        <w:t>národní</w:t>
      </w:r>
      <w:r w:rsidR="000F0A9D">
        <w:t xml:space="preserve"> úrovni.</w:t>
      </w:r>
      <w:r w:rsidR="00DE5372">
        <w:t xml:space="preserve"> </w:t>
      </w:r>
      <w:r w:rsidR="00C94CBF">
        <w:t>Interpretace ekonomických svobod jako ma</w:t>
      </w:r>
      <w:r w:rsidR="00F20BBC">
        <w:t>nifest základních lidských práv</w:t>
      </w:r>
      <w:r w:rsidR="00C94CBF">
        <w:t xml:space="preserve"> nevyžaduje další demokratickou legitimizaci (</w:t>
      </w:r>
      <w:proofErr w:type="spellStart"/>
      <w:r w:rsidR="008103B1">
        <w:t>Ceassan</w:t>
      </w:r>
      <w:proofErr w:type="spellEnd"/>
      <w:r w:rsidR="00E619A7">
        <w:t>,</w:t>
      </w:r>
      <w:r w:rsidR="008103B1">
        <w:t xml:space="preserve"> 2002</w:t>
      </w:r>
      <w:r w:rsidR="00C94CBF">
        <w:t>).</w:t>
      </w:r>
    </w:p>
    <w:p w14:paraId="1562CECE" w14:textId="4BC03BC4" w:rsidR="00D55AF6" w:rsidRDefault="00A15923" w:rsidP="001C5256">
      <w:pPr>
        <w:pStyle w:val="Nadpis1"/>
        <w:numPr>
          <w:ilvl w:val="0"/>
          <w:numId w:val="9"/>
        </w:numPr>
        <w:spacing w:after="240" w:line="360" w:lineRule="auto"/>
      </w:pPr>
      <w:r>
        <w:rPr>
          <w:rFonts w:cs="Times New Roman"/>
          <w:szCs w:val="24"/>
        </w:rPr>
        <w:br w:type="page"/>
      </w:r>
      <w:bookmarkStart w:id="17" w:name="_Toc70660101"/>
      <w:r w:rsidR="000E0A41">
        <w:lastRenderedPageBreak/>
        <w:t xml:space="preserve">Primární právo – </w:t>
      </w:r>
      <w:r w:rsidR="001C5256" w:rsidRPr="001C5256">
        <w:t>Snahy o posilování demokratických standardů </w:t>
      </w:r>
      <w:r w:rsidR="001C5256">
        <w:t xml:space="preserve">v </w:t>
      </w:r>
      <w:r w:rsidR="001C5256" w:rsidRPr="001C5256">
        <w:t>rámci institucí ES/EU před Lisabonskou smlouvou</w:t>
      </w:r>
      <w:bookmarkEnd w:id="17"/>
      <w:r w:rsidR="000E0A41">
        <w:t xml:space="preserve"> </w:t>
      </w:r>
      <w:r w:rsidR="00BC758C">
        <w:t xml:space="preserve"> </w:t>
      </w:r>
    </w:p>
    <w:p w14:paraId="10B78272" w14:textId="7239E0BD" w:rsidR="00DE6D3E" w:rsidRPr="00DE6D3E" w:rsidRDefault="00DE6D3E" w:rsidP="00DE6D3E">
      <w:pPr>
        <w:pStyle w:val="Odstavecseseznamem"/>
        <w:numPr>
          <w:ilvl w:val="1"/>
          <w:numId w:val="9"/>
        </w:numPr>
        <w:spacing w:line="360" w:lineRule="auto"/>
        <w:rPr>
          <w:rFonts w:asciiTheme="minorHAnsi" w:hAnsiTheme="minorHAnsi"/>
          <w:sz w:val="22"/>
        </w:rPr>
      </w:pPr>
      <w:r>
        <w:t xml:space="preserve"> </w:t>
      </w:r>
      <w:bookmarkStart w:id="18" w:name="_Toc70660102"/>
      <w:r w:rsidRPr="00DE6D3E">
        <w:rPr>
          <w:rStyle w:val="Nadpis1Char"/>
        </w:rPr>
        <w:t>Římské smlouvy</w:t>
      </w:r>
      <w:bookmarkEnd w:id="18"/>
    </w:p>
    <w:p w14:paraId="7A0A7322" w14:textId="6D2FE3A1" w:rsidR="00DE6D3E" w:rsidRPr="00DE6D3E" w:rsidRDefault="00DE6D3E" w:rsidP="00DE6D3E">
      <w:pPr>
        <w:pStyle w:val="Odstavecseseznamem"/>
        <w:spacing w:line="360" w:lineRule="auto"/>
        <w:ind w:left="0" w:firstLine="567"/>
        <w:rPr>
          <w:rFonts w:cs="Times New Roman"/>
          <w:szCs w:val="24"/>
        </w:rPr>
      </w:pPr>
      <w:r w:rsidRPr="009934E8">
        <w:rPr>
          <w:rFonts w:cs="Times New Roman"/>
          <w:szCs w:val="24"/>
        </w:rPr>
        <w:t xml:space="preserve">V březnu roku 1957 byly podepsány dvě </w:t>
      </w:r>
      <w:r>
        <w:rPr>
          <w:rFonts w:cs="Times New Roman"/>
          <w:szCs w:val="24"/>
        </w:rPr>
        <w:t xml:space="preserve">smlouvy – Smlouva o založení Evropského hospodářského společenství a Smlouva o založení Evropského společenství pro atomovou energii. </w:t>
      </w:r>
      <w:r w:rsidRPr="00DC5AEF">
        <w:rPr>
          <w:rFonts w:cs="Times New Roman"/>
          <w:szCs w:val="24"/>
        </w:rPr>
        <w:t>Hlavním cílem Evropského hospodářského společenství bylo vytvoření jednotného trhu založeného na čtyřech svobodách: svobodě pohybu zboží, osob, kapitálu a služeb.</w:t>
      </w:r>
      <w:r>
        <w:rPr>
          <w:rFonts w:cs="Times New Roman"/>
          <w:szCs w:val="24"/>
        </w:rPr>
        <w:t xml:space="preserve"> </w:t>
      </w:r>
      <w:r w:rsidRPr="00B261C7">
        <w:rPr>
          <w:rFonts w:cs="Times New Roman"/>
          <w:i/>
          <w:iCs/>
          <w:szCs w:val="24"/>
        </w:rPr>
        <w:t>„Smlouva poskytla podrobný harmonogram pro počáteční fáze budování společného trhu prostřednictvím ustanovení o zrušení vnitřních sazeb a vybudování společného vnějšího tarifu. Dále stanovila zásady a pokyny pro společnou zemědělskou politiku.“</w:t>
      </w:r>
      <w:r w:rsidRPr="00DC5AEF">
        <w:rPr>
          <w:rFonts w:cs="Times New Roman"/>
          <w:szCs w:val="24"/>
        </w:rPr>
        <w:t xml:space="preserve"> </w:t>
      </w:r>
      <w:r>
        <w:rPr>
          <w:rFonts w:cs="Times New Roman"/>
          <w:szCs w:val="24"/>
        </w:rPr>
        <w:t>(</w:t>
      </w:r>
      <w:proofErr w:type="spellStart"/>
      <w:r>
        <w:rPr>
          <w:rFonts w:cs="Times New Roman"/>
          <w:szCs w:val="24"/>
        </w:rPr>
        <w:t>Hodges</w:t>
      </w:r>
      <w:proofErr w:type="spellEnd"/>
      <w:r>
        <w:rPr>
          <w:rFonts w:cs="Times New Roman"/>
          <w:szCs w:val="24"/>
        </w:rPr>
        <w:t>, 1979)</w:t>
      </w:r>
    </w:p>
    <w:p w14:paraId="777F8F66" w14:textId="02D984DF" w:rsidR="00DE6D3E" w:rsidRDefault="00DE6D3E" w:rsidP="00DE6D3E">
      <w:pPr>
        <w:spacing w:line="360" w:lineRule="auto"/>
        <w:rPr>
          <w:rFonts w:cs="Times New Roman"/>
          <w:color w:val="1E1E1F"/>
          <w:szCs w:val="24"/>
          <w:shd w:val="clear" w:color="auto" w:fill="FFFFFF"/>
        </w:rPr>
      </w:pPr>
      <w:r>
        <w:rPr>
          <w:szCs w:val="24"/>
        </w:rPr>
        <w:t xml:space="preserve">Smlouva </w:t>
      </w:r>
      <w:r w:rsidRPr="00A14C01">
        <w:rPr>
          <w:szCs w:val="24"/>
        </w:rPr>
        <w:t>o založení Evropského společenství</w:t>
      </w:r>
      <w:r>
        <w:rPr>
          <w:szCs w:val="24"/>
        </w:rPr>
        <w:t xml:space="preserve"> </w:t>
      </w:r>
      <w:r w:rsidR="00F20BBC">
        <w:rPr>
          <w:szCs w:val="24"/>
        </w:rPr>
        <w:t xml:space="preserve">s </w:t>
      </w:r>
      <w:r>
        <w:rPr>
          <w:szCs w:val="24"/>
        </w:rPr>
        <w:t>sebou přinesla také založení samotné Komise</w:t>
      </w:r>
      <w:r w:rsidRPr="00A14C01">
        <w:rPr>
          <w:szCs w:val="24"/>
        </w:rPr>
        <w:t>. Smlouva postavení Komise definuje následovně</w:t>
      </w:r>
      <w:r w:rsidRPr="00A14C01">
        <w:rPr>
          <w:i/>
          <w:iCs/>
          <w:szCs w:val="24"/>
        </w:rPr>
        <w:t>:</w:t>
      </w:r>
      <w:r w:rsidRPr="00A14C01">
        <w:rPr>
          <w:rFonts w:ascii="Helvetica" w:hAnsi="Helvetica" w:cs="Helvetica"/>
          <w:i/>
          <w:iCs/>
          <w:color w:val="1E1E1F"/>
          <w:sz w:val="21"/>
          <w:szCs w:val="21"/>
          <w:shd w:val="clear" w:color="auto" w:fill="FFFFFF"/>
        </w:rPr>
        <w:t xml:space="preserve"> „</w:t>
      </w:r>
      <w:r w:rsidRPr="00A14C01">
        <w:rPr>
          <w:rFonts w:cs="Times New Roman"/>
          <w:i/>
          <w:iCs/>
          <w:color w:val="1E1E1F"/>
          <w:szCs w:val="24"/>
          <w:shd w:val="clear" w:color="auto" w:fill="FFFFFF"/>
        </w:rPr>
        <w:t>K zajištění řádného fungování a rozvoje společného trhu Komise dbá na provádění této Smlouvy, jakož i aktů přijatých orgány Společenství na jejím základě, vydává doporučení nebo zaujímá stanoviska v oblastech, které jsou předmětem této smlouvy, jestliže tak smlouva výslovně stanoví nebo jestliže to Komise považuje za nutné, má vlastní rozhodovací pravomoc a podílí se na tvorbě aktů Rady a Shromáždění za podmínek stanovených touto smlouvou, vykonává pravomoci k provádění předpisů vydaných Radou, které na ni Rada přenese.“</w:t>
      </w:r>
      <w:r w:rsidRPr="00A14C01">
        <w:rPr>
          <w:rFonts w:cs="Times New Roman"/>
          <w:color w:val="1E1E1F"/>
          <w:szCs w:val="24"/>
          <w:shd w:val="clear" w:color="auto" w:fill="FFFFFF"/>
        </w:rPr>
        <w:t xml:space="preserve"> (Smlouva o založení Evropského hospodářského společenství, 1957) Ji</w:t>
      </w:r>
      <w:r w:rsidR="00F20BBC">
        <w:rPr>
          <w:rFonts w:cs="Times New Roman"/>
          <w:color w:val="1E1E1F"/>
          <w:szCs w:val="24"/>
          <w:shd w:val="clear" w:color="auto" w:fill="FFFFFF"/>
        </w:rPr>
        <w:t>ž od počátku svého vzniku byla K</w:t>
      </w:r>
      <w:r w:rsidRPr="00A14C01">
        <w:rPr>
          <w:rFonts w:cs="Times New Roman"/>
          <w:color w:val="1E1E1F"/>
          <w:szCs w:val="24"/>
          <w:shd w:val="clear" w:color="auto" w:fill="FFFFFF"/>
        </w:rPr>
        <w:t>omise často t</w:t>
      </w:r>
      <w:r w:rsidR="00F20BBC">
        <w:rPr>
          <w:rFonts w:cs="Times New Roman"/>
          <w:color w:val="1E1E1F"/>
          <w:szCs w:val="24"/>
          <w:shd w:val="clear" w:color="auto" w:fill="FFFFFF"/>
        </w:rPr>
        <w:t>erčem kritiky, jakožto instituce</w:t>
      </w:r>
      <w:r w:rsidRPr="00A14C01">
        <w:rPr>
          <w:rFonts w:cs="Times New Roman"/>
          <w:color w:val="1E1E1F"/>
          <w:szCs w:val="24"/>
          <w:shd w:val="clear" w:color="auto" w:fill="FFFFFF"/>
        </w:rPr>
        <w:t xml:space="preserve">, která reprezentuje nadnárodní rozměr Unie a má hlavní pravomoci v rámci iniciace nové legislativy. </w:t>
      </w:r>
    </w:p>
    <w:p w14:paraId="00F4DA29" w14:textId="0623D1D3" w:rsidR="00C40DDB" w:rsidRDefault="00C40DDB" w:rsidP="002214A7">
      <w:pPr>
        <w:pStyle w:val="Nadpis1"/>
        <w:numPr>
          <w:ilvl w:val="1"/>
          <w:numId w:val="9"/>
        </w:numPr>
        <w:spacing w:line="360" w:lineRule="auto"/>
        <w:rPr>
          <w:shd w:val="clear" w:color="auto" w:fill="FFFFFF"/>
        </w:rPr>
      </w:pPr>
      <w:bookmarkStart w:id="19" w:name="_Toc70660103"/>
      <w:r>
        <w:rPr>
          <w:shd w:val="clear" w:color="auto" w:fill="FFFFFF"/>
        </w:rPr>
        <w:t>Lucemburská a Bruselská smlouva</w:t>
      </w:r>
      <w:bookmarkEnd w:id="19"/>
    </w:p>
    <w:p w14:paraId="27352FD8" w14:textId="57F105BB" w:rsidR="00C40DDB" w:rsidRDefault="00DB6F2D" w:rsidP="002214A7">
      <w:pPr>
        <w:spacing w:line="360" w:lineRule="auto"/>
        <w:ind w:firstLine="432"/>
      </w:pPr>
      <w:r>
        <w:t>Lucembu</w:t>
      </w:r>
      <w:r w:rsidR="002214A7">
        <w:t>rská smlouva byla přijata v dubnu roku 1970 a vstoupila v platnost v lednu roku 1971. Hlavním cílem této smlouvy bylo zajištění vlastního financování Společenství a posílení pravomocí Shromážděn</w:t>
      </w:r>
      <w:r w:rsidR="00F20BBC">
        <w:t xml:space="preserve">í. Jak píše Finn </w:t>
      </w:r>
      <w:proofErr w:type="spellStart"/>
      <w:r w:rsidR="00F20BBC">
        <w:t>Laursen</w:t>
      </w:r>
      <w:proofErr w:type="spellEnd"/>
      <w:r w:rsidR="00F20BBC">
        <w:t xml:space="preserve"> ve své</w:t>
      </w:r>
      <w:r w:rsidR="002214A7">
        <w:t xml:space="preserve"> práci </w:t>
      </w:r>
      <w:r w:rsidR="002214A7" w:rsidRPr="002214A7">
        <w:rPr>
          <w:i/>
          <w:iCs/>
        </w:rPr>
        <w:t>„</w:t>
      </w:r>
      <w:proofErr w:type="spellStart"/>
      <w:r w:rsidR="002214A7" w:rsidRPr="002214A7">
        <w:rPr>
          <w:i/>
          <w:iCs/>
        </w:rPr>
        <w:t>Budgetary</w:t>
      </w:r>
      <w:proofErr w:type="spellEnd"/>
      <w:r w:rsidR="002214A7" w:rsidRPr="002214A7">
        <w:rPr>
          <w:i/>
          <w:iCs/>
        </w:rPr>
        <w:t xml:space="preserve"> </w:t>
      </w:r>
      <w:proofErr w:type="spellStart"/>
      <w:r w:rsidR="002214A7" w:rsidRPr="002214A7">
        <w:rPr>
          <w:i/>
          <w:iCs/>
        </w:rPr>
        <w:t>Treaties</w:t>
      </w:r>
      <w:proofErr w:type="spellEnd"/>
      <w:r w:rsidR="002214A7" w:rsidRPr="002214A7">
        <w:rPr>
          <w:i/>
          <w:iCs/>
        </w:rPr>
        <w:t xml:space="preserve"> and </w:t>
      </w:r>
      <w:proofErr w:type="spellStart"/>
      <w:r w:rsidR="002214A7" w:rsidRPr="002214A7">
        <w:rPr>
          <w:i/>
          <w:iCs/>
        </w:rPr>
        <w:t>European</w:t>
      </w:r>
      <w:proofErr w:type="spellEnd"/>
      <w:r w:rsidR="002214A7" w:rsidRPr="002214A7">
        <w:rPr>
          <w:i/>
          <w:iCs/>
        </w:rPr>
        <w:t xml:space="preserve"> Union </w:t>
      </w:r>
      <w:proofErr w:type="spellStart"/>
      <w:r w:rsidR="002214A7" w:rsidRPr="002214A7">
        <w:rPr>
          <w:i/>
          <w:iCs/>
        </w:rPr>
        <w:t>Politics</w:t>
      </w:r>
      <w:proofErr w:type="spellEnd"/>
      <w:r w:rsidR="002214A7" w:rsidRPr="002214A7">
        <w:rPr>
          <w:i/>
          <w:iCs/>
        </w:rPr>
        <w:t>“</w:t>
      </w:r>
      <w:r w:rsidR="00F20BBC">
        <w:rPr>
          <w:iCs/>
        </w:rPr>
        <w:t>,</w:t>
      </w:r>
      <w:r w:rsidR="002214A7">
        <w:t xml:space="preserve"> smlouva zavádí tři vlastní zdroje financování. P</w:t>
      </w:r>
      <w:r w:rsidR="00460651">
        <w:t xml:space="preserve">rvní ze zdrojů je zemědělská daň uvalená na zemědělské produkty třetích zemí vstupujících na evropský trh. Druhý zdroj představují cla placená za jiné produkty vstupující na společný trh. Poslední zdroj </w:t>
      </w:r>
      <w:r w:rsidR="004E4C44">
        <w:t xml:space="preserve">představuje až </w:t>
      </w:r>
      <w:r w:rsidR="004E4C44">
        <w:lastRenderedPageBreak/>
        <w:t>jednoprocentní daň z přidané h</w:t>
      </w:r>
      <w:r w:rsidR="000D731C">
        <w:t>odnoty vybírané členskými státy</w:t>
      </w:r>
      <w:r w:rsidR="004E4C44">
        <w:t xml:space="preserve"> (</w:t>
      </w:r>
      <w:proofErr w:type="spellStart"/>
      <w:r w:rsidR="004E4C44">
        <w:t>Laursen</w:t>
      </w:r>
      <w:proofErr w:type="spellEnd"/>
      <w:r w:rsidR="004E4C44">
        <w:t>, 2019)</w:t>
      </w:r>
      <w:r w:rsidR="000D731C">
        <w:t>.</w:t>
      </w:r>
      <w:r w:rsidR="004E4C44">
        <w:t xml:space="preserve"> K posílení pravomocí Shromáždění došlo v rámci změn v procesu přijímání rozpočtu. Dle autora obsahoval tento proces celkem pět fází. V první fázi připravuje Komise předběžný návrh rozpočtu, který je poté předložen Radě. V druhé fázi konzultuje Rada </w:t>
      </w:r>
      <w:r w:rsidR="00D8422A">
        <w:t>návrh s Komisí a přijímá návrh kvalifikovanou většinou, návrh je poté předán Shromáždění. Ve třetí fázi má Shromáždění právo navrhnout Radě úpravy rozpočtu, ve čtvrté fázi je upravený návrh rozpočtu předán zpět Radě. V konečné fázi Rada po projednání návrhu s Komisí přijme navrhovaný rozpočet</w:t>
      </w:r>
      <w:r w:rsidR="000D731C">
        <w:t>,</w:t>
      </w:r>
      <w:r w:rsidR="00D8422A">
        <w:t xml:space="preserve"> a to do 30 dnů od předložení návrhu. Ovšem za podmínky, že změny Shromáždění nepřinesou navýšení ve výdajích (</w:t>
      </w:r>
      <w:proofErr w:type="spellStart"/>
      <w:r w:rsidR="00D8422A">
        <w:t>Laursen</w:t>
      </w:r>
      <w:proofErr w:type="spellEnd"/>
      <w:r w:rsidR="00D8422A">
        <w:t>, 2019).</w:t>
      </w:r>
    </w:p>
    <w:p w14:paraId="2208F2A3" w14:textId="457DE5E6" w:rsidR="00E011D3" w:rsidRPr="002214A7" w:rsidRDefault="00E011D3" w:rsidP="00E011D3">
      <w:pPr>
        <w:spacing w:line="360" w:lineRule="auto"/>
      </w:pPr>
      <w:r>
        <w:t>Bruselská smlouva</w:t>
      </w:r>
      <w:r w:rsidR="00293DE2">
        <w:t xml:space="preserve"> byla podepsána v červenci roku 1975 a vstoupila v platnost v červnu roku 1977. Tato smlouva vedla k opětovnému posílení pravomocí Shromáždění v rozpočtové oblasti a ustanovila vznik Účetního dvoru. Bruselská smlouva </w:t>
      </w:r>
      <w:r w:rsidR="00293DE2" w:rsidRPr="00293DE2">
        <w:rPr>
          <w:i/>
          <w:iCs/>
        </w:rPr>
        <w:t>„udělila Shromáždění možnost zamítnout rozpočet“</w:t>
      </w:r>
      <w:r w:rsidR="00293DE2">
        <w:t xml:space="preserve"> (</w:t>
      </w:r>
      <w:proofErr w:type="spellStart"/>
      <w:r w:rsidR="00293DE2">
        <w:t>Laursen</w:t>
      </w:r>
      <w:proofErr w:type="spellEnd"/>
      <w:r w:rsidR="00293DE2">
        <w:t>, 2019)</w:t>
      </w:r>
      <w:r w:rsidR="000D731C">
        <w:t>.</w:t>
      </w:r>
      <w:r w:rsidR="00293DE2">
        <w:t xml:space="preserve"> Nejvýznamnější změnou této smlouvy bylo ustanovení Účetního dvora. </w:t>
      </w:r>
      <w:r w:rsidR="00371E3E">
        <w:t>Ten se měl skládat z devíti členů, kteří ve svých zemích patří nebo patřili k externím auditorským orgánům nebo jsou pro tento úřad zvlášť kvalifikované, přičemž jejich důvěra musí být nezpochybnitelná. Tito členové měli být jmenováni na šest let jednomyslným rozhodnutím Rady, ovšem po konzultaci se Shromážděním (</w:t>
      </w:r>
      <w:proofErr w:type="spellStart"/>
      <w:r w:rsidR="00371E3E">
        <w:t>Laursen</w:t>
      </w:r>
      <w:proofErr w:type="spellEnd"/>
      <w:r w:rsidR="00371E3E">
        <w:t>, 2019).</w:t>
      </w:r>
    </w:p>
    <w:p w14:paraId="73AD2660" w14:textId="0739DF47" w:rsidR="00DE6D3E" w:rsidRPr="00DC5AEF" w:rsidRDefault="00DE6D3E" w:rsidP="00DE6D3E">
      <w:pPr>
        <w:pStyle w:val="Nadpis1"/>
        <w:numPr>
          <w:ilvl w:val="1"/>
          <w:numId w:val="9"/>
        </w:numPr>
        <w:spacing w:line="360" w:lineRule="auto"/>
      </w:pPr>
      <w:r>
        <w:t xml:space="preserve"> </w:t>
      </w:r>
      <w:bookmarkStart w:id="20" w:name="_Toc70660104"/>
      <w:r w:rsidR="000D731C">
        <w:t>Jednotný e</w:t>
      </w:r>
      <w:r w:rsidR="000C6078">
        <w:t>vropský a</w:t>
      </w:r>
      <w:r>
        <w:t>kt</w:t>
      </w:r>
      <w:bookmarkEnd w:id="20"/>
    </w:p>
    <w:p w14:paraId="7EAFA50C" w14:textId="2A86DA03" w:rsidR="00B261C7" w:rsidRPr="00B261C7" w:rsidRDefault="000D731C" w:rsidP="002214A7">
      <w:pPr>
        <w:pStyle w:val="Odstavecseseznamem"/>
        <w:spacing w:line="360" w:lineRule="auto"/>
        <w:ind w:left="0" w:firstLine="432"/>
        <w:rPr>
          <w:rFonts w:cs="Times New Roman"/>
          <w:szCs w:val="24"/>
        </w:rPr>
      </w:pPr>
      <w:r>
        <w:rPr>
          <w:rFonts w:cs="Times New Roman"/>
          <w:szCs w:val="24"/>
        </w:rPr>
        <w:t>Jednotný evropský akt</w:t>
      </w:r>
      <w:r w:rsidR="00DE6D3E">
        <w:rPr>
          <w:rFonts w:cs="Times New Roman"/>
          <w:szCs w:val="24"/>
        </w:rPr>
        <w:t xml:space="preserve"> byl podepsán roku 1986 a vstoupil v platnost roku 1987.  Akt přinesl zásadní revizi Římských smluv. Významným bodem této smlouvy bylo vytvoření rozsáhlého vnitřního trhu. Reformami Jedno</w:t>
      </w:r>
      <w:r>
        <w:rPr>
          <w:rFonts w:cs="Times New Roman"/>
          <w:szCs w:val="24"/>
        </w:rPr>
        <w:t xml:space="preserve">tného evropského aktu se zabývá Emile </w:t>
      </w:r>
      <w:proofErr w:type="spellStart"/>
      <w:r w:rsidR="00DE6D3E">
        <w:rPr>
          <w:rFonts w:cs="Times New Roman"/>
          <w:szCs w:val="24"/>
        </w:rPr>
        <w:t>Noël</w:t>
      </w:r>
      <w:proofErr w:type="spellEnd"/>
      <w:r w:rsidR="00DE6D3E">
        <w:rPr>
          <w:rFonts w:cs="Times New Roman"/>
          <w:szCs w:val="24"/>
        </w:rPr>
        <w:t xml:space="preserve"> ve své práci </w:t>
      </w:r>
      <w:r w:rsidR="00DE6D3E" w:rsidRPr="00636362">
        <w:rPr>
          <w:rFonts w:cs="Times New Roman"/>
          <w:i/>
          <w:iCs/>
          <w:szCs w:val="24"/>
        </w:rPr>
        <w:t>„</w:t>
      </w:r>
      <w:proofErr w:type="spellStart"/>
      <w:r w:rsidR="00DE6D3E" w:rsidRPr="00636362">
        <w:rPr>
          <w:rFonts w:cs="Times New Roman"/>
          <w:i/>
          <w:iCs/>
          <w:szCs w:val="24"/>
        </w:rPr>
        <w:t>The</w:t>
      </w:r>
      <w:proofErr w:type="spellEnd"/>
      <w:r w:rsidR="00DE6D3E" w:rsidRPr="00636362">
        <w:rPr>
          <w:rFonts w:cs="Times New Roman"/>
          <w:i/>
          <w:iCs/>
          <w:szCs w:val="24"/>
        </w:rPr>
        <w:t xml:space="preserve"> Single </w:t>
      </w:r>
      <w:proofErr w:type="spellStart"/>
      <w:r w:rsidR="00DE6D3E" w:rsidRPr="00636362">
        <w:rPr>
          <w:rFonts w:cs="Times New Roman"/>
          <w:i/>
          <w:iCs/>
          <w:szCs w:val="24"/>
        </w:rPr>
        <w:t>European</w:t>
      </w:r>
      <w:proofErr w:type="spellEnd"/>
      <w:r w:rsidR="00DE6D3E" w:rsidRPr="00636362">
        <w:rPr>
          <w:rFonts w:cs="Times New Roman"/>
          <w:i/>
          <w:iCs/>
          <w:szCs w:val="24"/>
        </w:rPr>
        <w:t xml:space="preserve"> </w:t>
      </w:r>
      <w:proofErr w:type="spellStart"/>
      <w:r w:rsidR="00DE6D3E" w:rsidRPr="00636362">
        <w:rPr>
          <w:rFonts w:cs="Times New Roman"/>
          <w:i/>
          <w:iCs/>
          <w:szCs w:val="24"/>
        </w:rPr>
        <w:t>Act</w:t>
      </w:r>
      <w:proofErr w:type="spellEnd"/>
      <w:r w:rsidR="00DE6D3E" w:rsidRPr="00636362">
        <w:rPr>
          <w:rFonts w:cs="Times New Roman"/>
          <w:i/>
          <w:iCs/>
          <w:szCs w:val="24"/>
        </w:rPr>
        <w:t>“.</w:t>
      </w:r>
      <w:r>
        <w:rPr>
          <w:rFonts w:cs="Times New Roman"/>
          <w:szCs w:val="24"/>
        </w:rPr>
        <w:t xml:space="preserve"> Jednotný e</w:t>
      </w:r>
      <w:r w:rsidR="00DE6D3E">
        <w:rPr>
          <w:rFonts w:cs="Times New Roman"/>
          <w:szCs w:val="24"/>
        </w:rPr>
        <w:t xml:space="preserve">vropský akt je založen na dvou principech. První z nich si kladl za cíl </w:t>
      </w:r>
      <w:r w:rsidR="00DE6D3E" w:rsidRPr="00B261C7">
        <w:rPr>
          <w:rFonts w:cs="Times New Roman"/>
          <w:i/>
          <w:iCs/>
          <w:szCs w:val="24"/>
        </w:rPr>
        <w:t>„vytvořit podmínky, které by umožnily vznik rozsáhlého vnitřního trhu s energií a v předpokládaných lhůtách“.</w:t>
      </w:r>
      <w:r w:rsidR="00DE6D3E">
        <w:rPr>
          <w:rFonts w:cs="Times New Roman"/>
          <w:szCs w:val="24"/>
        </w:rPr>
        <w:t xml:space="preserve"> (</w:t>
      </w:r>
      <w:proofErr w:type="spellStart"/>
      <w:r w:rsidR="00DE6D3E">
        <w:rPr>
          <w:rFonts w:cs="Times New Roman"/>
          <w:szCs w:val="24"/>
        </w:rPr>
        <w:t>Noël</w:t>
      </w:r>
      <w:proofErr w:type="spellEnd"/>
      <w:r w:rsidR="00DE6D3E">
        <w:rPr>
          <w:rFonts w:cs="Times New Roman"/>
          <w:szCs w:val="24"/>
        </w:rPr>
        <w:t xml:space="preserve">, 1989) Druhý princip usiloval o to, aby nedošlo ke znevýhodnění některých zemí nebo regionů Společenství. </w:t>
      </w:r>
      <w:r w:rsidR="00DE6D3E" w:rsidRPr="00B261C7">
        <w:rPr>
          <w:rFonts w:cs="Times New Roman"/>
          <w:i/>
          <w:iCs/>
          <w:szCs w:val="24"/>
        </w:rPr>
        <w:t xml:space="preserve">„Na jedné straně to znamenalo zavedení větší flexibility do rozhodovacích procesů (přechod od jednomyslnosti k hlasování kvalifikovanou většinou v některých klíčových článcích Smlouvy, jako je článek 100 EHS) a co nejpřesnější stanovení lhůt. Na druhou stranu to znamenalo zahrnout zlepšení hospodářské a sociální soudržnosti do hlavních cílů Společenství. Členské </w:t>
      </w:r>
      <w:r w:rsidR="00DE6D3E" w:rsidRPr="00B261C7">
        <w:rPr>
          <w:rFonts w:cs="Times New Roman"/>
          <w:i/>
          <w:iCs/>
          <w:szCs w:val="24"/>
        </w:rPr>
        <w:lastRenderedPageBreak/>
        <w:t>státy a</w:t>
      </w:r>
      <w:r w:rsidR="00B20F38">
        <w:rPr>
          <w:rFonts w:cs="Times New Roman"/>
          <w:i/>
          <w:iCs/>
          <w:szCs w:val="24"/>
        </w:rPr>
        <w:t xml:space="preserve"> Společenství jako celek by měly</w:t>
      </w:r>
      <w:r w:rsidR="00DE6D3E" w:rsidRPr="00B261C7">
        <w:rPr>
          <w:rFonts w:cs="Times New Roman"/>
          <w:i/>
          <w:iCs/>
          <w:szCs w:val="24"/>
        </w:rPr>
        <w:t xml:space="preserve"> spolupracovat při dosahování tohoto společného cíle.“</w:t>
      </w:r>
      <w:r w:rsidR="00DE6D3E">
        <w:rPr>
          <w:rFonts w:cs="Times New Roman"/>
          <w:szCs w:val="24"/>
        </w:rPr>
        <w:t xml:space="preserve"> (</w:t>
      </w:r>
      <w:proofErr w:type="spellStart"/>
      <w:r w:rsidR="00DE6D3E">
        <w:rPr>
          <w:rFonts w:cs="Times New Roman"/>
          <w:szCs w:val="24"/>
        </w:rPr>
        <w:t>Noël</w:t>
      </w:r>
      <w:proofErr w:type="spellEnd"/>
      <w:r w:rsidR="00DE6D3E">
        <w:rPr>
          <w:rFonts w:cs="Times New Roman"/>
          <w:szCs w:val="24"/>
        </w:rPr>
        <w:t>, 1989)</w:t>
      </w:r>
    </w:p>
    <w:p w14:paraId="7F5E20EC" w14:textId="55CD0D88" w:rsidR="00DE6D3E" w:rsidRPr="00B261C7" w:rsidRDefault="00B20F38" w:rsidP="00B261C7">
      <w:pPr>
        <w:pStyle w:val="Odstavecseseznamem"/>
        <w:spacing w:line="360" w:lineRule="auto"/>
        <w:ind w:left="0"/>
        <w:rPr>
          <w:rFonts w:cs="Times New Roman"/>
          <w:szCs w:val="24"/>
        </w:rPr>
      </w:pPr>
      <w:r>
        <w:rPr>
          <w:rFonts w:cs="Times New Roman"/>
          <w:szCs w:val="24"/>
        </w:rPr>
        <w:t>Jednotný e</w:t>
      </w:r>
      <w:r w:rsidR="00DE6D3E">
        <w:rPr>
          <w:rFonts w:cs="Times New Roman"/>
          <w:szCs w:val="24"/>
        </w:rPr>
        <w:t>vropský akt zavedl významnou změnu v oblasti hlasování v Radě. Hlasování kvalifikovanou většinou nahradilo jednomyslné hlasování ve významném počtu článků Smlouvy o založení Evropského hospodářského společenství (</w:t>
      </w:r>
      <w:proofErr w:type="spellStart"/>
      <w:r w:rsidR="00DE6D3E">
        <w:rPr>
          <w:rFonts w:cs="Times New Roman"/>
          <w:szCs w:val="24"/>
        </w:rPr>
        <w:t>Noël</w:t>
      </w:r>
      <w:proofErr w:type="spellEnd"/>
      <w:r w:rsidR="00DE6D3E">
        <w:rPr>
          <w:rFonts w:cs="Times New Roman"/>
          <w:szCs w:val="24"/>
        </w:rPr>
        <w:t>, 1989)</w:t>
      </w:r>
      <w:r w:rsidR="00B261C7">
        <w:rPr>
          <w:rFonts w:cs="Times New Roman"/>
          <w:szCs w:val="24"/>
        </w:rPr>
        <w:t>.</w:t>
      </w:r>
      <w:r w:rsidR="00DE6D3E">
        <w:rPr>
          <w:rFonts w:cs="Times New Roman"/>
          <w:szCs w:val="24"/>
        </w:rPr>
        <w:t xml:space="preserve"> Autor tvrdí, že zavedení hlasování kvalifikovanou většinou slouží jako politický signál nutnosti úplného opuštění od jednomyslného hlasování (</w:t>
      </w:r>
      <w:proofErr w:type="spellStart"/>
      <w:r w:rsidR="00DE6D3E">
        <w:rPr>
          <w:rFonts w:cs="Times New Roman"/>
          <w:szCs w:val="24"/>
        </w:rPr>
        <w:t>Noël</w:t>
      </w:r>
      <w:proofErr w:type="spellEnd"/>
      <w:r w:rsidR="00DE6D3E">
        <w:rPr>
          <w:rFonts w:cs="Times New Roman"/>
          <w:szCs w:val="24"/>
        </w:rPr>
        <w:t>, 1989).</w:t>
      </w:r>
    </w:p>
    <w:p w14:paraId="0A5977DE" w14:textId="4A55736F" w:rsidR="00DE6D3E" w:rsidRPr="00B261C7" w:rsidRDefault="00B20F38" w:rsidP="00B261C7">
      <w:pPr>
        <w:spacing w:line="360" w:lineRule="auto"/>
        <w:rPr>
          <w:szCs w:val="24"/>
        </w:rPr>
      </w:pPr>
      <w:r>
        <w:rPr>
          <w:szCs w:val="24"/>
        </w:rPr>
        <w:t>Jednotný e</w:t>
      </w:r>
      <w:r w:rsidR="00DE6D3E">
        <w:rPr>
          <w:szCs w:val="24"/>
        </w:rPr>
        <w:t>vropský akt zavedl první legislativní pravomoci parlamentu</w:t>
      </w:r>
      <w:r w:rsidR="00DE6D3E" w:rsidRPr="00A23EBF">
        <w:rPr>
          <w:szCs w:val="24"/>
        </w:rPr>
        <w:t xml:space="preserve">. </w:t>
      </w:r>
      <w:r w:rsidR="00DE6D3E">
        <w:rPr>
          <w:szCs w:val="24"/>
        </w:rPr>
        <w:t xml:space="preserve">Hlavní </w:t>
      </w:r>
      <w:r w:rsidR="00DE6D3E" w:rsidRPr="00A23EBF">
        <w:rPr>
          <w:szCs w:val="24"/>
        </w:rPr>
        <w:t>změnou, kterou tato smlouva zavedla</w:t>
      </w:r>
      <w:r>
        <w:rPr>
          <w:szCs w:val="24"/>
        </w:rPr>
        <w:t>,</w:t>
      </w:r>
      <w:r w:rsidR="00DE6D3E" w:rsidRPr="00A23EBF">
        <w:rPr>
          <w:szCs w:val="24"/>
        </w:rPr>
        <w:t xml:space="preserve"> byla procedura souhlasu</w:t>
      </w:r>
      <w:r w:rsidR="00951FCF">
        <w:rPr>
          <w:szCs w:val="24"/>
        </w:rPr>
        <w:t xml:space="preserve"> a procedura spolupráce</w:t>
      </w:r>
      <w:r w:rsidR="00DE6D3E" w:rsidRPr="00A23EBF">
        <w:rPr>
          <w:szCs w:val="24"/>
        </w:rPr>
        <w:t xml:space="preserve">. </w:t>
      </w:r>
      <w:r w:rsidR="00951FCF">
        <w:rPr>
          <w:szCs w:val="24"/>
        </w:rPr>
        <w:t>Procedura souhlasu</w:t>
      </w:r>
      <w:r w:rsidR="00DE6D3E" w:rsidRPr="00A23EBF">
        <w:rPr>
          <w:szCs w:val="24"/>
        </w:rPr>
        <w:t xml:space="preserve"> se využívá při rozhodování pro důležité mezinárodní smlouvy</w:t>
      </w:r>
      <w:r>
        <w:rPr>
          <w:szCs w:val="24"/>
        </w:rPr>
        <w:t>,</w:t>
      </w:r>
      <w:r w:rsidR="00DE6D3E" w:rsidRPr="00A23EBF">
        <w:rPr>
          <w:szCs w:val="24"/>
        </w:rPr>
        <w:t xml:space="preserve"> ale také při rozhodování o přistoupení nových členských států do struktur EU </w:t>
      </w:r>
      <w:r w:rsidR="00DE6D3E">
        <w:rPr>
          <w:szCs w:val="24"/>
        </w:rPr>
        <w:t>(</w:t>
      </w:r>
      <w:proofErr w:type="spellStart"/>
      <w:r w:rsidR="00DE6D3E">
        <w:rPr>
          <w:szCs w:val="24"/>
        </w:rPr>
        <w:t>Sokolska</w:t>
      </w:r>
      <w:proofErr w:type="spellEnd"/>
      <w:r w:rsidR="00DE6D3E">
        <w:rPr>
          <w:szCs w:val="24"/>
        </w:rPr>
        <w:t>, 2020).</w:t>
      </w:r>
      <w:r w:rsidR="00951FCF">
        <w:rPr>
          <w:szCs w:val="24"/>
        </w:rPr>
        <w:t xml:space="preserve"> Procedura spolupráce </w:t>
      </w:r>
      <w:r w:rsidR="00951FCF" w:rsidRPr="00951FCF">
        <w:rPr>
          <w:i/>
          <w:iCs/>
          <w:szCs w:val="24"/>
        </w:rPr>
        <w:t>„uděluje Parlamentu skutečné, byť omezené</w:t>
      </w:r>
      <w:r>
        <w:rPr>
          <w:i/>
          <w:iCs/>
          <w:szCs w:val="24"/>
        </w:rPr>
        <w:t>,</w:t>
      </w:r>
      <w:r w:rsidR="00951FCF" w:rsidRPr="00951FCF">
        <w:rPr>
          <w:i/>
          <w:iCs/>
          <w:szCs w:val="24"/>
        </w:rPr>
        <w:t xml:space="preserve"> legislativní pravomoci, v té době se tento postup vztahoval na asi desítku právních základů a znamenal zásadní krok v transformaci Parlamentu</w:t>
      </w:r>
      <w:r>
        <w:rPr>
          <w:i/>
          <w:iCs/>
          <w:szCs w:val="24"/>
        </w:rPr>
        <w:t xml:space="preserve"> na skutečného </w:t>
      </w:r>
      <w:proofErr w:type="spellStart"/>
      <w:r>
        <w:rPr>
          <w:i/>
          <w:iCs/>
          <w:szCs w:val="24"/>
        </w:rPr>
        <w:t>spolunormotvůrce</w:t>
      </w:r>
      <w:proofErr w:type="spellEnd"/>
      <w:r w:rsidR="00951FCF" w:rsidRPr="00951FCF">
        <w:rPr>
          <w:i/>
          <w:iCs/>
          <w:szCs w:val="24"/>
        </w:rPr>
        <w:t>“</w:t>
      </w:r>
      <w:r w:rsidR="00951FCF">
        <w:rPr>
          <w:szCs w:val="24"/>
        </w:rPr>
        <w:t xml:space="preserve"> (</w:t>
      </w:r>
      <w:proofErr w:type="spellStart"/>
      <w:r w:rsidR="00951FCF">
        <w:rPr>
          <w:szCs w:val="24"/>
        </w:rPr>
        <w:t>Sokolska</w:t>
      </w:r>
      <w:proofErr w:type="spellEnd"/>
      <w:r w:rsidR="00951FCF">
        <w:rPr>
          <w:szCs w:val="24"/>
        </w:rPr>
        <w:t>, 2020)</w:t>
      </w:r>
      <w:r>
        <w:rPr>
          <w:szCs w:val="24"/>
        </w:rPr>
        <w:t>.</w:t>
      </w:r>
    </w:p>
    <w:p w14:paraId="25584256" w14:textId="7ABB4AAE" w:rsidR="00DE6D3E" w:rsidRPr="00B261C7" w:rsidRDefault="00DE6D3E" w:rsidP="00B261C7">
      <w:pPr>
        <w:pStyle w:val="Odstavecseseznamem"/>
        <w:numPr>
          <w:ilvl w:val="1"/>
          <w:numId w:val="9"/>
        </w:numPr>
        <w:spacing w:line="360" w:lineRule="auto"/>
        <w:rPr>
          <w:rFonts w:asciiTheme="minorHAnsi" w:hAnsiTheme="minorHAnsi"/>
          <w:sz w:val="22"/>
        </w:rPr>
      </w:pPr>
      <w:r w:rsidRPr="00B261C7">
        <w:rPr>
          <w:rFonts w:cs="Times New Roman"/>
          <w:sz w:val="28"/>
          <w:szCs w:val="28"/>
        </w:rPr>
        <w:t xml:space="preserve"> </w:t>
      </w:r>
      <w:bookmarkStart w:id="21" w:name="_Toc70660105"/>
      <w:r w:rsidRPr="00B261C7">
        <w:rPr>
          <w:rStyle w:val="Nadpis1Char"/>
        </w:rPr>
        <w:t>Maastrichtská smlouva</w:t>
      </w:r>
      <w:bookmarkEnd w:id="21"/>
    </w:p>
    <w:p w14:paraId="45F5AA0B" w14:textId="3F9F21CF" w:rsidR="00DE6D3E" w:rsidRDefault="00DE6D3E" w:rsidP="00B261C7">
      <w:pPr>
        <w:spacing w:line="360" w:lineRule="auto"/>
        <w:ind w:firstLine="567"/>
        <w:rPr>
          <w:rFonts w:cs="Times New Roman"/>
          <w:szCs w:val="24"/>
        </w:rPr>
      </w:pPr>
      <w:r>
        <w:rPr>
          <w:rFonts w:cs="Times New Roman"/>
          <w:szCs w:val="24"/>
        </w:rPr>
        <w:t>Smlouva o Evropské unii neboli Maastrichtská smlouva byla podepsaná v roce 1992 v Maastrichtu a v platnost vstoupila v roce 1993. Přijetí této smlouvy bylo v mnoha ohledech naprosto zásadní pro budoucí vývoj evropské integrace. Jak již samotný název napovídá, dala tato smlouva vzniknou</w:t>
      </w:r>
      <w:r w:rsidR="000D731C">
        <w:rPr>
          <w:rFonts w:cs="Times New Roman"/>
          <w:szCs w:val="24"/>
        </w:rPr>
        <w:t>t</w:t>
      </w:r>
      <w:r>
        <w:rPr>
          <w:rFonts w:cs="Times New Roman"/>
          <w:szCs w:val="24"/>
        </w:rPr>
        <w:t xml:space="preserve"> Evropské unii</w:t>
      </w:r>
      <w:r w:rsidR="00C234B0">
        <w:rPr>
          <w:rStyle w:val="Znakapoznpodarou"/>
          <w:rFonts w:cs="Times New Roman"/>
          <w:szCs w:val="24"/>
        </w:rPr>
        <w:footnoteReference w:id="3"/>
      </w:r>
      <w:r>
        <w:rPr>
          <w:rFonts w:cs="Times New Roman"/>
          <w:szCs w:val="24"/>
        </w:rPr>
        <w:t>. Hlavním cílem Maastrichtské smlouv</w:t>
      </w:r>
      <w:r w:rsidR="000D731C">
        <w:rPr>
          <w:rFonts w:cs="Times New Roman"/>
          <w:szCs w:val="24"/>
        </w:rPr>
        <w:t>y bylo spojit klíčové elementy e</w:t>
      </w:r>
      <w:r>
        <w:rPr>
          <w:rFonts w:cs="Times New Roman"/>
          <w:szCs w:val="24"/>
        </w:rPr>
        <w:t>vropské síly (Goldstein, 1992)</w:t>
      </w:r>
      <w:r>
        <w:rPr>
          <w:rFonts w:cs="Times New Roman"/>
          <w:sz w:val="28"/>
          <w:szCs w:val="28"/>
        </w:rPr>
        <w:t xml:space="preserve">. </w:t>
      </w:r>
      <w:r>
        <w:rPr>
          <w:rFonts w:cs="Times New Roman"/>
          <w:szCs w:val="24"/>
        </w:rPr>
        <w:t>Smlouva zavedla takzvané tři pilíře, které představovaly tři oblasti působení Unie (Evropské společenství, Společná zahraniční a bezpečnostní politika a spolupráce v oblasti spravedlnosti a vnitřních věcí) (</w:t>
      </w:r>
      <w:proofErr w:type="spellStart"/>
      <w:r>
        <w:rPr>
          <w:rFonts w:cs="Times New Roman"/>
          <w:szCs w:val="24"/>
        </w:rPr>
        <w:t>Sokolska</w:t>
      </w:r>
      <w:proofErr w:type="spellEnd"/>
      <w:r>
        <w:rPr>
          <w:rFonts w:cs="Times New Roman"/>
          <w:szCs w:val="24"/>
        </w:rPr>
        <w:t xml:space="preserve">, 2021). </w:t>
      </w:r>
      <w:r w:rsidR="000D731C">
        <w:rPr>
          <w:rFonts w:cs="Times New Roman"/>
          <w:szCs w:val="24"/>
        </w:rPr>
        <w:t>Zmíněné</w:t>
      </w:r>
      <w:r>
        <w:rPr>
          <w:rFonts w:cs="Times New Roman"/>
          <w:szCs w:val="24"/>
        </w:rPr>
        <w:t xml:space="preserve"> pilíře byly zrušeny až Lisabonskou smlouvou. </w:t>
      </w:r>
    </w:p>
    <w:p w14:paraId="7C8948CD" w14:textId="550A3BA6" w:rsidR="00DE6D3E" w:rsidRDefault="00DE6D3E" w:rsidP="00B261C7">
      <w:pPr>
        <w:spacing w:line="360" w:lineRule="auto"/>
        <w:rPr>
          <w:rFonts w:cs="Times New Roman"/>
          <w:szCs w:val="24"/>
        </w:rPr>
      </w:pPr>
      <w:r>
        <w:rPr>
          <w:rFonts w:cs="Times New Roman"/>
          <w:szCs w:val="24"/>
        </w:rPr>
        <w:t xml:space="preserve">Maastrichtská smlouva zavedla řadu změn, mezi které patří také zavedení procedury spolurozhodování. </w:t>
      </w:r>
      <w:r w:rsidRPr="0092737A">
        <w:rPr>
          <w:rFonts w:cs="Times New Roman"/>
          <w:szCs w:val="24"/>
        </w:rPr>
        <w:t>Díky této proceduře získal Parlament právo spolurozhodovat v zásadních oblastech</w:t>
      </w:r>
      <w:r w:rsidR="000D731C">
        <w:rPr>
          <w:rFonts w:cs="Times New Roman"/>
          <w:szCs w:val="24"/>
        </w:rPr>
        <w:t>,</w:t>
      </w:r>
      <w:r w:rsidRPr="0092737A">
        <w:rPr>
          <w:rFonts w:cs="Times New Roman"/>
          <w:szCs w:val="24"/>
        </w:rPr>
        <w:t xml:space="preserve"> jakými jsou například vnitřní trh nebo volný pohyb pracovních sil.</w:t>
      </w:r>
      <w:r>
        <w:rPr>
          <w:rFonts w:cs="Times New Roman"/>
          <w:szCs w:val="24"/>
        </w:rPr>
        <w:t xml:space="preserve"> </w:t>
      </w:r>
      <w:r w:rsidR="000D731C">
        <w:rPr>
          <w:rFonts w:cs="Times New Roman"/>
          <w:szCs w:val="24"/>
        </w:rPr>
        <w:t>Danou</w:t>
      </w:r>
      <w:r>
        <w:rPr>
          <w:rFonts w:cs="Times New Roman"/>
          <w:szCs w:val="24"/>
        </w:rPr>
        <w:t xml:space="preserve"> proceduru zavedenou Maastrichtskou smlouvou detailně </w:t>
      </w:r>
      <w:r>
        <w:rPr>
          <w:rFonts w:cs="Times New Roman"/>
          <w:szCs w:val="24"/>
        </w:rPr>
        <w:lastRenderedPageBreak/>
        <w:t xml:space="preserve">zkoumá Sari </w:t>
      </w:r>
      <w:proofErr w:type="spellStart"/>
      <w:r>
        <w:rPr>
          <w:rFonts w:cs="Times New Roman"/>
          <w:szCs w:val="24"/>
        </w:rPr>
        <w:t>Laitinen-Rawana</w:t>
      </w:r>
      <w:proofErr w:type="spellEnd"/>
      <w:r>
        <w:rPr>
          <w:rFonts w:cs="Times New Roman"/>
          <w:szCs w:val="24"/>
        </w:rPr>
        <w:t xml:space="preserve"> ve svém článku </w:t>
      </w:r>
      <w:r w:rsidRPr="00F67F47">
        <w:rPr>
          <w:rFonts w:cs="Times New Roman"/>
          <w:i/>
          <w:iCs/>
          <w:szCs w:val="24"/>
        </w:rPr>
        <w:t>„</w:t>
      </w:r>
      <w:proofErr w:type="spellStart"/>
      <w:r w:rsidRPr="00F67F47">
        <w:rPr>
          <w:rFonts w:cs="Times New Roman"/>
          <w:i/>
          <w:iCs/>
          <w:szCs w:val="24"/>
        </w:rPr>
        <w:t>Creating</w:t>
      </w:r>
      <w:proofErr w:type="spellEnd"/>
      <w:r w:rsidRPr="00F67F47">
        <w:rPr>
          <w:rFonts w:cs="Times New Roman"/>
          <w:i/>
          <w:iCs/>
          <w:szCs w:val="24"/>
        </w:rPr>
        <w:t xml:space="preserve"> a </w:t>
      </w:r>
      <w:proofErr w:type="spellStart"/>
      <w:r w:rsidRPr="00F67F47">
        <w:rPr>
          <w:rFonts w:cs="Times New Roman"/>
          <w:i/>
          <w:iCs/>
          <w:szCs w:val="24"/>
        </w:rPr>
        <w:t>Unified</w:t>
      </w:r>
      <w:proofErr w:type="spellEnd"/>
      <w:r w:rsidRPr="00F67F47">
        <w:rPr>
          <w:rFonts w:cs="Times New Roman"/>
          <w:i/>
          <w:iCs/>
          <w:szCs w:val="24"/>
        </w:rPr>
        <w:t xml:space="preserve"> </w:t>
      </w:r>
      <w:proofErr w:type="spellStart"/>
      <w:r w:rsidRPr="00F67F47">
        <w:rPr>
          <w:rFonts w:cs="Times New Roman"/>
          <w:i/>
          <w:iCs/>
          <w:szCs w:val="24"/>
        </w:rPr>
        <w:t>Europe</w:t>
      </w:r>
      <w:proofErr w:type="spellEnd"/>
      <w:r w:rsidRPr="00F67F47">
        <w:rPr>
          <w:rFonts w:cs="Times New Roman"/>
          <w:i/>
          <w:iCs/>
          <w:szCs w:val="24"/>
        </w:rPr>
        <w:t xml:space="preserve">: Maastricht and </w:t>
      </w:r>
      <w:proofErr w:type="spellStart"/>
      <w:r w:rsidRPr="00F67F47">
        <w:rPr>
          <w:rFonts w:cs="Times New Roman"/>
          <w:i/>
          <w:iCs/>
          <w:szCs w:val="24"/>
        </w:rPr>
        <w:t>Beyond</w:t>
      </w:r>
      <w:proofErr w:type="spellEnd"/>
      <w:r w:rsidRPr="00F67F47">
        <w:rPr>
          <w:rFonts w:cs="Times New Roman"/>
          <w:i/>
          <w:iCs/>
          <w:szCs w:val="24"/>
        </w:rPr>
        <w:t>“</w:t>
      </w:r>
      <w:r>
        <w:rPr>
          <w:rFonts w:cs="Times New Roman"/>
          <w:szCs w:val="24"/>
        </w:rPr>
        <w:t xml:space="preserve">. </w:t>
      </w:r>
      <w:r w:rsidRPr="003D27DC">
        <w:rPr>
          <w:rFonts w:cs="Times New Roman"/>
          <w:i/>
          <w:iCs/>
          <w:szCs w:val="24"/>
        </w:rPr>
        <w:t>„V rámci postupu spolurozhodování předkládá Komise návrh Radě i Parlamentu. Jakmile Rada obdrží stanovisko Parlamentu, přijme Rada společné stanovisko, které předloží zpět Parlamentu. Parlament má tři měsíce na vyjádření, pokud jej Parlament schválí nebo se nevyjádří, může Rada návrh přijmout.“</w:t>
      </w:r>
      <w:r>
        <w:rPr>
          <w:rFonts w:cs="Times New Roman"/>
          <w:szCs w:val="24"/>
        </w:rPr>
        <w:t xml:space="preserve"> (</w:t>
      </w:r>
      <w:proofErr w:type="spellStart"/>
      <w:r w:rsidRPr="00605E01">
        <w:rPr>
          <w:rFonts w:cs="Times New Roman"/>
          <w:szCs w:val="24"/>
        </w:rPr>
        <w:t>Laitinen-Rawana</w:t>
      </w:r>
      <w:proofErr w:type="spellEnd"/>
      <w:r>
        <w:rPr>
          <w:rFonts w:cs="Times New Roman"/>
          <w:szCs w:val="24"/>
        </w:rPr>
        <w:t>, 1994) Pokud Parlament navrhne změny, je nutné návrh opět předložit jak Komisi, tak i Radě. V případě, že Komise pozměněný návrh přijme, může Rada kvalifikovanou v</w:t>
      </w:r>
      <w:r w:rsidR="000D731C">
        <w:rPr>
          <w:rFonts w:cs="Times New Roman"/>
          <w:szCs w:val="24"/>
        </w:rPr>
        <w:t>ětšinou návrh přijmout. Pokud</w:t>
      </w:r>
      <w:r>
        <w:rPr>
          <w:rFonts w:cs="Times New Roman"/>
          <w:szCs w:val="24"/>
        </w:rPr>
        <w:t xml:space="preserve"> Komise zaujme negativní postoj k pozměněnému návrhu, může Rada návrh stále přijmout, ale je vyžadována jednomyslnost. V případě, kdy se Parlament rozhodne návrh zamítnout, může Rada svolat dohodovací výbor (</w:t>
      </w:r>
      <w:proofErr w:type="spellStart"/>
      <w:r w:rsidRPr="00605E01">
        <w:rPr>
          <w:rFonts w:cs="Times New Roman"/>
          <w:szCs w:val="24"/>
        </w:rPr>
        <w:t>Laitinen-Rawana</w:t>
      </w:r>
      <w:proofErr w:type="spellEnd"/>
      <w:r>
        <w:rPr>
          <w:rFonts w:cs="Times New Roman"/>
          <w:szCs w:val="24"/>
        </w:rPr>
        <w:t>, 1994). Další změna, která se týkala pravomocí Parlamentu</w:t>
      </w:r>
      <w:r w:rsidR="0054257F">
        <w:rPr>
          <w:rFonts w:cs="Times New Roman"/>
          <w:szCs w:val="24"/>
        </w:rPr>
        <w:t>,</w:t>
      </w:r>
      <w:r>
        <w:rPr>
          <w:rFonts w:cs="Times New Roman"/>
          <w:szCs w:val="24"/>
        </w:rPr>
        <w:t xml:space="preserve"> nastala v rámci </w:t>
      </w:r>
      <w:r w:rsidR="00907590">
        <w:rPr>
          <w:rFonts w:cs="Times New Roman"/>
          <w:szCs w:val="24"/>
        </w:rPr>
        <w:t>hospodářské a měnové</w:t>
      </w:r>
      <w:r w:rsidR="0054257F">
        <w:rPr>
          <w:rFonts w:cs="Times New Roman"/>
          <w:szCs w:val="24"/>
        </w:rPr>
        <w:t xml:space="preserve"> u</w:t>
      </w:r>
      <w:r>
        <w:rPr>
          <w:rFonts w:cs="Times New Roman"/>
          <w:szCs w:val="24"/>
        </w:rPr>
        <w:t xml:space="preserve">nie. Jak píše Emile </w:t>
      </w:r>
      <w:proofErr w:type="spellStart"/>
      <w:r>
        <w:rPr>
          <w:rFonts w:cs="Times New Roman"/>
          <w:szCs w:val="24"/>
        </w:rPr>
        <w:t>Noël</w:t>
      </w:r>
      <w:proofErr w:type="spellEnd"/>
      <w:r>
        <w:rPr>
          <w:rFonts w:cs="Times New Roman"/>
          <w:szCs w:val="24"/>
        </w:rPr>
        <w:t xml:space="preserve"> ve své práci </w:t>
      </w:r>
      <w:r w:rsidRPr="000D7BCF">
        <w:rPr>
          <w:rFonts w:cs="Times New Roman"/>
          <w:i/>
          <w:iCs/>
          <w:szCs w:val="24"/>
        </w:rPr>
        <w:t>„</w:t>
      </w:r>
      <w:proofErr w:type="spellStart"/>
      <w:r w:rsidRPr="000D7BCF">
        <w:rPr>
          <w:rFonts w:cs="Times New Roman"/>
          <w:i/>
          <w:iCs/>
          <w:szCs w:val="24"/>
        </w:rPr>
        <w:t>Reflections</w:t>
      </w:r>
      <w:proofErr w:type="spellEnd"/>
      <w:r w:rsidRPr="000D7BCF">
        <w:rPr>
          <w:rFonts w:cs="Times New Roman"/>
          <w:i/>
          <w:iCs/>
          <w:szCs w:val="24"/>
        </w:rPr>
        <w:t xml:space="preserve"> on </w:t>
      </w:r>
      <w:proofErr w:type="spellStart"/>
      <w:r w:rsidRPr="000D7BCF">
        <w:rPr>
          <w:rFonts w:cs="Times New Roman"/>
          <w:i/>
          <w:iCs/>
          <w:szCs w:val="24"/>
        </w:rPr>
        <w:t>the</w:t>
      </w:r>
      <w:proofErr w:type="spellEnd"/>
      <w:r w:rsidRPr="000D7BCF">
        <w:rPr>
          <w:rFonts w:cs="Times New Roman"/>
          <w:i/>
          <w:iCs/>
          <w:szCs w:val="24"/>
        </w:rPr>
        <w:t xml:space="preserve"> Maastricht </w:t>
      </w:r>
      <w:proofErr w:type="spellStart"/>
      <w:r w:rsidRPr="000D7BCF">
        <w:rPr>
          <w:rFonts w:cs="Times New Roman"/>
          <w:i/>
          <w:iCs/>
          <w:szCs w:val="24"/>
        </w:rPr>
        <w:t>Treaty</w:t>
      </w:r>
      <w:proofErr w:type="spellEnd"/>
      <w:r w:rsidRPr="000D7BCF">
        <w:rPr>
          <w:rFonts w:cs="Times New Roman"/>
          <w:i/>
          <w:iCs/>
          <w:szCs w:val="24"/>
        </w:rPr>
        <w:t>“</w:t>
      </w:r>
      <w:r w:rsidR="0054257F">
        <w:rPr>
          <w:rFonts w:cs="Times New Roman"/>
          <w:iCs/>
          <w:szCs w:val="24"/>
        </w:rPr>
        <w:t>,</w:t>
      </w:r>
      <w:r>
        <w:rPr>
          <w:rFonts w:cs="Times New Roman"/>
          <w:szCs w:val="24"/>
        </w:rPr>
        <w:t xml:space="preserve"> trval Parlament na tom, že by měl být plně zapojen do rozhodovacích procesů Rady v oblasti této politiky. I přesto, že se tyto požadavky Parlamentu setkaly jen s malou podporou, podařilo se Parlamentu zajistit účast na celém rozhodovacím procesu, ale v zásadě jen jako konzultantovi. Parlament se tak účastnil jednání rozhodujících o všech důle</w:t>
      </w:r>
      <w:r w:rsidR="0054257F">
        <w:rPr>
          <w:rFonts w:cs="Times New Roman"/>
          <w:szCs w:val="24"/>
        </w:rPr>
        <w:t>žitých opatřeních, jež se týkala</w:t>
      </w:r>
      <w:r>
        <w:rPr>
          <w:rFonts w:cs="Times New Roman"/>
          <w:szCs w:val="24"/>
        </w:rPr>
        <w:t xml:space="preserve"> vytváření hospodářské politiky (</w:t>
      </w:r>
      <w:proofErr w:type="spellStart"/>
      <w:r>
        <w:rPr>
          <w:rFonts w:cs="Times New Roman"/>
          <w:szCs w:val="24"/>
        </w:rPr>
        <w:t>Noël</w:t>
      </w:r>
      <w:proofErr w:type="spellEnd"/>
      <w:r>
        <w:rPr>
          <w:rFonts w:cs="Times New Roman"/>
          <w:szCs w:val="24"/>
        </w:rPr>
        <w:t xml:space="preserve">, 1992). </w:t>
      </w:r>
      <w:r w:rsidRPr="00F67F47">
        <w:rPr>
          <w:rFonts w:cs="Times New Roman"/>
          <w:szCs w:val="24"/>
        </w:rPr>
        <w:t xml:space="preserve">Maastrichtská smlouva dala za vznik také instituci evropského veřejného ochránce práv. Zde má Parlament výhradní pravomoc rozhodnout, kdo bude tuto funkci zastávat. </w:t>
      </w:r>
      <w:r w:rsidRPr="00F67F47">
        <w:rPr>
          <w:rFonts w:cs="Times New Roman"/>
          <w:i/>
          <w:iCs/>
          <w:szCs w:val="24"/>
        </w:rPr>
        <w:t>„Veřejný ochránce práv je zvolen Parlamentem po každých evropských volbách na dobu jeho funkčního období. Může být zvolen opakovaně.“</w:t>
      </w:r>
      <w:r w:rsidRPr="00F67F47">
        <w:rPr>
          <w:rFonts w:cs="Times New Roman"/>
          <w:szCs w:val="24"/>
        </w:rPr>
        <w:t xml:space="preserve"> (</w:t>
      </w:r>
      <w:proofErr w:type="spellStart"/>
      <w:r w:rsidRPr="00F67F47">
        <w:rPr>
          <w:rFonts w:cs="Times New Roman"/>
          <w:szCs w:val="24"/>
        </w:rPr>
        <w:t>Marzocchi</w:t>
      </w:r>
      <w:proofErr w:type="spellEnd"/>
      <w:r w:rsidRPr="00F67F47">
        <w:rPr>
          <w:rFonts w:cs="Times New Roman"/>
          <w:szCs w:val="24"/>
        </w:rPr>
        <w:t>, 2020)</w:t>
      </w:r>
    </w:p>
    <w:p w14:paraId="39BAD463" w14:textId="0A513249" w:rsidR="00DE6D3E" w:rsidRDefault="00DE6D3E" w:rsidP="00B261C7">
      <w:pPr>
        <w:spacing w:line="360" w:lineRule="auto"/>
        <w:rPr>
          <w:rFonts w:cs="Times New Roman"/>
          <w:szCs w:val="24"/>
        </w:rPr>
      </w:pPr>
      <w:r>
        <w:rPr>
          <w:rFonts w:cs="Times New Roman"/>
          <w:szCs w:val="24"/>
        </w:rPr>
        <w:t>Na základě Maastrichtské smlouvy</w:t>
      </w:r>
      <w:r w:rsidRPr="00F67F47">
        <w:rPr>
          <w:rFonts w:cs="Times New Roman"/>
          <w:szCs w:val="24"/>
        </w:rPr>
        <w:t xml:space="preserve"> vzniká Rada Evropské unie</w:t>
      </w:r>
      <w:r>
        <w:rPr>
          <w:rFonts w:cs="Times New Roman"/>
          <w:szCs w:val="24"/>
        </w:rPr>
        <w:t>. Smlouva</w:t>
      </w:r>
      <w:r w:rsidRPr="00F67F47">
        <w:rPr>
          <w:rFonts w:cs="Times New Roman"/>
          <w:szCs w:val="24"/>
        </w:rPr>
        <w:t xml:space="preserve"> také Radě udělila významnější pravomoci. </w:t>
      </w:r>
      <w:r w:rsidR="0054257F">
        <w:rPr>
          <w:rFonts w:cs="Times New Roman"/>
          <w:szCs w:val="24"/>
        </w:rPr>
        <w:t>Dané</w:t>
      </w:r>
      <w:r w:rsidRPr="00F67F47">
        <w:rPr>
          <w:rFonts w:cs="Times New Roman"/>
          <w:szCs w:val="24"/>
        </w:rPr>
        <w:t xml:space="preserve"> pravomoci byly především spojeny s třemi pilíři Evropské unie, které tato smlouva zavedla. V rámci prvního pilíře rozhodovaly o záležitostech všechny tři instituce Unie (Komise, Parlament, Rada EU)</w:t>
      </w:r>
      <w:r w:rsidR="0054257F">
        <w:rPr>
          <w:rFonts w:cs="Times New Roman"/>
          <w:szCs w:val="24"/>
        </w:rPr>
        <w:t>,</w:t>
      </w:r>
      <w:r w:rsidRPr="00F67F47">
        <w:rPr>
          <w:rFonts w:cs="Times New Roman"/>
          <w:szCs w:val="24"/>
        </w:rPr>
        <w:t xml:space="preserve"> a to kvalifikovanou většinou (Smlouva o Evropské unii, 1992). Ovšem v rámci druhého a třetího </w:t>
      </w:r>
      <w:r w:rsidR="006900D6">
        <w:rPr>
          <w:rFonts w:cs="Times New Roman"/>
          <w:szCs w:val="24"/>
        </w:rPr>
        <w:t xml:space="preserve">pilíře </w:t>
      </w:r>
      <w:r w:rsidRPr="00F67F47">
        <w:rPr>
          <w:rFonts w:cs="Times New Roman"/>
          <w:szCs w:val="24"/>
        </w:rPr>
        <w:t xml:space="preserve">o záležitostech rozhoduje pouze Rada, a to jednomyslně. Tím Rada získala důležité postavení při </w:t>
      </w:r>
      <w:r w:rsidR="00785A4B">
        <w:t>určování směru rozvoje Unie jako takové a stanovování strategického politického rámce</w:t>
      </w:r>
      <w:r w:rsidRPr="00F67F47">
        <w:rPr>
          <w:rFonts w:cs="Times New Roman"/>
          <w:szCs w:val="24"/>
        </w:rPr>
        <w:t xml:space="preserve"> </w:t>
      </w:r>
      <w:r w:rsidR="00785A4B">
        <w:rPr>
          <w:rFonts w:cs="Times New Roman"/>
          <w:szCs w:val="24"/>
        </w:rPr>
        <w:t>(Rada Evropské unie, 2016).</w:t>
      </w:r>
    </w:p>
    <w:p w14:paraId="4F72B3CE" w14:textId="159361CC" w:rsidR="00DE6D3E" w:rsidRPr="003D27DC" w:rsidRDefault="00DE6D3E" w:rsidP="00B261C7">
      <w:pPr>
        <w:spacing w:line="360" w:lineRule="auto"/>
        <w:rPr>
          <w:rFonts w:cs="Times New Roman"/>
          <w:szCs w:val="24"/>
        </w:rPr>
      </w:pPr>
      <w:r>
        <w:rPr>
          <w:rFonts w:cs="Times New Roman"/>
          <w:szCs w:val="24"/>
        </w:rPr>
        <w:t xml:space="preserve">K nejvýznamnější změně došlo z pohledu národních parlamentů k formálnímu ukotvení principu subsidiarity. Tomuto principu se ve svém článku věnuje </w:t>
      </w:r>
      <w:proofErr w:type="spellStart"/>
      <w:r>
        <w:rPr>
          <w:rFonts w:cs="Times New Roman"/>
          <w:szCs w:val="24"/>
        </w:rPr>
        <w:t>Laitinen-</w:t>
      </w:r>
      <w:r>
        <w:rPr>
          <w:rFonts w:cs="Times New Roman"/>
          <w:szCs w:val="24"/>
        </w:rPr>
        <w:lastRenderedPageBreak/>
        <w:t>Rawana</w:t>
      </w:r>
      <w:proofErr w:type="spellEnd"/>
      <w:r>
        <w:rPr>
          <w:rFonts w:cs="Times New Roman"/>
          <w:szCs w:val="24"/>
        </w:rPr>
        <w:t xml:space="preserve">. </w:t>
      </w:r>
      <w:r w:rsidRPr="00C42425">
        <w:rPr>
          <w:rFonts w:cs="Times New Roman"/>
          <w:i/>
          <w:iCs/>
          <w:szCs w:val="24"/>
        </w:rPr>
        <w:t>„Princip subsidiarity se uplatňuje pouze v oblastech, které nespadají do výlučných pravomocí Společenství.</w:t>
      </w:r>
      <w:r>
        <w:rPr>
          <w:rFonts w:cs="Times New Roman"/>
          <w:i/>
          <w:iCs/>
          <w:szCs w:val="24"/>
        </w:rPr>
        <w:t xml:space="preserve"> Potíž spočívá v nespecifičnosti smluv, co přesně je a není ve výlučných pravomocí</w:t>
      </w:r>
      <w:r w:rsidR="0054257F">
        <w:rPr>
          <w:rFonts w:cs="Times New Roman"/>
          <w:i/>
          <w:iCs/>
          <w:szCs w:val="24"/>
        </w:rPr>
        <w:t>ch</w:t>
      </w:r>
      <w:r>
        <w:rPr>
          <w:rFonts w:cs="Times New Roman"/>
          <w:i/>
          <w:iCs/>
          <w:szCs w:val="24"/>
        </w:rPr>
        <w:t xml:space="preserve"> Společenství.</w:t>
      </w:r>
      <w:r w:rsidRPr="00C42425">
        <w:rPr>
          <w:rFonts w:cs="Times New Roman"/>
          <w:i/>
          <w:iCs/>
          <w:szCs w:val="24"/>
        </w:rPr>
        <w:t>“</w:t>
      </w:r>
      <w:r>
        <w:rPr>
          <w:rFonts w:cs="Times New Roman"/>
          <w:szCs w:val="24"/>
        </w:rPr>
        <w:t xml:space="preserve"> (</w:t>
      </w:r>
      <w:proofErr w:type="spellStart"/>
      <w:r w:rsidRPr="00605E01">
        <w:rPr>
          <w:rFonts w:cs="Times New Roman"/>
          <w:szCs w:val="24"/>
        </w:rPr>
        <w:t>Laitinen-Rawana</w:t>
      </w:r>
      <w:proofErr w:type="spellEnd"/>
      <w:r>
        <w:rPr>
          <w:rFonts w:cs="Times New Roman"/>
          <w:szCs w:val="24"/>
        </w:rPr>
        <w:t xml:space="preserve">, 1994) Autor </w:t>
      </w:r>
      <w:r w:rsidRPr="00B43E6D">
        <w:rPr>
          <w:rFonts w:cs="Times New Roman"/>
          <w:szCs w:val="24"/>
        </w:rPr>
        <w:t>d</w:t>
      </w:r>
      <w:r>
        <w:rPr>
          <w:rFonts w:cs="Times New Roman"/>
          <w:szCs w:val="24"/>
        </w:rPr>
        <w:t>á</w:t>
      </w:r>
      <w:r w:rsidRPr="00B43E6D">
        <w:rPr>
          <w:rFonts w:cs="Times New Roman"/>
          <w:szCs w:val="24"/>
        </w:rPr>
        <w:t>le píše, že existuje koncensus</w:t>
      </w:r>
      <w:r>
        <w:rPr>
          <w:rFonts w:cs="Times New Roman"/>
          <w:szCs w:val="24"/>
        </w:rPr>
        <w:t xml:space="preserve"> na výhradní pravomoci Společenství v</w:t>
      </w:r>
      <w:r w:rsidR="00522098">
        <w:rPr>
          <w:rFonts w:cs="Times New Roman"/>
          <w:szCs w:val="24"/>
        </w:rPr>
        <w:t> </w:t>
      </w:r>
      <w:r>
        <w:rPr>
          <w:rFonts w:cs="Times New Roman"/>
          <w:szCs w:val="24"/>
        </w:rPr>
        <w:t>oblastech</w:t>
      </w:r>
      <w:r w:rsidR="00522098">
        <w:rPr>
          <w:rFonts w:cs="Times New Roman"/>
          <w:szCs w:val="24"/>
        </w:rPr>
        <w:t>,</w:t>
      </w:r>
      <w:r>
        <w:rPr>
          <w:rFonts w:cs="Times New Roman"/>
          <w:szCs w:val="24"/>
        </w:rPr>
        <w:t xml:space="preserve"> jako je společná obchodní politika a rybářská politika. </w:t>
      </w:r>
      <w:proofErr w:type="spellStart"/>
      <w:r>
        <w:rPr>
          <w:rFonts w:cs="Times New Roman"/>
          <w:szCs w:val="24"/>
        </w:rPr>
        <w:t>Laitinen-Rawana</w:t>
      </w:r>
      <w:proofErr w:type="spellEnd"/>
      <w:r>
        <w:rPr>
          <w:rFonts w:cs="Times New Roman"/>
          <w:szCs w:val="24"/>
        </w:rPr>
        <w:t xml:space="preserve"> tvrdí, že rozdělení na výlučné a sdílené pravomoci není stoprocentně efektivní: </w:t>
      </w:r>
      <w:r w:rsidRPr="00CF0D95">
        <w:rPr>
          <w:rFonts w:cs="Times New Roman"/>
          <w:i/>
          <w:iCs/>
          <w:szCs w:val="24"/>
        </w:rPr>
        <w:t>„Poté, co se Společenství rozhodlo jednat, jsou pravomoci Unie stejné jako v případech, kde disponuje výlučnými pravomocemi a členské státy nejsou oprávněny jednat s výjimkou případů, kdy jim Unie přiznává právo prováděcích nařízení.“</w:t>
      </w:r>
      <w:r>
        <w:rPr>
          <w:rFonts w:cs="Times New Roman"/>
          <w:szCs w:val="24"/>
        </w:rPr>
        <w:t xml:space="preserve"> (</w:t>
      </w:r>
      <w:proofErr w:type="spellStart"/>
      <w:r>
        <w:rPr>
          <w:rFonts w:cs="Times New Roman"/>
          <w:szCs w:val="24"/>
        </w:rPr>
        <w:t>Laitinen-Rawana</w:t>
      </w:r>
      <w:proofErr w:type="spellEnd"/>
      <w:r>
        <w:rPr>
          <w:rFonts w:cs="Times New Roman"/>
          <w:szCs w:val="24"/>
        </w:rPr>
        <w:t>, 1994)</w:t>
      </w:r>
    </w:p>
    <w:p w14:paraId="7E68B781" w14:textId="3E0DC7F5" w:rsidR="00DE6D3E" w:rsidRDefault="00DE6D3E" w:rsidP="00B261C7">
      <w:pPr>
        <w:pStyle w:val="Odstavecseseznamem"/>
        <w:numPr>
          <w:ilvl w:val="1"/>
          <w:numId w:val="9"/>
        </w:numPr>
        <w:spacing w:line="360" w:lineRule="auto"/>
        <w:rPr>
          <w:rFonts w:cs="Times New Roman"/>
          <w:sz w:val="28"/>
          <w:szCs w:val="28"/>
        </w:rPr>
      </w:pPr>
      <w:r>
        <w:rPr>
          <w:rFonts w:cs="Times New Roman"/>
          <w:sz w:val="28"/>
          <w:szCs w:val="28"/>
        </w:rPr>
        <w:t xml:space="preserve"> </w:t>
      </w:r>
      <w:bookmarkStart w:id="22" w:name="_Toc70660106"/>
      <w:r w:rsidRPr="00B261C7">
        <w:rPr>
          <w:rStyle w:val="Nadpis1Char"/>
        </w:rPr>
        <w:t>Amsterodamská smlouva</w:t>
      </w:r>
      <w:bookmarkEnd w:id="22"/>
    </w:p>
    <w:p w14:paraId="1254CF9E" w14:textId="666BAB00" w:rsidR="00DE6D3E" w:rsidRDefault="00DE6D3E" w:rsidP="00B261C7">
      <w:pPr>
        <w:pStyle w:val="Odstavecseseznamem"/>
        <w:spacing w:line="360" w:lineRule="auto"/>
        <w:ind w:left="0" w:firstLine="567"/>
        <w:rPr>
          <w:rFonts w:cs="Times New Roman"/>
          <w:szCs w:val="24"/>
        </w:rPr>
      </w:pPr>
      <w:r>
        <w:rPr>
          <w:rFonts w:cs="Times New Roman"/>
          <w:szCs w:val="24"/>
        </w:rPr>
        <w:t>Amsterodamská smlouva byla podepsána v říjnu roku 1997</w:t>
      </w:r>
      <w:r w:rsidR="00522098">
        <w:rPr>
          <w:rFonts w:cs="Times New Roman"/>
          <w:szCs w:val="24"/>
        </w:rPr>
        <w:t>,</w:t>
      </w:r>
      <w:r>
        <w:rPr>
          <w:rFonts w:cs="Times New Roman"/>
          <w:szCs w:val="24"/>
        </w:rPr>
        <w:t xml:space="preserve"> v platnost ale vstoupila až v květnu roku 1999. Cílem této smlouvy bylo především zpřehlednit právní ustanovení Maastrichtské smlouvy. Britský politolog Simon </w:t>
      </w:r>
      <w:proofErr w:type="spellStart"/>
      <w:r>
        <w:rPr>
          <w:rFonts w:cs="Times New Roman"/>
          <w:szCs w:val="24"/>
        </w:rPr>
        <w:t>Hix</w:t>
      </w:r>
      <w:proofErr w:type="spellEnd"/>
      <w:r>
        <w:rPr>
          <w:rFonts w:cs="Times New Roman"/>
          <w:szCs w:val="24"/>
        </w:rPr>
        <w:t xml:space="preserve"> předkládá ve své práci </w:t>
      </w:r>
      <w:r w:rsidRPr="00E85596">
        <w:rPr>
          <w:rFonts w:cs="Times New Roman"/>
          <w:i/>
          <w:iCs/>
          <w:szCs w:val="24"/>
        </w:rPr>
        <w:t>„</w:t>
      </w:r>
      <w:proofErr w:type="spellStart"/>
      <w:r w:rsidRPr="00E85596">
        <w:rPr>
          <w:rFonts w:cs="Times New Roman"/>
          <w:i/>
          <w:iCs/>
          <w:szCs w:val="24"/>
        </w:rPr>
        <w:t>Constitutional</w:t>
      </w:r>
      <w:proofErr w:type="spellEnd"/>
      <w:r w:rsidRPr="00E85596">
        <w:rPr>
          <w:rFonts w:cs="Times New Roman"/>
          <w:i/>
          <w:iCs/>
          <w:szCs w:val="24"/>
        </w:rPr>
        <w:t xml:space="preserve"> Agenda-</w:t>
      </w:r>
      <w:proofErr w:type="spellStart"/>
      <w:r w:rsidRPr="00E85596">
        <w:rPr>
          <w:rFonts w:cs="Times New Roman"/>
          <w:i/>
          <w:iCs/>
          <w:szCs w:val="24"/>
        </w:rPr>
        <w:t>Setting</w:t>
      </w:r>
      <w:proofErr w:type="spellEnd"/>
      <w:r w:rsidRPr="00E85596">
        <w:rPr>
          <w:rFonts w:cs="Times New Roman"/>
          <w:i/>
          <w:iCs/>
          <w:szCs w:val="24"/>
        </w:rPr>
        <w:t xml:space="preserve"> </w:t>
      </w:r>
      <w:proofErr w:type="spellStart"/>
      <w:r w:rsidRPr="00E85596">
        <w:rPr>
          <w:rFonts w:cs="Times New Roman"/>
          <w:i/>
          <w:iCs/>
          <w:szCs w:val="24"/>
        </w:rPr>
        <w:t>Through</w:t>
      </w:r>
      <w:proofErr w:type="spellEnd"/>
      <w:r w:rsidRPr="00E85596">
        <w:rPr>
          <w:rFonts w:cs="Times New Roman"/>
          <w:i/>
          <w:iCs/>
          <w:szCs w:val="24"/>
        </w:rPr>
        <w:t xml:space="preserve"> </w:t>
      </w:r>
      <w:proofErr w:type="spellStart"/>
      <w:r w:rsidRPr="00E85596">
        <w:rPr>
          <w:rFonts w:cs="Times New Roman"/>
          <w:i/>
          <w:iCs/>
          <w:szCs w:val="24"/>
        </w:rPr>
        <w:t>Dicretion</w:t>
      </w:r>
      <w:proofErr w:type="spellEnd"/>
      <w:r w:rsidRPr="00E85596">
        <w:rPr>
          <w:rFonts w:cs="Times New Roman"/>
          <w:i/>
          <w:iCs/>
          <w:szCs w:val="24"/>
        </w:rPr>
        <w:t xml:space="preserve"> in Rule </w:t>
      </w:r>
      <w:proofErr w:type="spellStart"/>
      <w:r w:rsidRPr="00E85596">
        <w:rPr>
          <w:rFonts w:cs="Times New Roman"/>
          <w:i/>
          <w:iCs/>
          <w:szCs w:val="24"/>
        </w:rPr>
        <w:t>Interpretation</w:t>
      </w:r>
      <w:proofErr w:type="spellEnd"/>
      <w:r w:rsidRPr="00E85596">
        <w:rPr>
          <w:rFonts w:cs="Times New Roman"/>
          <w:i/>
          <w:iCs/>
          <w:szCs w:val="24"/>
        </w:rPr>
        <w:t xml:space="preserve">: </w:t>
      </w:r>
      <w:proofErr w:type="spellStart"/>
      <w:proofErr w:type="gramStart"/>
      <w:r w:rsidRPr="00E85596">
        <w:rPr>
          <w:rFonts w:cs="Times New Roman"/>
          <w:i/>
          <w:iCs/>
          <w:szCs w:val="24"/>
        </w:rPr>
        <w:t>Wh</w:t>
      </w:r>
      <w:r w:rsidR="00993768">
        <w:rPr>
          <w:rFonts w:cs="Times New Roman"/>
          <w:i/>
          <w:iCs/>
          <w:szCs w:val="24"/>
        </w:rPr>
        <w:t>.</w:t>
      </w:r>
      <w:r w:rsidRPr="00E85596">
        <w:rPr>
          <w:rFonts w:cs="Times New Roman"/>
          <w:i/>
          <w:iCs/>
          <w:szCs w:val="24"/>
        </w:rPr>
        <w:t>y</w:t>
      </w:r>
      <w:proofErr w:type="spellEnd"/>
      <w:proofErr w:type="gramEnd"/>
      <w:r w:rsidRPr="00E85596">
        <w:rPr>
          <w:rFonts w:cs="Times New Roman"/>
          <w:i/>
          <w:iCs/>
          <w:szCs w:val="24"/>
        </w:rPr>
        <w:t xml:space="preserve"> </w:t>
      </w:r>
      <w:proofErr w:type="spellStart"/>
      <w:r w:rsidRPr="00E85596">
        <w:rPr>
          <w:rFonts w:cs="Times New Roman"/>
          <w:i/>
          <w:iCs/>
          <w:szCs w:val="24"/>
        </w:rPr>
        <w:t>the</w:t>
      </w:r>
      <w:proofErr w:type="spellEnd"/>
      <w:r w:rsidRPr="00E85596">
        <w:rPr>
          <w:rFonts w:cs="Times New Roman"/>
          <w:i/>
          <w:iCs/>
          <w:szCs w:val="24"/>
        </w:rPr>
        <w:t xml:space="preserve"> </w:t>
      </w:r>
      <w:proofErr w:type="spellStart"/>
      <w:r w:rsidRPr="00E85596">
        <w:rPr>
          <w:rFonts w:cs="Times New Roman"/>
          <w:i/>
          <w:iCs/>
          <w:szCs w:val="24"/>
        </w:rPr>
        <w:t>European</w:t>
      </w:r>
      <w:proofErr w:type="spellEnd"/>
      <w:r w:rsidRPr="00E85596">
        <w:rPr>
          <w:rFonts w:cs="Times New Roman"/>
          <w:i/>
          <w:iCs/>
          <w:szCs w:val="24"/>
        </w:rPr>
        <w:t xml:space="preserve"> </w:t>
      </w:r>
      <w:proofErr w:type="spellStart"/>
      <w:r w:rsidRPr="00E85596">
        <w:rPr>
          <w:rFonts w:cs="Times New Roman"/>
          <w:i/>
          <w:iCs/>
          <w:szCs w:val="24"/>
        </w:rPr>
        <w:t>Parliament</w:t>
      </w:r>
      <w:proofErr w:type="spellEnd"/>
      <w:r w:rsidRPr="00E85596">
        <w:rPr>
          <w:rFonts w:cs="Times New Roman"/>
          <w:i/>
          <w:iCs/>
          <w:szCs w:val="24"/>
        </w:rPr>
        <w:t xml:space="preserve"> </w:t>
      </w:r>
      <w:proofErr w:type="spellStart"/>
      <w:r w:rsidRPr="00E85596">
        <w:rPr>
          <w:rFonts w:cs="Times New Roman"/>
          <w:i/>
          <w:iCs/>
          <w:szCs w:val="24"/>
        </w:rPr>
        <w:t>Won</w:t>
      </w:r>
      <w:proofErr w:type="spellEnd"/>
      <w:r w:rsidRPr="00E85596">
        <w:rPr>
          <w:rFonts w:cs="Times New Roman"/>
          <w:i/>
          <w:iCs/>
          <w:szCs w:val="24"/>
        </w:rPr>
        <w:t xml:space="preserve"> </w:t>
      </w:r>
      <w:proofErr w:type="spellStart"/>
      <w:r w:rsidRPr="00E85596">
        <w:rPr>
          <w:rFonts w:cs="Times New Roman"/>
          <w:i/>
          <w:iCs/>
          <w:szCs w:val="24"/>
        </w:rPr>
        <w:t>at</w:t>
      </w:r>
      <w:proofErr w:type="spellEnd"/>
      <w:r w:rsidRPr="00E85596">
        <w:rPr>
          <w:rFonts w:cs="Times New Roman"/>
          <w:i/>
          <w:iCs/>
          <w:szCs w:val="24"/>
        </w:rPr>
        <w:t xml:space="preserve"> Amsterdam?“</w:t>
      </w:r>
      <w:r>
        <w:rPr>
          <w:rFonts w:cs="Times New Roman"/>
          <w:szCs w:val="24"/>
        </w:rPr>
        <w:t xml:space="preserve"> naprosto odlišný cíl </w:t>
      </w:r>
      <w:r w:rsidR="00522098">
        <w:rPr>
          <w:rFonts w:cs="Times New Roman"/>
          <w:szCs w:val="24"/>
        </w:rPr>
        <w:t>zmíněné</w:t>
      </w:r>
      <w:r>
        <w:rPr>
          <w:rFonts w:cs="Times New Roman"/>
          <w:szCs w:val="24"/>
        </w:rPr>
        <w:t xml:space="preserve"> smlouvy. </w:t>
      </w:r>
      <w:r w:rsidRPr="00142A1D">
        <w:rPr>
          <w:rFonts w:cs="Times New Roman"/>
          <w:i/>
          <w:iCs/>
          <w:szCs w:val="24"/>
        </w:rPr>
        <w:t xml:space="preserve">„Na rozdíl od stávajících vysvětlení tvrdím, že k těmto změnám došlo, protože EP byl „tvůrcem ústavní agendy“. Pravidla stanovená ve Smlouvě o EU v Maastrichtu byly neúplné </w:t>
      </w:r>
      <w:r>
        <w:rPr>
          <w:rFonts w:cs="Times New Roman"/>
          <w:i/>
          <w:iCs/>
          <w:szCs w:val="24"/>
        </w:rPr>
        <w:t>nařízení</w:t>
      </w:r>
      <w:r w:rsidRPr="00142A1D">
        <w:rPr>
          <w:rFonts w:cs="Times New Roman"/>
          <w:i/>
          <w:iCs/>
          <w:szCs w:val="24"/>
        </w:rPr>
        <w:t xml:space="preserve"> a vlády EU měly </w:t>
      </w:r>
      <w:r>
        <w:rPr>
          <w:rFonts w:cs="Times New Roman"/>
          <w:i/>
          <w:iCs/>
          <w:szCs w:val="24"/>
        </w:rPr>
        <w:t>potřebné</w:t>
      </w:r>
      <w:r w:rsidRPr="00142A1D">
        <w:rPr>
          <w:rFonts w:cs="Times New Roman"/>
          <w:i/>
          <w:iCs/>
          <w:szCs w:val="24"/>
        </w:rPr>
        <w:t xml:space="preserve"> informace o přesném fungování Smlouvy. Výsledkem bylo, že EP dokázal tato pravidla znovu interpretovat ve svůj prospěch a hrozí, že nebud</w:t>
      </w:r>
      <w:r>
        <w:rPr>
          <w:rFonts w:cs="Times New Roman"/>
          <w:i/>
          <w:iCs/>
          <w:szCs w:val="24"/>
        </w:rPr>
        <w:t>e</w:t>
      </w:r>
      <w:r w:rsidRPr="00142A1D">
        <w:rPr>
          <w:rFonts w:cs="Times New Roman"/>
          <w:i/>
          <w:iCs/>
          <w:szCs w:val="24"/>
        </w:rPr>
        <w:t xml:space="preserve"> spolupracovat s vládami, pokud nepřijmou </w:t>
      </w:r>
      <w:r>
        <w:rPr>
          <w:rFonts w:cs="Times New Roman"/>
          <w:i/>
          <w:iCs/>
          <w:szCs w:val="24"/>
        </w:rPr>
        <w:t>i</w:t>
      </w:r>
      <w:r w:rsidRPr="00142A1D">
        <w:rPr>
          <w:rFonts w:cs="Times New Roman"/>
          <w:i/>
          <w:iCs/>
          <w:szCs w:val="24"/>
        </w:rPr>
        <w:t>nterpret</w:t>
      </w:r>
      <w:r>
        <w:rPr>
          <w:rFonts w:cs="Times New Roman"/>
          <w:i/>
          <w:iCs/>
          <w:szCs w:val="24"/>
        </w:rPr>
        <w:t>aci</w:t>
      </w:r>
      <w:r w:rsidRPr="00142A1D">
        <w:rPr>
          <w:rFonts w:cs="Times New Roman"/>
          <w:i/>
          <w:iCs/>
          <w:szCs w:val="24"/>
        </w:rPr>
        <w:t xml:space="preserve"> EP.“ </w:t>
      </w:r>
      <w:r>
        <w:rPr>
          <w:rFonts w:cs="Times New Roman"/>
          <w:szCs w:val="24"/>
        </w:rPr>
        <w:t>(</w:t>
      </w:r>
      <w:proofErr w:type="spellStart"/>
      <w:r>
        <w:rPr>
          <w:rFonts w:cs="Times New Roman"/>
          <w:szCs w:val="24"/>
        </w:rPr>
        <w:t>Hix</w:t>
      </w:r>
      <w:proofErr w:type="spellEnd"/>
      <w:r>
        <w:rPr>
          <w:rFonts w:cs="Times New Roman"/>
          <w:szCs w:val="24"/>
        </w:rPr>
        <w:t xml:space="preserve">, 2002) </w:t>
      </w:r>
    </w:p>
    <w:p w14:paraId="5AADAEB2" w14:textId="7A7462A4" w:rsidR="00DE6D3E" w:rsidRDefault="00DE6D3E" w:rsidP="00B261C7">
      <w:pPr>
        <w:spacing w:line="360" w:lineRule="auto"/>
        <w:rPr>
          <w:szCs w:val="24"/>
        </w:rPr>
      </w:pPr>
      <w:r w:rsidRPr="00877191">
        <w:rPr>
          <w:szCs w:val="24"/>
        </w:rPr>
        <w:t>V rámci Amster</w:t>
      </w:r>
      <w:r w:rsidR="005522F4">
        <w:rPr>
          <w:szCs w:val="24"/>
        </w:rPr>
        <w:t>o</w:t>
      </w:r>
      <w:r w:rsidRPr="00877191">
        <w:rPr>
          <w:szCs w:val="24"/>
        </w:rPr>
        <w:t>damské smlouvy došlo k posílení postavení Parlamentu. Procedura spolurozhodování byla rozšířena do všech oblastí, ve kterých Rada přijímala rozhodnutí kvalifikovanou většinou, ovšem s výjimkou zemědělské a hospodářské politiky.</w:t>
      </w:r>
      <w:r>
        <w:rPr>
          <w:szCs w:val="24"/>
        </w:rPr>
        <w:t xml:space="preserve"> Amster</w:t>
      </w:r>
      <w:r w:rsidR="005522F4">
        <w:rPr>
          <w:szCs w:val="24"/>
        </w:rPr>
        <w:t>o</w:t>
      </w:r>
      <w:r>
        <w:rPr>
          <w:szCs w:val="24"/>
        </w:rPr>
        <w:t xml:space="preserve">damská smlouva </w:t>
      </w:r>
      <w:r w:rsidR="00522098">
        <w:rPr>
          <w:szCs w:val="24"/>
        </w:rPr>
        <w:t>však</w:t>
      </w:r>
      <w:r>
        <w:rPr>
          <w:szCs w:val="24"/>
        </w:rPr>
        <w:t xml:space="preserve"> zavedla takzvanou proceduru spolurozhodování II. Změna se hlavně týkala dohodovacího výboru. </w:t>
      </w:r>
      <w:r w:rsidRPr="00CD1CF2">
        <w:rPr>
          <w:i/>
          <w:iCs/>
          <w:szCs w:val="24"/>
        </w:rPr>
        <w:t>„Pokud dohodovací výbor neschválí společný návrh, navrhuje se</w:t>
      </w:r>
      <w:r>
        <w:rPr>
          <w:i/>
          <w:iCs/>
          <w:szCs w:val="24"/>
        </w:rPr>
        <w:t>,</w:t>
      </w:r>
      <w:r w:rsidRPr="00CD1CF2">
        <w:rPr>
          <w:i/>
          <w:iCs/>
          <w:szCs w:val="24"/>
        </w:rPr>
        <w:t xml:space="preserve"> aby byl akt považován za nepřijatý.“</w:t>
      </w:r>
      <w:r>
        <w:rPr>
          <w:szCs w:val="24"/>
        </w:rPr>
        <w:t xml:space="preserve"> (</w:t>
      </w:r>
      <w:proofErr w:type="spellStart"/>
      <w:r>
        <w:rPr>
          <w:szCs w:val="24"/>
        </w:rPr>
        <w:t>Hix</w:t>
      </w:r>
      <w:proofErr w:type="spellEnd"/>
      <w:r>
        <w:rPr>
          <w:szCs w:val="24"/>
        </w:rPr>
        <w:t xml:space="preserve">, 2002) Autor ve své práci dále tvrdí, že výsledkem nové procedury je skutečnost, že dohodovací výbor je finální fází legislativního procesu a Parlament s Radou jsou v rámci </w:t>
      </w:r>
      <w:r w:rsidR="00522098">
        <w:rPr>
          <w:szCs w:val="24"/>
        </w:rPr>
        <w:t>dané</w:t>
      </w:r>
      <w:r>
        <w:rPr>
          <w:szCs w:val="24"/>
        </w:rPr>
        <w:t xml:space="preserve"> procedury poprvé skutečnými „</w:t>
      </w:r>
      <w:proofErr w:type="spellStart"/>
      <w:r>
        <w:rPr>
          <w:szCs w:val="24"/>
        </w:rPr>
        <w:t>spoluzákonodárci</w:t>
      </w:r>
      <w:proofErr w:type="spellEnd"/>
      <w:r>
        <w:rPr>
          <w:szCs w:val="24"/>
        </w:rPr>
        <w:t>“. (</w:t>
      </w:r>
      <w:proofErr w:type="spellStart"/>
      <w:r>
        <w:rPr>
          <w:szCs w:val="24"/>
        </w:rPr>
        <w:t>Hix</w:t>
      </w:r>
      <w:proofErr w:type="spellEnd"/>
      <w:r>
        <w:rPr>
          <w:szCs w:val="24"/>
        </w:rPr>
        <w:t>, 2002)</w:t>
      </w:r>
      <w:r w:rsidRPr="00877191">
        <w:rPr>
          <w:szCs w:val="24"/>
        </w:rPr>
        <w:t xml:space="preserve"> K dalšímu posílení Parlamentu došlo v oblasti kontrolních pravomocí. Kromě schvalování Komise jako celku disponoval Parlament také právem schvalovat </w:t>
      </w:r>
      <w:r w:rsidRPr="00877191">
        <w:rPr>
          <w:szCs w:val="24"/>
        </w:rPr>
        <w:lastRenderedPageBreak/>
        <w:t>kandidáta na předsedu Komise.</w:t>
      </w:r>
      <w:r>
        <w:rPr>
          <w:szCs w:val="24"/>
        </w:rPr>
        <w:t xml:space="preserve"> </w:t>
      </w:r>
      <w:r w:rsidRPr="009F4AC4">
        <w:rPr>
          <w:i/>
          <w:iCs/>
          <w:szCs w:val="24"/>
        </w:rPr>
        <w:t>„Poprvé tak v klasickém modelu parlamentní vlády byla vyžadována podpora většiny Parlamentu k ustanovení nového předsedy Komise.“</w:t>
      </w:r>
      <w:r>
        <w:rPr>
          <w:szCs w:val="24"/>
        </w:rPr>
        <w:t xml:space="preserve"> (</w:t>
      </w:r>
      <w:proofErr w:type="spellStart"/>
      <w:r>
        <w:rPr>
          <w:szCs w:val="24"/>
        </w:rPr>
        <w:t>Hix</w:t>
      </w:r>
      <w:proofErr w:type="spellEnd"/>
      <w:r>
        <w:rPr>
          <w:szCs w:val="24"/>
        </w:rPr>
        <w:t>, 2002)</w:t>
      </w:r>
    </w:p>
    <w:p w14:paraId="5413DBBF" w14:textId="1B86EE67" w:rsidR="00DE6D3E" w:rsidRDefault="00DE6D3E" w:rsidP="00B261C7">
      <w:pPr>
        <w:spacing w:line="360" w:lineRule="auto"/>
        <w:rPr>
          <w:szCs w:val="24"/>
        </w:rPr>
      </w:pPr>
      <w:r w:rsidRPr="00877191">
        <w:rPr>
          <w:szCs w:val="24"/>
        </w:rPr>
        <w:t>Amster</w:t>
      </w:r>
      <w:r w:rsidR="005522F4">
        <w:rPr>
          <w:szCs w:val="24"/>
        </w:rPr>
        <w:t>o</w:t>
      </w:r>
      <w:r w:rsidRPr="00877191">
        <w:rPr>
          <w:szCs w:val="24"/>
        </w:rPr>
        <w:t>damská smlouva</w:t>
      </w:r>
      <w:r w:rsidR="00A52A08">
        <w:rPr>
          <w:szCs w:val="24"/>
        </w:rPr>
        <w:t xml:space="preserve"> </w:t>
      </w:r>
      <w:r w:rsidRPr="00877191">
        <w:rPr>
          <w:szCs w:val="24"/>
        </w:rPr>
        <w:t>v rámci posilování postavení Evropského parlamentu v rámci procedury spolurozhodování omezila samostatné rozhodování Rady hned v 15 nových oblastech. Ve snaze zvýšit transparentnost rozhodování v EU obsahovala Amster</w:t>
      </w:r>
      <w:r w:rsidR="005522F4">
        <w:rPr>
          <w:szCs w:val="24"/>
        </w:rPr>
        <w:t>o</w:t>
      </w:r>
      <w:r w:rsidRPr="00877191">
        <w:rPr>
          <w:szCs w:val="24"/>
        </w:rPr>
        <w:t xml:space="preserve">damská smlouva také ustanovení týkající se přístupu občanů k dokumentům a také ustanovení </w:t>
      </w:r>
      <w:r w:rsidR="00522098">
        <w:rPr>
          <w:szCs w:val="24"/>
        </w:rPr>
        <w:t>vztahující se k</w:t>
      </w:r>
      <w:r w:rsidRPr="00877191">
        <w:rPr>
          <w:szCs w:val="24"/>
        </w:rPr>
        <w:t xml:space="preserve"> větší otevřenosti v legislativní činnosti Rady (</w:t>
      </w:r>
      <w:proofErr w:type="spellStart"/>
      <w:r w:rsidRPr="00877191">
        <w:rPr>
          <w:szCs w:val="24"/>
        </w:rPr>
        <w:t>Sokolska</w:t>
      </w:r>
      <w:proofErr w:type="spellEnd"/>
      <w:r w:rsidRPr="00877191">
        <w:rPr>
          <w:szCs w:val="24"/>
        </w:rPr>
        <w:t xml:space="preserve">, 2021). </w:t>
      </w:r>
    </w:p>
    <w:p w14:paraId="18E21C9C" w14:textId="52587CDE" w:rsidR="00DE6D3E" w:rsidRPr="009F4AC4" w:rsidRDefault="00DE6D3E" w:rsidP="00B261C7">
      <w:pPr>
        <w:spacing w:line="360" w:lineRule="auto"/>
        <w:rPr>
          <w:szCs w:val="24"/>
        </w:rPr>
      </w:pPr>
      <w:r>
        <w:rPr>
          <w:szCs w:val="24"/>
        </w:rPr>
        <w:t xml:space="preserve">V neposlední řadě přinesla Amsterodamská smlouva </w:t>
      </w:r>
      <w:r w:rsidR="00E068A3">
        <w:rPr>
          <w:szCs w:val="24"/>
        </w:rPr>
        <w:t xml:space="preserve">zmiňované </w:t>
      </w:r>
      <w:r>
        <w:rPr>
          <w:szCs w:val="24"/>
        </w:rPr>
        <w:t>zjednodušení, které se týkalo především odstranění zastaralých opatření, aniž by se změnily právní účinky, které z těchto opatřeních vyplývaly. Nejméně významnou změnou byla reforma v číslování jednotlivých článků smlouvy (</w:t>
      </w:r>
      <w:proofErr w:type="spellStart"/>
      <w:r>
        <w:rPr>
          <w:szCs w:val="24"/>
        </w:rPr>
        <w:t>Sokolska</w:t>
      </w:r>
      <w:proofErr w:type="spellEnd"/>
      <w:r>
        <w:rPr>
          <w:szCs w:val="24"/>
        </w:rPr>
        <w:t xml:space="preserve">, 2021).  </w:t>
      </w:r>
    </w:p>
    <w:p w14:paraId="35704791" w14:textId="5601C583" w:rsidR="00DE6D3E" w:rsidRPr="009F4AC4" w:rsidRDefault="00DE6D3E" w:rsidP="00B261C7">
      <w:pPr>
        <w:pStyle w:val="Odstavecseseznamem"/>
        <w:numPr>
          <w:ilvl w:val="1"/>
          <w:numId w:val="9"/>
        </w:numPr>
        <w:spacing w:line="360" w:lineRule="auto"/>
        <w:rPr>
          <w:rFonts w:asciiTheme="minorHAnsi" w:hAnsiTheme="minorHAnsi"/>
          <w:sz w:val="22"/>
        </w:rPr>
      </w:pPr>
      <w:r>
        <w:rPr>
          <w:rFonts w:cs="Times New Roman"/>
          <w:sz w:val="28"/>
          <w:szCs w:val="28"/>
        </w:rPr>
        <w:t xml:space="preserve"> </w:t>
      </w:r>
      <w:bookmarkStart w:id="23" w:name="_Toc70660107"/>
      <w:r w:rsidRPr="00B261C7">
        <w:rPr>
          <w:rStyle w:val="Nadpis1Char"/>
        </w:rPr>
        <w:t>Smlouva z Nice</w:t>
      </w:r>
      <w:bookmarkEnd w:id="23"/>
    </w:p>
    <w:p w14:paraId="2C363A4C" w14:textId="7ED53014" w:rsidR="00C43BA6" w:rsidRDefault="00DE6D3E" w:rsidP="00C43BA6">
      <w:pPr>
        <w:pStyle w:val="Odstavecseseznamem"/>
        <w:spacing w:line="360" w:lineRule="auto"/>
        <w:ind w:left="0" w:firstLine="567"/>
        <w:rPr>
          <w:rFonts w:cs="Times New Roman"/>
          <w:szCs w:val="24"/>
        </w:rPr>
      </w:pPr>
      <w:r>
        <w:rPr>
          <w:rFonts w:cs="Times New Roman"/>
          <w:szCs w:val="24"/>
        </w:rPr>
        <w:t xml:space="preserve">Smlouva z Nice byla podepsána v únoru roku 2001, ale v platnost vstoupila až v únoru roku 2003. Cílem smlouvy bylo především </w:t>
      </w:r>
      <w:r w:rsidR="00522098">
        <w:rPr>
          <w:rFonts w:cs="Times New Roman"/>
          <w:szCs w:val="24"/>
        </w:rPr>
        <w:t>vyjasnit</w:t>
      </w:r>
      <w:r>
        <w:rPr>
          <w:rFonts w:cs="Times New Roman"/>
          <w:szCs w:val="24"/>
        </w:rPr>
        <w:t xml:space="preserve"> nedořešené institucionální otázky v rámci příprav na východní rozšiřování. Smlouva se tedy zabývala především změnami v počtu komisařů nebo poslanců Evropské</w:t>
      </w:r>
      <w:r w:rsidR="00CE7B81">
        <w:rPr>
          <w:rFonts w:cs="Times New Roman"/>
          <w:szCs w:val="24"/>
        </w:rPr>
        <w:t>ho</w:t>
      </w:r>
      <w:r w:rsidR="00522098">
        <w:rPr>
          <w:rFonts w:cs="Times New Roman"/>
          <w:szCs w:val="24"/>
        </w:rPr>
        <w:t xml:space="preserve"> parlamentu, ale také způsobem</w:t>
      </w:r>
      <w:r>
        <w:rPr>
          <w:rFonts w:cs="Times New Roman"/>
          <w:szCs w:val="24"/>
        </w:rPr>
        <w:t xml:space="preserve"> hlasování v Radě. Těmto změnám se detailně věnuje Franklin </w:t>
      </w:r>
      <w:proofErr w:type="spellStart"/>
      <w:r>
        <w:rPr>
          <w:rFonts w:cs="Times New Roman"/>
          <w:szCs w:val="24"/>
        </w:rPr>
        <w:t>Dehouse</w:t>
      </w:r>
      <w:proofErr w:type="spellEnd"/>
      <w:r>
        <w:rPr>
          <w:rFonts w:cs="Times New Roman"/>
          <w:szCs w:val="24"/>
        </w:rPr>
        <w:t xml:space="preserve"> ve svém článku </w:t>
      </w:r>
      <w:r w:rsidRPr="00B9504E">
        <w:rPr>
          <w:rFonts w:cs="Times New Roman"/>
          <w:i/>
          <w:iCs/>
          <w:szCs w:val="24"/>
        </w:rPr>
        <w:t>„</w:t>
      </w:r>
      <w:proofErr w:type="spellStart"/>
      <w:r w:rsidRPr="00B9504E">
        <w:rPr>
          <w:rFonts w:cs="Times New Roman"/>
          <w:i/>
          <w:iCs/>
          <w:szCs w:val="24"/>
        </w:rPr>
        <w:t>The</w:t>
      </w:r>
      <w:proofErr w:type="spellEnd"/>
      <w:r w:rsidRPr="00B9504E">
        <w:rPr>
          <w:rFonts w:cs="Times New Roman"/>
          <w:i/>
          <w:iCs/>
          <w:szCs w:val="24"/>
        </w:rPr>
        <w:t xml:space="preserve"> </w:t>
      </w:r>
      <w:proofErr w:type="spellStart"/>
      <w:r w:rsidRPr="00B9504E">
        <w:rPr>
          <w:rFonts w:cs="Times New Roman"/>
          <w:i/>
          <w:iCs/>
          <w:szCs w:val="24"/>
        </w:rPr>
        <w:t>Treaty</w:t>
      </w:r>
      <w:proofErr w:type="spellEnd"/>
      <w:r w:rsidRPr="00B9504E">
        <w:rPr>
          <w:rFonts w:cs="Times New Roman"/>
          <w:i/>
          <w:iCs/>
          <w:szCs w:val="24"/>
        </w:rPr>
        <w:t xml:space="preserve"> </w:t>
      </w:r>
      <w:proofErr w:type="spellStart"/>
      <w:r w:rsidRPr="00B9504E">
        <w:rPr>
          <w:rFonts w:cs="Times New Roman"/>
          <w:i/>
          <w:iCs/>
          <w:szCs w:val="24"/>
        </w:rPr>
        <w:t>of</w:t>
      </w:r>
      <w:proofErr w:type="spellEnd"/>
      <w:r w:rsidRPr="00B9504E">
        <w:rPr>
          <w:rFonts w:cs="Times New Roman"/>
          <w:i/>
          <w:iCs/>
          <w:szCs w:val="24"/>
        </w:rPr>
        <w:t xml:space="preserve"> Nice: A </w:t>
      </w:r>
      <w:proofErr w:type="spellStart"/>
      <w:r w:rsidRPr="00B9504E">
        <w:rPr>
          <w:rFonts w:cs="Times New Roman"/>
          <w:i/>
          <w:iCs/>
          <w:szCs w:val="24"/>
        </w:rPr>
        <w:t>Watershed</w:t>
      </w:r>
      <w:proofErr w:type="spellEnd"/>
      <w:r w:rsidRPr="00B9504E">
        <w:rPr>
          <w:rFonts w:cs="Times New Roman"/>
          <w:i/>
          <w:iCs/>
          <w:szCs w:val="24"/>
        </w:rPr>
        <w:t xml:space="preserve"> in </w:t>
      </w:r>
      <w:proofErr w:type="spellStart"/>
      <w:r w:rsidRPr="00B9504E">
        <w:rPr>
          <w:rFonts w:cs="Times New Roman"/>
          <w:i/>
          <w:iCs/>
          <w:szCs w:val="24"/>
        </w:rPr>
        <w:t>The</w:t>
      </w:r>
      <w:proofErr w:type="spellEnd"/>
      <w:r w:rsidRPr="00B9504E">
        <w:rPr>
          <w:rFonts w:cs="Times New Roman"/>
          <w:i/>
          <w:iCs/>
          <w:szCs w:val="24"/>
        </w:rPr>
        <w:t xml:space="preserve"> </w:t>
      </w:r>
      <w:proofErr w:type="spellStart"/>
      <w:r w:rsidRPr="00B9504E">
        <w:rPr>
          <w:rFonts w:cs="Times New Roman"/>
          <w:i/>
          <w:iCs/>
          <w:szCs w:val="24"/>
        </w:rPr>
        <w:t>History</w:t>
      </w:r>
      <w:proofErr w:type="spellEnd"/>
      <w:r w:rsidRPr="00B9504E">
        <w:rPr>
          <w:rFonts w:cs="Times New Roman"/>
          <w:i/>
          <w:iCs/>
          <w:szCs w:val="24"/>
        </w:rPr>
        <w:t xml:space="preserve"> </w:t>
      </w:r>
      <w:proofErr w:type="spellStart"/>
      <w:r w:rsidRPr="00B9504E">
        <w:rPr>
          <w:rFonts w:cs="Times New Roman"/>
          <w:i/>
          <w:iCs/>
          <w:szCs w:val="24"/>
        </w:rPr>
        <w:t>European</w:t>
      </w:r>
      <w:proofErr w:type="spellEnd"/>
      <w:r w:rsidRPr="00B9504E">
        <w:rPr>
          <w:rFonts w:cs="Times New Roman"/>
          <w:i/>
          <w:iCs/>
          <w:szCs w:val="24"/>
        </w:rPr>
        <w:t xml:space="preserve"> </w:t>
      </w:r>
      <w:proofErr w:type="spellStart"/>
      <w:r w:rsidRPr="00B9504E">
        <w:rPr>
          <w:rFonts w:cs="Times New Roman"/>
          <w:i/>
          <w:iCs/>
          <w:szCs w:val="24"/>
        </w:rPr>
        <w:t>Integration</w:t>
      </w:r>
      <w:proofErr w:type="spellEnd"/>
      <w:r w:rsidRPr="00B9504E">
        <w:rPr>
          <w:rFonts w:cs="Times New Roman"/>
          <w:i/>
          <w:iCs/>
          <w:szCs w:val="24"/>
        </w:rPr>
        <w:t>“.</w:t>
      </w:r>
      <w:r>
        <w:rPr>
          <w:rFonts w:cs="Times New Roman"/>
          <w:szCs w:val="24"/>
        </w:rPr>
        <w:t xml:space="preserve"> Jak autor zmiňuje, byly v rámci této smlouvy zavedeny dvě reformy zabývající se Evropskou komisí. První reforma upravuje složení Komise. </w:t>
      </w:r>
      <w:r w:rsidRPr="00097178">
        <w:rPr>
          <w:rFonts w:cs="Times New Roman"/>
          <w:i/>
          <w:iCs/>
          <w:szCs w:val="24"/>
        </w:rPr>
        <w:t>„Od roku 2005 se bude Komise skládat z jednoho občana za každou členskou zemi. Poté</w:t>
      </w:r>
      <w:r w:rsidR="002D3505">
        <w:rPr>
          <w:rFonts w:cs="Times New Roman"/>
          <w:i/>
          <w:iCs/>
          <w:szCs w:val="24"/>
        </w:rPr>
        <w:t>,</w:t>
      </w:r>
      <w:r w:rsidRPr="00097178">
        <w:rPr>
          <w:rFonts w:cs="Times New Roman"/>
          <w:i/>
          <w:iCs/>
          <w:szCs w:val="24"/>
        </w:rPr>
        <w:t xml:space="preserve"> co Unie dosáhne počtu 27 členský států, </w:t>
      </w:r>
      <w:r w:rsidR="002D3505">
        <w:rPr>
          <w:rFonts w:cs="Times New Roman"/>
          <w:i/>
          <w:iCs/>
          <w:szCs w:val="24"/>
        </w:rPr>
        <w:t>by měl</w:t>
      </w:r>
      <w:r w:rsidRPr="00097178">
        <w:rPr>
          <w:rFonts w:cs="Times New Roman"/>
          <w:i/>
          <w:iCs/>
          <w:szCs w:val="24"/>
        </w:rPr>
        <w:t xml:space="preserve"> být počet členů Komise nižší než počet členských států. Členové Komise budou vybíráni podle rotace založené na principu rovnosti.“</w:t>
      </w:r>
      <w:r>
        <w:rPr>
          <w:rFonts w:cs="Times New Roman"/>
          <w:szCs w:val="24"/>
        </w:rPr>
        <w:t xml:space="preserve"> (</w:t>
      </w:r>
      <w:proofErr w:type="spellStart"/>
      <w:r>
        <w:rPr>
          <w:rFonts w:cs="Times New Roman"/>
          <w:szCs w:val="24"/>
        </w:rPr>
        <w:t>Dehouse</w:t>
      </w:r>
      <w:proofErr w:type="spellEnd"/>
      <w:r>
        <w:rPr>
          <w:rFonts w:cs="Times New Roman"/>
          <w:szCs w:val="24"/>
        </w:rPr>
        <w:t xml:space="preserve">, 2000) I přesto, že způsob rotace nebyl jasně definován, upozorňoval autor na kontroverze, jež tato reforma s největší pravděpodobností vyvolá. Druhá reforma se týkala odvolávání jednotlivých komisařů. </w:t>
      </w:r>
      <w:r w:rsidRPr="002D3505">
        <w:rPr>
          <w:rFonts w:cs="Times New Roman"/>
          <w:i/>
          <w:szCs w:val="24"/>
        </w:rPr>
        <w:t>„Po vstupu v platnost nebude schopen předseda dosáhnout rezignace některého z komisařů bez souhlasu Kolegia. Díky této změně tak bude mnohem obtížnější dosáhnout požadované rezignace. Smlouva z Nice tak velmi omezuje pravomoci předsedy Komise.“</w:t>
      </w:r>
      <w:r>
        <w:rPr>
          <w:rFonts w:cs="Times New Roman"/>
          <w:szCs w:val="24"/>
        </w:rPr>
        <w:t xml:space="preserve"> (</w:t>
      </w:r>
      <w:proofErr w:type="spellStart"/>
      <w:r>
        <w:rPr>
          <w:rFonts w:cs="Times New Roman"/>
          <w:szCs w:val="24"/>
        </w:rPr>
        <w:t>Dehouse</w:t>
      </w:r>
      <w:proofErr w:type="spellEnd"/>
      <w:r>
        <w:rPr>
          <w:rFonts w:cs="Times New Roman"/>
          <w:szCs w:val="24"/>
        </w:rPr>
        <w:t>, 2000)</w:t>
      </w:r>
    </w:p>
    <w:p w14:paraId="6BB5C9A0" w14:textId="77777777" w:rsidR="00C43BA6" w:rsidRPr="00C43BA6" w:rsidRDefault="00C43BA6" w:rsidP="00C43BA6">
      <w:pPr>
        <w:pStyle w:val="Odstavecseseznamem"/>
        <w:spacing w:line="360" w:lineRule="auto"/>
        <w:ind w:left="0" w:firstLine="567"/>
        <w:rPr>
          <w:rFonts w:cs="Times New Roman"/>
          <w:szCs w:val="24"/>
        </w:rPr>
      </w:pPr>
    </w:p>
    <w:p w14:paraId="0151306C" w14:textId="53A26367" w:rsidR="00DE6D3E" w:rsidRDefault="00DE6D3E" w:rsidP="00C43BA6">
      <w:pPr>
        <w:pStyle w:val="Odstavecseseznamem"/>
        <w:spacing w:before="240" w:line="360" w:lineRule="auto"/>
        <w:ind w:left="0"/>
        <w:rPr>
          <w:rFonts w:cs="Times New Roman"/>
          <w:szCs w:val="24"/>
        </w:rPr>
      </w:pPr>
      <w:r w:rsidRPr="00097178">
        <w:rPr>
          <w:rFonts w:cs="Times New Roman"/>
          <w:szCs w:val="24"/>
        </w:rPr>
        <w:t>Niceská smlouva umožnila Parlamentu zpochybnit rozhodnutí Rady, Komise a také Evropské centrální banky, a to za předpokladu, že došlo k překročení pravomocí dané instituce nebo došlo k porušení Smlouvy. I tato smlouva přinesla další rozšíření působnosti procedury spolurozhodování. Jednou z významnějších změn, které Niceská smlouva zavedla se záměrem posílit pravomoci Parlamentu</w:t>
      </w:r>
      <w:r w:rsidR="002D3505">
        <w:rPr>
          <w:rFonts w:cs="Times New Roman"/>
          <w:szCs w:val="24"/>
        </w:rPr>
        <w:t>,</w:t>
      </w:r>
      <w:r w:rsidRPr="00097178">
        <w:rPr>
          <w:rFonts w:cs="Times New Roman"/>
          <w:szCs w:val="24"/>
        </w:rPr>
        <w:t xml:space="preserve"> byla povinnost Rady žádat Parlament o stanovisko v případě, kdy Rada vydá prohlášení o nebezpečí závažného porušování základních práv v členském státě (</w:t>
      </w:r>
      <w:proofErr w:type="spellStart"/>
      <w:r w:rsidRPr="00097178">
        <w:rPr>
          <w:rFonts w:cs="Times New Roman"/>
          <w:szCs w:val="24"/>
        </w:rPr>
        <w:t>Sokolska</w:t>
      </w:r>
      <w:proofErr w:type="spellEnd"/>
      <w:r w:rsidRPr="00097178">
        <w:rPr>
          <w:rFonts w:cs="Times New Roman"/>
          <w:szCs w:val="24"/>
        </w:rPr>
        <w:t>, 2020).</w:t>
      </w:r>
    </w:p>
    <w:p w14:paraId="22BB4141" w14:textId="0476953C" w:rsidR="00B261C7" w:rsidRDefault="00DE6D3E" w:rsidP="00B261C7">
      <w:pPr>
        <w:spacing w:line="360" w:lineRule="auto"/>
        <w:rPr>
          <w:color w:val="000000"/>
        </w:rPr>
      </w:pPr>
      <w:r>
        <w:rPr>
          <w:szCs w:val="24"/>
        </w:rPr>
        <w:t>V rámci</w:t>
      </w:r>
      <w:r w:rsidRPr="00575EB7">
        <w:rPr>
          <w:szCs w:val="24"/>
        </w:rPr>
        <w:t xml:space="preserve"> Rady se </w:t>
      </w:r>
      <w:r>
        <w:rPr>
          <w:szCs w:val="24"/>
        </w:rPr>
        <w:t>změna týkala</w:t>
      </w:r>
      <w:r w:rsidRPr="00575EB7">
        <w:rPr>
          <w:szCs w:val="24"/>
        </w:rPr>
        <w:t xml:space="preserve"> především způsob</w:t>
      </w:r>
      <w:r>
        <w:rPr>
          <w:szCs w:val="24"/>
        </w:rPr>
        <w:t>u</w:t>
      </w:r>
      <w:r w:rsidRPr="00575EB7">
        <w:rPr>
          <w:szCs w:val="24"/>
        </w:rPr>
        <w:t xml:space="preserve"> vážení hlasů. Tato smlouva zavedla takzvanou trojitou kvalifikovanou většinu, kdy při hlasování musí být splněna tři kritéria. Prvním kritériem je počet států. </w:t>
      </w:r>
      <w:r w:rsidRPr="00575EB7">
        <w:rPr>
          <w:i/>
          <w:iCs/>
          <w:szCs w:val="24"/>
        </w:rPr>
        <w:t>„Nadpoloviční většina u norem, u nichž má (výlučnou) normotvornou iniciativu Evropská komise, dvě třetiny členských států u jiných norem. Kritérium počtu států bylo interpretováno jako ”záruka” pro malé a střední státy EU, které měly po rozšíření t</w:t>
      </w:r>
      <w:r w:rsidR="002D3505">
        <w:rPr>
          <w:i/>
          <w:iCs/>
          <w:szCs w:val="24"/>
        </w:rPr>
        <w:t>vořit výraznou většinu členů EU,</w:t>
      </w:r>
      <w:r w:rsidRPr="00575EB7">
        <w:rPr>
          <w:i/>
          <w:iCs/>
          <w:szCs w:val="24"/>
        </w:rPr>
        <w:t xml:space="preserve"> před ”diktaturou” velkých zemí.“</w:t>
      </w:r>
      <w:r w:rsidRPr="00575EB7">
        <w:rPr>
          <w:szCs w:val="24"/>
        </w:rPr>
        <w:t xml:space="preserve"> (</w:t>
      </w:r>
      <w:proofErr w:type="spellStart"/>
      <w:r w:rsidRPr="00575EB7">
        <w:rPr>
          <w:szCs w:val="24"/>
        </w:rPr>
        <w:t>Šlosarčík</w:t>
      </w:r>
      <w:proofErr w:type="spellEnd"/>
      <w:r w:rsidRPr="00575EB7">
        <w:rPr>
          <w:szCs w:val="24"/>
        </w:rPr>
        <w:t xml:space="preserve">, 2004) Druhým kritériem je počet obyvatel. </w:t>
      </w:r>
      <w:r w:rsidRPr="00575EB7">
        <w:rPr>
          <w:i/>
          <w:iCs/>
          <w:szCs w:val="24"/>
        </w:rPr>
        <w:t>„</w:t>
      </w:r>
      <w:r w:rsidRPr="00575EB7">
        <w:rPr>
          <w:i/>
          <w:iCs/>
          <w:color w:val="000000"/>
        </w:rPr>
        <w:t>Státy hlasující pro návrh musí zastupovat alespoň 62</w:t>
      </w:r>
      <w:r w:rsidR="002D3505">
        <w:rPr>
          <w:i/>
          <w:iCs/>
          <w:color w:val="000000"/>
        </w:rPr>
        <w:t xml:space="preserve"> </w:t>
      </w:r>
      <w:r w:rsidRPr="00575EB7">
        <w:rPr>
          <w:i/>
          <w:iCs/>
          <w:color w:val="000000"/>
        </w:rPr>
        <w:t>% obyvatel EU; kontrola splnění této podmínky ale není vyžadována automaticky, ale pouze na žádost některého ze členských zemí. Kritérium počtu obyvatel je interpretováno jako ”záruka” pro velké členské státy před dominancí početných malých a středních států.“</w:t>
      </w:r>
      <w:r w:rsidRPr="00575EB7">
        <w:rPr>
          <w:color w:val="000000"/>
        </w:rPr>
        <w:t xml:space="preserve"> (</w:t>
      </w:r>
      <w:proofErr w:type="spellStart"/>
      <w:r w:rsidRPr="00575EB7">
        <w:rPr>
          <w:color w:val="000000"/>
        </w:rPr>
        <w:t>Šlosarčík</w:t>
      </w:r>
      <w:proofErr w:type="spellEnd"/>
      <w:r w:rsidRPr="00575EB7">
        <w:rPr>
          <w:color w:val="000000"/>
        </w:rPr>
        <w:t>, 2004) Nakonec musí být splněno kritérium váženého hlasování či váženého hlasování v užším smyslu</w:t>
      </w:r>
      <w:r w:rsidRPr="00575EB7">
        <w:rPr>
          <w:i/>
          <w:iCs/>
          <w:color w:val="000000"/>
        </w:rPr>
        <w:t xml:space="preserve">. „Systém ”váženého hlasování” zajišťuje umírněnou </w:t>
      </w:r>
      <w:proofErr w:type="spellStart"/>
      <w:r w:rsidRPr="00575EB7">
        <w:rPr>
          <w:i/>
          <w:iCs/>
          <w:color w:val="000000"/>
        </w:rPr>
        <w:t>nadproporcionální</w:t>
      </w:r>
      <w:proofErr w:type="spellEnd"/>
      <w:r w:rsidRPr="00575EB7">
        <w:rPr>
          <w:i/>
          <w:iCs/>
          <w:color w:val="000000"/>
        </w:rPr>
        <w:t xml:space="preserve"> hlasovací pozici (</w:t>
      </w:r>
      <w:proofErr w:type="spellStart"/>
      <w:r w:rsidRPr="00575EB7">
        <w:rPr>
          <w:i/>
          <w:iCs/>
          <w:color w:val="000000"/>
        </w:rPr>
        <w:t>nadreprezentaci</w:t>
      </w:r>
      <w:proofErr w:type="spellEnd"/>
      <w:r w:rsidRPr="00575EB7">
        <w:rPr>
          <w:i/>
          <w:iCs/>
          <w:color w:val="000000"/>
        </w:rPr>
        <w:t xml:space="preserve">) některých členských států (bez ohledu na velikost – výrazně </w:t>
      </w:r>
      <w:proofErr w:type="spellStart"/>
      <w:r w:rsidRPr="00575EB7">
        <w:rPr>
          <w:i/>
          <w:iCs/>
          <w:color w:val="000000"/>
        </w:rPr>
        <w:t>nadreprezentovány</w:t>
      </w:r>
      <w:proofErr w:type="spellEnd"/>
      <w:r w:rsidRPr="00575EB7">
        <w:rPr>
          <w:i/>
          <w:iCs/>
          <w:color w:val="000000"/>
        </w:rPr>
        <w:t xml:space="preserve"> jsou např. ve srovnání se SRN či Velkou Británií jak Španělsko, tak i Lucembursko).“</w:t>
      </w:r>
      <w:r w:rsidRPr="00575EB7">
        <w:rPr>
          <w:color w:val="000000"/>
        </w:rPr>
        <w:t xml:space="preserve"> (</w:t>
      </w:r>
      <w:proofErr w:type="spellStart"/>
      <w:r w:rsidRPr="00575EB7">
        <w:rPr>
          <w:color w:val="000000"/>
        </w:rPr>
        <w:t>Šlosarčík</w:t>
      </w:r>
      <w:proofErr w:type="spellEnd"/>
      <w:r w:rsidRPr="00575EB7">
        <w:rPr>
          <w:color w:val="000000"/>
        </w:rPr>
        <w:t xml:space="preserve">, 2004) Postavení Rady bylo v rámci smluv oslabováno ve prospěch posílení pravomocí Parlamentu. </w:t>
      </w:r>
    </w:p>
    <w:p w14:paraId="4CAC86C0" w14:textId="5631D89E" w:rsidR="00DE6D3E" w:rsidRPr="00B261C7" w:rsidRDefault="00B261C7" w:rsidP="00B261C7">
      <w:pPr>
        <w:spacing w:line="259" w:lineRule="auto"/>
        <w:jc w:val="left"/>
        <w:rPr>
          <w:color w:val="000000"/>
        </w:rPr>
      </w:pPr>
      <w:r>
        <w:rPr>
          <w:color w:val="000000"/>
        </w:rPr>
        <w:br w:type="page"/>
      </w:r>
    </w:p>
    <w:p w14:paraId="644848FF" w14:textId="48E2D2D2" w:rsidR="000E0A41" w:rsidRDefault="000E0A41" w:rsidP="005A7923">
      <w:pPr>
        <w:pStyle w:val="Nadpis1"/>
        <w:numPr>
          <w:ilvl w:val="0"/>
          <w:numId w:val="9"/>
        </w:numPr>
        <w:spacing w:line="360" w:lineRule="auto"/>
      </w:pPr>
      <w:bookmarkStart w:id="24" w:name="_Toc70660108"/>
      <w:r>
        <w:lastRenderedPageBreak/>
        <w:t>Změny zavedené Lisabonskou smlouvou</w:t>
      </w:r>
      <w:bookmarkEnd w:id="24"/>
    </w:p>
    <w:p w14:paraId="34E49389" w14:textId="280CBC5B" w:rsidR="000D76B2" w:rsidRDefault="004D35FC" w:rsidP="000D76B2">
      <w:pPr>
        <w:spacing w:line="360" w:lineRule="auto"/>
        <w:ind w:firstLine="426"/>
      </w:pPr>
      <w:r>
        <w:t xml:space="preserve">Lisabonská smlouva </w:t>
      </w:r>
      <w:r w:rsidR="00864FAC">
        <w:t>vznikla po neúspěšném ratifikování Smlouvy o Ústavě pro Evropu</w:t>
      </w:r>
      <w:r w:rsidR="000251DC">
        <w:t xml:space="preserve"> ve Francii a Nizozemsku (Návrh Smlouvy o Ústavě pro Evropu, 2021)</w:t>
      </w:r>
      <w:r w:rsidR="00864FAC">
        <w:t xml:space="preserve">. </w:t>
      </w:r>
      <w:r w:rsidR="000251DC">
        <w:t>Smlouva byla</w:t>
      </w:r>
      <w:r>
        <w:t xml:space="preserve"> přijata v prosinci roku 2007</w:t>
      </w:r>
      <w:r w:rsidR="000251DC">
        <w:t xml:space="preserve"> na základě Berlínské deklarace</w:t>
      </w:r>
      <w:r>
        <w:t>,</w:t>
      </w:r>
      <w:r w:rsidR="001E484B">
        <w:t xml:space="preserve"> která otevřela cestu k mezivládní konferenci, která koncept této smlouvy připravila.</w:t>
      </w:r>
      <w:r>
        <w:t xml:space="preserve">  </w:t>
      </w:r>
      <w:r w:rsidR="001E484B">
        <w:t>V</w:t>
      </w:r>
      <w:r>
        <w:t xml:space="preserve"> platnost vstoupila </w:t>
      </w:r>
      <w:r w:rsidR="001E484B">
        <w:t xml:space="preserve">smlouva </w:t>
      </w:r>
      <w:r>
        <w:t>až na začátku prosince roku 2009</w:t>
      </w:r>
      <w:r w:rsidR="000251DC">
        <w:t xml:space="preserve"> (</w:t>
      </w:r>
      <w:proofErr w:type="spellStart"/>
      <w:r w:rsidR="000251DC">
        <w:t>Pavy</w:t>
      </w:r>
      <w:proofErr w:type="spellEnd"/>
      <w:r w:rsidR="000251DC">
        <w:t>, 2020)</w:t>
      </w:r>
      <w:r>
        <w:t xml:space="preserve">. </w:t>
      </w:r>
      <w:r w:rsidR="002D3505">
        <w:t>Zmíněná</w:t>
      </w:r>
      <w:r>
        <w:t xml:space="preserve"> dvouletá prodleva byl</w:t>
      </w:r>
      <w:r w:rsidR="002D3505">
        <w:t>a</w:t>
      </w:r>
      <w:r>
        <w:t xml:space="preserve"> způsobena problematickým ratifikováním smlouvy v některých členských státech</w:t>
      </w:r>
      <w:r w:rsidR="009826E8">
        <w:t>, největší problém s ratifikací měli</w:t>
      </w:r>
      <w:r>
        <w:t xml:space="preserve"> Česká republika</w:t>
      </w:r>
      <w:r w:rsidR="009826E8">
        <w:t xml:space="preserve"> a</w:t>
      </w:r>
      <w:r>
        <w:t xml:space="preserve"> Irsko.</w:t>
      </w:r>
      <w:r w:rsidR="000566E6">
        <w:t xml:space="preserve"> </w:t>
      </w:r>
      <w:r w:rsidR="00FD4911">
        <w:t>První překážkou v rámci ratifikace smlouvy Českou republikou byl</w:t>
      </w:r>
      <w:r w:rsidR="002A764D">
        <w:t>o podání</w:t>
      </w:r>
      <w:r w:rsidR="00FD4911">
        <w:t xml:space="preserve"> první</w:t>
      </w:r>
      <w:r w:rsidR="002A764D">
        <w:t>ho</w:t>
      </w:r>
      <w:r w:rsidR="00FD4911">
        <w:t xml:space="preserve"> návrh</w:t>
      </w:r>
      <w:r w:rsidR="002A764D">
        <w:t>u</w:t>
      </w:r>
      <w:r w:rsidR="00FD4911">
        <w:t xml:space="preserve"> k Ústavnímu soudu </w:t>
      </w:r>
      <w:r w:rsidR="002A764D">
        <w:t>na posouzení souladu Lisabonské smlouvy s českým ústavním pořádkem z dubna 2008. Ještě v listopadu téhož roku Ústavní soud</w:t>
      </w:r>
      <w:r w:rsidR="002D3505">
        <w:t xml:space="preserve"> rozhodl</w:t>
      </w:r>
      <w:r w:rsidR="002A764D">
        <w:t xml:space="preserve">, že Lisabonská smlouva není v rozporu s Ústavou (Vláda České republiky, 2009).  </w:t>
      </w:r>
      <w:r w:rsidR="000328CA">
        <w:t>V únoru roku 2009 schválila Lisabonskou smlouvu Poslanecká sněmovna, kterou v květnu následoval</w:t>
      </w:r>
      <w:r w:rsidR="009272CC">
        <w:t xml:space="preserve"> také</w:t>
      </w:r>
      <w:r w:rsidR="000328CA">
        <w:t xml:space="preserve"> Senát</w:t>
      </w:r>
      <w:r w:rsidR="009272CC">
        <w:t xml:space="preserve">. Nicméně i přesto se skupina 17 senátorů rozhodla v září 2009 podat druhý návrh na přezkum, zda je </w:t>
      </w:r>
      <w:r w:rsidR="002D3505">
        <w:t>Lisabonská smlouva v souladu s č</w:t>
      </w:r>
      <w:r w:rsidR="009272CC">
        <w:t>eským ústavním pořádkem</w:t>
      </w:r>
      <w:r w:rsidR="0012280E">
        <w:t xml:space="preserve"> (Vláda České republiky, 2009)</w:t>
      </w:r>
      <w:r w:rsidR="009272CC">
        <w:t>. Předtím</w:t>
      </w:r>
      <w:r w:rsidR="002D3505">
        <w:t>,</w:t>
      </w:r>
      <w:r w:rsidR="009272CC">
        <w:t xml:space="preserve"> než Ústavní soud zveřejnil své stanovisko, požadoval tehdejší prezident republiky Václav Klaus výjimku </w:t>
      </w:r>
      <w:r w:rsidR="009272CC" w:rsidRPr="009272CC">
        <w:t>Listiny základních práv EU, která podle něj zaručí</w:t>
      </w:r>
      <w:r w:rsidR="009272CC">
        <w:t xml:space="preserve"> neprolomení Benešových dekretů. </w:t>
      </w:r>
      <w:r w:rsidR="002D3505">
        <w:t>Danému</w:t>
      </w:r>
      <w:r w:rsidR="009272CC">
        <w:t xml:space="preserve"> požadavku ostatní státy vyhověly. Následně Ústavní soud konstatoval, že Lisabonská smlouva není v rozporu s ústavním pořádkem </w:t>
      </w:r>
      <w:r w:rsidR="0012280E">
        <w:t xml:space="preserve">České republiky a doporučil prezidentovi smlouvu neodkladně podepsat. </w:t>
      </w:r>
      <w:r w:rsidR="0012280E" w:rsidRPr="002D3505">
        <w:rPr>
          <w:i/>
        </w:rPr>
        <w:t>„Václav Klaus dokument nečekaně podepsal jen několik hodin poté, co Ústavní soud zamítl stížnost senátorů…“</w:t>
      </w:r>
      <w:r w:rsidR="0012280E">
        <w:t xml:space="preserve"> (</w:t>
      </w:r>
      <w:proofErr w:type="spellStart"/>
      <w:r w:rsidR="0012280E">
        <w:t>Euractiv</w:t>
      </w:r>
      <w:proofErr w:type="spellEnd"/>
      <w:r w:rsidR="0012280E">
        <w:t>, 2009)</w:t>
      </w:r>
      <w:r w:rsidR="00A452E7">
        <w:t xml:space="preserve"> V rámci schvalování Lisabonské smlouvy proběhlo v červnu 2008 první referendum. </w:t>
      </w:r>
      <w:r w:rsidR="00A9491E">
        <w:t xml:space="preserve">V tom </w:t>
      </w:r>
      <w:r w:rsidR="009B77AD">
        <w:t xml:space="preserve">se 53 % občanů Irska vyslovilo proti ratifikování Lisabonské smlouvy. To znamenalo pro Evropskou unii problém, protože </w:t>
      </w:r>
      <w:r w:rsidR="009B77AD" w:rsidRPr="000D76B2">
        <w:rPr>
          <w:i/>
          <w:iCs/>
        </w:rPr>
        <w:t>„v souladu s článkem 48 Lisabonské smlouvy, bez ohledu na to</w:t>
      </w:r>
      <w:r w:rsidR="000D76B2" w:rsidRPr="000D76B2">
        <w:rPr>
          <w:i/>
          <w:iCs/>
        </w:rPr>
        <w:t>,</w:t>
      </w:r>
      <w:r w:rsidR="009B77AD" w:rsidRPr="000D76B2">
        <w:rPr>
          <w:i/>
          <w:iCs/>
        </w:rPr>
        <w:t xml:space="preserve"> kolik členských států skutečně ratifikovalo </w:t>
      </w:r>
      <w:r w:rsidR="000D76B2" w:rsidRPr="000D76B2">
        <w:rPr>
          <w:i/>
          <w:iCs/>
        </w:rPr>
        <w:t xml:space="preserve">Lisabonskou </w:t>
      </w:r>
      <w:r w:rsidR="009B77AD" w:rsidRPr="000D76B2">
        <w:rPr>
          <w:i/>
          <w:iCs/>
        </w:rPr>
        <w:t>smlouvu, ne</w:t>
      </w:r>
      <w:r w:rsidR="000D76B2" w:rsidRPr="000D76B2">
        <w:rPr>
          <w:i/>
          <w:iCs/>
        </w:rPr>
        <w:t>může tato smlouva vstoupit v platnost, pokud mezi členskými státy nepanuje jednomyslnost.“</w:t>
      </w:r>
      <w:r w:rsidR="000D76B2">
        <w:t xml:space="preserve"> (</w:t>
      </w:r>
      <w:proofErr w:type="spellStart"/>
      <w:r w:rsidR="000D76B2">
        <w:t>Curtin</w:t>
      </w:r>
      <w:proofErr w:type="spellEnd"/>
      <w:r w:rsidR="000D76B2">
        <w:t>, 2009) Závěry Evropské rady z prosince 2008 jasně stanovil</w:t>
      </w:r>
      <w:r w:rsidR="002D3505">
        <w:t>y, že „irský problém“ vyžaduje e</w:t>
      </w:r>
      <w:r w:rsidR="000D76B2">
        <w:t xml:space="preserve">vropské řešení.  </w:t>
      </w:r>
      <w:r w:rsidR="00A43FA2">
        <w:t>Irská vláda byla ochotna referendum opakovat pouze v případě záruk</w:t>
      </w:r>
      <w:r w:rsidR="00C234B0">
        <w:rPr>
          <w:rStyle w:val="Znakapoznpodarou"/>
        </w:rPr>
        <w:footnoteReference w:id="4"/>
      </w:r>
      <w:r w:rsidR="00A43FA2">
        <w:t>, které měly zaručit vlastního komisaře, neutralitu Irska, daňovou autonomii a nezpochybňování irské ústavy</w:t>
      </w:r>
      <w:r w:rsidR="000E3BAF">
        <w:t>.</w:t>
      </w:r>
      <w:r w:rsidR="00A43FA2">
        <w:t xml:space="preserve"> </w:t>
      </w:r>
      <w:r w:rsidR="002D3505">
        <w:t>Zmíněné</w:t>
      </w:r>
      <w:r w:rsidR="000E3BAF">
        <w:t xml:space="preserve"> </w:t>
      </w:r>
      <w:r w:rsidR="000E3BAF">
        <w:lastRenderedPageBreak/>
        <w:t>záruky byly schváleny Evropskou radou v červnu 2009 formou mezivládní dohody. Ve druhém referendu, které se konalo 2. října, schválili občané Irska Lisabonskou smlouvou poměrem 67,1 % ku 32,9 % (</w:t>
      </w:r>
      <w:proofErr w:type="spellStart"/>
      <w:r w:rsidR="000E3BAF">
        <w:t>Zenkner</w:t>
      </w:r>
      <w:proofErr w:type="spellEnd"/>
      <w:r w:rsidR="000E3BAF">
        <w:t>, 2021).</w:t>
      </w:r>
      <w:r w:rsidR="00172721">
        <w:t xml:space="preserve"> </w:t>
      </w:r>
    </w:p>
    <w:p w14:paraId="528D3B0F" w14:textId="77F9A5C8" w:rsidR="00172721" w:rsidRPr="00026893" w:rsidRDefault="002D3505" w:rsidP="000D76B2">
      <w:pPr>
        <w:spacing w:line="360" w:lineRule="auto"/>
        <w:ind w:firstLine="426"/>
      </w:pPr>
      <w:r>
        <w:t>Kromě reforem</w:t>
      </w:r>
      <w:r w:rsidR="00172721">
        <w:t>, které jsou předmětem výzkumu v</w:t>
      </w:r>
      <w:r w:rsidR="00026893">
        <w:t> následujících kapitolách</w:t>
      </w:r>
      <w:r>
        <w:t>,</w:t>
      </w:r>
      <w:r w:rsidR="00026893">
        <w:t xml:space="preserve"> zavádí Lisabonská smlouva právní subjektivitu Evropské unie. </w:t>
      </w:r>
      <w:r w:rsidR="00026893" w:rsidRPr="00026893">
        <w:rPr>
          <w:i/>
          <w:iCs/>
        </w:rPr>
        <w:t>„Unie tak získává možnost podepisovat mezinárodní smlouvy v oblastech spadajících do jejích pravomocí a stát se členem mezinárodních organizací. Členské státy smějí podepisovat pouze mezinárodní smlouvy, které jsou slučitelné s právními předpisy EU.“</w:t>
      </w:r>
      <w:r w:rsidR="00026893">
        <w:t xml:space="preserve"> (</w:t>
      </w:r>
      <w:proofErr w:type="spellStart"/>
      <w:r w:rsidR="00026893">
        <w:t>Pavy</w:t>
      </w:r>
      <w:proofErr w:type="spellEnd"/>
      <w:r w:rsidR="00026893">
        <w:t>, 2020) Dále jako první dokument určuje formální postup v případě, že by se některý z členských států rozhodl v souladu se svými ústavními požadavky vystoupit z Evropské unie (</w:t>
      </w:r>
      <w:proofErr w:type="spellStart"/>
      <w:r w:rsidR="00026893">
        <w:t>Pavy</w:t>
      </w:r>
      <w:proofErr w:type="spellEnd"/>
      <w:r w:rsidR="00026893">
        <w:t xml:space="preserve">, 2020). </w:t>
      </w:r>
      <w:r w:rsidR="006A1629">
        <w:t xml:space="preserve">Lisabonská smlouva také zavedla rozdělení pravomocí na výlučné, </w:t>
      </w:r>
      <w:r w:rsidR="00FB1401">
        <w:t>sdílené a podpůrné. V oblastech s</w:t>
      </w:r>
      <w:r w:rsidR="00F53C6A">
        <w:t> </w:t>
      </w:r>
      <w:r w:rsidR="00FB1401">
        <w:t>výluč</w:t>
      </w:r>
      <w:r w:rsidR="00F53C6A">
        <w:t xml:space="preserve">nými </w:t>
      </w:r>
      <w:r w:rsidR="00FB1401">
        <w:t>pravo</w:t>
      </w:r>
      <w:r w:rsidR="00F53C6A">
        <w:t>mocemi má Evropská unie právo sama vydávat právní předpisy a členské státy je pouze provádějí. V případě sdílených pravomocí mohou členské státy přijímat právně závazné akty, pokud tak již neučinila Evropská unie. V rámci podpůrných pravomocí přijímá Evropská unie opatření s cílem podpořit nebo doplnit politiku členských států (</w:t>
      </w:r>
      <w:proofErr w:type="spellStart"/>
      <w:r w:rsidR="00F53C6A">
        <w:t>Pavy</w:t>
      </w:r>
      <w:proofErr w:type="spellEnd"/>
      <w:r w:rsidR="00F53C6A">
        <w:t xml:space="preserve">, 2020).  </w:t>
      </w:r>
      <w:r w:rsidR="000B4967">
        <w:t>Určitou reformu prodělal také soud první instance, který Lisabonská smlouva přejmenovala na takzvaný Tribunál.</w:t>
      </w:r>
      <w:r w:rsidR="008E2AAD">
        <w:t xml:space="preserve"> Na základě Lisabonské smlouvy se také proměnilo postavení Vysokého představitele Unie pro zahraniční věci a bezpečnostní politiku. V současné době stojí vysoký představitel v čele Evropské služby pro veřejnou činnost, předsedá Radě pro zahraniční věci a je místopředsedou Komise pro vnější vztahy (</w:t>
      </w:r>
      <w:proofErr w:type="spellStart"/>
      <w:r w:rsidR="008E2AAD">
        <w:t>Euroskop</w:t>
      </w:r>
      <w:proofErr w:type="spellEnd"/>
      <w:r w:rsidR="008E2AAD">
        <w:t xml:space="preserve">, 2018). </w:t>
      </w:r>
      <w:r w:rsidR="008E2AAD" w:rsidRPr="008E2AAD">
        <w:rPr>
          <w:i/>
          <w:iCs/>
        </w:rPr>
        <w:t>„</w:t>
      </w:r>
      <w:r w:rsidR="008E2AAD" w:rsidRPr="008E2AAD">
        <w:rPr>
          <w:i/>
          <w:iCs/>
        </w:rPr>
        <w:t>Z pozice Vysokého představitele Unie pro zahraniční a bezpečnostní politiku, tak jak je nastavena v Lisabonské smlouvě, vyplývá, že je spíše jakýmsi moderátorem mezi institucemi a členskými státy a mediátorem dohodnutých východisek v rámci jednání institucí a členských států, které pak obhajuje při jednáních o bezpečnostních a zahraničně-politických otázkách.</w:t>
      </w:r>
      <w:r w:rsidR="008E2AAD" w:rsidRPr="008E2AAD">
        <w:rPr>
          <w:i/>
          <w:iCs/>
        </w:rPr>
        <w:t>“</w:t>
      </w:r>
      <w:r w:rsidR="008E2AAD">
        <w:t xml:space="preserve"> (</w:t>
      </w:r>
      <w:proofErr w:type="spellStart"/>
      <w:r w:rsidR="008E2AAD">
        <w:t>Euroskop</w:t>
      </w:r>
      <w:proofErr w:type="spellEnd"/>
      <w:r w:rsidR="008E2AAD">
        <w:t>, 2018)</w:t>
      </w:r>
    </w:p>
    <w:p w14:paraId="021A4D2C" w14:textId="2C720D5B" w:rsidR="005A7923" w:rsidRDefault="005A7923" w:rsidP="00C55678">
      <w:pPr>
        <w:pStyle w:val="Nadpis1"/>
        <w:numPr>
          <w:ilvl w:val="1"/>
          <w:numId w:val="9"/>
        </w:numPr>
        <w:spacing w:line="360" w:lineRule="auto"/>
      </w:pPr>
      <w:bookmarkStart w:id="25" w:name="_Toc70660109"/>
      <w:r w:rsidRPr="005A7923">
        <w:t>Mechanismus barevných karet</w:t>
      </w:r>
      <w:bookmarkEnd w:id="25"/>
      <w:r w:rsidRPr="005A7923">
        <w:t xml:space="preserve"> </w:t>
      </w:r>
    </w:p>
    <w:p w14:paraId="2DA3602E" w14:textId="3E486863" w:rsidR="005A7923" w:rsidRDefault="0011633B" w:rsidP="00C55678">
      <w:pPr>
        <w:spacing w:line="360" w:lineRule="auto"/>
        <w:ind w:firstLine="432"/>
      </w:pPr>
      <w:r>
        <w:t>Daný</w:t>
      </w:r>
      <w:r w:rsidR="003C3AAA">
        <w:t xml:space="preserve"> mechanismus slouží pro kontrolu principu subsidiarity</w:t>
      </w:r>
      <w:r w:rsidR="00C234B0">
        <w:rPr>
          <w:rStyle w:val="Znakapoznpodarou"/>
        </w:rPr>
        <w:footnoteReference w:id="5"/>
      </w:r>
      <w:r w:rsidR="003C3AAA">
        <w:t xml:space="preserve"> v oblastech se sdílenými pravomocemi. </w:t>
      </w:r>
      <w:r w:rsidR="003540E7">
        <w:t xml:space="preserve">Pokud se národní parlamenty domnívají, že je návrh </w:t>
      </w:r>
      <w:r w:rsidR="003540E7">
        <w:lastRenderedPageBreak/>
        <w:t>přijímaného zákona v rozporu s principem subsidiarity, m</w:t>
      </w:r>
      <w:r>
        <w:t>ohou v osmi</w:t>
      </w:r>
      <w:r w:rsidR="003540E7">
        <w:t xml:space="preserve">týdenní lhůtě zaslat Komisi odůvodněné stanovisko. To, </w:t>
      </w:r>
      <w:r w:rsidR="004B7CE9">
        <w:t xml:space="preserve">zda a jakým způsobem ovlivní legislativní proces, je závislé na množství států, které se rozhodnou zaslat toto odůvodněné stanovisko a také na množství hlasů, které zastupují. </w:t>
      </w:r>
      <w:r w:rsidR="003C3AAA">
        <w:t xml:space="preserve">Každý stát má k dispozici celkem dva hlasy, pokud je parlament dvoukomorový, každá komora disponuje jedním hlasem </w:t>
      </w:r>
      <w:r w:rsidR="0042059C">
        <w:t>(Evropská unie, 2021).</w:t>
      </w:r>
    </w:p>
    <w:p w14:paraId="48BDE48E" w14:textId="1D83C1C3" w:rsidR="004B7CE9" w:rsidRDefault="001033A2" w:rsidP="003540E7">
      <w:pPr>
        <w:spacing w:line="360" w:lineRule="auto"/>
      </w:pPr>
      <w:r>
        <w:t>V případě, kdy odůvodněná stanoviska představují alespoň jednu třetinu všech hlasů, je Komise nucena svůj návrh přezkoumat s ohledem na jednotlivá stanoviska národních parlamentů. Po přezkoumání má Komise tři možnosti</w:t>
      </w:r>
      <w:r w:rsidR="000F6296">
        <w:t xml:space="preserve"> – ponechat, změnit nebo stáhnout návrh. Pokud se jedná o legislativní návrh týkající se bezpečnosti, spravedlnosti </w:t>
      </w:r>
      <w:r w:rsidR="007B2672">
        <w:t>anebo</w:t>
      </w:r>
      <w:r w:rsidR="000F6296">
        <w:t xml:space="preserve"> svobody, je hranice nutných hlasů </w:t>
      </w:r>
      <w:r w:rsidR="007B2672">
        <w:t xml:space="preserve">snížena na jednu čtvrtinu. I v tomto případě má Komise možnost návrh ponechat, změnit nebo stáhnout. </w:t>
      </w:r>
      <w:r w:rsidR="0011633B">
        <w:t>Zmíněný</w:t>
      </w:r>
      <w:r w:rsidR="007B2672">
        <w:t xml:space="preserve"> mechanismus se nazývá </w:t>
      </w:r>
      <w:r w:rsidR="007B2672" w:rsidRPr="0004437A">
        <w:rPr>
          <w:i/>
          <w:iCs/>
        </w:rPr>
        <w:t>„žlutá karta“</w:t>
      </w:r>
      <w:r w:rsidR="0042059C">
        <w:t xml:space="preserve"> (Evropská </w:t>
      </w:r>
      <w:r w:rsidR="0004437A">
        <w:t>komise</w:t>
      </w:r>
      <w:r w:rsidR="0042059C">
        <w:t>, 2021).</w:t>
      </w:r>
    </w:p>
    <w:p w14:paraId="1E7CAEFA" w14:textId="1FA7DB53" w:rsidR="001B20A7" w:rsidRDefault="007B2672" w:rsidP="001B20A7">
      <w:pPr>
        <w:spacing w:line="360" w:lineRule="auto"/>
      </w:pPr>
      <w:r>
        <w:t>V případě, kdy se jedná o legislativní návrh, na který se vztahuje řádný legislativní postup a odůvodněná stanoviska představují většinu hlasů, musí Komise svůj návrh přezkoumat. I v této situaci může Komise návrh ponechat, změnit nebo stáhnout.</w:t>
      </w:r>
      <w:r w:rsidR="0048321E">
        <w:t xml:space="preserve"> Ovšem rozdílem je, že pokud se Komise rozhodne pro ponechání zákona, musí své rozhodnutí odůvodnit Evropskému parlamentu a také Radě. Pokud se prostá většina parlamentu nebo </w:t>
      </w:r>
      <w:r w:rsidR="0042059C">
        <w:t>55 %</w:t>
      </w:r>
      <w:r w:rsidR="0048321E">
        <w:t xml:space="preserve"> </w:t>
      </w:r>
      <w:r w:rsidR="0042059C">
        <w:t xml:space="preserve">členů Rady shodne, že návrh narušuje princip subsidiarity, je tento návrh stažen a dále se již o něm nediskutuje. Tento mechanismus se nazývá </w:t>
      </w:r>
      <w:r w:rsidR="0042059C" w:rsidRPr="0004437A">
        <w:rPr>
          <w:i/>
          <w:iCs/>
        </w:rPr>
        <w:t>„oranžová karta“</w:t>
      </w:r>
      <w:r w:rsidR="0042059C">
        <w:t xml:space="preserve"> (Evropská </w:t>
      </w:r>
      <w:r w:rsidR="0004437A">
        <w:t>komise</w:t>
      </w:r>
      <w:r w:rsidR="0042059C">
        <w:t>, 2021).</w:t>
      </w:r>
    </w:p>
    <w:p w14:paraId="0595D3C0" w14:textId="22A57D89" w:rsidR="005F72D5" w:rsidRDefault="0000742D" w:rsidP="001B20A7">
      <w:pPr>
        <w:spacing w:line="360" w:lineRule="auto"/>
      </w:pPr>
      <w:r>
        <w:t>Lisabonský protokol odmítl myšlenku mechanismu „červené karty“</w:t>
      </w:r>
      <w:r w:rsidR="001C3D9C">
        <w:t xml:space="preserve">, tedy možnosti vetovat legislativní návrh. </w:t>
      </w:r>
      <w:r w:rsidR="009C0DBD">
        <w:t xml:space="preserve"> </w:t>
      </w:r>
      <w:r>
        <w:t xml:space="preserve">Někteří se domnívají, že </w:t>
      </w:r>
      <w:r w:rsidR="009C0DBD">
        <w:t xml:space="preserve">odmítnutí tohoto </w:t>
      </w:r>
      <w:r w:rsidR="009C0DBD" w:rsidRPr="0011633B">
        <w:rPr>
          <w:i/>
        </w:rPr>
        <w:t xml:space="preserve">„hard </w:t>
      </w:r>
      <w:proofErr w:type="spellStart"/>
      <w:r w:rsidR="009C0DBD" w:rsidRPr="0011633B">
        <w:rPr>
          <w:i/>
        </w:rPr>
        <w:t>procedural</w:t>
      </w:r>
      <w:proofErr w:type="spellEnd"/>
      <w:r w:rsidR="009C0DBD" w:rsidRPr="0011633B">
        <w:rPr>
          <w:i/>
        </w:rPr>
        <w:t xml:space="preserve"> </w:t>
      </w:r>
      <w:proofErr w:type="spellStart"/>
      <w:r w:rsidR="009C0DBD" w:rsidRPr="0011633B">
        <w:rPr>
          <w:i/>
        </w:rPr>
        <w:t>solution</w:t>
      </w:r>
      <w:proofErr w:type="spellEnd"/>
      <w:r w:rsidR="009C0DBD" w:rsidRPr="0011633B">
        <w:rPr>
          <w:i/>
        </w:rPr>
        <w:t>“</w:t>
      </w:r>
      <w:r w:rsidR="0011633B">
        <w:t xml:space="preserve"> je politování</w:t>
      </w:r>
      <w:r w:rsidR="009C0DBD">
        <w:t>hodné, jel</w:t>
      </w:r>
      <w:r w:rsidR="0011633B">
        <w:t>ikož zvolené procedurální záruky</w:t>
      </w:r>
      <w:r w:rsidR="009C0DBD">
        <w:t xml:space="preserve"> poskytují jen malou kontrolu nad zákonodárným orgánem Unie (Schütze, 2009). Ovšem ostatní přijaly fakt, že představený me</w:t>
      </w:r>
      <w:r w:rsidR="001C3D9C">
        <w:t xml:space="preserve">chanismus ponechává politické rozhodnutí v konečné fázi na evropském zákonodárci. Dát národním parlamentům možnost „červené karty“ by znamenalo </w:t>
      </w:r>
      <w:r w:rsidR="001C3D9C" w:rsidRPr="001C3D9C">
        <w:rPr>
          <w:i/>
          <w:iCs/>
        </w:rPr>
        <w:t>„ohrozit ústavně chráněnou nezávislost Komise“</w:t>
      </w:r>
      <w:r w:rsidR="001C3D9C">
        <w:t xml:space="preserve"> (Schütze, 2009)</w:t>
      </w:r>
      <w:r w:rsidR="0011633B">
        <w:t>.</w:t>
      </w:r>
      <w:r w:rsidR="000A4F71">
        <w:t xml:space="preserve"> </w:t>
      </w:r>
    </w:p>
    <w:p w14:paraId="5E1F43E4" w14:textId="0912BAAF" w:rsidR="000A4F71" w:rsidRPr="000A4F71" w:rsidRDefault="000A4F71" w:rsidP="001B20A7">
      <w:pPr>
        <w:spacing w:line="360" w:lineRule="auto"/>
      </w:pPr>
      <w:r>
        <w:lastRenderedPageBreak/>
        <w:t xml:space="preserve">Jak tvrdí </w:t>
      </w:r>
      <w:proofErr w:type="spellStart"/>
      <w:r>
        <w:t>Rafaello</w:t>
      </w:r>
      <w:proofErr w:type="spellEnd"/>
      <w:r>
        <w:t xml:space="preserve"> </w:t>
      </w:r>
      <w:proofErr w:type="spellStart"/>
      <w:r>
        <w:t>Matarazzo</w:t>
      </w:r>
      <w:proofErr w:type="spellEnd"/>
      <w:r>
        <w:t xml:space="preserve"> ve své práci </w:t>
      </w:r>
      <w:r w:rsidRPr="000A4F71">
        <w:rPr>
          <w:i/>
          <w:iCs/>
        </w:rPr>
        <w:t>„</w:t>
      </w:r>
      <w:proofErr w:type="spellStart"/>
      <w:r w:rsidRPr="000A4F71">
        <w:rPr>
          <w:i/>
          <w:iCs/>
        </w:rPr>
        <w:t>Democracy</w:t>
      </w:r>
      <w:proofErr w:type="spellEnd"/>
      <w:r w:rsidRPr="000A4F71">
        <w:rPr>
          <w:i/>
          <w:iCs/>
        </w:rPr>
        <w:t xml:space="preserve"> in EU </w:t>
      </w:r>
      <w:proofErr w:type="spellStart"/>
      <w:r w:rsidRPr="000A4F71">
        <w:rPr>
          <w:i/>
          <w:iCs/>
        </w:rPr>
        <w:t>after</w:t>
      </w:r>
      <w:proofErr w:type="spellEnd"/>
      <w:r w:rsidRPr="000A4F71">
        <w:rPr>
          <w:i/>
          <w:iCs/>
        </w:rPr>
        <w:t xml:space="preserve"> </w:t>
      </w:r>
      <w:proofErr w:type="spellStart"/>
      <w:r w:rsidRPr="000A4F71">
        <w:rPr>
          <w:i/>
          <w:iCs/>
        </w:rPr>
        <w:t>the</w:t>
      </w:r>
      <w:proofErr w:type="spellEnd"/>
      <w:r w:rsidRPr="000A4F71">
        <w:rPr>
          <w:i/>
          <w:iCs/>
        </w:rPr>
        <w:t xml:space="preserve"> </w:t>
      </w:r>
      <w:proofErr w:type="spellStart"/>
      <w:r w:rsidRPr="000A4F71">
        <w:rPr>
          <w:i/>
          <w:iCs/>
        </w:rPr>
        <w:t>Lisbon</w:t>
      </w:r>
      <w:proofErr w:type="spellEnd"/>
      <w:r w:rsidRPr="000A4F71">
        <w:rPr>
          <w:i/>
          <w:iCs/>
        </w:rPr>
        <w:t xml:space="preserve"> </w:t>
      </w:r>
      <w:proofErr w:type="spellStart"/>
      <w:r w:rsidRPr="000A4F71">
        <w:rPr>
          <w:i/>
          <w:iCs/>
        </w:rPr>
        <w:t>Treaty</w:t>
      </w:r>
      <w:proofErr w:type="spellEnd"/>
      <w:r w:rsidRPr="000A4F71">
        <w:rPr>
          <w:i/>
          <w:iCs/>
        </w:rPr>
        <w:t>“</w:t>
      </w:r>
      <w:r w:rsidR="0011633B">
        <w:rPr>
          <w:iCs/>
        </w:rPr>
        <w:t>,</w:t>
      </w:r>
      <w:r>
        <w:t xml:space="preserve"> hlavním důvodem zapojení národních parlamentů do rozhodování Evropské unie je aktivně přispívat k </w:t>
      </w:r>
      <w:r w:rsidR="0059691D" w:rsidRPr="0059691D">
        <w:rPr>
          <w:i/>
          <w:iCs/>
        </w:rPr>
        <w:t>„</w:t>
      </w:r>
      <w:r w:rsidRPr="0059691D">
        <w:rPr>
          <w:i/>
          <w:iCs/>
        </w:rPr>
        <w:t>dobrému fungování</w:t>
      </w:r>
      <w:r w:rsidR="0059691D">
        <w:rPr>
          <w:i/>
          <w:iCs/>
        </w:rPr>
        <w:t>“</w:t>
      </w:r>
      <w:r w:rsidRPr="0059691D">
        <w:rPr>
          <w:i/>
          <w:iCs/>
        </w:rPr>
        <w:t xml:space="preserve"> </w:t>
      </w:r>
      <w:r w:rsidRPr="004A6048">
        <w:t>Unie.</w:t>
      </w:r>
      <w:r>
        <w:t xml:space="preserve"> </w:t>
      </w:r>
      <w:r w:rsidR="0059691D">
        <w:t>Zavedený mechanismus barevných karet tak alespoň formálně znamená zvýšení transparentnosti a l</w:t>
      </w:r>
      <w:r w:rsidR="0011633B">
        <w:t>egitimity EU. Nicméně přispívání</w:t>
      </w:r>
      <w:r w:rsidR="0059691D">
        <w:t xml:space="preserve"> národních parlamentů k </w:t>
      </w:r>
      <w:r w:rsidR="0059691D" w:rsidRPr="004A6048">
        <w:rPr>
          <w:i/>
          <w:iCs/>
        </w:rPr>
        <w:t>„dobrému fungování</w:t>
      </w:r>
      <w:r w:rsidR="004A6048" w:rsidRPr="004A6048">
        <w:rPr>
          <w:i/>
          <w:iCs/>
        </w:rPr>
        <w:t>“</w:t>
      </w:r>
      <w:r w:rsidR="0059691D">
        <w:t xml:space="preserve"> Unie nelze </w:t>
      </w:r>
      <w:r w:rsidR="004A6048">
        <w:t xml:space="preserve">omezit pouze na mechanismy </w:t>
      </w:r>
      <w:r w:rsidR="004A6048" w:rsidRPr="004A6048">
        <w:rPr>
          <w:i/>
          <w:iCs/>
        </w:rPr>
        <w:t>„žluté“</w:t>
      </w:r>
      <w:r w:rsidR="004A6048">
        <w:t xml:space="preserve"> a „</w:t>
      </w:r>
      <w:r w:rsidR="004A6048" w:rsidRPr="004A6048">
        <w:rPr>
          <w:i/>
          <w:iCs/>
        </w:rPr>
        <w:t>oranžové“</w:t>
      </w:r>
      <w:r w:rsidR="004A6048">
        <w:t xml:space="preserve"> karty (</w:t>
      </w:r>
      <w:proofErr w:type="spellStart"/>
      <w:r w:rsidR="004A6048">
        <w:t>Matarazzo</w:t>
      </w:r>
      <w:proofErr w:type="spellEnd"/>
      <w:r w:rsidR="004A6048">
        <w:t>, 2011).</w:t>
      </w:r>
    </w:p>
    <w:p w14:paraId="47E2642A" w14:textId="5DD4750C" w:rsidR="007A3A1C" w:rsidRDefault="007A3A1C" w:rsidP="001B20A7">
      <w:pPr>
        <w:spacing w:line="360" w:lineRule="auto"/>
      </w:pPr>
      <w:r>
        <w:t xml:space="preserve">Přesto, že se jedná o poměrně </w:t>
      </w:r>
      <w:r w:rsidR="002356E9">
        <w:t xml:space="preserve">propracovaný mechanismus, který měl posílit postavení členských států a umožnit jejich větší zapojení do legislativního procesu, byl mechanismus </w:t>
      </w:r>
      <w:r w:rsidR="002356E9" w:rsidRPr="0004437A">
        <w:rPr>
          <w:i/>
          <w:iCs/>
        </w:rPr>
        <w:t>„žluté karty“</w:t>
      </w:r>
      <w:r w:rsidR="0011633B">
        <w:t xml:space="preserve"> využit od přijetí L</w:t>
      </w:r>
      <w:r w:rsidR="002356E9">
        <w:t>isabonské smlouvy pouze třikrát. Poprvé byl</w:t>
      </w:r>
      <w:r w:rsidR="00316CCA">
        <w:t xml:space="preserve">a </w:t>
      </w:r>
      <w:r w:rsidR="00316CCA" w:rsidRPr="0011633B">
        <w:rPr>
          <w:i/>
        </w:rPr>
        <w:t>„žlutá karta“</w:t>
      </w:r>
      <w:r w:rsidR="00316CCA">
        <w:t xml:space="preserve"> aplikovaná v roce 2012 při projednávání návrhu nařízení o výkonu </w:t>
      </w:r>
      <w:r w:rsidR="00C637BA">
        <w:t>práva na kolektivní akci. Při přezkumu návrhu dospěla Komise k názoru, že k žádnému porušení zásady subsidiarity nedošlo. Ovšem s přihlédnutím na odůvodněná stanoviska a nedostatek politické podpory nakonec Komise svůj návrh stáhla. Podruhé byl tento mechanismus využit v roce 2013, kdy byl projednáván návrh nařízení Komise o zřízení Úřadu evropského veřejného žalobce</w:t>
      </w:r>
      <w:r w:rsidR="00E64956">
        <w:t xml:space="preserve">. Po přezkoumání se Komise rozhodla svůj návrh ponechat. Nařízení o vzniku </w:t>
      </w:r>
      <w:r w:rsidR="00294C4F">
        <w:t>Úřadu evropského veřejného žalobce vstoupilo v platnost v roce 2017. Jedná se o nezávislý orgán Unie</w:t>
      </w:r>
      <w:r w:rsidR="006B6BF1">
        <w:t xml:space="preserve"> pro vyšetřování </w:t>
      </w:r>
      <w:r w:rsidR="0045712E">
        <w:t xml:space="preserve">mezistátních podvodů a </w:t>
      </w:r>
      <w:r w:rsidR="006B6BF1">
        <w:t>podvodů týkajících se evropských fondů</w:t>
      </w:r>
      <w:r w:rsidR="0045712E">
        <w:t xml:space="preserve">. Naposled byla </w:t>
      </w:r>
      <w:r w:rsidR="0045712E" w:rsidRPr="0004437A">
        <w:rPr>
          <w:i/>
          <w:iCs/>
        </w:rPr>
        <w:t>„žlutá karta“</w:t>
      </w:r>
      <w:r w:rsidR="0045712E">
        <w:t xml:space="preserve"> využita roku 2016</w:t>
      </w:r>
      <w:r w:rsidR="00022954">
        <w:t xml:space="preserve">, kdy členské státy vyjádřily svůj nesouhlas s návrhem přezkoumání směrnice o vysílání pracovníků z roku 1996. I v tomto případě se Komise po přezkoumání rozhodla svůj návrh zachovat. </w:t>
      </w:r>
      <w:r w:rsidR="00DA137C">
        <w:t xml:space="preserve">Mechanismus </w:t>
      </w:r>
      <w:r w:rsidR="00DA137C" w:rsidRPr="0011633B">
        <w:rPr>
          <w:i/>
        </w:rPr>
        <w:t>„oranžové karty“</w:t>
      </w:r>
      <w:r w:rsidR="00DA137C">
        <w:t xml:space="preserve"> nebyl dosud od vstupu Lisabonské smlouvy v platnost využit</w:t>
      </w:r>
      <w:r w:rsidR="0004437A">
        <w:t xml:space="preserve"> (Evropská komise, 2021).</w:t>
      </w:r>
    </w:p>
    <w:p w14:paraId="0A17330F" w14:textId="5D8E6411" w:rsidR="00336216" w:rsidRPr="007F4ED2" w:rsidRDefault="0011633B" w:rsidP="007F4ED2">
      <w:pPr>
        <w:spacing w:line="360" w:lineRule="auto"/>
      </w:pPr>
      <w:r>
        <w:t>Nicméně m</w:t>
      </w:r>
      <w:r w:rsidR="007F4ED2">
        <w:t xml:space="preserve">echanismus </w:t>
      </w:r>
      <w:r w:rsidR="007F4ED2" w:rsidRPr="0011633B">
        <w:rPr>
          <w:i/>
        </w:rPr>
        <w:t>„červené karty“</w:t>
      </w:r>
      <w:r>
        <w:t xml:space="preserve"> Lisabonská smlouva zavedla </w:t>
      </w:r>
      <w:r w:rsidR="007F4ED2">
        <w:t>v rámci přenosu pravomocí na úroveň Evropské unie</w:t>
      </w:r>
      <w:r>
        <w:t>,</w:t>
      </w:r>
      <w:r w:rsidR="007F4ED2">
        <w:t xml:space="preserve"> s tím souvisí takzvaná přechodová klauzule a zvláštní přechodová klauzule. </w:t>
      </w:r>
      <w:r w:rsidR="007F4ED2" w:rsidRPr="007F4ED2">
        <w:rPr>
          <w:i/>
          <w:iCs/>
        </w:rPr>
        <w:t>„Uvedená ustanovení umožňují, aby Evropská rada se souhlasem Evropského parlamentu rozhodla jednomyslně, že v určité oblasti nebo v určitém případě, kde rozhoduje Rada jednomyslně, bude Rada napříště rozhodovat kvalifikovanou většinou nebo že v určité oblasti, kde jsou legislativní akty přijímány zvláštním legislativním postupem, bude napříště platit pro přijímání těchto aktů řádný legislativní postup.“</w:t>
      </w:r>
      <w:r w:rsidR="007F4ED2">
        <w:t xml:space="preserve"> (</w:t>
      </w:r>
      <w:proofErr w:type="spellStart"/>
      <w:r w:rsidR="007F4ED2">
        <w:t>Krutílek</w:t>
      </w:r>
      <w:proofErr w:type="spellEnd"/>
      <w:r w:rsidR="007F4ED2">
        <w:t>, 2021) Národní parlamenty musí být o těchto změnách informovány minimálně šest měsíců před</w:t>
      </w:r>
      <w:r>
        <w:t xml:space="preserve"> </w:t>
      </w:r>
      <w:r>
        <w:lastRenderedPageBreak/>
        <w:t>přijetím rozhodnutí. Kterýkoli</w:t>
      </w:r>
      <w:r w:rsidR="007F4ED2">
        <w:t xml:space="preserve"> členský stát má právo toto rozhodnutí vetovat</w:t>
      </w:r>
      <w:r w:rsidR="00D00ADF">
        <w:t xml:space="preserve"> – </w:t>
      </w:r>
      <w:r w:rsidR="00D00ADF" w:rsidRPr="00D00ADF">
        <w:rPr>
          <w:i/>
          <w:iCs/>
        </w:rPr>
        <w:t>„červená karta“</w:t>
      </w:r>
      <w:r w:rsidR="00D00ADF">
        <w:t xml:space="preserve"> (</w:t>
      </w:r>
      <w:proofErr w:type="spellStart"/>
      <w:r w:rsidR="00D00ADF">
        <w:t>Krutílek</w:t>
      </w:r>
      <w:proofErr w:type="spellEnd"/>
      <w:r w:rsidR="00D00ADF">
        <w:t>, 2021).</w:t>
      </w:r>
    </w:p>
    <w:p w14:paraId="3856F9BB" w14:textId="5BB5A55D" w:rsidR="000E7FC8" w:rsidRPr="000E7FC8" w:rsidRDefault="001B20A7" w:rsidP="00FD2432">
      <w:pPr>
        <w:pStyle w:val="Nadpis1"/>
        <w:numPr>
          <w:ilvl w:val="1"/>
          <w:numId w:val="9"/>
        </w:numPr>
        <w:spacing w:after="240" w:line="360" w:lineRule="auto"/>
      </w:pPr>
      <w:bookmarkStart w:id="26" w:name="_Toc70660110"/>
      <w:r w:rsidRPr="001B20A7">
        <w:t>Roční legislativní program</w:t>
      </w:r>
      <w:bookmarkEnd w:id="26"/>
    </w:p>
    <w:p w14:paraId="3D5D70D0" w14:textId="13FAEDA3" w:rsidR="00DC7E41" w:rsidRDefault="00DC7E41" w:rsidP="000E7FC8">
      <w:pPr>
        <w:spacing w:line="360" w:lineRule="auto"/>
        <w:ind w:firstLine="432"/>
      </w:pPr>
      <w:r>
        <w:t xml:space="preserve">Právo legislativního podnětu vždy náleželo především Komisi. Ale již s Maastrichtskou smlouvou získal Evropský parlament možnost legislativního podnětu, a to prostřednictvím žádosti Komise o předložení návrhu. Nicméně k zásadnějšímu rozšíření pravomocí Parlamentu došlo až s Lisabonskou smlouvou. </w:t>
      </w:r>
      <w:r w:rsidR="004021EA">
        <w:t>(</w:t>
      </w:r>
      <w:r w:rsidR="00C23A9F">
        <w:t>Evropský parlament</w:t>
      </w:r>
      <w:r w:rsidR="004021EA">
        <w:t>, 2021)</w:t>
      </w:r>
    </w:p>
    <w:p w14:paraId="75A47B81" w14:textId="23C5AFD7" w:rsidR="004021EA" w:rsidRDefault="004021EA" w:rsidP="004021EA">
      <w:pPr>
        <w:spacing w:line="360" w:lineRule="auto"/>
      </w:pPr>
      <w:r>
        <w:t xml:space="preserve">Lisabonská smlouva </w:t>
      </w:r>
      <w:r w:rsidR="001F1268">
        <w:t>ukládá Komisi povinnost vypracovat roční a víceletý legislativní program činnosti Unie</w:t>
      </w:r>
      <w:r w:rsidR="00373BBA">
        <w:t xml:space="preserve"> s cílem dosáhnout interinstitucionálních dohod</w:t>
      </w:r>
      <w:r w:rsidR="001F1268">
        <w:t xml:space="preserve">. Komise a Evropský parlament spolupracují při vytváření </w:t>
      </w:r>
      <w:r w:rsidR="007D2CF2">
        <w:t>zmíněného</w:t>
      </w:r>
      <w:r w:rsidR="001F1268">
        <w:t xml:space="preserve"> pracovní</w:t>
      </w:r>
      <w:r w:rsidR="007D2CF2">
        <w:t>ho</w:t>
      </w:r>
      <w:r w:rsidR="001F1268">
        <w:t xml:space="preserve"> programu, přičemž Komise v této přípravné fázi zohledň</w:t>
      </w:r>
      <w:r w:rsidR="007D2CF2">
        <w:t>uje zájmy Evropského parlamentu</w:t>
      </w:r>
      <w:r w:rsidR="001F1268">
        <w:t xml:space="preserve"> tak</w:t>
      </w:r>
      <w:r w:rsidR="007D2CF2">
        <w:t>,</w:t>
      </w:r>
      <w:r w:rsidR="001F1268">
        <w:t xml:space="preserve"> aby oba orgány došly k vzájemnému konsensu. </w:t>
      </w:r>
      <w:r w:rsidR="00373BBA">
        <w:t>V okamžiku, kdy Komise návrh programu přijme, dochází k zahájení třístranných jednání mezi Komisí, Evropským parlamentem a Radou. Komise předkládá návrh jednacího plánu včetně časového harmonogramu. V rámci těchto třístranných jednání přijímá Evropský parlament usnesení,</w:t>
      </w:r>
      <w:r w:rsidR="00C73287">
        <w:t xml:space="preserve"> Rada následně zaujímá stanovisko k ročnímu pracovnímu programu Komise a k usnesení Parlamentu</w:t>
      </w:r>
      <w:r w:rsidR="00C23A9F">
        <w:t xml:space="preserve"> (Evropský parlament, 2021)</w:t>
      </w:r>
      <w:r w:rsidR="00C73287">
        <w:t>.</w:t>
      </w:r>
      <w:r w:rsidR="00C23A9F">
        <w:t xml:space="preserve"> </w:t>
      </w:r>
    </w:p>
    <w:p w14:paraId="1E5487DF" w14:textId="4BE2F3DF" w:rsidR="00C73287" w:rsidRDefault="00C73287" w:rsidP="004021EA">
      <w:pPr>
        <w:spacing w:line="360" w:lineRule="auto"/>
      </w:pPr>
      <w:r>
        <w:t>Tento roční pracovní program je důležitý právě vzhledem k posílení pravomocí Evropského parlamentu</w:t>
      </w:r>
      <w:r w:rsidR="00CC2FD0">
        <w:t xml:space="preserve">, v rámci legislativního procesu. Evropská Unie byla často kritizována </w:t>
      </w:r>
      <w:r w:rsidR="007D2CF2">
        <w:t>kvůli</w:t>
      </w:r>
      <w:r w:rsidR="00CC2FD0">
        <w:t xml:space="preserve"> Komisi, </w:t>
      </w:r>
      <w:r w:rsidR="007D2CF2">
        <w:t>která zaujímala</w:t>
      </w:r>
      <w:r w:rsidR="00CC2FD0">
        <w:t xml:space="preserve"> hlavního iniciátora legislativních podnětů. Zapojením Parlamentu do procesu vytvář</w:t>
      </w:r>
      <w:r w:rsidR="007D2CF2">
        <w:t>ení ročního pracovního programu</w:t>
      </w:r>
      <w:r w:rsidR="00CC2FD0">
        <w:t xml:space="preserve"> bylo tak alespoň z části zajištěno zastoupení zájmů občanů, vzhledem k povaze tohoto orgánu</w:t>
      </w:r>
      <w:r w:rsidR="00E330C8">
        <w:t xml:space="preserve"> (</w:t>
      </w:r>
      <w:r w:rsidR="00C23A9F">
        <w:t>Evropský parlament</w:t>
      </w:r>
      <w:r w:rsidR="00E330C8">
        <w:t>, 2021).</w:t>
      </w:r>
    </w:p>
    <w:p w14:paraId="4699BCB6" w14:textId="302B4163" w:rsidR="00387EF9" w:rsidRDefault="00387EF9" w:rsidP="004021EA">
      <w:pPr>
        <w:spacing w:line="360" w:lineRule="auto"/>
      </w:pPr>
      <w:r>
        <w:t xml:space="preserve">Lisabonská smlouva zavedla ještě jednu významnou změnu v rámci ročního legislativního programu. Komise po vypracování a přijetí daného plánu je povinna jej doručit nejen Evropskému parlamentu a Radě, ale také národním parlamentům. Toto nařízení se netýká pouze ročního legislativního programu, ale všech </w:t>
      </w:r>
      <w:r w:rsidRPr="00387EF9">
        <w:t>nástroj</w:t>
      </w:r>
      <w:r>
        <w:t>ů</w:t>
      </w:r>
      <w:r w:rsidRPr="00387EF9">
        <w:t xml:space="preserve"> legislativního plánování nebo politiky pro národní parlamenty</w:t>
      </w:r>
      <w:r w:rsidR="000F5F07">
        <w:t xml:space="preserve">. </w:t>
      </w:r>
      <w:r w:rsidR="00CC12EB">
        <w:t xml:space="preserve">Lisabonská smlouva </w:t>
      </w:r>
      <w:r w:rsidR="00CC12EB" w:rsidRPr="00CC12EB">
        <w:rPr>
          <w:i/>
          <w:iCs/>
        </w:rPr>
        <w:t xml:space="preserve">„stanovuje postupy, kterými se bude Komise řídit při zasílání legislativních i nelegislativních návrhů národním parlamentům, stejně jako dalším legislativním </w:t>
      </w:r>
      <w:r w:rsidR="00CC12EB" w:rsidRPr="00CC12EB">
        <w:rPr>
          <w:i/>
          <w:iCs/>
        </w:rPr>
        <w:lastRenderedPageBreak/>
        <w:t>aktérům. Smlouva rovněž stanovuje osmitýdenní lhůtu pro případnou reakci ze strany národních parlamentů předtím, než legislativní proces započne.“</w:t>
      </w:r>
      <w:r w:rsidR="00CC12EB">
        <w:t xml:space="preserve"> (</w:t>
      </w:r>
      <w:proofErr w:type="spellStart"/>
      <w:r w:rsidR="00CC12EB">
        <w:t>Matarazzo</w:t>
      </w:r>
      <w:proofErr w:type="spellEnd"/>
      <w:r w:rsidR="00CC12EB">
        <w:t xml:space="preserve">, 2011) </w:t>
      </w:r>
      <w:r w:rsidR="00CC12EB" w:rsidRPr="00CC12EB">
        <w:rPr>
          <w:i/>
          <w:iCs/>
        </w:rPr>
        <w:t xml:space="preserve">„Lisabonská smlouva tedy nově zmiňuje závazek Komise zasílat návrhy legislativních aktů a komunikačních dokumentů přímo vnitrostátním parlamentům. Komise však praxi přímé komunikace s vnitrostátními parlamenty začala rozvíjet ještě před přijetím Lisabonské smlouvy, a to na základě tzv. </w:t>
      </w:r>
      <w:proofErr w:type="spellStart"/>
      <w:r w:rsidR="00CC12EB" w:rsidRPr="00CC12EB">
        <w:rPr>
          <w:i/>
          <w:iCs/>
        </w:rPr>
        <w:t>Barrosovy</w:t>
      </w:r>
      <w:proofErr w:type="spellEnd"/>
      <w:r w:rsidR="00CC12EB" w:rsidRPr="00CC12EB">
        <w:rPr>
          <w:i/>
          <w:iCs/>
        </w:rPr>
        <w:t xml:space="preserve"> iniciativy, od 1. září 2006. Vnitrostátním parlamentům se tak rozšiřují možnosti vyjádřit své připomínky k legislativním návrhům ještě před jejich definitivním schválením v Radě EU</w:t>
      </w:r>
      <w:r w:rsidR="007D2CF2">
        <w:rPr>
          <w:i/>
          <w:iCs/>
        </w:rPr>
        <w:t>.</w:t>
      </w:r>
      <w:r w:rsidR="00CC12EB" w:rsidRPr="00CC12EB">
        <w:rPr>
          <w:i/>
          <w:iCs/>
        </w:rPr>
        <w:t>“</w:t>
      </w:r>
      <w:r w:rsidR="00CC12EB" w:rsidRPr="00CC12EB">
        <w:t xml:space="preserve"> </w:t>
      </w:r>
      <w:r w:rsidR="000F5F07">
        <w:t xml:space="preserve">(Senát parlamentu České republiky, 2021) </w:t>
      </w:r>
    </w:p>
    <w:p w14:paraId="6DF5456D" w14:textId="62FF6942" w:rsidR="00DC7E41" w:rsidRDefault="00C73287" w:rsidP="00FD2432">
      <w:pPr>
        <w:pStyle w:val="Nadpis1"/>
        <w:numPr>
          <w:ilvl w:val="1"/>
          <w:numId w:val="9"/>
        </w:numPr>
        <w:spacing w:after="240" w:line="360" w:lineRule="auto"/>
      </w:pPr>
      <w:bookmarkStart w:id="27" w:name="_Toc70660111"/>
      <w:r>
        <w:t>Posílení pravomocí Evropského parlamentu v rámci spolurozhodování s Radou ministrů</w:t>
      </w:r>
      <w:bookmarkEnd w:id="27"/>
    </w:p>
    <w:p w14:paraId="14652266" w14:textId="7D19870F" w:rsidR="00132F90" w:rsidRDefault="00A43F73" w:rsidP="00CE639B">
      <w:pPr>
        <w:spacing w:line="360" w:lineRule="auto"/>
        <w:ind w:firstLine="567"/>
      </w:pPr>
      <w:r>
        <w:t xml:space="preserve">V rámci Lisabonské smlouvy došlo k proměně </w:t>
      </w:r>
      <w:r w:rsidR="00901E53">
        <w:t>procedury spolurozhodován</w:t>
      </w:r>
      <w:r w:rsidR="000A020F">
        <w:t>í</w:t>
      </w:r>
      <w:r w:rsidR="00901E53">
        <w:t>, kterou Parlament disponoval od přijetí Maastrichtské smlouvy. Lisabonská smlouva tuto proceduru přejmenovala na takzvaný řádný legislativní postup, mimo to došlo také k rozšíření počtu oblastí</w:t>
      </w:r>
      <w:r w:rsidR="0074728B">
        <w:t>, ve kterých má Parlament pr</w:t>
      </w:r>
      <w:r w:rsidR="007D2CF2">
        <w:t>ávo rozhodovat společně s Radou.</w:t>
      </w:r>
      <w:r w:rsidR="0074728B">
        <w:t xml:space="preserve"> </w:t>
      </w:r>
      <w:r w:rsidR="007D2CF2">
        <w:t>Zmíněné sféry jsou</w:t>
      </w:r>
      <w:r w:rsidR="0074728B">
        <w:t xml:space="preserve"> například </w:t>
      </w:r>
      <w:r w:rsidR="00E57AE5" w:rsidRPr="00E57AE5">
        <w:t>v</w:t>
      </w:r>
      <w:r w:rsidR="007D2CF2">
        <w:t>e</w:t>
      </w:r>
      <w:r w:rsidR="00E57AE5" w:rsidRPr="00E57AE5">
        <w:t xml:space="preserve"> správě ekonomických záležitostí, přistěhovalectví, energeti</w:t>
      </w:r>
      <w:r w:rsidR="007D2CF2">
        <w:t>ce, dopravě, životním prostředí a</w:t>
      </w:r>
      <w:r w:rsidR="00E57AE5" w:rsidRPr="00E57AE5">
        <w:t xml:space="preserve"> ochraně spotřebitelů </w:t>
      </w:r>
      <w:r w:rsidR="00C23A9F">
        <w:t>(Evropský parlament, 2021).</w:t>
      </w:r>
    </w:p>
    <w:p w14:paraId="200D18F4" w14:textId="5CD0CBAC" w:rsidR="00E363AA" w:rsidRPr="00E363AA" w:rsidRDefault="00E363AA" w:rsidP="00E363AA">
      <w:pPr>
        <w:spacing w:line="360" w:lineRule="auto"/>
      </w:pPr>
      <w:r>
        <w:t xml:space="preserve">Jak ve své práci </w:t>
      </w:r>
      <w:proofErr w:type="spellStart"/>
      <w:r>
        <w:t>Wim</w:t>
      </w:r>
      <w:proofErr w:type="spellEnd"/>
      <w:r>
        <w:t xml:space="preserve"> J. M. </w:t>
      </w:r>
      <w:proofErr w:type="spellStart"/>
      <w:r>
        <w:t>Woermans</w:t>
      </w:r>
      <w:proofErr w:type="spellEnd"/>
      <w:r>
        <w:t xml:space="preserve"> ve svém článku </w:t>
      </w:r>
      <w:r w:rsidRPr="00E363AA">
        <w:rPr>
          <w:i/>
          <w:iCs/>
        </w:rPr>
        <w:t>„</w:t>
      </w:r>
      <w:proofErr w:type="spellStart"/>
      <w:r w:rsidRPr="00E363AA">
        <w:rPr>
          <w:i/>
          <w:iCs/>
        </w:rPr>
        <w:t>The</w:t>
      </w:r>
      <w:proofErr w:type="spellEnd"/>
      <w:r w:rsidRPr="00E363AA">
        <w:rPr>
          <w:i/>
          <w:iCs/>
        </w:rPr>
        <w:t xml:space="preserve"> </w:t>
      </w:r>
      <w:proofErr w:type="spellStart"/>
      <w:r w:rsidRPr="00E363AA">
        <w:rPr>
          <w:i/>
          <w:iCs/>
        </w:rPr>
        <w:t>Birth</w:t>
      </w:r>
      <w:proofErr w:type="spellEnd"/>
      <w:r w:rsidRPr="00E363AA">
        <w:rPr>
          <w:i/>
          <w:iCs/>
        </w:rPr>
        <w:t xml:space="preserve"> </w:t>
      </w:r>
      <w:proofErr w:type="spellStart"/>
      <w:r w:rsidRPr="00E363AA">
        <w:rPr>
          <w:i/>
          <w:iCs/>
        </w:rPr>
        <w:t>of</w:t>
      </w:r>
      <w:proofErr w:type="spellEnd"/>
      <w:r w:rsidRPr="00E363AA">
        <w:rPr>
          <w:i/>
          <w:iCs/>
        </w:rPr>
        <w:t xml:space="preserve"> </w:t>
      </w:r>
      <w:proofErr w:type="spellStart"/>
      <w:r w:rsidRPr="00E363AA">
        <w:rPr>
          <w:i/>
          <w:iCs/>
        </w:rPr>
        <w:t>Legislature</w:t>
      </w:r>
      <w:proofErr w:type="spellEnd"/>
      <w:r w:rsidRPr="00E363AA">
        <w:rPr>
          <w:i/>
          <w:iCs/>
        </w:rPr>
        <w:t xml:space="preserve">: </w:t>
      </w:r>
      <w:proofErr w:type="spellStart"/>
      <w:r w:rsidRPr="00E363AA">
        <w:rPr>
          <w:i/>
          <w:iCs/>
        </w:rPr>
        <w:t>The</w:t>
      </w:r>
      <w:proofErr w:type="spellEnd"/>
      <w:r w:rsidRPr="00E363AA">
        <w:rPr>
          <w:i/>
          <w:iCs/>
        </w:rPr>
        <w:t xml:space="preserve"> EU </w:t>
      </w:r>
      <w:proofErr w:type="spellStart"/>
      <w:r w:rsidRPr="00E363AA">
        <w:rPr>
          <w:i/>
          <w:iCs/>
        </w:rPr>
        <w:t>Parliament</w:t>
      </w:r>
      <w:proofErr w:type="spellEnd"/>
      <w:r w:rsidRPr="00E363AA">
        <w:rPr>
          <w:i/>
          <w:iCs/>
        </w:rPr>
        <w:t xml:space="preserve"> </w:t>
      </w:r>
      <w:proofErr w:type="spellStart"/>
      <w:r w:rsidRPr="00E363AA">
        <w:rPr>
          <w:i/>
          <w:iCs/>
        </w:rPr>
        <w:t>After</w:t>
      </w:r>
      <w:proofErr w:type="spellEnd"/>
      <w:r w:rsidRPr="00E363AA">
        <w:rPr>
          <w:i/>
          <w:iCs/>
        </w:rPr>
        <w:t xml:space="preserve"> </w:t>
      </w:r>
      <w:proofErr w:type="spellStart"/>
      <w:r w:rsidRPr="00E363AA">
        <w:rPr>
          <w:i/>
          <w:iCs/>
        </w:rPr>
        <w:t>the</w:t>
      </w:r>
      <w:proofErr w:type="spellEnd"/>
      <w:r w:rsidRPr="00E363AA">
        <w:rPr>
          <w:i/>
          <w:iCs/>
        </w:rPr>
        <w:t xml:space="preserve"> </w:t>
      </w:r>
      <w:proofErr w:type="spellStart"/>
      <w:r w:rsidRPr="00E363AA">
        <w:rPr>
          <w:i/>
          <w:iCs/>
        </w:rPr>
        <w:t>Lisbon</w:t>
      </w:r>
      <w:proofErr w:type="spellEnd"/>
      <w:r w:rsidRPr="00E363AA">
        <w:rPr>
          <w:i/>
          <w:iCs/>
        </w:rPr>
        <w:t xml:space="preserve"> </w:t>
      </w:r>
      <w:proofErr w:type="spellStart"/>
      <w:r w:rsidRPr="00E363AA">
        <w:rPr>
          <w:i/>
          <w:iCs/>
        </w:rPr>
        <w:t>Treaty</w:t>
      </w:r>
      <w:proofErr w:type="spellEnd"/>
      <w:r w:rsidRPr="00E363AA">
        <w:rPr>
          <w:i/>
          <w:iCs/>
        </w:rPr>
        <w:t>“</w:t>
      </w:r>
      <w:r>
        <w:t xml:space="preserve"> uvádí, jedná se v zásadě </w:t>
      </w:r>
      <w:r w:rsidR="00223C42">
        <w:t>o dřívější proceduru spolurozhodování (</w:t>
      </w:r>
      <w:proofErr w:type="spellStart"/>
      <w:r w:rsidR="00223C42">
        <w:t>Woermans</w:t>
      </w:r>
      <w:proofErr w:type="spellEnd"/>
      <w:r w:rsidR="00223C42">
        <w:t xml:space="preserve">, 2011). Tento řádný legislativní postup začíná legislativním návrhem Komise. </w:t>
      </w:r>
      <w:r w:rsidR="00C861AA">
        <w:t>Ta postupuje návrh Parlamentu a Radě k prvnímu čtení</w:t>
      </w:r>
      <w:r w:rsidR="007D2CF2">
        <w:t>. V</w:t>
      </w:r>
      <w:r w:rsidR="00C861AA">
        <w:t> </w:t>
      </w:r>
      <w:r w:rsidR="007D2CF2">
        <w:t>dané</w:t>
      </w:r>
      <w:r w:rsidR="00C861AA">
        <w:t xml:space="preserve"> fázi může jak Parlament, tak i Rada zamítnout tento návrh nebo navrhnout změny. V případě, že Rada shledá navrhnuté změny Parlamentu podobné těm svým, může se rozhodnout zaujmout společný postoj a text předložit k druhému čtení. Během </w:t>
      </w:r>
      <w:r w:rsidR="00B70672">
        <w:t>zmíněného</w:t>
      </w:r>
      <w:r w:rsidR="00C861AA">
        <w:t xml:space="preserve"> čtení může Parlament návrh opět zamítnout nebo pozměnit. Pokud během tohoto čtení nedosáhnou kompromisu a zároveň nejsou ochotny celý návrh zamítnout, </w:t>
      </w:r>
      <w:r w:rsidR="00D216B4">
        <w:t>je svolán tzv. dohodovací výbor</w:t>
      </w:r>
      <w:r w:rsidR="00C861AA">
        <w:t xml:space="preserve"> </w:t>
      </w:r>
      <w:r w:rsidR="0033495C">
        <w:t>(</w:t>
      </w:r>
      <w:proofErr w:type="spellStart"/>
      <w:r w:rsidR="0033495C">
        <w:t>Woermans</w:t>
      </w:r>
      <w:proofErr w:type="spellEnd"/>
      <w:r w:rsidR="0033495C">
        <w:t xml:space="preserve">, 2011). </w:t>
      </w:r>
      <w:r w:rsidR="00C861AA">
        <w:t xml:space="preserve">Zde se zástupci Rady a Parlamentu </w:t>
      </w:r>
      <w:r w:rsidR="00B70672">
        <w:t>snaží dosáhnout kompromisu.</w:t>
      </w:r>
      <w:r w:rsidR="00D216B4">
        <w:t xml:space="preserve"> </w:t>
      </w:r>
      <w:r w:rsidR="0033495C" w:rsidRPr="0033495C">
        <w:rPr>
          <w:i/>
          <w:iCs/>
        </w:rPr>
        <w:t>„Komise se účastní jednání dohodovacího výboru a vyvíjí veškerou činnost potřebnou ke sblížení postojů Evropského parlamentu a Rady.“</w:t>
      </w:r>
      <w:r w:rsidR="0033495C">
        <w:rPr>
          <w:i/>
          <w:iCs/>
        </w:rPr>
        <w:t xml:space="preserve"> </w:t>
      </w:r>
      <w:r w:rsidR="0033495C">
        <w:t>(Úřední věštník Evropské unie, 2016)</w:t>
      </w:r>
      <w:r w:rsidR="00D216B4">
        <w:t xml:space="preserve">. Poté </w:t>
      </w:r>
      <w:r w:rsidR="00D216B4">
        <w:lastRenderedPageBreak/>
        <w:t>je návrh opět předložen Radě a Parlamentu, v této fázi je možné pouze návrh přijmout</w:t>
      </w:r>
      <w:r w:rsidR="00B70672">
        <w:t>,</w:t>
      </w:r>
      <w:r w:rsidR="00D216B4">
        <w:t xml:space="preserve"> anebo zamítnout (</w:t>
      </w:r>
      <w:proofErr w:type="spellStart"/>
      <w:r w:rsidR="00D216B4">
        <w:t>Woermans</w:t>
      </w:r>
      <w:proofErr w:type="spellEnd"/>
      <w:r w:rsidR="00D216B4">
        <w:t>, 2011).</w:t>
      </w:r>
    </w:p>
    <w:p w14:paraId="7B75FEFC" w14:textId="306902FD" w:rsidR="00A43F73" w:rsidRDefault="00132F90" w:rsidP="00132F90">
      <w:pPr>
        <w:spacing w:line="360" w:lineRule="auto"/>
      </w:pPr>
      <w:r>
        <w:t>Další změnou, která posílila pravomoci Parlamentu</w:t>
      </w:r>
      <w:r w:rsidR="00B70672">
        <w:t>,</w:t>
      </w:r>
      <w:r>
        <w:t xml:space="preserve"> bylo zrušení rozdělení na povinné a nepovinné výdaje. Jak již bylo výše zmíněno, v </w:t>
      </w:r>
      <w:proofErr w:type="spellStart"/>
      <w:r w:rsidR="00B70672">
        <w:t>před</w:t>
      </w:r>
      <w:r w:rsidR="00914CDF">
        <w:t>lisabonském</w:t>
      </w:r>
      <w:proofErr w:type="spellEnd"/>
      <w:r w:rsidR="00B70672">
        <w:t xml:space="preserve"> období rozhodoval P</w:t>
      </w:r>
      <w:r>
        <w:t xml:space="preserve">arlament pouze o nepovinných výdajích, které nebyly závazně předepsány v evropském právu. Díky tomu, že došlo ke zrušení </w:t>
      </w:r>
      <w:r w:rsidR="00B70672">
        <w:t>zmíněného</w:t>
      </w:r>
      <w:r>
        <w:t xml:space="preserve"> rozdělení,</w:t>
      </w:r>
      <w:r w:rsidR="00F7768B">
        <w:t xml:space="preserve"> je nyní při schvalování rozpočtu zapotřebí souhlas Parlamentu. Tento souhlas tak staví pravomoci Parlamentu na stejnou úroveň pravomocí Rady v oblasti finančních prostředků (</w:t>
      </w:r>
      <w:r w:rsidR="00C23A9F">
        <w:t>Evropský parlament</w:t>
      </w:r>
      <w:r w:rsidR="00F7768B">
        <w:t>, 2021).</w:t>
      </w:r>
    </w:p>
    <w:p w14:paraId="4859A3A1" w14:textId="0BD527CC" w:rsidR="00E827FB" w:rsidRPr="00A43F73" w:rsidRDefault="00E827FB" w:rsidP="00132F90">
      <w:pPr>
        <w:spacing w:line="360" w:lineRule="auto"/>
      </w:pPr>
      <w:r>
        <w:t xml:space="preserve">Jak ale tvrdí britsko-italský politolog Giacomo </w:t>
      </w:r>
      <w:proofErr w:type="spellStart"/>
      <w:r>
        <w:t>Benedetto</w:t>
      </w:r>
      <w:proofErr w:type="spellEnd"/>
      <w:r>
        <w:t xml:space="preserve"> své práci </w:t>
      </w:r>
      <w:r w:rsidRPr="00E827FB">
        <w:rPr>
          <w:i/>
          <w:iCs/>
        </w:rPr>
        <w:t>„</w:t>
      </w:r>
      <w:proofErr w:type="spellStart"/>
      <w:r w:rsidRPr="00E827FB">
        <w:rPr>
          <w:i/>
          <w:iCs/>
        </w:rPr>
        <w:t>The</w:t>
      </w:r>
      <w:proofErr w:type="spellEnd"/>
      <w:r w:rsidRPr="00E827FB">
        <w:rPr>
          <w:i/>
          <w:iCs/>
        </w:rPr>
        <w:t xml:space="preserve"> EU budget </w:t>
      </w:r>
      <w:proofErr w:type="spellStart"/>
      <w:r w:rsidRPr="00E827FB">
        <w:rPr>
          <w:i/>
          <w:iCs/>
        </w:rPr>
        <w:t>after</w:t>
      </w:r>
      <w:proofErr w:type="spellEnd"/>
      <w:r w:rsidRPr="00E827FB">
        <w:rPr>
          <w:i/>
          <w:iCs/>
        </w:rPr>
        <w:t xml:space="preserve"> </w:t>
      </w:r>
      <w:proofErr w:type="spellStart"/>
      <w:r w:rsidRPr="00E827FB">
        <w:rPr>
          <w:i/>
          <w:iCs/>
        </w:rPr>
        <w:t>Lisbon</w:t>
      </w:r>
      <w:proofErr w:type="spellEnd"/>
      <w:r w:rsidRPr="00E827FB">
        <w:rPr>
          <w:i/>
          <w:iCs/>
        </w:rPr>
        <w:t xml:space="preserve">: Rigidity and </w:t>
      </w:r>
      <w:proofErr w:type="spellStart"/>
      <w:r w:rsidRPr="00E827FB">
        <w:rPr>
          <w:i/>
          <w:iCs/>
        </w:rPr>
        <w:t>reduced</w:t>
      </w:r>
      <w:proofErr w:type="spellEnd"/>
      <w:r w:rsidRPr="00E827FB">
        <w:rPr>
          <w:i/>
          <w:iCs/>
        </w:rPr>
        <w:t xml:space="preserve"> </w:t>
      </w:r>
      <w:proofErr w:type="spellStart"/>
      <w:r w:rsidRPr="00E827FB">
        <w:rPr>
          <w:i/>
          <w:iCs/>
        </w:rPr>
        <w:t>spending</w:t>
      </w:r>
      <w:proofErr w:type="spellEnd"/>
      <w:r w:rsidRPr="00E827FB">
        <w:rPr>
          <w:i/>
          <w:iCs/>
        </w:rPr>
        <w:t>?“</w:t>
      </w:r>
      <w:r>
        <w:t xml:space="preserve">, </w:t>
      </w:r>
      <w:r w:rsidR="00F95E1B">
        <w:t>tento nový typ schvalování rozpočtu EU může fungovat jen za předpokladu, že ani jedna instituce nemá vyjednávací výhodu. Nicméně nová pravidla rozpočtového procesu staví Radu do lepší vyjednávací pozice, jelikož nový postup umožňuje pouze jedno čtení v Evropském parlamentu a extrémně krátké lhůty pro uzavření dohody (</w:t>
      </w:r>
      <w:proofErr w:type="spellStart"/>
      <w:r w:rsidR="00F95E1B">
        <w:t>Benedetto</w:t>
      </w:r>
      <w:proofErr w:type="spellEnd"/>
      <w:r w:rsidR="00F95E1B">
        <w:t xml:space="preserve">, 2013). </w:t>
      </w:r>
      <w:r w:rsidR="00614489">
        <w:t>Autor v závěru svého výzkumu dochází k</w:t>
      </w:r>
      <w:r w:rsidR="00B70672">
        <w:t>e</w:t>
      </w:r>
      <w:r w:rsidR="00614489">
        <w:t> zjištění, že větší zákonodárné pravomoci, které Parlament získal Lisabonskou smlouvou</w:t>
      </w:r>
      <w:r w:rsidR="00B70672">
        <w:t>,</w:t>
      </w:r>
      <w:r w:rsidR="00614489">
        <w:t xml:space="preserve"> doprovází snížení v jeho rozpočtových pravomocích. Toto zjištění je tak v rozporu s obecným názorem, že Evropský parlament získal díky Lisabonské smlouvě rovnocenné pravomoci v rozpočtové oblasti (</w:t>
      </w:r>
      <w:proofErr w:type="spellStart"/>
      <w:r w:rsidR="00614489">
        <w:t>Benedetto</w:t>
      </w:r>
      <w:proofErr w:type="spellEnd"/>
      <w:r w:rsidR="00614489">
        <w:t>, 2013).</w:t>
      </w:r>
    </w:p>
    <w:p w14:paraId="2FD5538D" w14:textId="5542DE78" w:rsidR="00C73287" w:rsidRPr="00773C1D" w:rsidRDefault="00773C1D" w:rsidP="00914CDF">
      <w:pPr>
        <w:spacing w:line="360" w:lineRule="auto"/>
      </w:pPr>
      <w:r>
        <w:t xml:space="preserve">Lisabonskou smlouvou také získal Parlament jednu z nejvýznamnějších pravomocí vůbec. </w:t>
      </w:r>
      <w:r w:rsidRPr="00773C1D">
        <w:rPr>
          <w:i/>
          <w:iCs/>
        </w:rPr>
        <w:t>„Poslanci EP získali právo zamítnout mezinárodní dohody, kterého neváhali využít k pozastavení kontroverzní obchodní dohody proti padělání (ACTA) s ohledem na četné obavy, že by tato dohoda mohla omezit základní svobody. Tato skutečnost prokázala, že v návaznosti na posílení pravomocí mají rozhodnutí přijatá poslanci EP ještě větší vliv na každodenní život Evropanů.“</w:t>
      </w:r>
      <w:r>
        <w:t xml:space="preserve"> (</w:t>
      </w:r>
      <w:r w:rsidR="00E57AE5">
        <w:t>Evropský parlament, 2021</w:t>
      </w:r>
      <w:r>
        <w:t>)</w:t>
      </w:r>
    </w:p>
    <w:p w14:paraId="68E934A0" w14:textId="0F7B2685" w:rsidR="00142FD7" w:rsidRPr="00142FD7" w:rsidRDefault="00142FD7" w:rsidP="00FD2432">
      <w:pPr>
        <w:pStyle w:val="Nadpis1"/>
        <w:numPr>
          <w:ilvl w:val="1"/>
          <w:numId w:val="9"/>
        </w:numPr>
        <w:spacing w:after="240" w:line="360" w:lineRule="auto"/>
        <w:rPr>
          <w:sz w:val="24"/>
          <w:szCs w:val="22"/>
        </w:rPr>
      </w:pPr>
      <w:bookmarkStart w:id="28" w:name="_Toc70660112"/>
      <w:proofErr w:type="spellStart"/>
      <w:r>
        <w:t>Spitzenkandidaten</w:t>
      </w:r>
      <w:proofErr w:type="spellEnd"/>
      <w:r>
        <w:t xml:space="preserve"> proces</w:t>
      </w:r>
      <w:bookmarkEnd w:id="28"/>
    </w:p>
    <w:p w14:paraId="51343731" w14:textId="4F693454" w:rsidR="00142FD7" w:rsidRDefault="00142FD7" w:rsidP="00316CCA">
      <w:pPr>
        <w:spacing w:line="360" w:lineRule="auto"/>
        <w:ind w:firstLine="432"/>
      </w:pPr>
      <w:r>
        <w:t xml:space="preserve">Tento proces </w:t>
      </w:r>
      <w:r w:rsidR="0028625B">
        <w:t>byl poprvé využit v roce 2014, nicméně právě změna v primárním právu, zavedená Lisabonskou</w:t>
      </w:r>
      <w:r w:rsidR="001A63EB">
        <w:t xml:space="preserve"> </w:t>
      </w:r>
      <w:r w:rsidR="008F7E0A">
        <w:t>smlouvou</w:t>
      </w:r>
      <w:r w:rsidR="00B70672">
        <w:t>,</w:t>
      </w:r>
      <w:r w:rsidR="008F7E0A">
        <w:t xml:space="preserve"> </w:t>
      </w:r>
      <w:r w:rsidR="001A63EB">
        <w:t xml:space="preserve">umožnila </w:t>
      </w:r>
      <w:r w:rsidR="00B70672">
        <w:t>dané</w:t>
      </w:r>
      <w:r w:rsidR="001A63EB">
        <w:t xml:space="preserve"> proceduře vznik. </w:t>
      </w:r>
      <w:r w:rsidR="00223B86">
        <w:t>V článku 17 byla Lisabonská smlouva doplněna o slovní spoje</w:t>
      </w:r>
      <w:r w:rsidR="00B70672">
        <w:t>ní „s přihlédnutím k volbám do P</w:t>
      </w:r>
      <w:r w:rsidR="00223B86">
        <w:t xml:space="preserve">arlamentu“. Podle znění Lisabonské </w:t>
      </w:r>
      <w:r w:rsidR="00B70672">
        <w:t>smlouvy</w:t>
      </w:r>
      <w:r w:rsidR="00223B86">
        <w:t xml:space="preserve"> by měl být předseda Komise zvolen </w:t>
      </w:r>
      <w:r w:rsidR="00223B86">
        <w:lastRenderedPageBreak/>
        <w:t>následovně. „</w:t>
      </w:r>
      <w:r w:rsidR="00223B86" w:rsidRPr="00223B86">
        <w:rPr>
          <w:i/>
          <w:iCs/>
        </w:rPr>
        <w:t>S přihlédnutím k volbám do Evropského parlamentu a po náležitých konzultacích navrhne Evropská rada kvalifikovanou většinou Evropskému parlamentu kandidáta na funkci předsedy Komise. Tohoto kandidáta zvolí Evropský parlament většinou hlasů všech svých členů. Nezíská-li potřebnou většinu, navrhne Evropská rada do jednoho měsíce kvalifikovanou většinou nového kandidáta, kterého zvolí Evropský parlament stejným postupem</w:t>
      </w:r>
      <w:r w:rsidR="00223B86">
        <w:t>.“ (</w:t>
      </w:r>
      <w:r w:rsidR="00010472">
        <w:t>Úřední věštník Evropské unie</w:t>
      </w:r>
      <w:r w:rsidR="00223B86">
        <w:t xml:space="preserve">, </w:t>
      </w:r>
      <w:r w:rsidR="00FC1446">
        <w:t xml:space="preserve">2016) </w:t>
      </w:r>
    </w:p>
    <w:p w14:paraId="33CF2397" w14:textId="3722B6F9" w:rsidR="00FC1446" w:rsidRDefault="00FC1446" w:rsidP="00142FD7">
      <w:pPr>
        <w:spacing w:line="360" w:lineRule="auto"/>
      </w:pPr>
      <w:r>
        <w:t>Ovšem v roce 2013 v průběhu příprav na nadcházející parlamentní volby apeloval tehdejší předseda Evropského parlamentu Martin Schulz na politické st</w:t>
      </w:r>
      <w:r w:rsidR="00B70672">
        <w:t>r</w:t>
      </w:r>
      <w:r>
        <w:t xml:space="preserve">any, aby jmenovaly své kandidáty na post předsedy Evropské komise. </w:t>
      </w:r>
      <w:r w:rsidR="00B70672">
        <w:t>V e</w:t>
      </w:r>
      <w:r w:rsidR="00FA593C">
        <w:t>vropských parlamentních volbách roku 2014 vyhrála Evropská lidová strana (</w:t>
      </w:r>
      <w:proofErr w:type="spellStart"/>
      <w:r w:rsidR="00FA593C">
        <w:t>European</w:t>
      </w:r>
      <w:proofErr w:type="spellEnd"/>
      <w:r w:rsidR="00FA593C">
        <w:t xml:space="preserve"> </w:t>
      </w:r>
      <w:proofErr w:type="spellStart"/>
      <w:r w:rsidR="00FA593C">
        <w:t>People´s</w:t>
      </w:r>
      <w:proofErr w:type="spellEnd"/>
      <w:r w:rsidR="00FA593C">
        <w:t xml:space="preserve"> Party </w:t>
      </w:r>
      <w:proofErr w:type="spellStart"/>
      <w:r w:rsidR="00FA593C">
        <w:t>group</w:t>
      </w:r>
      <w:proofErr w:type="spellEnd"/>
      <w:r w:rsidR="00FA593C">
        <w:t>) se svým kandidátem Jean</w:t>
      </w:r>
      <w:r w:rsidR="00FF602F">
        <w:t>-</w:t>
      </w:r>
      <w:r w:rsidR="00FA593C">
        <w:t>Claud</w:t>
      </w:r>
      <w:r w:rsidR="00FF602F">
        <w:t>e</w:t>
      </w:r>
      <w:r w:rsidR="00FA593C">
        <w:t xml:space="preserve"> </w:t>
      </w:r>
      <w:proofErr w:type="spellStart"/>
      <w:r w:rsidR="00FA593C">
        <w:t>Junckerem</w:t>
      </w:r>
      <w:proofErr w:type="spellEnd"/>
      <w:r w:rsidR="00FA593C">
        <w:t xml:space="preserve">. Ten byl následovně </w:t>
      </w:r>
      <w:r w:rsidR="00AE192F">
        <w:t>Evropskou r</w:t>
      </w:r>
      <w:r w:rsidR="00FA593C">
        <w:t>adou nominován na předsedu Evropské komise</w:t>
      </w:r>
      <w:r w:rsidR="00CE1CA9">
        <w:t>, schválen Parlamentem</w:t>
      </w:r>
      <w:r w:rsidR="003D15D8">
        <w:t xml:space="preserve"> a zastával tento post celé pětileté funkční období. </w:t>
      </w:r>
      <w:r w:rsidR="00CE1CA9">
        <w:t xml:space="preserve">Ovšem </w:t>
      </w:r>
      <w:r w:rsidR="00B70672">
        <w:t>zmíněný</w:t>
      </w:r>
      <w:r w:rsidR="00CE1CA9">
        <w:t xml:space="preserve"> proces byl naprosto výjimečný tím, že byl Parlament schopen prosadit svého </w:t>
      </w:r>
      <w:proofErr w:type="spellStart"/>
      <w:r w:rsidR="00CE1CA9">
        <w:t>Spitzenkandidáta</w:t>
      </w:r>
      <w:proofErr w:type="spellEnd"/>
      <w:r w:rsidR="00CE1CA9">
        <w:t xml:space="preserve"> i přesto, že</w:t>
      </w:r>
      <w:r w:rsidR="001E1C2D">
        <w:t xml:space="preserve"> někteří členové</w:t>
      </w:r>
      <w:r w:rsidR="00CE1CA9">
        <w:t xml:space="preserve"> </w:t>
      </w:r>
      <w:r w:rsidR="00AE192F">
        <w:t>Evropsk</w:t>
      </w:r>
      <w:r w:rsidR="001E1C2D">
        <w:t>é</w:t>
      </w:r>
      <w:r w:rsidR="00AE192F">
        <w:t xml:space="preserve"> r</w:t>
      </w:r>
      <w:r w:rsidR="00CE1CA9">
        <w:t>ad</w:t>
      </w:r>
      <w:r w:rsidR="001E1C2D">
        <w:t>y</w:t>
      </w:r>
      <w:r w:rsidR="00CE1CA9">
        <w:t xml:space="preserve"> s tímto kandidátem nesouhlasi</w:t>
      </w:r>
      <w:r w:rsidR="004E01D4">
        <w:t>l</w:t>
      </w:r>
      <w:r w:rsidR="001E1C2D">
        <w:t>i</w:t>
      </w:r>
      <w:r w:rsidR="00CE1CA9">
        <w:t xml:space="preserve">. Jak Jean </w:t>
      </w:r>
      <w:proofErr w:type="spellStart"/>
      <w:r w:rsidR="00CE1CA9">
        <w:t>Albron</w:t>
      </w:r>
      <w:proofErr w:type="spellEnd"/>
      <w:r w:rsidR="00CE1CA9">
        <w:t xml:space="preserve"> tvrdí ve své práci </w:t>
      </w:r>
      <w:r w:rsidR="00CE1CA9" w:rsidRPr="00B70672">
        <w:rPr>
          <w:i/>
        </w:rPr>
        <w:t>„</w:t>
      </w:r>
      <w:proofErr w:type="spellStart"/>
      <w:r w:rsidR="00CE1CA9" w:rsidRPr="00B70672">
        <w:rPr>
          <w:i/>
        </w:rPr>
        <w:t>The</w:t>
      </w:r>
      <w:proofErr w:type="spellEnd"/>
      <w:r w:rsidR="00CE1CA9" w:rsidRPr="00B70672">
        <w:rPr>
          <w:i/>
        </w:rPr>
        <w:t xml:space="preserve"> </w:t>
      </w:r>
      <w:proofErr w:type="spellStart"/>
      <w:r w:rsidR="00CE1CA9" w:rsidRPr="00B70672">
        <w:rPr>
          <w:i/>
        </w:rPr>
        <w:t>Future</w:t>
      </w:r>
      <w:proofErr w:type="spellEnd"/>
      <w:r w:rsidR="00CE1CA9" w:rsidRPr="00B70672">
        <w:rPr>
          <w:i/>
        </w:rPr>
        <w:t xml:space="preserve"> </w:t>
      </w:r>
      <w:proofErr w:type="spellStart"/>
      <w:r w:rsidR="00CE1CA9" w:rsidRPr="00B70672">
        <w:rPr>
          <w:i/>
        </w:rPr>
        <w:t>of</w:t>
      </w:r>
      <w:proofErr w:type="spellEnd"/>
      <w:r w:rsidR="00CE1CA9" w:rsidRPr="00B70672">
        <w:rPr>
          <w:i/>
        </w:rPr>
        <w:t xml:space="preserve"> </w:t>
      </w:r>
      <w:proofErr w:type="spellStart"/>
      <w:r w:rsidR="00CE1CA9" w:rsidRPr="00B70672">
        <w:rPr>
          <w:i/>
        </w:rPr>
        <w:t>Europe</w:t>
      </w:r>
      <w:proofErr w:type="spellEnd"/>
      <w:r w:rsidR="00CE1CA9" w:rsidRPr="00B70672">
        <w:rPr>
          <w:i/>
        </w:rPr>
        <w:t>“</w:t>
      </w:r>
      <w:r w:rsidR="00CE1CA9">
        <w:t xml:space="preserve">, došlo v Evropské unii k drastickým politickým a institucionálním změnám. </w:t>
      </w:r>
      <w:r w:rsidR="00CE1CA9" w:rsidRPr="003969D7">
        <w:rPr>
          <w:i/>
          <w:iCs/>
        </w:rPr>
        <w:t xml:space="preserve">„Zatímco </w:t>
      </w:r>
      <w:r w:rsidR="00B930D2" w:rsidRPr="003969D7">
        <w:rPr>
          <w:i/>
          <w:iCs/>
        </w:rPr>
        <w:t xml:space="preserve">jeho </w:t>
      </w:r>
      <w:r w:rsidR="00CE1CA9" w:rsidRPr="003969D7">
        <w:rPr>
          <w:i/>
          <w:iCs/>
        </w:rPr>
        <w:t xml:space="preserve">zastánci </w:t>
      </w:r>
      <w:r w:rsidR="00173A12" w:rsidRPr="003969D7">
        <w:rPr>
          <w:i/>
          <w:iCs/>
        </w:rPr>
        <w:t xml:space="preserve">považují tento vývoj za odpověď na otázku legitimity </w:t>
      </w:r>
      <w:r w:rsidR="00B930D2" w:rsidRPr="003969D7">
        <w:rPr>
          <w:i/>
          <w:iCs/>
        </w:rPr>
        <w:t xml:space="preserve">tvorby politiky EU, odpůrci </w:t>
      </w:r>
      <w:r w:rsidR="009E7B9F" w:rsidRPr="003969D7">
        <w:rPr>
          <w:i/>
          <w:iCs/>
        </w:rPr>
        <w:t xml:space="preserve">mají tendenci nahlížet na tento vývoj jako na </w:t>
      </w:r>
      <w:proofErr w:type="spellStart"/>
      <w:r w:rsidR="009E7B9F" w:rsidRPr="003969D7">
        <w:rPr>
          <w:i/>
          <w:iCs/>
        </w:rPr>
        <w:t>rebalancování</w:t>
      </w:r>
      <w:proofErr w:type="spellEnd"/>
      <w:r w:rsidR="009E7B9F" w:rsidRPr="003969D7">
        <w:rPr>
          <w:i/>
          <w:iCs/>
        </w:rPr>
        <w:t xml:space="preserve"> politické moci mezi institucemi Evropské unie.“</w:t>
      </w:r>
      <w:r w:rsidR="009E7B9F">
        <w:t xml:space="preserve"> (</w:t>
      </w:r>
      <w:proofErr w:type="spellStart"/>
      <w:r w:rsidR="009E7B9F">
        <w:t>Albron</w:t>
      </w:r>
      <w:proofErr w:type="spellEnd"/>
      <w:r w:rsidR="009E7B9F">
        <w:t xml:space="preserve">, 2014) </w:t>
      </w:r>
      <w:r w:rsidR="004E01D4">
        <w:t xml:space="preserve">Nesporným faktem je, že volby do Evropského parlamentu dlouhodobě trpí nízkou volební účastí, což podkopává </w:t>
      </w:r>
      <w:r w:rsidR="004E01D4" w:rsidRPr="004E01D4">
        <w:rPr>
          <w:i/>
          <w:iCs/>
        </w:rPr>
        <w:t xml:space="preserve">„Input </w:t>
      </w:r>
      <w:proofErr w:type="spellStart"/>
      <w:r w:rsidR="004E01D4" w:rsidRPr="004E01D4">
        <w:rPr>
          <w:i/>
          <w:iCs/>
        </w:rPr>
        <w:t>Legitimacy</w:t>
      </w:r>
      <w:proofErr w:type="spellEnd"/>
      <w:r w:rsidR="004E01D4" w:rsidRPr="004E01D4">
        <w:rPr>
          <w:i/>
          <w:iCs/>
        </w:rPr>
        <w:t>“</w:t>
      </w:r>
      <w:r w:rsidR="004E01D4">
        <w:t xml:space="preserve"> Evropské unie. Procedura </w:t>
      </w:r>
      <w:r w:rsidR="004E01D4" w:rsidRPr="004E01D4">
        <w:rPr>
          <w:i/>
          <w:iCs/>
        </w:rPr>
        <w:t>„</w:t>
      </w:r>
      <w:proofErr w:type="spellStart"/>
      <w:r w:rsidR="004E01D4" w:rsidRPr="004E01D4">
        <w:rPr>
          <w:i/>
          <w:iCs/>
        </w:rPr>
        <w:t>Spitzenkandidaten</w:t>
      </w:r>
      <w:proofErr w:type="spellEnd"/>
      <w:r w:rsidR="004E01D4" w:rsidRPr="004E01D4">
        <w:rPr>
          <w:i/>
          <w:iCs/>
        </w:rPr>
        <w:t>“</w:t>
      </w:r>
      <w:r w:rsidR="004E01D4">
        <w:t xml:space="preserve"> by tak mohla napomoct překonat tento nedostatek a zvýšit politickou odpovědnost Komise. Současně by také mo</w:t>
      </w:r>
      <w:r w:rsidR="00B70672">
        <w:t>hla přispět k většímu zapojení p</w:t>
      </w:r>
      <w:r w:rsidR="004E01D4">
        <w:t>arlamentních stran v členských státech tak, aby byly schopn</w:t>
      </w:r>
      <w:r w:rsidR="00B70672">
        <w:t>y vytvářet celoevropské kampaně</w:t>
      </w:r>
      <w:r w:rsidR="004E01D4">
        <w:t xml:space="preserve"> (</w:t>
      </w:r>
      <w:proofErr w:type="spellStart"/>
      <w:r w:rsidR="004E01D4">
        <w:t>Albron</w:t>
      </w:r>
      <w:proofErr w:type="spellEnd"/>
      <w:r w:rsidR="004E01D4">
        <w:t>, 2014)</w:t>
      </w:r>
      <w:r w:rsidR="00B70672">
        <w:t>.</w:t>
      </w:r>
    </w:p>
    <w:p w14:paraId="645925DD" w14:textId="3DAA59B0" w:rsidR="004B658F" w:rsidRDefault="004B658F" w:rsidP="00142FD7">
      <w:pPr>
        <w:spacing w:line="360" w:lineRule="auto"/>
      </w:pPr>
      <w:r>
        <w:t xml:space="preserve">Kritici této procedury vnímají jako největší problém </w:t>
      </w:r>
      <w:r w:rsidR="00B70672">
        <w:t>skutečnost</w:t>
      </w:r>
      <w:r>
        <w:t xml:space="preserve">, že nebyl využit potenciál </w:t>
      </w:r>
      <w:r w:rsidR="00B70672">
        <w:t>dané</w:t>
      </w:r>
      <w:r>
        <w:t xml:space="preserve"> procedury ke zvýšení </w:t>
      </w:r>
      <w:r w:rsidR="00C35037">
        <w:t xml:space="preserve">povědomí o evropských volbách jako takových. </w:t>
      </w:r>
      <w:r>
        <w:t xml:space="preserve">Výzkumníci Simon </w:t>
      </w:r>
      <w:proofErr w:type="spellStart"/>
      <w:r>
        <w:t>Hix</w:t>
      </w:r>
      <w:proofErr w:type="spellEnd"/>
      <w:r>
        <w:t xml:space="preserve"> a Stuart </w:t>
      </w:r>
      <w:proofErr w:type="spellStart"/>
      <w:r>
        <w:t>Wilks-Heeg</w:t>
      </w:r>
      <w:proofErr w:type="spellEnd"/>
      <w:r>
        <w:t xml:space="preserve"> </w:t>
      </w:r>
      <w:r w:rsidR="00B70672">
        <w:t>zkoumali mediální pokrytí e</w:t>
      </w:r>
      <w:r w:rsidR="00C35037">
        <w:t>vropských voleb ve dvou členských státech, Německu a Velké Británii (členem do roku 2020).</w:t>
      </w:r>
      <w:r w:rsidR="00A41147">
        <w:t xml:space="preserve"> Po tom, co byly známy výsledky voleb do Evropského parlamentu</w:t>
      </w:r>
      <w:r w:rsidR="00B70672">
        <w:t>,</w:t>
      </w:r>
      <w:r w:rsidR="00A41147">
        <w:t xml:space="preserve"> nastaly mezi pře</w:t>
      </w:r>
      <w:r w:rsidR="00B70672">
        <w:t>dstaviteli těchto zemí neshody v</w:t>
      </w:r>
      <w:r w:rsidR="00A41147">
        <w:t xml:space="preserve"> tom, jak by se k této proceduře mělo přistupovat. Zatímco němečtí představitelé byli přesvědčeni o tom, že by se právě </w:t>
      </w:r>
      <w:proofErr w:type="spellStart"/>
      <w:r w:rsidR="00A41147">
        <w:t>Juncker</w:t>
      </w:r>
      <w:proofErr w:type="spellEnd"/>
      <w:r w:rsidR="00A41147">
        <w:t xml:space="preserve"> měl stát předsedou, jelikož se jeho strana ukázala ve volbách jako ta nejsilnější, </w:t>
      </w:r>
      <w:r w:rsidR="00A41147">
        <w:lastRenderedPageBreak/>
        <w:t>představitelé Velké Británie byli naopak přesvědčeni o nutnosti ignorovat tuto proceduru (</w:t>
      </w:r>
      <w:proofErr w:type="spellStart"/>
      <w:r w:rsidR="00A41147">
        <w:t>Hix</w:t>
      </w:r>
      <w:proofErr w:type="spellEnd"/>
      <w:r w:rsidR="00A41147">
        <w:t xml:space="preserve"> a </w:t>
      </w:r>
      <w:proofErr w:type="spellStart"/>
      <w:r w:rsidR="00A41147">
        <w:t>Wilks-Heeg</w:t>
      </w:r>
      <w:proofErr w:type="spellEnd"/>
      <w:r w:rsidR="00A41147">
        <w:t>, 2014)</w:t>
      </w:r>
      <w:r w:rsidR="007A4F39">
        <w:t>. Za příčinu takto rozdílných názorů považují autoři způsob, jakým německ</w:t>
      </w:r>
      <w:r w:rsidR="00A35352">
        <w:t>á</w:t>
      </w:r>
      <w:r w:rsidR="007A4F39">
        <w:t xml:space="preserve"> a </w:t>
      </w:r>
      <w:r w:rsidR="00A35352">
        <w:t>britská média</w:t>
      </w:r>
      <w:r w:rsidR="007A4F39">
        <w:t xml:space="preserve"> </w:t>
      </w:r>
      <w:r w:rsidR="002C5A60">
        <w:t>vyobrazila</w:t>
      </w:r>
      <w:r w:rsidR="00A35352">
        <w:t xml:space="preserve"> kampaně jednotlivých </w:t>
      </w:r>
      <w:r w:rsidR="00B70672">
        <w:rPr>
          <w:i/>
          <w:iCs/>
        </w:rPr>
        <w:t>„</w:t>
      </w:r>
      <w:proofErr w:type="spellStart"/>
      <w:r w:rsidR="00B70672">
        <w:rPr>
          <w:i/>
          <w:iCs/>
        </w:rPr>
        <w:t>s</w:t>
      </w:r>
      <w:r w:rsidR="00A35352" w:rsidRPr="00A35352">
        <w:rPr>
          <w:i/>
          <w:iCs/>
        </w:rPr>
        <w:t>pitzenkandidátů</w:t>
      </w:r>
      <w:proofErr w:type="spellEnd"/>
      <w:r w:rsidR="00A35352" w:rsidRPr="00A35352">
        <w:rPr>
          <w:i/>
          <w:iCs/>
        </w:rPr>
        <w:t>“</w:t>
      </w:r>
      <w:r w:rsidR="007A4F39" w:rsidRPr="00A35352">
        <w:rPr>
          <w:i/>
          <w:iCs/>
        </w:rPr>
        <w:t>.</w:t>
      </w:r>
      <w:r w:rsidR="007A4F39">
        <w:t xml:space="preserve"> </w:t>
      </w:r>
      <w:r w:rsidR="002C5A60">
        <w:t>Jako</w:t>
      </w:r>
      <w:r w:rsidR="00FF77FE">
        <w:t xml:space="preserve"> hlavní problém</w:t>
      </w:r>
      <w:r w:rsidR="00A35352">
        <w:t xml:space="preserve"> </w:t>
      </w:r>
      <w:r w:rsidR="00FF77FE">
        <w:t>vnímají enormní rozdíly v r</w:t>
      </w:r>
      <w:r w:rsidR="002C5A60">
        <w:t>ozsahu, v jakém média odkazovala</w:t>
      </w:r>
      <w:r w:rsidR="00FF77FE">
        <w:t xml:space="preserve"> na některého ze </w:t>
      </w:r>
      <w:r w:rsidR="002C5A60">
        <w:rPr>
          <w:i/>
          <w:iCs/>
        </w:rPr>
        <w:t>„</w:t>
      </w:r>
      <w:proofErr w:type="spellStart"/>
      <w:r w:rsidR="002C5A60">
        <w:rPr>
          <w:i/>
          <w:iCs/>
        </w:rPr>
        <w:t>s</w:t>
      </w:r>
      <w:r w:rsidR="00FF77FE" w:rsidRPr="00FF77FE">
        <w:rPr>
          <w:i/>
          <w:iCs/>
        </w:rPr>
        <w:t>pitzenkandidátů</w:t>
      </w:r>
      <w:proofErr w:type="spellEnd"/>
      <w:r w:rsidR="00FF77FE" w:rsidRPr="00FF77FE">
        <w:rPr>
          <w:i/>
          <w:iCs/>
        </w:rPr>
        <w:t>“</w:t>
      </w:r>
      <w:r w:rsidR="002C5A60">
        <w:rPr>
          <w:iCs/>
        </w:rPr>
        <w:t>,</w:t>
      </w:r>
      <w:r w:rsidR="00FF77FE">
        <w:t xml:space="preserve"> viz tabulka (</w:t>
      </w:r>
      <w:proofErr w:type="spellStart"/>
      <w:r w:rsidR="00FF77FE">
        <w:t>Hix</w:t>
      </w:r>
      <w:proofErr w:type="spellEnd"/>
      <w:r w:rsidR="00FF77FE">
        <w:t xml:space="preserve"> a </w:t>
      </w:r>
      <w:proofErr w:type="spellStart"/>
      <w:r w:rsidR="00FF77FE">
        <w:t>Wilks-Heeg</w:t>
      </w:r>
      <w:proofErr w:type="spellEnd"/>
      <w:r w:rsidR="00FF77FE">
        <w:t>, 2014). </w:t>
      </w:r>
    </w:p>
    <w:p w14:paraId="30169B0E" w14:textId="3085E8D1" w:rsidR="00FF77FE" w:rsidRDefault="00FF77FE" w:rsidP="00142FD7">
      <w:pPr>
        <w:spacing w:line="360" w:lineRule="auto"/>
      </w:pPr>
      <w:r w:rsidRPr="00FF77FE">
        <w:rPr>
          <w:noProof/>
          <w:lang w:eastAsia="cs-CZ"/>
        </w:rPr>
        <w:drawing>
          <wp:inline distT="0" distB="0" distL="0" distR="0" wp14:anchorId="0DAAC489" wp14:editId="29E17A0D">
            <wp:extent cx="5219700" cy="3511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511550"/>
                    </a:xfrm>
                    <a:prstGeom prst="rect">
                      <a:avLst/>
                    </a:prstGeom>
                    <a:noFill/>
                    <a:ln>
                      <a:noFill/>
                    </a:ln>
                  </pic:spPr>
                </pic:pic>
              </a:graphicData>
            </a:graphic>
          </wp:inline>
        </w:drawing>
      </w:r>
    </w:p>
    <w:p w14:paraId="1C415CC4" w14:textId="3C5179A2" w:rsidR="00FF77FE" w:rsidRDefault="00A46770" w:rsidP="00A46770">
      <w:pPr>
        <w:pStyle w:val="Titulek"/>
        <w:spacing w:line="360" w:lineRule="auto"/>
        <w:rPr>
          <w:sz w:val="24"/>
          <w:szCs w:val="24"/>
        </w:rPr>
      </w:pPr>
      <w:r w:rsidRPr="00A46770">
        <w:rPr>
          <w:sz w:val="24"/>
          <w:szCs w:val="24"/>
        </w:rPr>
        <w:t xml:space="preserve">Graf </w:t>
      </w:r>
      <w:r w:rsidRPr="00A46770">
        <w:rPr>
          <w:sz w:val="24"/>
          <w:szCs w:val="24"/>
        </w:rPr>
        <w:fldChar w:fldCharType="begin"/>
      </w:r>
      <w:r w:rsidRPr="00A46770">
        <w:rPr>
          <w:sz w:val="24"/>
          <w:szCs w:val="24"/>
        </w:rPr>
        <w:instrText xml:space="preserve"> SEQ Graf \* ARABIC </w:instrText>
      </w:r>
      <w:r w:rsidRPr="00A46770">
        <w:rPr>
          <w:sz w:val="24"/>
          <w:szCs w:val="24"/>
        </w:rPr>
        <w:fldChar w:fldCharType="separate"/>
      </w:r>
      <w:r w:rsidRPr="00A46770">
        <w:rPr>
          <w:noProof/>
          <w:sz w:val="24"/>
          <w:szCs w:val="24"/>
        </w:rPr>
        <w:t>1</w:t>
      </w:r>
      <w:r w:rsidRPr="00A46770">
        <w:rPr>
          <w:sz w:val="24"/>
          <w:szCs w:val="24"/>
        </w:rPr>
        <w:fldChar w:fldCharType="end"/>
      </w:r>
      <w:r w:rsidRPr="00A46770">
        <w:rPr>
          <w:sz w:val="24"/>
          <w:szCs w:val="24"/>
        </w:rPr>
        <w:t>- Počet článků v německém a britském tisku s odvoláním na „</w:t>
      </w:r>
      <w:proofErr w:type="spellStart"/>
      <w:r w:rsidRPr="00A46770">
        <w:rPr>
          <w:sz w:val="24"/>
          <w:szCs w:val="24"/>
        </w:rPr>
        <w:t>Juncker</w:t>
      </w:r>
      <w:proofErr w:type="spellEnd"/>
      <w:r w:rsidRPr="00A46770">
        <w:rPr>
          <w:sz w:val="24"/>
          <w:szCs w:val="24"/>
        </w:rPr>
        <w:t>“ a „Schulz“, týdně od 31. března 2014</w:t>
      </w:r>
      <w:r>
        <w:rPr>
          <w:sz w:val="24"/>
          <w:szCs w:val="24"/>
        </w:rPr>
        <w:t xml:space="preserve"> (</w:t>
      </w:r>
      <w:proofErr w:type="spellStart"/>
      <w:r>
        <w:rPr>
          <w:sz w:val="24"/>
          <w:szCs w:val="24"/>
        </w:rPr>
        <w:t>Hix</w:t>
      </w:r>
      <w:proofErr w:type="spellEnd"/>
      <w:r>
        <w:rPr>
          <w:sz w:val="24"/>
          <w:szCs w:val="24"/>
        </w:rPr>
        <w:t xml:space="preserve"> a </w:t>
      </w:r>
      <w:proofErr w:type="spellStart"/>
      <w:r>
        <w:rPr>
          <w:sz w:val="24"/>
          <w:szCs w:val="24"/>
        </w:rPr>
        <w:t>Wilks-Heeg</w:t>
      </w:r>
      <w:proofErr w:type="spellEnd"/>
      <w:r>
        <w:rPr>
          <w:sz w:val="24"/>
          <w:szCs w:val="24"/>
        </w:rPr>
        <w:t>, 2014)</w:t>
      </w:r>
    </w:p>
    <w:p w14:paraId="288F93D7" w14:textId="61AF574D" w:rsidR="003D15D8" w:rsidRDefault="00F25AAF" w:rsidP="00142FD7">
      <w:pPr>
        <w:spacing w:line="360" w:lineRule="auto"/>
      </w:pPr>
      <w:r>
        <w:t>Jak je možné vyčíst z</w:t>
      </w:r>
      <w:r w:rsidR="002C5A60">
        <w:t> </w:t>
      </w:r>
      <w:r>
        <w:t>grafu</w:t>
      </w:r>
      <w:r w:rsidR="002C5A60">
        <w:t>,</w:t>
      </w:r>
      <w:r>
        <w:t xml:space="preserve"> mediální prostor věnovaný dvěma tehdejším hlavním kandidátům na předsedu Komise se liší v řádu i několika stovek novinových článků. </w:t>
      </w:r>
      <w:r w:rsidR="00A46770">
        <w:t xml:space="preserve">Dle </w:t>
      </w:r>
      <w:r w:rsidR="002C5A60">
        <w:t>odborné statě</w:t>
      </w:r>
      <w:r w:rsidR="00A46770">
        <w:t xml:space="preserve"> je zřejmé, že různá interpretace médii v jednotlivých členských státech velmi ovlivnila vnímání fungování nejen </w:t>
      </w:r>
      <w:proofErr w:type="spellStart"/>
      <w:r w:rsidR="00A46770">
        <w:t>Spitzenkandidaten</w:t>
      </w:r>
      <w:proofErr w:type="spellEnd"/>
      <w:r w:rsidR="00A46770">
        <w:t xml:space="preserve"> procedury</w:t>
      </w:r>
      <w:r w:rsidR="002C5A60">
        <w:t>,</w:t>
      </w:r>
      <w:r w:rsidR="00A46770">
        <w:t xml:space="preserve"> ale </w:t>
      </w:r>
      <w:r w:rsidR="002C5A60">
        <w:t xml:space="preserve">také </w:t>
      </w:r>
      <w:r w:rsidR="00A46770">
        <w:t xml:space="preserve">evropských voleb jako takových. </w:t>
      </w:r>
      <w:proofErr w:type="spellStart"/>
      <w:r w:rsidR="003D15D8">
        <w:t>Juncker</w:t>
      </w:r>
      <w:proofErr w:type="spellEnd"/>
      <w:r w:rsidR="003D15D8">
        <w:t xml:space="preserve"> byl </w:t>
      </w:r>
      <w:r w:rsidR="001676FD">
        <w:t xml:space="preserve">prvním a zatím posledním </w:t>
      </w:r>
      <w:r w:rsidR="002C5A60">
        <w:rPr>
          <w:i/>
          <w:iCs/>
        </w:rPr>
        <w:t>„</w:t>
      </w:r>
      <w:proofErr w:type="spellStart"/>
      <w:r w:rsidR="002C5A60">
        <w:rPr>
          <w:i/>
          <w:iCs/>
        </w:rPr>
        <w:t>s</w:t>
      </w:r>
      <w:r w:rsidR="001676FD" w:rsidRPr="00657435">
        <w:rPr>
          <w:i/>
          <w:iCs/>
        </w:rPr>
        <w:t>pitzenkandidátem</w:t>
      </w:r>
      <w:proofErr w:type="spellEnd"/>
      <w:r w:rsidR="001676FD" w:rsidRPr="00657435">
        <w:rPr>
          <w:i/>
          <w:iCs/>
        </w:rPr>
        <w:t>“</w:t>
      </w:r>
      <w:r w:rsidR="001676FD">
        <w:t>, jelikož po parlame</w:t>
      </w:r>
      <w:r w:rsidR="002C5A60">
        <w:t>n</w:t>
      </w:r>
      <w:r w:rsidR="001676FD">
        <w:t xml:space="preserve">tních volbách v roce 2019 byla předsedkyní Evropské komise zvolena Ursula von der </w:t>
      </w:r>
      <w:proofErr w:type="spellStart"/>
      <w:r w:rsidR="001676FD">
        <w:t>Leyenová</w:t>
      </w:r>
      <w:proofErr w:type="spellEnd"/>
      <w:r w:rsidR="001676FD">
        <w:t>, která nebyla nominována žádnou stranou</w:t>
      </w:r>
      <w:r w:rsidR="00010472">
        <w:t xml:space="preserve"> </w:t>
      </w:r>
      <w:r w:rsidR="00657435">
        <w:t>(</w:t>
      </w:r>
      <w:r w:rsidR="00010472">
        <w:t>Cristian</w:t>
      </w:r>
      <w:r w:rsidR="00657435">
        <w:t xml:space="preserve"> </w:t>
      </w:r>
      <w:proofErr w:type="spellStart"/>
      <w:r w:rsidR="00657435">
        <w:t>Ghinea</w:t>
      </w:r>
      <w:proofErr w:type="spellEnd"/>
      <w:r w:rsidR="00657435">
        <w:t>, 2019).</w:t>
      </w:r>
    </w:p>
    <w:p w14:paraId="39E2F4D8" w14:textId="2A094CF6" w:rsidR="001676FD" w:rsidRPr="001676FD" w:rsidRDefault="001676FD" w:rsidP="00FD2432">
      <w:pPr>
        <w:pStyle w:val="Nadpis1"/>
        <w:numPr>
          <w:ilvl w:val="1"/>
          <w:numId w:val="9"/>
        </w:numPr>
        <w:spacing w:after="240" w:line="360" w:lineRule="auto"/>
      </w:pPr>
      <w:bookmarkStart w:id="29" w:name="_Toc70660113"/>
      <w:r w:rsidRPr="001676FD">
        <w:lastRenderedPageBreak/>
        <w:t>Občanská iniciativa</w:t>
      </w:r>
      <w:bookmarkEnd w:id="29"/>
    </w:p>
    <w:p w14:paraId="7FFF7437" w14:textId="1CC149AA" w:rsidR="001676FD" w:rsidRDefault="00974892" w:rsidP="006B62E7">
      <w:pPr>
        <w:spacing w:line="360" w:lineRule="auto"/>
        <w:ind w:firstLine="432"/>
      </w:pPr>
      <w:r>
        <w:t xml:space="preserve">Tento mechanismus byl zaveden </w:t>
      </w:r>
      <w:r w:rsidR="001E6387">
        <w:t xml:space="preserve">„Nařízením Evropského parlamentu a Rady (EU) č.211/2011“ ze dne 16. února 2011 o občanské iniciativě. </w:t>
      </w:r>
      <w:r w:rsidR="002C5A60">
        <w:t>Zmíněné</w:t>
      </w:r>
      <w:r w:rsidR="001E6387">
        <w:t xml:space="preserve"> nařízení bylo vydáno na základě Lisabonské smlouvy</w:t>
      </w:r>
      <w:r w:rsidR="00EC1E74">
        <w:t xml:space="preserve">. </w:t>
      </w:r>
      <w:r w:rsidR="00EC1E74" w:rsidRPr="00EC1E74">
        <w:rPr>
          <w:i/>
          <w:iCs/>
        </w:rPr>
        <w:t>„Smlouva o Evropské unii posiluje občanství Unie a dále zvyšuje demokratické fungování Unie tím, že mimo jiné stanoví, že každý občan má právo se podílet na demokratickém životě Unie prostřednictvím evropské občanské iniciativy.“</w:t>
      </w:r>
      <w:r w:rsidR="00EC1E74">
        <w:t xml:space="preserve"> (Nařízení 211/2011, 2011)</w:t>
      </w:r>
      <w:r w:rsidR="00191009">
        <w:t xml:space="preserve"> Nařízení </w:t>
      </w:r>
      <w:r w:rsidR="006B62E7">
        <w:t>uprav</w:t>
      </w:r>
      <w:r w:rsidR="00F154EA">
        <w:t>ovalo</w:t>
      </w:r>
      <w:r w:rsidR="006B62E7">
        <w:t>, jakým způsobem mohou občané členských států zažádat Komisi, aby předložila návrh právního aktu.</w:t>
      </w:r>
      <w:r w:rsidR="00F154EA">
        <w:t xml:space="preserve"> V roce 2020 vstoupilo v platnost nařízení Evropského parlamentu a Rady (EU) 2019/788, které na základě zprávy Komise pozměňuje původní znění nařízení o občanské iniciativě z roku 2011.</w:t>
      </w:r>
      <w:r w:rsidR="006B62E7">
        <w:t xml:space="preserve"> </w:t>
      </w:r>
      <w:r w:rsidR="00DA137C">
        <w:t xml:space="preserve">V rámci občanské iniciativy je potřeba splnit několik určitých podmínek, aby se tak zajistila demokratičnost a transparentnost </w:t>
      </w:r>
      <w:r w:rsidR="00FA1575">
        <w:t>zmíněné</w:t>
      </w:r>
      <w:r w:rsidR="00DA137C">
        <w:t xml:space="preserve"> iniciativy.</w:t>
      </w:r>
    </w:p>
    <w:p w14:paraId="1197A652" w14:textId="4DB7934E" w:rsidR="00461C79" w:rsidRDefault="00DA137C" w:rsidP="00DA137C">
      <w:pPr>
        <w:spacing w:line="360" w:lineRule="auto"/>
      </w:pPr>
      <w:r>
        <w:t xml:space="preserve">První podmínkou je minimální počet </w:t>
      </w:r>
      <w:r w:rsidR="00832F7D">
        <w:t xml:space="preserve">podpisů </w:t>
      </w:r>
      <w:r>
        <w:t xml:space="preserve">občanů </w:t>
      </w:r>
      <w:r w:rsidR="00FF6065">
        <w:t xml:space="preserve">jednoho státu </w:t>
      </w:r>
      <w:r>
        <w:t xml:space="preserve">nutný k akceptování </w:t>
      </w:r>
      <w:r w:rsidR="00FF6065">
        <w:t xml:space="preserve">dané iniciativy. Tento minimální počet se liší u každého státu s ohledem na počet poslanců, který občané dané země volí v parlamentních volbách. Tento počet volených poslanců se následně </w:t>
      </w:r>
      <w:r w:rsidR="00F154EA">
        <w:t>násobí celkovým počtem členů Evropského parlamentu</w:t>
      </w:r>
      <w:r w:rsidR="00244B29">
        <w:t xml:space="preserve"> (Nařízení 2019/788, 2019). </w:t>
      </w:r>
      <w:r w:rsidR="00FF6065">
        <w:t xml:space="preserve">V případě České republiky </w:t>
      </w:r>
      <w:r w:rsidR="00F154EA">
        <w:t>je</w:t>
      </w:r>
      <w:r w:rsidR="00832F7D">
        <w:t xml:space="preserve"> tedy</w:t>
      </w:r>
      <w:r w:rsidR="00F154EA">
        <w:t xml:space="preserve"> potřeba dosáhnout minimálního počtu 14 805 podpisů. </w:t>
      </w:r>
      <w:r w:rsidR="00832F7D">
        <w:t>Další podmínka udává minimální počet států, ze kterých musí občané pocházet</w:t>
      </w:r>
      <w:r w:rsidR="001B0DAE">
        <w:t xml:space="preserve">, ovšem nemusí se nutně jednat o státní příslušníky těchto zemí. V rámci občanské iniciativy je dostačující prokazatelné trvalé bydliště. </w:t>
      </w:r>
      <w:r w:rsidR="00832F7D">
        <w:t xml:space="preserve">Nařízení z roku 2019 </w:t>
      </w:r>
      <w:r w:rsidR="001B0DAE">
        <w:t>stanovuje, že občané musí pocházet minimálně ze čtvrtiny všech členských států. Na této podmínce se nic nezměnilo ani po</w:t>
      </w:r>
      <w:r w:rsidR="00FA1575">
        <w:t xml:space="preserve"> vystoupení Velké Británie z EU</w:t>
      </w:r>
      <w:r w:rsidR="001B0DAE">
        <w:t xml:space="preserve"> a i nadále se vyžaduje původ občanů ze sedmi různých zemí. </w:t>
      </w:r>
      <w:r w:rsidR="00461C79">
        <w:t>Poslední podmínka</w:t>
      </w:r>
      <w:r w:rsidR="00B6138D">
        <w:t xml:space="preserve"> se </w:t>
      </w:r>
      <w:r w:rsidR="00FA1575">
        <w:t>týká věkové hranice</w:t>
      </w:r>
      <w:r w:rsidR="00B6138D">
        <w:t xml:space="preserve"> občanů, kteří mohou iniciativu podpořit. Dle nařízení by měla </w:t>
      </w:r>
      <w:r w:rsidR="00FA1575">
        <w:t>daná</w:t>
      </w:r>
      <w:r w:rsidR="00B6138D">
        <w:t xml:space="preserve"> hranice odpovídat věku, kdy mají občané právo hlasovat ve volbách do Evropského parlamentu</w:t>
      </w:r>
      <w:r w:rsidR="00244B29">
        <w:t xml:space="preserve"> </w:t>
      </w:r>
      <w:r w:rsidR="00B6138D">
        <w:t xml:space="preserve">(Nařízení </w:t>
      </w:r>
      <w:r w:rsidR="00244B29">
        <w:t xml:space="preserve">2019/788, 2019). Ovšem </w:t>
      </w:r>
      <w:r w:rsidR="002C3F10" w:rsidRPr="002C3F10">
        <w:rPr>
          <w:i/>
          <w:iCs/>
        </w:rPr>
        <w:t>„v zájmu zvýšení účasti mladých občanů na demokratickém životě Unie a tím i plného využití potenciálu evropské občanské iniciativy coby nástroje participativní demokracie by členské státy, které to považují za vhodné, měly mít možnost stanovit tuto věkovou hranici na 16 let</w:t>
      </w:r>
      <w:r w:rsidR="002C3F10">
        <w:rPr>
          <w:i/>
          <w:iCs/>
        </w:rPr>
        <w:t>…</w:t>
      </w:r>
      <w:r w:rsidR="002C3F10" w:rsidRPr="002C3F10">
        <w:rPr>
          <w:i/>
          <w:iCs/>
        </w:rPr>
        <w:t>“</w:t>
      </w:r>
      <w:r w:rsidR="002C3F10">
        <w:t xml:space="preserve"> (Nařízení 2019/788, 2019).</w:t>
      </w:r>
      <w:r w:rsidR="006F42EF">
        <w:t xml:space="preserve"> Česká republika však této možnosti zatím nevyužila. </w:t>
      </w:r>
    </w:p>
    <w:p w14:paraId="3DCFD262" w14:textId="42058CBF" w:rsidR="006F42EF" w:rsidRDefault="006F42EF" w:rsidP="00DA137C">
      <w:pPr>
        <w:spacing w:line="360" w:lineRule="auto"/>
      </w:pPr>
      <w:r>
        <w:lastRenderedPageBreak/>
        <w:t xml:space="preserve">I přesto, že novelizace nařízení o občanské iniciativě </w:t>
      </w:r>
      <w:r w:rsidR="00C400B4">
        <w:t xml:space="preserve">měla především přispět ke zjednodušení celého procesu, </w:t>
      </w:r>
      <w:r w:rsidR="00FA1575">
        <w:t>se v tomto ohledu jedná</w:t>
      </w:r>
      <w:r w:rsidR="00C400B4">
        <w:t xml:space="preserve"> o poměrně náročný postup. Prvním bodem při vytváření občanské evropské iniciativy je vytvoření organizačního výboru, takzvaný výbor občanů (Evropsk</w:t>
      </w:r>
      <w:r w:rsidR="00E247B4">
        <w:t>ý</w:t>
      </w:r>
      <w:r w:rsidR="00C400B4">
        <w:t xml:space="preserve"> </w:t>
      </w:r>
      <w:r w:rsidR="00E247B4">
        <w:t>parlament</w:t>
      </w:r>
      <w:r w:rsidR="00C400B4">
        <w:t>, 202</w:t>
      </w:r>
      <w:r w:rsidR="009644AC">
        <w:t>0</w:t>
      </w:r>
      <w:r w:rsidR="00C400B4">
        <w:t xml:space="preserve">). Ten se musí skládat právě ze sedmi občanů ze sedmi různých členských států. </w:t>
      </w:r>
      <w:r w:rsidR="004B61DE">
        <w:t>Členové daného organizačního výboru poté jmenují zástupce a náhradníka, kteří slouží jako prostředníci mezi EU a občany. Ovšem předtím</w:t>
      </w:r>
      <w:r w:rsidR="005A1C60">
        <w:t>,</w:t>
      </w:r>
      <w:r w:rsidR="004B61DE">
        <w:t xml:space="preserve"> než výbor zahájí sběr prohlášení </w:t>
      </w:r>
      <w:r w:rsidR="003439EC">
        <w:br/>
      </w:r>
      <w:r w:rsidR="004B61DE">
        <w:t>o podpoře</w:t>
      </w:r>
      <w:r w:rsidR="00FA1575">
        <w:t>,</w:t>
      </w:r>
      <w:r w:rsidR="004B61DE">
        <w:t xml:space="preserve"> musí </w:t>
      </w:r>
      <w:r w:rsidR="00D0756F">
        <w:t xml:space="preserve">Komisi </w:t>
      </w:r>
      <w:r w:rsidR="00EB599A">
        <w:t>požádat o zaregistrování dané iniciativy</w:t>
      </w:r>
      <w:r w:rsidR="004B61DE">
        <w:t xml:space="preserve">. </w:t>
      </w:r>
      <w:r w:rsidR="005A1C60">
        <w:t xml:space="preserve">Při </w:t>
      </w:r>
      <w:r w:rsidR="00EB599A">
        <w:t xml:space="preserve">žádání </w:t>
      </w:r>
      <w:r w:rsidR="003439EC">
        <w:br/>
      </w:r>
      <w:r w:rsidR="00EB599A">
        <w:t xml:space="preserve">o </w:t>
      </w:r>
      <w:r w:rsidR="005A1C60">
        <w:t>registraci musí výbor předložit dokument</w:t>
      </w:r>
      <w:r w:rsidR="003439EC">
        <w:t>,</w:t>
      </w:r>
      <w:r w:rsidR="005A1C60">
        <w:t xml:space="preserve"> jenž obsahuje název a předmět iniciativy s jejím krátkým popisem a také nástinem právního základu navrhovaného pro právní kroky. Dále musí dokument </w:t>
      </w:r>
      <w:r w:rsidR="00F72E9D">
        <w:t>obsahovat</w:t>
      </w:r>
      <w:r w:rsidR="00D0756F">
        <w:t xml:space="preserve"> také</w:t>
      </w:r>
      <w:r w:rsidR="00F72E9D">
        <w:t xml:space="preserve"> informace o členech daného výboru </w:t>
      </w:r>
      <w:r w:rsidR="00D0756F">
        <w:t>(Evropsk</w:t>
      </w:r>
      <w:r w:rsidR="00E247B4">
        <w:t>ý</w:t>
      </w:r>
      <w:r w:rsidR="00D0756F">
        <w:t xml:space="preserve"> </w:t>
      </w:r>
      <w:r w:rsidR="00E247B4">
        <w:t>parlament</w:t>
      </w:r>
      <w:r w:rsidR="00D0756F">
        <w:t>, 202</w:t>
      </w:r>
      <w:r w:rsidR="009644AC">
        <w:t>0</w:t>
      </w:r>
      <w:r w:rsidR="00D0756F">
        <w:t xml:space="preserve">). </w:t>
      </w:r>
      <w:r w:rsidR="00EB599A">
        <w:t>Komise má dva měsíce na to, aby rozhodla, zda danou žádost o registraci přijme</w:t>
      </w:r>
      <w:r w:rsidR="003439EC">
        <w:t>,</w:t>
      </w:r>
      <w:r w:rsidR="00EB599A">
        <w:t xml:space="preserve"> či nikoliv. </w:t>
      </w:r>
      <w:r w:rsidR="00EB599A" w:rsidRPr="00EB599A">
        <w:rPr>
          <w:i/>
          <w:iCs/>
        </w:rPr>
        <w:t>„Na rozhodnutí Komise lze uplatnit soudní i mimosoudní opravné prostředky.“</w:t>
      </w:r>
      <w:r w:rsidR="00EB599A">
        <w:t xml:space="preserve"> (Evropsk</w:t>
      </w:r>
      <w:r w:rsidR="00E247B4">
        <w:t>ý</w:t>
      </w:r>
      <w:r w:rsidR="00EB599A">
        <w:t xml:space="preserve"> </w:t>
      </w:r>
      <w:r w:rsidR="00E247B4">
        <w:t>parlament</w:t>
      </w:r>
      <w:r w:rsidR="00EB599A">
        <w:t>, 202</w:t>
      </w:r>
      <w:r w:rsidR="009644AC">
        <w:t>0</w:t>
      </w:r>
      <w:r w:rsidR="00EB599A">
        <w:t xml:space="preserve">) </w:t>
      </w:r>
      <w:r w:rsidR="00772CF5">
        <w:t xml:space="preserve">Komise také může rozhodnout pouze o částečné registraci iniciativy, pokud nejsou splněny všechny formální požadavky. </w:t>
      </w:r>
    </w:p>
    <w:p w14:paraId="14A47710" w14:textId="50F6CF34" w:rsidR="00B06797" w:rsidRDefault="00FD5F77" w:rsidP="00DA137C">
      <w:pPr>
        <w:spacing w:line="360" w:lineRule="auto"/>
      </w:pPr>
      <w:r>
        <w:t xml:space="preserve">V okamžiku, kdy je iniciativa řádně zaregistrována, mohou občané začít vyjadřovat svou podporu. </w:t>
      </w:r>
      <w:r w:rsidR="00615B40">
        <w:t xml:space="preserve">Ovšem </w:t>
      </w:r>
      <w:r w:rsidR="00210ACD" w:rsidRPr="003439EC">
        <w:rPr>
          <w:i/>
        </w:rPr>
        <w:t>„skupina</w:t>
      </w:r>
      <w:r w:rsidR="00615B40" w:rsidRPr="003439EC">
        <w:rPr>
          <w:i/>
        </w:rPr>
        <w:t xml:space="preserve"> organizátorů má právo </w:t>
      </w:r>
      <w:r w:rsidR="00210ACD" w:rsidRPr="003439EC">
        <w:rPr>
          <w:i/>
        </w:rPr>
        <w:t xml:space="preserve">zvolit si datum začátku sběru prohlášení, a to ve lhůtě šesti </w:t>
      </w:r>
      <w:r w:rsidR="003439EC">
        <w:rPr>
          <w:i/>
        </w:rPr>
        <w:t>měsíců od registrace iniciativy</w:t>
      </w:r>
      <w:r w:rsidR="00210ACD" w:rsidRPr="003439EC">
        <w:rPr>
          <w:i/>
        </w:rPr>
        <w:t>“</w:t>
      </w:r>
      <w:r w:rsidR="00210ACD">
        <w:t xml:space="preserve"> (Nařízení 2019/788, 2019)</w:t>
      </w:r>
      <w:r w:rsidR="003439EC">
        <w:t>.</w:t>
      </w:r>
      <w:r w:rsidR="00615B40">
        <w:t xml:space="preserve"> </w:t>
      </w:r>
      <w:r w:rsidR="00CE76E3">
        <w:t xml:space="preserve">Organizátoři mají povinnost toto datum sdělit Komisi nejpozději </w:t>
      </w:r>
      <w:r w:rsidR="003439EC">
        <w:br/>
      </w:r>
      <w:r w:rsidR="00CE76E3">
        <w:t>10 pracovních dnů před zvoleným dat</w:t>
      </w:r>
      <w:r w:rsidR="003439EC">
        <w:t>em</w:t>
      </w:r>
      <w:r w:rsidR="00CE76E3">
        <w:t xml:space="preserve">. </w:t>
      </w:r>
      <w:r w:rsidR="00615B40">
        <w:t>K</w:t>
      </w:r>
      <w:r>
        <w:t> dosáhnutí potřebného počtu prohlášení má iniciativa 12 měsíců</w:t>
      </w:r>
      <w:r w:rsidR="00CE76E3">
        <w:t xml:space="preserve"> od počátku sběru. </w:t>
      </w:r>
    </w:p>
    <w:p w14:paraId="655C274B" w14:textId="7C9648FB" w:rsidR="00CE76E3" w:rsidRPr="00EB599A" w:rsidRDefault="00CD6330" w:rsidP="00DA137C">
      <w:pPr>
        <w:spacing w:line="360" w:lineRule="auto"/>
      </w:pPr>
      <w:r>
        <w:t>Sběr prohlášení o podpoře je možný jak v listinné, tak i v elektronické podobě. Pro obě možnosti platí stejné požadav</w:t>
      </w:r>
      <w:r w:rsidR="003439EC">
        <w:t>ky na poskytnutí osobních údajů</w:t>
      </w:r>
      <w:r>
        <w:t xml:space="preserve"> tak</w:t>
      </w:r>
      <w:r w:rsidR="003439EC">
        <w:t>, aby bylo možné ta</w:t>
      </w:r>
      <w:r>
        <w:t>to prohlášení o podpoře ověřit. Pro účely elektronického prohlášení byl Komisí zřízen ce</w:t>
      </w:r>
      <w:r w:rsidR="003439EC">
        <w:t>ntrální systém sběru prohlášení</w:t>
      </w:r>
      <w:r>
        <w:t xml:space="preserve"> tak</w:t>
      </w:r>
      <w:r w:rsidR="003439EC">
        <w:t>,</w:t>
      </w:r>
      <w:r>
        <w:t xml:space="preserve"> aby </w:t>
      </w:r>
      <w:r w:rsidR="003B5BD7">
        <w:t>byl systém sběru dostupnější (Nařízení 2019/788, 2019).</w:t>
      </w:r>
    </w:p>
    <w:p w14:paraId="2D2D8566" w14:textId="77777777" w:rsidR="00707161" w:rsidRDefault="002C7D17" w:rsidP="002C7D17">
      <w:pPr>
        <w:spacing w:line="360" w:lineRule="auto"/>
      </w:pPr>
      <w:r>
        <w:t>Iniciativa vstupuje v platnost splněním dvou podmínek týkajících se počtu prohlášení o podpoře. První podmínka vyžaduje, aby iniciativu podpořil minimálně jeden milion občanů Unie pocházejících minimálně z</w:t>
      </w:r>
      <w:r w:rsidR="005E7971">
        <w:t> </w:t>
      </w:r>
      <w:r>
        <w:t>jedn</w:t>
      </w:r>
      <w:r w:rsidR="005E7971">
        <w:t xml:space="preserve">é čtvrtiny členských států. Druhá podmínka </w:t>
      </w:r>
      <w:r w:rsidR="002C11F6">
        <w:t xml:space="preserve">stanovuje, že </w:t>
      </w:r>
      <w:r w:rsidR="00707161" w:rsidRPr="00E247B4">
        <w:rPr>
          <w:i/>
          <w:iCs/>
        </w:rPr>
        <w:t xml:space="preserve">„nejméně v jedné čtvrtině členských států je k okamžiku registrace iniciativy počet podepsaných osob roven alespoň minimálnímu počtu </w:t>
      </w:r>
      <w:r w:rsidR="00707161" w:rsidRPr="00E247B4">
        <w:rPr>
          <w:i/>
          <w:iCs/>
        </w:rPr>
        <w:lastRenderedPageBreak/>
        <w:t>stanovenému v příloze I, jenž odpovídá počtu členů Evropského parlamentu volených v každém členském státě vynásobenému celkovým počtem členů Evropského parlamentu.“</w:t>
      </w:r>
      <w:r w:rsidR="00707161">
        <w:t xml:space="preserve"> (Nařízení 2019/788, 2019) </w:t>
      </w:r>
    </w:p>
    <w:p w14:paraId="66E3C295" w14:textId="0CD48DDF" w:rsidR="00F07A9B" w:rsidRDefault="00707161" w:rsidP="002C7D17">
      <w:pPr>
        <w:spacing w:line="360" w:lineRule="auto"/>
      </w:pPr>
      <w:r>
        <w:t xml:space="preserve">Jakmile </w:t>
      </w:r>
      <w:r w:rsidR="00847AE9">
        <w:t>Komise obdrží občanskou iniciativu podpořenou požadovaným počtem občanů</w:t>
      </w:r>
      <w:r w:rsidR="003439EC">
        <w:t>,</w:t>
      </w:r>
      <w:r w:rsidR="00847AE9">
        <w:t xml:space="preserve"> má skupina organizátorů právo</w:t>
      </w:r>
      <w:r>
        <w:t xml:space="preserve"> na veřejné slyšení </w:t>
      </w:r>
      <w:r w:rsidR="00847AE9">
        <w:t>na úrovni Unie. Evropský parlament má povinnost zorganizovat toto slyšení do tří měsíců od obdržení iniciativy Komisí.</w:t>
      </w:r>
      <w:r>
        <w:t xml:space="preserve"> </w:t>
      </w:r>
      <w:r w:rsidR="003439EC">
        <w:t>Daného</w:t>
      </w:r>
      <w:r w:rsidR="00847AE9">
        <w:t xml:space="preserve"> slyšení má právo se zúčastnit</w:t>
      </w:r>
      <w:r w:rsidR="003439EC">
        <w:t>,</w:t>
      </w:r>
      <w:r w:rsidR="00847AE9">
        <w:t xml:space="preserve"> mi</w:t>
      </w:r>
      <w:r w:rsidR="00EF5F8F">
        <w:t xml:space="preserve">mo </w:t>
      </w:r>
      <w:r w:rsidR="003439EC">
        <w:t>Evropský parlament a Komisi,</w:t>
      </w:r>
      <w:r w:rsidR="00EF5F8F">
        <w:t xml:space="preserve"> také Rada a další poradní orgány Unie, kterých se </w:t>
      </w:r>
      <w:r w:rsidR="003439EC">
        <w:t>zmíněná</w:t>
      </w:r>
      <w:r w:rsidR="00EF5F8F">
        <w:t xml:space="preserve"> iniciativa týká (Evropsk</w:t>
      </w:r>
      <w:r w:rsidR="00E247B4">
        <w:t>ý</w:t>
      </w:r>
      <w:r w:rsidR="00EF5F8F">
        <w:t xml:space="preserve"> </w:t>
      </w:r>
      <w:r w:rsidR="00E247B4">
        <w:t>parlament</w:t>
      </w:r>
      <w:r w:rsidR="00EF5F8F">
        <w:t>, 202</w:t>
      </w:r>
      <w:r w:rsidR="009644AC">
        <w:t>0</w:t>
      </w:r>
      <w:r w:rsidR="00EF5F8F">
        <w:t>). Aby byla zajištěna účast občanů na demokratic</w:t>
      </w:r>
      <w:r w:rsidR="00695552">
        <w:t>kém fungování Unie</w:t>
      </w:r>
      <w:r w:rsidR="005927BF">
        <w:t>,</w:t>
      </w:r>
      <w:r w:rsidR="00695552">
        <w:t xml:space="preserve"> je Komise povinna se vyjádřit k platné iniciativě do šesti měsíců od jejího přijetí. To znamená představit své právní a politické závěry</w:t>
      </w:r>
      <w:r w:rsidR="00F07A9B">
        <w:t xml:space="preserve"> a také opatření, která hodlá v souvislosti s danou iniciativou přijmout, vše musí řádně zdůvodnit a popřípad</w:t>
      </w:r>
      <w:r w:rsidR="005927BF">
        <w:t>ě předložit návrh právního aktu</w:t>
      </w:r>
      <w:r w:rsidR="00F07A9B">
        <w:t xml:space="preserve"> </w:t>
      </w:r>
      <w:r w:rsidR="009C4367">
        <w:t>(Evropský parlament, 202</w:t>
      </w:r>
      <w:r w:rsidR="009644AC">
        <w:t>0</w:t>
      </w:r>
      <w:r w:rsidR="009C4367">
        <w:t>)</w:t>
      </w:r>
      <w:r w:rsidR="005927BF">
        <w:t>.</w:t>
      </w:r>
    </w:p>
    <w:p w14:paraId="1193B5E6" w14:textId="0EE62CAE" w:rsidR="00A910F3" w:rsidRDefault="00F07A9B" w:rsidP="002C7D17">
      <w:pPr>
        <w:spacing w:line="360" w:lineRule="auto"/>
      </w:pPr>
      <w:r>
        <w:t>Evropský parlament, jakožto jediný přímo volený orgán Unie zastupující občany</w:t>
      </w:r>
      <w:r w:rsidR="005927BF">
        <w:t>,</w:t>
      </w:r>
      <w:r>
        <w:t xml:space="preserve"> má právo na posouzení plat</w:t>
      </w:r>
      <w:r w:rsidR="005927BF">
        <w:t>né politické podpory iniciativy po chvíli, kdy</w:t>
      </w:r>
      <w:r>
        <w:t xml:space="preserve"> proběhlo veřejné slyšení. </w:t>
      </w:r>
      <w:r w:rsidR="008046A9">
        <w:t>Parlament má rovněž právo posoudit opatření, která Komise přij</w:t>
      </w:r>
      <w:r w:rsidR="005927BF">
        <w:t>ala v souvislosti s iniciativou</w:t>
      </w:r>
      <w:r w:rsidR="008046A9">
        <w:t xml:space="preserve"> </w:t>
      </w:r>
      <w:r w:rsidR="009C4367">
        <w:t>(Evropský parlament, 202</w:t>
      </w:r>
      <w:r w:rsidR="009644AC">
        <w:t>0</w:t>
      </w:r>
      <w:r w:rsidR="009C4367">
        <w:t>)</w:t>
      </w:r>
      <w:r w:rsidR="005927BF">
        <w:t>.</w:t>
      </w:r>
    </w:p>
    <w:p w14:paraId="09D4F6D4" w14:textId="72A72286" w:rsidR="0063766F" w:rsidRPr="003D15B8" w:rsidRDefault="00A910F3" w:rsidP="0063766F">
      <w:pPr>
        <w:spacing w:line="360" w:lineRule="auto"/>
        <w:rPr>
          <w:rFonts w:cs="Times New Roman"/>
          <w:color w:val="1E1E1F"/>
          <w:szCs w:val="24"/>
          <w:shd w:val="clear" w:color="auto" w:fill="FFFFFF"/>
        </w:rPr>
      </w:pPr>
      <w:r>
        <w:t xml:space="preserve">Od vstupu původního </w:t>
      </w:r>
      <w:r w:rsidR="005927BF">
        <w:t>nařízení z roku 2011 v platnost</w:t>
      </w:r>
      <w:r>
        <w:t xml:space="preserve"> dosáhlo požadovaného počtu prohlášení pouze šest občanských iniciativ. </w:t>
      </w:r>
      <w:r w:rsidR="000E7FC8">
        <w:t>První iniciativa, které se podařilo překonat požadovaný počet hlasů</w:t>
      </w:r>
      <w:r w:rsidR="005927BF">
        <w:t>,</w:t>
      </w:r>
      <w:r w:rsidR="000E7FC8">
        <w:t xml:space="preserve"> nesla název </w:t>
      </w:r>
      <w:r w:rsidR="000E7FC8" w:rsidRPr="002F51B4">
        <w:rPr>
          <w:i/>
          <w:iCs/>
        </w:rPr>
        <w:t>„Právo na vodu“</w:t>
      </w:r>
      <w:r w:rsidR="000E7FC8">
        <w:t xml:space="preserve">. </w:t>
      </w:r>
      <w:r w:rsidR="005927BF">
        <w:t>Se zmíněnou</w:t>
      </w:r>
      <w:r w:rsidR="000E7FC8">
        <w:t xml:space="preserve"> iniciativou </w:t>
      </w:r>
      <w:r w:rsidR="002F51B4">
        <w:t xml:space="preserve">uspořádal Parlament slyšení v roce 2014. Dalšími iniciativami byly například </w:t>
      </w:r>
      <w:r w:rsidR="002F51B4" w:rsidRPr="002F51B4">
        <w:rPr>
          <w:i/>
          <w:iCs/>
        </w:rPr>
        <w:t>„Zastavte vivisekci“</w:t>
      </w:r>
      <w:r w:rsidR="002F51B4">
        <w:t xml:space="preserve"> nebo </w:t>
      </w:r>
      <w:r w:rsidR="002F51B4" w:rsidRPr="002F51B4">
        <w:rPr>
          <w:rFonts w:cs="Times New Roman"/>
          <w:i/>
          <w:iCs/>
          <w:szCs w:val="24"/>
        </w:rPr>
        <w:t>„</w:t>
      </w:r>
      <w:r w:rsidR="002F51B4" w:rsidRPr="002F51B4">
        <w:rPr>
          <w:rFonts w:cs="Times New Roman"/>
          <w:i/>
          <w:iCs/>
          <w:color w:val="1E1E1F"/>
          <w:szCs w:val="24"/>
          <w:shd w:val="clear" w:color="auto" w:fill="FFFFFF"/>
        </w:rPr>
        <w:t xml:space="preserve">Minority </w:t>
      </w:r>
      <w:proofErr w:type="spellStart"/>
      <w:r w:rsidR="002F51B4" w:rsidRPr="002F51B4">
        <w:rPr>
          <w:rFonts w:cs="Times New Roman"/>
          <w:i/>
          <w:iCs/>
          <w:color w:val="1E1E1F"/>
          <w:szCs w:val="24"/>
          <w:shd w:val="clear" w:color="auto" w:fill="FFFFFF"/>
        </w:rPr>
        <w:t>SafePack</w:t>
      </w:r>
      <w:proofErr w:type="spellEnd"/>
      <w:r w:rsidR="002F51B4" w:rsidRPr="002F51B4">
        <w:rPr>
          <w:rFonts w:cs="Times New Roman"/>
          <w:i/>
          <w:iCs/>
          <w:color w:val="1E1E1F"/>
          <w:szCs w:val="24"/>
          <w:shd w:val="clear" w:color="auto" w:fill="FFFFFF"/>
        </w:rPr>
        <w:t xml:space="preserve"> – milion podpisů pro rozmanitost v Evropě a Konec doby klecové“.</w:t>
      </w:r>
      <w:r w:rsidR="00077753">
        <w:rPr>
          <w:rFonts w:cs="Times New Roman"/>
          <w:i/>
          <w:iCs/>
          <w:color w:val="1E1E1F"/>
          <w:szCs w:val="24"/>
          <w:shd w:val="clear" w:color="auto" w:fill="FFFFFF"/>
        </w:rPr>
        <w:t xml:space="preserve"> </w:t>
      </w:r>
      <w:r w:rsidR="0085537F">
        <w:rPr>
          <w:rFonts w:cs="Times New Roman"/>
          <w:color w:val="1E1E1F"/>
          <w:szCs w:val="24"/>
          <w:shd w:val="clear" w:color="auto" w:fill="FFFFFF"/>
        </w:rPr>
        <w:t xml:space="preserve">Problematickým fungováním tohoto procesu se zabýval ve své výzkumné zprávě </w:t>
      </w:r>
      <w:r w:rsidR="0085537F" w:rsidRPr="0085537F">
        <w:rPr>
          <w:rFonts w:cs="Times New Roman"/>
          <w:i/>
          <w:iCs/>
          <w:color w:val="1E1E1F"/>
          <w:szCs w:val="24"/>
          <w:shd w:val="clear" w:color="auto" w:fill="FFFFFF"/>
        </w:rPr>
        <w:t>„</w:t>
      </w:r>
      <w:proofErr w:type="spellStart"/>
      <w:r w:rsidR="00DC6CAD" w:rsidRPr="00DC6CAD">
        <w:rPr>
          <w:i/>
          <w:iCs/>
        </w:rPr>
        <w:t>The</w:t>
      </w:r>
      <w:proofErr w:type="spellEnd"/>
      <w:r w:rsidR="00DC6CAD" w:rsidRPr="00DC6CAD">
        <w:rPr>
          <w:i/>
          <w:iCs/>
        </w:rPr>
        <w:t xml:space="preserve"> </w:t>
      </w:r>
      <w:proofErr w:type="spellStart"/>
      <w:r w:rsidR="00DC6CAD" w:rsidRPr="00DC6CAD">
        <w:rPr>
          <w:i/>
          <w:iCs/>
        </w:rPr>
        <w:t>European</w:t>
      </w:r>
      <w:proofErr w:type="spellEnd"/>
      <w:r w:rsidR="00DC6CAD" w:rsidRPr="00DC6CAD">
        <w:rPr>
          <w:i/>
          <w:iCs/>
        </w:rPr>
        <w:t xml:space="preserve"> </w:t>
      </w:r>
      <w:proofErr w:type="spellStart"/>
      <w:r w:rsidR="00DC6CAD" w:rsidRPr="00DC6CAD">
        <w:rPr>
          <w:i/>
          <w:iCs/>
        </w:rPr>
        <w:t>Citizens</w:t>
      </w:r>
      <w:proofErr w:type="spellEnd"/>
      <w:r w:rsidR="00DC6CAD" w:rsidRPr="00DC6CAD">
        <w:rPr>
          <w:i/>
          <w:iCs/>
        </w:rPr>
        <w:t xml:space="preserve">’ </w:t>
      </w:r>
      <w:proofErr w:type="spellStart"/>
      <w:r w:rsidR="00DC6CAD" w:rsidRPr="00DC6CAD">
        <w:rPr>
          <w:i/>
          <w:iCs/>
        </w:rPr>
        <w:t>Initiative</w:t>
      </w:r>
      <w:proofErr w:type="spellEnd"/>
      <w:r w:rsidR="00DC6CAD" w:rsidRPr="00DC6CAD">
        <w:rPr>
          <w:i/>
          <w:iCs/>
        </w:rPr>
        <w:t xml:space="preserve">, a </w:t>
      </w:r>
      <w:proofErr w:type="spellStart"/>
      <w:r w:rsidR="00DC6CAD" w:rsidRPr="00DC6CAD">
        <w:rPr>
          <w:i/>
          <w:iCs/>
        </w:rPr>
        <w:t>sufficient</w:t>
      </w:r>
      <w:proofErr w:type="spellEnd"/>
      <w:r w:rsidR="00DC6CAD" w:rsidRPr="00DC6CAD">
        <w:rPr>
          <w:i/>
          <w:iCs/>
        </w:rPr>
        <w:t xml:space="preserve"> </w:t>
      </w:r>
      <w:proofErr w:type="spellStart"/>
      <w:r w:rsidR="00DC6CAD" w:rsidRPr="00DC6CAD">
        <w:rPr>
          <w:i/>
          <w:iCs/>
        </w:rPr>
        <w:t>tool</w:t>
      </w:r>
      <w:proofErr w:type="spellEnd"/>
      <w:r w:rsidR="00DC6CAD" w:rsidRPr="00DC6CAD">
        <w:rPr>
          <w:i/>
          <w:iCs/>
        </w:rPr>
        <w:t xml:space="preserve"> to </w:t>
      </w:r>
      <w:proofErr w:type="spellStart"/>
      <w:r w:rsidR="00DC6CAD" w:rsidRPr="00DC6CAD">
        <w:rPr>
          <w:i/>
          <w:iCs/>
        </w:rPr>
        <w:t>bring</w:t>
      </w:r>
      <w:proofErr w:type="spellEnd"/>
      <w:r w:rsidR="00DC6CAD" w:rsidRPr="00DC6CAD">
        <w:rPr>
          <w:i/>
          <w:iCs/>
        </w:rPr>
        <w:t xml:space="preserve"> </w:t>
      </w:r>
      <w:proofErr w:type="spellStart"/>
      <w:r w:rsidR="00DC6CAD" w:rsidRPr="00DC6CAD">
        <w:rPr>
          <w:i/>
          <w:iCs/>
        </w:rPr>
        <w:t>Europe</w:t>
      </w:r>
      <w:proofErr w:type="spellEnd"/>
      <w:r w:rsidR="00DC6CAD" w:rsidRPr="00DC6CAD">
        <w:rPr>
          <w:i/>
          <w:iCs/>
        </w:rPr>
        <w:t xml:space="preserve"> </w:t>
      </w:r>
      <w:proofErr w:type="spellStart"/>
      <w:r w:rsidR="00DC6CAD" w:rsidRPr="00DC6CAD">
        <w:rPr>
          <w:i/>
          <w:iCs/>
        </w:rPr>
        <w:t>closer</w:t>
      </w:r>
      <w:proofErr w:type="spellEnd"/>
      <w:r w:rsidR="00DC6CAD" w:rsidRPr="00DC6CAD">
        <w:rPr>
          <w:i/>
          <w:iCs/>
        </w:rPr>
        <w:t xml:space="preserve"> to </w:t>
      </w:r>
      <w:proofErr w:type="spellStart"/>
      <w:r w:rsidR="00DC6CAD" w:rsidRPr="00DC6CAD">
        <w:rPr>
          <w:i/>
          <w:iCs/>
        </w:rPr>
        <w:t>its</w:t>
      </w:r>
      <w:proofErr w:type="spellEnd"/>
      <w:r w:rsidR="00DC6CAD" w:rsidRPr="00DC6CAD">
        <w:rPr>
          <w:i/>
          <w:iCs/>
        </w:rPr>
        <w:t xml:space="preserve"> </w:t>
      </w:r>
      <w:proofErr w:type="spellStart"/>
      <w:r w:rsidR="00DC6CAD" w:rsidRPr="00DC6CAD">
        <w:rPr>
          <w:i/>
          <w:iCs/>
        </w:rPr>
        <w:t>citizens</w:t>
      </w:r>
      <w:proofErr w:type="spellEnd"/>
      <w:r w:rsidR="00DC6CAD" w:rsidRPr="00DC6CAD">
        <w:rPr>
          <w:i/>
          <w:iCs/>
        </w:rPr>
        <w:t>?</w:t>
      </w:r>
      <w:r w:rsidR="0085537F" w:rsidRPr="0085537F">
        <w:rPr>
          <w:rFonts w:cs="Times New Roman"/>
          <w:i/>
          <w:iCs/>
          <w:color w:val="1E1E1F"/>
          <w:szCs w:val="24"/>
          <w:shd w:val="clear" w:color="auto" w:fill="FFFFFF"/>
        </w:rPr>
        <w:t>“</w:t>
      </w:r>
      <w:r w:rsidR="0085537F">
        <w:rPr>
          <w:rFonts w:cs="Times New Roman"/>
          <w:color w:val="1E1E1F"/>
          <w:szCs w:val="24"/>
          <w:shd w:val="clear" w:color="auto" w:fill="FFFFFF"/>
        </w:rPr>
        <w:t xml:space="preserve"> výzkumník Basile </w:t>
      </w:r>
      <w:proofErr w:type="spellStart"/>
      <w:r w:rsidR="0085537F">
        <w:rPr>
          <w:rFonts w:cs="Times New Roman"/>
          <w:color w:val="1E1E1F"/>
          <w:szCs w:val="24"/>
          <w:shd w:val="clear" w:color="auto" w:fill="FFFFFF"/>
        </w:rPr>
        <w:t>Ridard</w:t>
      </w:r>
      <w:proofErr w:type="spellEnd"/>
      <w:r w:rsidR="0085537F">
        <w:rPr>
          <w:rFonts w:cs="Times New Roman"/>
          <w:color w:val="1E1E1F"/>
          <w:szCs w:val="24"/>
          <w:shd w:val="clear" w:color="auto" w:fill="FFFFFF"/>
        </w:rPr>
        <w:t>, který působí na Univerzitě v </w:t>
      </w:r>
      <w:proofErr w:type="spellStart"/>
      <w:r w:rsidR="0085537F">
        <w:rPr>
          <w:rFonts w:cs="Times New Roman"/>
          <w:color w:val="1E1E1F"/>
          <w:szCs w:val="24"/>
          <w:shd w:val="clear" w:color="auto" w:fill="FFFFFF"/>
        </w:rPr>
        <w:t>Poitiers</w:t>
      </w:r>
      <w:proofErr w:type="spellEnd"/>
      <w:r w:rsidR="0085537F">
        <w:rPr>
          <w:rFonts w:cs="Times New Roman"/>
          <w:color w:val="1E1E1F"/>
          <w:szCs w:val="24"/>
          <w:shd w:val="clear" w:color="auto" w:fill="FFFFFF"/>
        </w:rPr>
        <w:t xml:space="preserve">. Za hlavní problém považuje autor především krátké sběrné období </w:t>
      </w:r>
      <w:r w:rsidR="00B17BDE">
        <w:rPr>
          <w:rFonts w:cs="Times New Roman"/>
          <w:color w:val="1E1E1F"/>
          <w:szCs w:val="24"/>
          <w:shd w:val="clear" w:color="auto" w:fill="FFFFFF"/>
        </w:rPr>
        <w:t xml:space="preserve">pro získání podpory jednoho milionu obyvatel Evropské unie. </w:t>
      </w:r>
      <w:r w:rsidR="005927BF">
        <w:rPr>
          <w:rFonts w:cs="Times New Roman"/>
          <w:color w:val="1E1E1F"/>
          <w:szCs w:val="24"/>
          <w:shd w:val="clear" w:color="auto" w:fill="FFFFFF"/>
        </w:rPr>
        <w:t>Dané</w:t>
      </w:r>
      <w:r w:rsidR="00B17BDE">
        <w:rPr>
          <w:rFonts w:cs="Times New Roman"/>
          <w:color w:val="1E1E1F"/>
          <w:szCs w:val="24"/>
          <w:shd w:val="clear" w:color="auto" w:fill="FFFFFF"/>
        </w:rPr>
        <w:t xml:space="preserve"> vysoké hranice je velmi obtížné dosáhnout za pouhých 12 měsíců, nicméně </w:t>
      </w:r>
      <w:r w:rsidR="005B35F0">
        <w:rPr>
          <w:rFonts w:cs="Times New Roman"/>
          <w:color w:val="1E1E1F"/>
          <w:szCs w:val="24"/>
          <w:shd w:val="clear" w:color="auto" w:fill="FFFFFF"/>
        </w:rPr>
        <w:t>tato hranice je opráv</w:t>
      </w:r>
      <w:r w:rsidR="005927BF">
        <w:rPr>
          <w:rFonts w:cs="Times New Roman"/>
          <w:color w:val="1E1E1F"/>
          <w:szCs w:val="24"/>
          <w:shd w:val="clear" w:color="auto" w:fill="FFFFFF"/>
        </w:rPr>
        <w:t>něná vzhledem k tomu, že cílem e</w:t>
      </w:r>
      <w:r w:rsidR="005B35F0">
        <w:rPr>
          <w:rFonts w:cs="Times New Roman"/>
          <w:color w:val="1E1E1F"/>
          <w:szCs w:val="24"/>
          <w:shd w:val="clear" w:color="auto" w:fill="FFFFFF"/>
        </w:rPr>
        <w:t>vropské občanské iniciativy je reagovat na problémy evropského rozměru (</w:t>
      </w:r>
      <w:proofErr w:type="spellStart"/>
      <w:r w:rsidR="005B35F0">
        <w:rPr>
          <w:rFonts w:cs="Times New Roman"/>
          <w:color w:val="1E1E1F"/>
          <w:szCs w:val="24"/>
          <w:shd w:val="clear" w:color="auto" w:fill="FFFFFF"/>
        </w:rPr>
        <w:t>Ridard</w:t>
      </w:r>
      <w:proofErr w:type="spellEnd"/>
      <w:r w:rsidR="005B35F0">
        <w:rPr>
          <w:rFonts w:cs="Times New Roman"/>
          <w:color w:val="1E1E1F"/>
          <w:szCs w:val="24"/>
          <w:shd w:val="clear" w:color="auto" w:fill="FFFFFF"/>
        </w:rPr>
        <w:t>, 2018).</w:t>
      </w:r>
      <w:r w:rsidR="00787BF1">
        <w:rPr>
          <w:rFonts w:cs="Times New Roman"/>
          <w:color w:val="1E1E1F"/>
          <w:szCs w:val="24"/>
          <w:shd w:val="clear" w:color="auto" w:fill="FFFFFF"/>
        </w:rPr>
        <w:t xml:space="preserve"> Dle jeho výzkumu byly dosud jedinými úspěšnými iniciativami ty, které byly zahájeny organizace občanské společnosti.</w:t>
      </w:r>
      <w:r w:rsidR="005927BF">
        <w:rPr>
          <w:rFonts w:cs="Times New Roman"/>
          <w:color w:val="1E1E1F"/>
          <w:szCs w:val="24"/>
          <w:shd w:val="clear" w:color="auto" w:fill="FFFFFF"/>
        </w:rPr>
        <w:t xml:space="preserve"> To znamená, že jednotliví</w:t>
      </w:r>
      <w:r w:rsidR="00787BF1">
        <w:rPr>
          <w:rFonts w:cs="Times New Roman"/>
          <w:color w:val="1E1E1F"/>
          <w:szCs w:val="24"/>
          <w:shd w:val="clear" w:color="auto" w:fill="FFFFFF"/>
        </w:rPr>
        <w:t xml:space="preserve"> občané mohou jen stěží uspět bez podpory </w:t>
      </w:r>
      <w:r w:rsidR="00787BF1">
        <w:rPr>
          <w:rFonts w:cs="Times New Roman"/>
          <w:color w:val="1E1E1F"/>
          <w:szCs w:val="24"/>
          <w:shd w:val="clear" w:color="auto" w:fill="FFFFFF"/>
        </w:rPr>
        <w:lastRenderedPageBreak/>
        <w:t>strukturované organizace (</w:t>
      </w:r>
      <w:proofErr w:type="spellStart"/>
      <w:r w:rsidR="00787BF1">
        <w:rPr>
          <w:rFonts w:cs="Times New Roman"/>
          <w:color w:val="1E1E1F"/>
          <w:szCs w:val="24"/>
          <w:shd w:val="clear" w:color="auto" w:fill="FFFFFF"/>
        </w:rPr>
        <w:t>Ridard</w:t>
      </w:r>
      <w:proofErr w:type="spellEnd"/>
      <w:r w:rsidR="00787BF1">
        <w:rPr>
          <w:rFonts w:cs="Times New Roman"/>
          <w:color w:val="1E1E1F"/>
          <w:szCs w:val="24"/>
          <w:shd w:val="clear" w:color="auto" w:fill="FFFFFF"/>
        </w:rPr>
        <w:t xml:space="preserve">, 2018). </w:t>
      </w:r>
      <w:r w:rsidR="0063766F">
        <w:rPr>
          <w:rFonts w:cs="Times New Roman"/>
          <w:color w:val="1E1E1F"/>
          <w:szCs w:val="24"/>
          <w:shd w:val="clear" w:color="auto" w:fill="FFFFFF"/>
        </w:rPr>
        <w:t xml:space="preserve">S dalším </w:t>
      </w:r>
      <w:r w:rsidR="005927BF">
        <w:rPr>
          <w:rFonts w:cs="Times New Roman"/>
          <w:color w:val="1E1E1F"/>
          <w:szCs w:val="24"/>
          <w:shd w:val="clear" w:color="auto" w:fill="FFFFFF"/>
        </w:rPr>
        <w:t>problémem e</w:t>
      </w:r>
      <w:r w:rsidR="0063766F">
        <w:rPr>
          <w:rFonts w:cs="Times New Roman"/>
          <w:color w:val="1E1E1F"/>
          <w:szCs w:val="24"/>
          <w:shd w:val="clear" w:color="auto" w:fill="FFFFFF"/>
        </w:rPr>
        <w:t>vropské občanské iniciativy přichází také výzkum</w:t>
      </w:r>
      <w:r w:rsidR="00ED65D5">
        <w:rPr>
          <w:rFonts w:cs="Times New Roman"/>
          <w:color w:val="1E1E1F"/>
          <w:szCs w:val="24"/>
          <w:shd w:val="clear" w:color="auto" w:fill="FFFFFF"/>
        </w:rPr>
        <w:t>ná zpráva</w:t>
      </w:r>
      <w:r w:rsidR="0063766F">
        <w:rPr>
          <w:rFonts w:cs="Times New Roman"/>
          <w:color w:val="1E1E1F"/>
          <w:szCs w:val="24"/>
          <w:shd w:val="clear" w:color="auto" w:fill="FFFFFF"/>
        </w:rPr>
        <w:t xml:space="preserve"> </w:t>
      </w:r>
      <w:r w:rsidR="0063766F" w:rsidRPr="0063766F">
        <w:rPr>
          <w:rFonts w:cs="Times New Roman"/>
          <w:i/>
          <w:iCs/>
          <w:color w:val="1E1E1F"/>
          <w:szCs w:val="24"/>
          <w:shd w:val="clear" w:color="auto" w:fill="FFFFFF"/>
        </w:rPr>
        <w:t>„</w:t>
      </w:r>
      <w:proofErr w:type="spellStart"/>
      <w:r w:rsidR="0063766F" w:rsidRPr="0063766F">
        <w:rPr>
          <w:rFonts w:cs="Times New Roman"/>
          <w:i/>
          <w:iCs/>
          <w:color w:val="1E1E1F"/>
          <w:szCs w:val="24"/>
          <w:shd w:val="clear" w:color="auto" w:fill="FFFFFF"/>
        </w:rPr>
        <w:t>Six</w:t>
      </w:r>
      <w:proofErr w:type="spellEnd"/>
      <w:r w:rsidR="0063766F" w:rsidRPr="0063766F">
        <w:rPr>
          <w:rFonts w:cs="Times New Roman"/>
          <w:i/>
          <w:iCs/>
          <w:color w:val="1E1E1F"/>
          <w:szCs w:val="24"/>
          <w:shd w:val="clear" w:color="auto" w:fill="FFFFFF"/>
        </w:rPr>
        <w:t xml:space="preserve"> </w:t>
      </w:r>
      <w:proofErr w:type="spellStart"/>
      <w:r w:rsidR="0063766F" w:rsidRPr="0063766F">
        <w:rPr>
          <w:rFonts w:cs="Times New Roman"/>
          <w:i/>
          <w:iCs/>
          <w:color w:val="1E1E1F"/>
          <w:szCs w:val="24"/>
          <w:shd w:val="clear" w:color="auto" w:fill="FFFFFF"/>
        </w:rPr>
        <w:t>Ideas</w:t>
      </w:r>
      <w:proofErr w:type="spellEnd"/>
      <w:r w:rsidR="0063766F" w:rsidRPr="0063766F">
        <w:rPr>
          <w:rFonts w:cs="Times New Roman"/>
          <w:i/>
          <w:iCs/>
          <w:color w:val="1E1E1F"/>
          <w:szCs w:val="24"/>
          <w:shd w:val="clear" w:color="auto" w:fill="FFFFFF"/>
        </w:rPr>
        <w:t xml:space="preserve"> </w:t>
      </w:r>
      <w:proofErr w:type="spellStart"/>
      <w:r w:rsidR="0063766F" w:rsidRPr="0063766F">
        <w:rPr>
          <w:rFonts w:cs="Times New Roman"/>
          <w:i/>
          <w:iCs/>
          <w:color w:val="1E1E1F"/>
          <w:szCs w:val="24"/>
          <w:shd w:val="clear" w:color="auto" w:fill="FFFFFF"/>
        </w:rPr>
        <w:t>for</w:t>
      </w:r>
      <w:proofErr w:type="spellEnd"/>
      <w:r w:rsidR="0063766F" w:rsidRPr="0063766F">
        <w:rPr>
          <w:rFonts w:cs="Times New Roman"/>
          <w:i/>
          <w:iCs/>
          <w:color w:val="1E1E1F"/>
          <w:szCs w:val="24"/>
          <w:shd w:val="clear" w:color="auto" w:fill="FFFFFF"/>
        </w:rPr>
        <w:t xml:space="preserve"> </w:t>
      </w:r>
      <w:proofErr w:type="spellStart"/>
      <w:r w:rsidR="0063766F" w:rsidRPr="0063766F">
        <w:rPr>
          <w:rFonts w:cs="Times New Roman"/>
          <w:i/>
          <w:iCs/>
          <w:color w:val="1E1E1F"/>
          <w:szCs w:val="24"/>
          <w:shd w:val="clear" w:color="auto" w:fill="FFFFFF"/>
        </w:rPr>
        <w:t>Rejuvenating</w:t>
      </w:r>
      <w:proofErr w:type="spellEnd"/>
      <w:r w:rsidR="0063766F" w:rsidRPr="0063766F">
        <w:rPr>
          <w:rFonts w:cs="Times New Roman"/>
          <w:i/>
          <w:iCs/>
          <w:color w:val="1E1E1F"/>
          <w:szCs w:val="24"/>
          <w:shd w:val="clear" w:color="auto" w:fill="FFFFFF"/>
        </w:rPr>
        <w:t xml:space="preserve"> </w:t>
      </w:r>
      <w:proofErr w:type="spellStart"/>
      <w:r w:rsidR="0063766F" w:rsidRPr="0063766F">
        <w:rPr>
          <w:rFonts w:cs="Times New Roman"/>
          <w:i/>
          <w:iCs/>
          <w:color w:val="1E1E1F"/>
          <w:szCs w:val="24"/>
          <w:shd w:val="clear" w:color="auto" w:fill="FFFFFF"/>
        </w:rPr>
        <w:t>European</w:t>
      </w:r>
      <w:proofErr w:type="spellEnd"/>
      <w:r w:rsidR="0063766F" w:rsidRPr="0063766F">
        <w:rPr>
          <w:rFonts w:cs="Times New Roman"/>
          <w:i/>
          <w:iCs/>
          <w:color w:val="1E1E1F"/>
          <w:szCs w:val="24"/>
          <w:shd w:val="clear" w:color="auto" w:fill="FFFFFF"/>
        </w:rPr>
        <w:t xml:space="preserve"> </w:t>
      </w:r>
      <w:proofErr w:type="spellStart"/>
      <w:r w:rsidR="0063766F" w:rsidRPr="0063766F">
        <w:rPr>
          <w:rFonts w:cs="Times New Roman"/>
          <w:i/>
          <w:iCs/>
          <w:color w:val="1E1E1F"/>
          <w:szCs w:val="24"/>
          <w:shd w:val="clear" w:color="auto" w:fill="FFFFFF"/>
        </w:rPr>
        <w:t>Democracy</w:t>
      </w:r>
      <w:proofErr w:type="spellEnd"/>
      <w:r w:rsidR="0063766F" w:rsidRPr="0063766F">
        <w:rPr>
          <w:rFonts w:cs="Times New Roman"/>
          <w:i/>
          <w:iCs/>
          <w:color w:val="1E1E1F"/>
          <w:szCs w:val="24"/>
          <w:shd w:val="clear" w:color="auto" w:fill="FFFFFF"/>
        </w:rPr>
        <w:t>“</w:t>
      </w:r>
      <w:r w:rsidR="0063766F">
        <w:rPr>
          <w:rFonts w:cs="Times New Roman"/>
          <w:i/>
          <w:iCs/>
          <w:color w:val="1E1E1F"/>
          <w:szCs w:val="24"/>
          <w:shd w:val="clear" w:color="auto" w:fill="FFFFFF"/>
        </w:rPr>
        <w:t xml:space="preserve"> </w:t>
      </w:r>
      <w:r w:rsidR="0063766F">
        <w:rPr>
          <w:rFonts w:cs="Times New Roman"/>
          <w:color w:val="1E1E1F"/>
          <w:szCs w:val="24"/>
          <w:shd w:val="clear" w:color="auto" w:fill="FFFFFF"/>
        </w:rPr>
        <w:t xml:space="preserve">od Stephena </w:t>
      </w:r>
      <w:proofErr w:type="spellStart"/>
      <w:r w:rsidR="0063766F">
        <w:rPr>
          <w:rFonts w:cs="Times New Roman"/>
          <w:color w:val="1E1E1F"/>
          <w:szCs w:val="24"/>
          <w:shd w:val="clear" w:color="auto" w:fill="FFFFFF"/>
        </w:rPr>
        <w:t>Bouchera</w:t>
      </w:r>
      <w:proofErr w:type="spellEnd"/>
      <w:r w:rsidR="0063766F">
        <w:rPr>
          <w:rFonts w:cs="Times New Roman"/>
          <w:color w:val="1E1E1F"/>
          <w:szCs w:val="24"/>
          <w:shd w:val="clear" w:color="auto" w:fill="FFFFFF"/>
        </w:rPr>
        <w:t xml:space="preserve"> et al. </w:t>
      </w:r>
      <w:r w:rsidR="00F54F5A" w:rsidRPr="00F54F5A">
        <w:rPr>
          <w:rFonts w:cs="Times New Roman"/>
          <w:i/>
          <w:iCs/>
          <w:color w:val="1E1E1F"/>
          <w:szCs w:val="24"/>
          <w:shd w:val="clear" w:color="auto" w:fill="FFFFFF"/>
        </w:rPr>
        <w:t>„Potíž s tím, že se Komise stá</w:t>
      </w:r>
      <w:r w:rsidR="005927BF">
        <w:rPr>
          <w:rFonts w:cs="Times New Roman"/>
          <w:i/>
          <w:iCs/>
          <w:color w:val="1E1E1F"/>
          <w:szCs w:val="24"/>
          <w:shd w:val="clear" w:color="auto" w:fill="FFFFFF"/>
        </w:rPr>
        <w:t>vá jediným adresátem úspěšných o</w:t>
      </w:r>
      <w:r w:rsidR="00F54F5A" w:rsidRPr="00F54F5A">
        <w:rPr>
          <w:rFonts w:cs="Times New Roman"/>
          <w:i/>
          <w:iCs/>
          <w:color w:val="1E1E1F"/>
          <w:szCs w:val="24"/>
          <w:shd w:val="clear" w:color="auto" w:fill="FFFFFF"/>
        </w:rPr>
        <w:t>bčanských iniciativ</w:t>
      </w:r>
      <w:r w:rsidR="005927BF">
        <w:rPr>
          <w:rFonts w:cs="Times New Roman"/>
          <w:i/>
          <w:iCs/>
          <w:color w:val="1E1E1F"/>
          <w:szCs w:val="24"/>
          <w:shd w:val="clear" w:color="auto" w:fill="FFFFFF"/>
        </w:rPr>
        <w:t>,</w:t>
      </w:r>
      <w:r w:rsidR="00F54F5A" w:rsidRPr="00F54F5A">
        <w:rPr>
          <w:rFonts w:cs="Times New Roman"/>
          <w:i/>
          <w:iCs/>
          <w:color w:val="1E1E1F"/>
          <w:szCs w:val="24"/>
          <w:shd w:val="clear" w:color="auto" w:fill="FFFFFF"/>
        </w:rPr>
        <w:t xml:space="preserve"> je ten, že se Komise schází za zavřenými dveřmi</w:t>
      </w:r>
      <w:r w:rsidR="005927BF">
        <w:rPr>
          <w:rFonts w:cs="Times New Roman"/>
          <w:i/>
          <w:iCs/>
          <w:color w:val="1E1E1F"/>
          <w:szCs w:val="24"/>
          <w:shd w:val="clear" w:color="auto" w:fill="FFFFFF"/>
        </w:rPr>
        <w:t>,</w:t>
      </w:r>
      <w:r w:rsidR="00F54F5A" w:rsidRPr="00F54F5A">
        <w:rPr>
          <w:rFonts w:cs="Times New Roman"/>
          <w:i/>
          <w:iCs/>
          <w:color w:val="1E1E1F"/>
          <w:szCs w:val="24"/>
          <w:shd w:val="clear" w:color="auto" w:fill="FFFFFF"/>
        </w:rPr>
        <w:t xml:space="preserve"> a občané tak nevědí, jak jednání o dané občanské iniciativě probíhá. Vzhledem k tomu, že Komise není přímo voleným orgánem, má jen málo důvodů k tomu, aby na iniciativy reagovala s pozitivní odezvou.“</w:t>
      </w:r>
      <w:r w:rsidR="00F54F5A">
        <w:rPr>
          <w:rFonts w:cs="Times New Roman"/>
          <w:color w:val="1E1E1F"/>
          <w:szCs w:val="24"/>
          <w:shd w:val="clear" w:color="auto" w:fill="FFFFFF"/>
        </w:rPr>
        <w:t xml:space="preserve"> (</w:t>
      </w:r>
      <w:proofErr w:type="spellStart"/>
      <w:r w:rsidR="00F54F5A">
        <w:rPr>
          <w:rFonts w:cs="Times New Roman"/>
          <w:color w:val="1E1E1F"/>
          <w:szCs w:val="24"/>
          <w:shd w:val="clear" w:color="auto" w:fill="FFFFFF"/>
        </w:rPr>
        <w:t>Boucher</w:t>
      </w:r>
      <w:proofErr w:type="spellEnd"/>
      <w:r w:rsidR="00F54F5A">
        <w:rPr>
          <w:rFonts w:cs="Times New Roman"/>
          <w:color w:val="1E1E1F"/>
          <w:szCs w:val="24"/>
          <w:shd w:val="clear" w:color="auto" w:fill="FFFFFF"/>
        </w:rPr>
        <w:t xml:space="preserve"> et al., 2019)</w:t>
      </w:r>
      <w:r w:rsidR="00ED65D5">
        <w:rPr>
          <w:rFonts w:cs="Times New Roman"/>
          <w:color w:val="1E1E1F"/>
          <w:szCs w:val="24"/>
          <w:shd w:val="clear" w:color="auto" w:fill="FFFFFF"/>
        </w:rPr>
        <w:t xml:space="preserve"> Autoři </w:t>
      </w:r>
      <w:r w:rsidR="005927BF">
        <w:rPr>
          <w:rFonts w:cs="Times New Roman"/>
          <w:color w:val="1E1E1F"/>
          <w:szCs w:val="24"/>
          <w:shd w:val="clear" w:color="auto" w:fill="FFFFFF"/>
        </w:rPr>
        <w:t>zmíněné</w:t>
      </w:r>
      <w:r w:rsidR="00ED65D5">
        <w:rPr>
          <w:rFonts w:cs="Times New Roman"/>
          <w:color w:val="1E1E1F"/>
          <w:szCs w:val="24"/>
          <w:shd w:val="clear" w:color="auto" w:fill="FFFFFF"/>
        </w:rPr>
        <w:t xml:space="preserve"> zprávy ovšem přichází s možným řešením, které by mohlo posílit evropskou občanskou iniciativu tak, aby se stala účinným mechanismem zapojení občanů do legislativy EU. </w:t>
      </w:r>
      <w:r w:rsidR="003D15B8" w:rsidRPr="003D15B8">
        <w:rPr>
          <w:rFonts w:cs="Times New Roman"/>
          <w:i/>
          <w:iCs/>
          <w:color w:val="1E1E1F"/>
          <w:szCs w:val="24"/>
          <w:shd w:val="clear" w:color="auto" w:fill="FFFFFF"/>
        </w:rPr>
        <w:t>„</w:t>
      </w:r>
      <w:r w:rsidR="00ED65D5" w:rsidRPr="003D15B8">
        <w:rPr>
          <w:rFonts w:cs="Times New Roman"/>
          <w:i/>
          <w:iCs/>
          <w:color w:val="1E1E1F"/>
          <w:szCs w:val="24"/>
          <w:shd w:val="clear" w:color="auto" w:fill="FFFFFF"/>
        </w:rPr>
        <w:t>Národní parlamenty by měly být přizvány k veřejným slyšením Evropského parl</w:t>
      </w:r>
      <w:r w:rsidR="005927BF">
        <w:rPr>
          <w:rFonts w:cs="Times New Roman"/>
          <w:i/>
          <w:iCs/>
          <w:color w:val="1E1E1F"/>
          <w:szCs w:val="24"/>
          <w:shd w:val="clear" w:color="auto" w:fill="FFFFFF"/>
        </w:rPr>
        <w:t>amentu o úspěchu e</w:t>
      </w:r>
      <w:r w:rsidR="00ED65D5" w:rsidRPr="003D15B8">
        <w:rPr>
          <w:rFonts w:cs="Times New Roman"/>
          <w:i/>
          <w:iCs/>
          <w:color w:val="1E1E1F"/>
          <w:szCs w:val="24"/>
          <w:shd w:val="clear" w:color="auto" w:fill="FFFFFF"/>
        </w:rPr>
        <w:t xml:space="preserve">vropské občanské iniciativy a měly by následně uspořádat vlastní parlamentní debatu, kde by stanovily hlavní požadavky </w:t>
      </w:r>
      <w:r w:rsidR="003D15B8" w:rsidRPr="003D15B8">
        <w:rPr>
          <w:rFonts w:cs="Times New Roman"/>
          <w:i/>
          <w:iCs/>
          <w:color w:val="1E1E1F"/>
          <w:szCs w:val="24"/>
          <w:shd w:val="clear" w:color="auto" w:fill="FFFFFF"/>
        </w:rPr>
        <w:t>na následné kroky Komise a výkonných orgánů.“</w:t>
      </w:r>
      <w:r w:rsidR="003D15B8">
        <w:rPr>
          <w:rFonts w:cs="Times New Roman"/>
          <w:color w:val="1E1E1F"/>
          <w:szCs w:val="24"/>
          <w:shd w:val="clear" w:color="auto" w:fill="FFFFFF"/>
        </w:rPr>
        <w:t xml:space="preserve"> (</w:t>
      </w:r>
      <w:proofErr w:type="spellStart"/>
      <w:r w:rsidR="003D15B8">
        <w:rPr>
          <w:rFonts w:cs="Times New Roman"/>
          <w:color w:val="1E1E1F"/>
          <w:szCs w:val="24"/>
          <w:shd w:val="clear" w:color="auto" w:fill="FFFFFF"/>
        </w:rPr>
        <w:t>Boucher</w:t>
      </w:r>
      <w:proofErr w:type="spellEnd"/>
      <w:r w:rsidR="003D15B8">
        <w:rPr>
          <w:rFonts w:cs="Times New Roman"/>
          <w:color w:val="1E1E1F"/>
          <w:szCs w:val="24"/>
          <w:shd w:val="clear" w:color="auto" w:fill="FFFFFF"/>
        </w:rPr>
        <w:t xml:space="preserve"> et al., 2019) </w:t>
      </w:r>
      <w:r w:rsidR="005927BF">
        <w:rPr>
          <w:rFonts w:cs="Times New Roman"/>
          <w:color w:val="1E1E1F"/>
          <w:szCs w:val="24"/>
          <w:shd w:val="clear" w:color="auto" w:fill="FFFFFF"/>
        </w:rPr>
        <w:t>Dané</w:t>
      </w:r>
      <w:r w:rsidR="003D15B8">
        <w:rPr>
          <w:rFonts w:cs="Times New Roman"/>
          <w:color w:val="1E1E1F"/>
          <w:szCs w:val="24"/>
          <w:shd w:val="clear" w:color="auto" w:fill="FFFFFF"/>
        </w:rPr>
        <w:t xml:space="preserve"> zapojení národních parlamentů by mohlo přispět k lepšímu propojení mezi vývojem politiky EU a národní politikou a také zajistit lepší informovanost občanů o dané iniciativě (</w:t>
      </w:r>
      <w:proofErr w:type="spellStart"/>
      <w:r w:rsidR="003D15B8">
        <w:rPr>
          <w:rFonts w:cs="Times New Roman"/>
          <w:color w:val="1E1E1F"/>
          <w:szCs w:val="24"/>
          <w:shd w:val="clear" w:color="auto" w:fill="FFFFFF"/>
        </w:rPr>
        <w:t>Boucher</w:t>
      </w:r>
      <w:proofErr w:type="spellEnd"/>
      <w:r w:rsidR="003D15B8">
        <w:rPr>
          <w:rFonts w:cs="Times New Roman"/>
          <w:color w:val="1E1E1F"/>
          <w:szCs w:val="24"/>
          <w:shd w:val="clear" w:color="auto" w:fill="FFFFFF"/>
        </w:rPr>
        <w:t xml:space="preserve"> et al., 2019).</w:t>
      </w:r>
    </w:p>
    <w:p w14:paraId="43656BB2" w14:textId="4A0DCDB9" w:rsidR="00B46561" w:rsidRPr="00077753" w:rsidRDefault="00B46561" w:rsidP="002C7D17">
      <w:pPr>
        <w:spacing w:line="360" w:lineRule="auto"/>
      </w:pPr>
    </w:p>
    <w:p w14:paraId="74C96580" w14:textId="77777777" w:rsidR="00B46561" w:rsidRDefault="00B46561">
      <w:pPr>
        <w:spacing w:line="259" w:lineRule="auto"/>
        <w:jc w:val="left"/>
      </w:pPr>
      <w:r>
        <w:br w:type="page"/>
      </w:r>
    </w:p>
    <w:p w14:paraId="63B65DED" w14:textId="77CB26CF" w:rsidR="00B46561" w:rsidRDefault="00B46561" w:rsidP="00A947DB">
      <w:pPr>
        <w:pStyle w:val="Nadpis1"/>
        <w:spacing w:after="240"/>
      </w:pPr>
      <w:bookmarkStart w:id="30" w:name="_Toc70660114"/>
      <w:r>
        <w:lastRenderedPageBreak/>
        <w:t>Závěr</w:t>
      </w:r>
      <w:bookmarkEnd w:id="30"/>
      <w:r>
        <w:t xml:space="preserve"> </w:t>
      </w:r>
    </w:p>
    <w:p w14:paraId="5C39101F" w14:textId="70319467" w:rsidR="00A947DB" w:rsidRDefault="005927BF" w:rsidP="00A947DB">
      <w:pPr>
        <w:spacing w:line="360" w:lineRule="auto"/>
      </w:pPr>
      <w:r>
        <w:tab/>
        <w:t>Tato b</w:t>
      </w:r>
      <w:r w:rsidR="00A947DB">
        <w:t xml:space="preserve">akalářská práce se zabývala výzkumem vlivu Lisabonské smlouvy na snížení demokratického deficitu Evropské unie. Výzkum byl založen na vybraných reformách, jež tato smlouva přinesla vzhledem k teoretickému konceptu tří autorů, kteří se problematikou demokratického deficitu zabývají. Cílem bylo analyzovat dopad těchto reforem na fungování Evropské unie za pomoci tří různých teoretických přístupů. </w:t>
      </w:r>
    </w:p>
    <w:p w14:paraId="479CDDE4" w14:textId="4B753491" w:rsidR="00A947DB" w:rsidRDefault="00A947DB" w:rsidP="00A947DB">
      <w:pPr>
        <w:spacing w:line="360" w:lineRule="auto"/>
      </w:pPr>
      <w:r>
        <w:t xml:space="preserve"> Práce byla rozdělena do čtyř hlavních kapitol. První </w:t>
      </w:r>
      <w:r w:rsidR="00A14AD4">
        <w:t xml:space="preserve">teoretická </w:t>
      </w:r>
      <w:r>
        <w:t xml:space="preserve">část se věnovala </w:t>
      </w:r>
      <w:r w:rsidR="00A14AD4">
        <w:t xml:space="preserve">v první kapitole </w:t>
      </w:r>
      <w:r w:rsidR="00195078">
        <w:t xml:space="preserve">představení hlavních pojmů </w:t>
      </w:r>
      <w:r w:rsidR="00195078">
        <w:rPr>
          <w:rFonts w:cs="Times New Roman"/>
        </w:rPr>
        <w:t>–</w:t>
      </w:r>
      <w:r w:rsidR="00195078">
        <w:t xml:space="preserve"> d</w:t>
      </w:r>
      <w:r>
        <w:t xml:space="preserve">emokratického deficitu samotného a dvou dalších konceptů, které s danou problematikou úzce souvisí a nelze je zkoumat </w:t>
      </w:r>
      <w:r w:rsidR="00A14AD4">
        <w:t xml:space="preserve">samostatně. </w:t>
      </w:r>
      <w:r w:rsidR="00195078">
        <w:t>Zmíněná</w:t>
      </w:r>
      <w:r w:rsidR="00A14AD4">
        <w:t xml:space="preserve"> část práce se zabývala nejen definicemi</w:t>
      </w:r>
      <w:r w:rsidR="00195078">
        <w:t>,</w:t>
      </w:r>
      <w:r w:rsidR="00A14AD4">
        <w:t xml:space="preserve"> ale také vývojem daných konceptů. Definice </w:t>
      </w:r>
      <w:r w:rsidR="00195078">
        <w:t>daných</w:t>
      </w:r>
      <w:r w:rsidR="00A14AD4">
        <w:t xml:space="preserve"> pojmů vycházely z publikací známých a uznávaných vědců, kteří se problematikou dlouhodobě zabývají. Druhá kapitola první části se </w:t>
      </w:r>
      <w:r w:rsidR="00B649E2">
        <w:t xml:space="preserve">pak věnovala </w:t>
      </w:r>
      <w:r w:rsidR="001259A2">
        <w:t xml:space="preserve">jednotlivým teoretickým konceptům. Pro </w:t>
      </w:r>
      <w:r w:rsidR="007F05FD">
        <w:t>zodpovězení výzkumné otázky byly podstatné teoretické koncepty od tří autorů. Zbylé dvě kapitoly obsahovaly analytickou část práce</w:t>
      </w:r>
      <w:r w:rsidR="00857E7D">
        <w:t xml:space="preserve">. Třetí kapitola byla věnována historickému vývoji primárního práva v rámci smluv, které předcházely Lisabonské smlouvě. Čtvrtá kapitola se následně věnovala samotným změnám zavedených Lisabonskou smlouvou. </w:t>
      </w:r>
    </w:p>
    <w:p w14:paraId="5E1F9D2E" w14:textId="3715F4F1" w:rsidR="007F05FD" w:rsidRDefault="00BB68D7" w:rsidP="00A947DB">
      <w:pPr>
        <w:spacing w:line="360" w:lineRule="auto"/>
      </w:pPr>
      <w:r>
        <w:t xml:space="preserve">První zkoumanou reformou byl mechanismus barevných karet. Tato změna měla přispět k větší kontrole </w:t>
      </w:r>
      <w:r w:rsidR="00EE53C2">
        <w:t xml:space="preserve">zásady subsidiarity v oblastech se sdílenými pravomocemi. Teoretický koncept Fritze </w:t>
      </w:r>
      <w:proofErr w:type="spellStart"/>
      <w:r w:rsidR="00EE53C2">
        <w:t>Scharpfa</w:t>
      </w:r>
      <w:proofErr w:type="spellEnd"/>
      <w:r w:rsidR="00EE53C2">
        <w:t xml:space="preserve"> za hlavní příčinu demokratického deficitu považuje takzvaný </w:t>
      </w:r>
      <w:r w:rsidR="00EE53C2" w:rsidRPr="00EE53C2">
        <w:rPr>
          <w:i/>
          <w:iCs/>
        </w:rPr>
        <w:t>„</w:t>
      </w:r>
      <w:proofErr w:type="spellStart"/>
      <w:r w:rsidR="00EE53C2" w:rsidRPr="00EE53C2">
        <w:rPr>
          <w:i/>
          <w:iCs/>
        </w:rPr>
        <w:t>problem-solving</w:t>
      </w:r>
      <w:proofErr w:type="spellEnd"/>
      <w:r w:rsidR="00EE53C2" w:rsidRPr="00EE53C2">
        <w:rPr>
          <w:i/>
          <w:iCs/>
        </w:rPr>
        <w:t xml:space="preserve"> gap“</w:t>
      </w:r>
      <w:r w:rsidR="00EE53C2">
        <w:t xml:space="preserve">. </w:t>
      </w:r>
      <w:r>
        <w:t xml:space="preserve"> </w:t>
      </w:r>
      <w:r w:rsidR="00EE53C2">
        <w:t>V práci, na které je tento teoretický koncept založen</w:t>
      </w:r>
      <w:r w:rsidR="00195078">
        <w:t>,</w:t>
      </w:r>
      <w:r w:rsidR="00EE53C2">
        <w:t xml:space="preserve"> odkazuje na jednotný evropský trh a jednotnou měnovou politiku jako na hlavní důvody vzniku </w:t>
      </w:r>
      <w:r w:rsidR="003473CF">
        <w:t xml:space="preserve">tohoto fenoménu. Mechanismus barevných karet tak do určité míry pomáhá zmenšovat </w:t>
      </w:r>
      <w:r w:rsidR="003473CF" w:rsidRPr="003473CF">
        <w:rPr>
          <w:i/>
          <w:iCs/>
        </w:rPr>
        <w:t>„</w:t>
      </w:r>
      <w:proofErr w:type="spellStart"/>
      <w:r w:rsidR="003473CF" w:rsidRPr="003473CF">
        <w:rPr>
          <w:i/>
          <w:iCs/>
        </w:rPr>
        <w:t>problem-solving</w:t>
      </w:r>
      <w:proofErr w:type="spellEnd"/>
      <w:r w:rsidR="003473CF" w:rsidRPr="003473CF">
        <w:rPr>
          <w:i/>
          <w:iCs/>
        </w:rPr>
        <w:t xml:space="preserve"> gap“</w:t>
      </w:r>
      <w:r w:rsidR="003473CF">
        <w:t xml:space="preserve">, jelikož jednotný trh spadá do oblasti sdílených pravomocí. Nicméně politika měnové unie spadá do oblasti výlučných pravomocí Unie. Můžeme ovšem konstatovat, že s ohledem na teoretický koncept Fritze </w:t>
      </w:r>
      <w:proofErr w:type="spellStart"/>
      <w:r w:rsidR="003473CF">
        <w:t>Scharpfa</w:t>
      </w:r>
      <w:proofErr w:type="spellEnd"/>
      <w:r w:rsidR="003473CF">
        <w:t xml:space="preserve"> </w:t>
      </w:r>
      <w:r w:rsidR="00195078">
        <w:t>výše zmíněný</w:t>
      </w:r>
      <w:r w:rsidR="003473CF">
        <w:t xml:space="preserve"> mechanismus přispěl ke snížení demokratického deficitu.</w:t>
      </w:r>
      <w:r w:rsidR="00144D1B">
        <w:t xml:space="preserve"> Tato reforma </w:t>
      </w:r>
      <w:r w:rsidR="00B14BD1">
        <w:t xml:space="preserve">také </w:t>
      </w:r>
      <w:r w:rsidR="00144D1B">
        <w:t xml:space="preserve">přispěla </w:t>
      </w:r>
      <w:r w:rsidR="00B14BD1">
        <w:t xml:space="preserve">k posílení </w:t>
      </w:r>
      <w:proofErr w:type="spellStart"/>
      <w:r w:rsidR="00B14BD1">
        <w:t>Moravcsikova</w:t>
      </w:r>
      <w:proofErr w:type="spellEnd"/>
      <w:r w:rsidR="00B14BD1">
        <w:t xml:space="preserve"> principu </w:t>
      </w:r>
      <w:r w:rsidR="00B14BD1" w:rsidRPr="00195078">
        <w:rPr>
          <w:i/>
        </w:rPr>
        <w:t>„</w:t>
      </w:r>
      <w:proofErr w:type="spellStart"/>
      <w:r w:rsidR="00B14BD1" w:rsidRPr="00195078">
        <w:rPr>
          <w:i/>
        </w:rPr>
        <w:t>checks</w:t>
      </w:r>
      <w:proofErr w:type="spellEnd"/>
      <w:r w:rsidR="00B14BD1" w:rsidRPr="00195078">
        <w:rPr>
          <w:i/>
        </w:rPr>
        <w:t xml:space="preserve"> and </w:t>
      </w:r>
      <w:proofErr w:type="spellStart"/>
      <w:r w:rsidR="00B14BD1" w:rsidRPr="00195078">
        <w:rPr>
          <w:i/>
        </w:rPr>
        <w:t>balances</w:t>
      </w:r>
      <w:proofErr w:type="spellEnd"/>
      <w:r w:rsidR="00B14BD1" w:rsidRPr="00195078">
        <w:rPr>
          <w:i/>
        </w:rPr>
        <w:t>“</w:t>
      </w:r>
      <w:r w:rsidR="00195078">
        <w:t>. N</w:t>
      </w:r>
      <w:r w:rsidR="00B14BD1">
        <w:t xml:space="preserve">icméně nelze tvrdit, že by dle </w:t>
      </w:r>
      <w:proofErr w:type="spellStart"/>
      <w:r w:rsidR="00B14BD1">
        <w:t>Moravcsikova</w:t>
      </w:r>
      <w:proofErr w:type="spellEnd"/>
      <w:r w:rsidR="00B14BD1">
        <w:t xml:space="preserve"> teoretického konceptu došlo ke snížení demokratického deficitu, jelikož </w:t>
      </w:r>
      <w:r w:rsidR="00500173">
        <w:t xml:space="preserve">dle jeho </w:t>
      </w:r>
      <w:r w:rsidR="00500173">
        <w:lastRenderedPageBreak/>
        <w:t>názoru</w:t>
      </w:r>
      <w:r w:rsidR="00B14BD1">
        <w:t xml:space="preserve"> Evropská unie žádným demokratickým deficitem netrpí. </w:t>
      </w:r>
      <w:r w:rsidR="00E77549">
        <w:t>Dle</w:t>
      </w:r>
      <w:r w:rsidR="00195078">
        <w:t xml:space="preserve"> teoretického konceptu </w:t>
      </w:r>
      <w:proofErr w:type="spellStart"/>
      <w:r w:rsidR="00195078">
        <w:t>Majoneho</w:t>
      </w:r>
      <w:proofErr w:type="spellEnd"/>
      <w:r w:rsidR="00E77549">
        <w:t xml:space="preserve"> taktéž nemůžeme tvrdit, že došlo ke </w:t>
      </w:r>
      <w:r w:rsidR="00195078">
        <w:t>snížení demokratického deficitu</w:t>
      </w:r>
      <w:r w:rsidR="00E77549">
        <w:t xml:space="preserve"> vzhledem k jeho názoru, že </w:t>
      </w:r>
      <w:r w:rsidR="00195078">
        <w:t>menšinové standard</w:t>
      </w:r>
      <w:r w:rsidR="00533835">
        <w:t>y legitimity jsou dostačující k ospravedlnění přenesených kompetencí s ohledem na hlavní cíl Evropské unie, kterým je podle jeho názoru ekonomická integrace.</w:t>
      </w:r>
    </w:p>
    <w:p w14:paraId="45510F8B" w14:textId="1B7FD955" w:rsidR="00B3279E" w:rsidRDefault="00B3279E" w:rsidP="00A947DB">
      <w:pPr>
        <w:spacing w:line="360" w:lineRule="auto"/>
      </w:pPr>
      <w:r>
        <w:t xml:space="preserve">Druhou analyzovanou reformou byl roční legislativní program.  </w:t>
      </w:r>
      <w:r w:rsidR="006A1629" w:rsidRPr="006A1629">
        <w:t>Tato reforma měla navýšit kontrolní pravomoci Rady, Evropského parlamentu, a především pak národních parlamentů členských států EU ve vztahu k Evropské komisi</w:t>
      </w:r>
      <w:r w:rsidR="006A1629">
        <w:t xml:space="preserve">. </w:t>
      </w:r>
      <w:r>
        <w:t>S ohledem na teoretick</w:t>
      </w:r>
      <w:r w:rsidR="00144D1B">
        <w:t>ý</w:t>
      </w:r>
      <w:r>
        <w:t xml:space="preserve"> koncept</w:t>
      </w:r>
      <w:r w:rsidR="00144D1B">
        <w:t xml:space="preserve"> A. </w:t>
      </w:r>
      <w:proofErr w:type="spellStart"/>
      <w:r w:rsidR="00144D1B">
        <w:t>Moravcsika</w:t>
      </w:r>
      <w:proofErr w:type="spellEnd"/>
      <w:r w:rsidR="00144D1B">
        <w:t xml:space="preserve"> lze opět potvrdit, že </w:t>
      </w:r>
      <w:r w:rsidR="00195078">
        <w:t>zmíněná</w:t>
      </w:r>
      <w:r w:rsidR="00144D1B">
        <w:t xml:space="preserve"> změna přispěla k posílení systému </w:t>
      </w:r>
      <w:r w:rsidR="00144D1B" w:rsidRPr="00144D1B">
        <w:rPr>
          <w:i/>
          <w:iCs/>
        </w:rPr>
        <w:t>„</w:t>
      </w:r>
      <w:proofErr w:type="spellStart"/>
      <w:r w:rsidR="00144D1B" w:rsidRPr="00144D1B">
        <w:rPr>
          <w:i/>
          <w:iCs/>
        </w:rPr>
        <w:t>checks</w:t>
      </w:r>
      <w:proofErr w:type="spellEnd"/>
      <w:r w:rsidR="00144D1B" w:rsidRPr="00144D1B">
        <w:rPr>
          <w:i/>
          <w:iCs/>
        </w:rPr>
        <w:t xml:space="preserve"> and </w:t>
      </w:r>
      <w:proofErr w:type="spellStart"/>
      <w:r w:rsidR="00144D1B" w:rsidRPr="00144D1B">
        <w:rPr>
          <w:i/>
          <w:iCs/>
        </w:rPr>
        <w:t>balances</w:t>
      </w:r>
      <w:proofErr w:type="spellEnd"/>
      <w:r w:rsidR="00144D1B" w:rsidRPr="00144D1B">
        <w:rPr>
          <w:i/>
          <w:iCs/>
        </w:rPr>
        <w:t>“</w:t>
      </w:r>
      <w:r w:rsidR="00500173">
        <w:t>, který podle jeho konceptu zajišťuje demokratičnost Evropské unie.</w:t>
      </w:r>
    </w:p>
    <w:p w14:paraId="2B34FFC5" w14:textId="219B8E6D" w:rsidR="00B3279E" w:rsidRDefault="00B3279E" w:rsidP="00A947DB">
      <w:pPr>
        <w:spacing w:line="360" w:lineRule="auto"/>
      </w:pPr>
      <w:r>
        <w:t>Třetí analyzovanou reformou bylo posílení pravomocí Parlamentu v rámci spolurozhodová</w:t>
      </w:r>
      <w:r w:rsidR="00195078">
        <w:t>ní s</w:t>
      </w:r>
      <w:r>
        <w:t xml:space="preserve"> Radou ministrů. </w:t>
      </w:r>
      <w:r w:rsidR="000A020F">
        <w:t xml:space="preserve">Rozšíření procedury spolurozhodování neboli řádného legislativního postupu do nových oblastí lze minimálně s ohledem na teoretický koncept Fritze </w:t>
      </w:r>
      <w:proofErr w:type="spellStart"/>
      <w:r w:rsidR="000A020F">
        <w:t>Scharpfa</w:t>
      </w:r>
      <w:proofErr w:type="spellEnd"/>
      <w:r w:rsidR="000A020F">
        <w:t xml:space="preserve"> považovat za reformu, která přispěla ke snížení demokratického deficitu. Rozšířením této procedury do dalších oblastí se snižuje pravděpodobnost výskytu fenoménu </w:t>
      </w:r>
      <w:r w:rsidR="000A020F" w:rsidRPr="000A020F">
        <w:rPr>
          <w:i/>
          <w:iCs/>
        </w:rPr>
        <w:t>„</w:t>
      </w:r>
      <w:proofErr w:type="spellStart"/>
      <w:r w:rsidR="000A020F" w:rsidRPr="000A020F">
        <w:rPr>
          <w:i/>
          <w:iCs/>
        </w:rPr>
        <w:t>problem-solving</w:t>
      </w:r>
      <w:proofErr w:type="spellEnd"/>
      <w:r w:rsidR="000A020F" w:rsidRPr="000A020F">
        <w:rPr>
          <w:i/>
          <w:iCs/>
        </w:rPr>
        <w:t xml:space="preserve"> gap“</w:t>
      </w:r>
      <w:r w:rsidR="000A020F">
        <w:t xml:space="preserve">. </w:t>
      </w:r>
      <w:r w:rsidR="00881FE7">
        <w:t xml:space="preserve"> Zatímco reform</w:t>
      </w:r>
      <w:r w:rsidR="002C7A84">
        <w:t>u</w:t>
      </w:r>
      <w:r w:rsidR="00881FE7">
        <w:t>, která zrušila dělení na povinné a nepovinné výdaje a udělila Parlamentu právo odmítnout</w:t>
      </w:r>
      <w:r w:rsidR="00195078">
        <w:t>,</w:t>
      </w:r>
      <w:r w:rsidR="00881FE7">
        <w:t xml:space="preserve"> nebo odsouhlasit rozpočet EU, nelze dle teoretických konceptů vnímat jako přispění ke snížení demokratického deficitu</w:t>
      </w:r>
      <w:r w:rsidR="00500173">
        <w:t>, protože se jednalo pouze o formalizaci již stávající</w:t>
      </w:r>
      <w:r w:rsidR="00BF791C">
        <w:t>ho</w:t>
      </w:r>
      <w:r w:rsidR="00500173">
        <w:t xml:space="preserve"> st</w:t>
      </w:r>
      <w:r w:rsidR="00AB5950">
        <w:t>avu</w:t>
      </w:r>
      <w:r w:rsidR="00782ED1">
        <w:t xml:space="preserve">, jiná </w:t>
      </w:r>
      <w:r w:rsidR="00881FE7">
        <w:t xml:space="preserve">situace </w:t>
      </w:r>
      <w:r w:rsidR="00782ED1">
        <w:t xml:space="preserve">ovšem </w:t>
      </w:r>
      <w:r w:rsidR="00881FE7">
        <w:t>nastává v</w:t>
      </w:r>
      <w:r w:rsidR="00782ED1">
        <w:t> </w:t>
      </w:r>
      <w:r w:rsidR="00881FE7">
        <w:t>případě</w:t>
      </w:r>
      <w:r w:rsidR="00782ED1">
        <w:t xml:space="preserve"> další</w:t>
      </w:r>
      <w:r w:rsidR="00881FE7">
        <w:t xml:space="preserve"> reformy, která udělila Parlamentu právo </w:t>
      </w:r>
      <w:r w:rsidR="00144D1B">
        <w:t xml:space="preserve">zamítnout </w:t>
      </w:r>
      <w:r w:rsidR="00EA019F">
        <w:t xml:space="preserve">mezinárodní dohody. S ohledem na </w:t>
      </w:r>
      <w:r w:rsidR="00782ED1">
        <w:t>všechny tři teoretické koncepce</w:t>
      </w:r>
      <w:r w:rsidR="00EA019F">
        <w:t xml:space="preserve"> je možné prohlásit, že </w:t>
      </w:r>
      <w:r w:rsidR="00782ED1">
        <w:t>daná</w:t>
      </w:r>
      <w:r w:rsidR="00EA019F">
        <w:t xml:space="preserve"> změna přispěla ke snížení demokratického deficitu, protože posiluje systém </w:t>
      </w:r>
      <w:r w:rsidR="00EA019F" w:rsidRPr="00EA019F">
        <w:rPr>
          <w:i/>
          <w:iCs/>
        </w:rPr>
        <w:t>„</w:t>
      </w:r>
      <w:proofErr w:type="spellStart"/>
      <w:r w:rsidR="00EA019F" w:rsidRPr="00EA019F">
        <w:rPr>
          <w:i/>
          <w:iCs/>
        </w:rPr>
        <w:t>checks</w:t>
      </w:r>
      <w:proofErr w:type="spellEnd"/>
      <w:r w:rsidR="00EA019F" w:rsidRPr="00EA019F">
        <w:rPr>
          <w:i/>
          <w:iCs/>
        </w:rPr>
        <w:t xml:space="preserve"> and </w:t>
      </w:r>
      <w:proofErr w:type="spellStart"/>
      <w:r w:rsidR="00EA019F" w:rsidRPr="00EA019F">
        <w:rPr>
          <w:i/>
          <w:iCs/>
        </w:rPr>
        <w:t>balances</w:t>
      </w:r>
      <w:proofErr w:type="spellEnd"/>
      <w:r w:rsidR="00EA019F" w:rsidRPr="00EA019F">
        <w:rPr>
          <w:i/>
          <w:iCs/>
        </w:rPr>
        <w:t>“</w:t>
      </w:r>
      <w:r w:rsidR="00EA019F">
        <w:t xml:space="preserve">, pomáhá předcházet možnému vzniku </w:t>
      </w:r>
      <w:r w:rsidR="00EA019F" w:rsidRPr="00EA019F">
        <w:rPr>
          <w:i/>
          <w:iCs/>
        </w:rPr>
        <w:t>„</w:t>
      </w:r>
      <w:proofErr w:type="spellStart"/>
      <w:r w:rsidR="00EA019F" w:rsidRPr="00EA019F">
        <w:rPr>
          <w:i/>
          <w:iCs/>
        </w:rPr>
        <w:t>problem-solving</w:t>
      </w:r>
      <w:proofErr w:type="spellEnd"/>
      <w:r w:rsidR="00EA019F" w:rsidRPr="00EA019F">
        <w:rPr>
          <w:i/>
          <w:iCs/>
        </w:rPr>
        <w:t xml:space="preserve"> gap“</w:t>
      </w:r>
      <w:r w:rsidR="00EA019F">
        <w:t xml:space="preserve"> a napomáhá k ochraně ekonomicky slabších států v rámci ekonomické integrace</w:t>
      </w:r>
      <w:r w:rsidR="00533835">
        <w:t xml:space="preserve">, kterou </w:t>
      </w:r>
      <w:proofErr w:type="spellStart"/>
      <w:r w:rsidR="00533835">
        <w:t>Majone</w:t>
      </w:r>
      <w:proofErr w:type="spellEnd"/>
      <w:r w:rsidR="00533835">
        <w:t xml:space="preserve"> považuje za hlavní cíl Evropské unie. </w:t>
      </w:r>
    </w:p>
    <w:p w14:paraId="7C8BC754" w14:textId="58F6F6A9" w:rsidR="00EA019F" w:rsidRDefault="00EA019F" w:rsidP="00A947DB">
      <w:pPr>
        <w:spacing w:line="360" w:lineRule="auto"/>
      </w:pPr>
      <w:r>
        <w:t xml:space="preserve">Čtvrtou analyzovanou změnou byla procedura </w:t>
      </w:r>
      <w:proofErr w:type="spellStart"/>
      <w:r>
        <w:t>Spitzenkandidaten</w:t>
      </w:r>
      <w:proofErr w:type="spellEnd"/>
      <w:r>
        <w:t xml:space="preserve">. </w:t>
      </w:r>
      <w:r w:rsidR="00782ED1">
        <w:t>Zmíněný proces nebyl přímo zaveden Lisabonskou smlouvou, jeho</w:t>
      </w:r>
      <w:r>
        <w:t xml:space="preserve"> vznik však není v rozporu s právním ustanovením Lisabonské smlouvy. </w:t>
      </w:r>
      <w:r w:rsidR="00782ED1">
        <w:t>Vzhledem k tomu, že</w:t>
      </w:r>
      <w:r w:rsidR="002B515E">
        <w:t xml:space="preserve"> procedura se zabývá volbou předsedy Komise, </w:t>
      </w:r>
      <w:r w:rsidR="00AB5950">
        <w:t xml:space="preserve">můžeme prohlásit, že </w:t>
      </w:r>
      <w:r w:rsidR="00782ED1">
        <w:t>daná</w:t>
      </w:r>
      <w:r w:rsidR="00AB5950">
        <w:t xml:space="preserve"> reforma přispěla k posílení systému </w:t>
      </w:r>
      <w:r w:rsidR="00AB5950" w:rsidRPr="00782ED1">
        <w:rPr>
          <w:i/>
        </w:rPr>
        <w:t>„</w:t>
      </w:r>
      <w:proofErr w:type="spellStart"/>
      <w:r w:rsidR="00AB5950" w:rsidRPr="00782ED1">
        <w:rPr>
          <w:i/>
        </w:rPr>
        <w:t>checks</w:t>
      </w:r>
      <w:proofErr w:type="spellEnd"/>
      <w:r w:rsidR="00AB5950" w:rsidRPr="00782ED1">
        <w:rPr>
          <w:i/>
        </w:rPr>
        <w:t xml:space="preserve"> and </w:t>
      </w:r>
      <w:proofErr w:type="spellStart"/>
      <w:r w:rsidR="00AB5950" w:rsidRPr="00782ED1">
        <w:rPr>
          <w:i/>
        </w:rPr>
        <w:t>balances</w:t>
      </w:r>
      <w:proofErr w:type="spellEnd"/>
      <w:r w:rsidR="00AB5950" w:rsidRPr="00782ED1">
        <w:rPr>
          <w:i/>
        </w:rPr>
        <w:t>“</w:t>
      </w:r>
      <w:r w:rsidR="00782ED1">
        <w:t>,</w:t>
      </w:r>
      <w:r w:rsidR="00AB5950">
        <w:t xml:space="preserve"> a to v kontextu vztahů mezi Evropskou </w:t>
      </w:r>
      <w:r w:rsidR="00AB5950">
        <w:lastRenderedPageBreak/>
        <w:t xml:space="preserve">radou a Evropským parlamentem. </w:t>
      </w:r>
      <w:r w:rsidR="002B515E">
        <w:t xml:space="preserve"> </w:t>
      </w:r>
      <w:r w:rsidR="00AB5950">
        <w:t xml:space="preserve">Zároveň </w:t>
      </w:r>
      <w:r w:rsidR="00782ED1">
        <w:t>znamenal výše zmíněný proces</w:t>
      </w:r>
      <w:r w:rsidR="00AB5950">
        <w:t xml:space="preserve"> </w:t>
      </w:r>
      <w:r w:rsidR="00BF791C">
        <w:t xml:space="preserve">dočasnou </w:t>
      </w:r>
      <w:r w:rsidR="00AB5950">
        <w:t>kardinální změnu politické moci mezi těmito institucemi</w:t>
      </w:r>
      <w:r w:rsidR="00BF791C">
        <w:t>, protože v roce 2019 se ji už Parlamentu prosadit nepodařilo.</w:t>
      </w:r>
    </w:p>
    <w:p w14:paraId="7CC14B24" w14:textId="303393B4" w:rsidR="002B515E" w:rsidRDefault="002B515E" w:rsidP="00A947DB">
      <w:pPr>
        <w:spacing w:line="360" w:lineRule="auto"/>
      </w:pPr>
      <w:r>
        <w:t xml:space="preserve">Pátou a zároveň poslední analyzovanou reformou </w:t>
      </w:r>
      <w:r w:rsidR="00782ED1">
        <w:t>se stala</w:t>
      </w:r>
      <w:r>
        <w:t xml:space="preserve"> občanská iniciativa. </w:t>
      </w:r>
      <w:r w:rsidR="00782ED1">
        <w:t>Daná</w:t>
      </w:r>
      <w:r>
        <w:t xml:space="preserve"> reforma měla dle Lisabonské smlouvy přispět k posílení občanství Unie a dále zvyšovat </w:t>
      </w:r>
      <w:r w:rsidR="00CA0CE6">
        <w:t>její demokratické fungování</w:t>
      </w:r>
      <w:r>
        <w:t xml:space="preserve">. </w:t>
      </w:r>
      <w:r w:rsidR="0060017E">
        <w:t xml:space="preserve">Občanská iniciativa představuje jedinou možnost, jak mohou občané Evropské unie sami iniciovat legislativní návrh. </w:t>
      </w:r>
      <w:r w:rsidR="00AC0235">
        <w:t>S ohledem na teoretick</w:t>
      </w:r>
      <w:r w:rsidR="00CA0CE6">
        <w:t>é koncepty použité v této práci</w:t>
      </w:r>
      <w:r w:rsidR="00AC0235">
        <w:t xml:space="preserve"> nelze potvrdit, že by </w:t>
      </w:r>
      <w:r w:rsidR="00CA0CE6">
        <w:t>zmíněná</w:t>
      </w:r>
      <w:r w:rsidR="00AC0235">
        <w:t xml:space="preserve"> reforma přispěla ke snížení demokratického deficitu</w:t>
      </w:r>
      <w:r w:rsidR="00CA0CE6">
        <w:t>,</w:t>
      </w:r>
      <w:r w:rsidR="00AC0235">
        <w:t xml:space="preserve"> nebo naopak přispěla ke zvýšení legitimity institucí Evropské unie. </w:t>
      </w:r>
      <w:r w:rsidR="00CA0CE6">
        <w:t>Zmíněné</w:t>
      </w:r>
      <w:r w:rsidR="00AC0235">
        <w:t xml:space="preserve"> tvrzení podporuje i</w:t>
      </w:r>
      <w:r w:rsidR="00AB5950">
        <w:t xml:space="preserve"> použitá literatura</w:t>
      </w:r>
      <w:r w:rsidR="004A10CB">
        <w:t xml:space="preserve"> od Stephena </w:t>
      </w:r>
      <w:proofErr w:type="spellStart"/>
      <w:r w:rsidR="004A10CB">
        <w:t>Bouchera</w:t>
      </w:r>
      <w:proofErr w:type="spellEnd"/>
      <w:r w:rsidR="004A10CB">
        <w:t>, který na základě výzkumu dospěl k závěru, že občanské iniciativy, které v tomto procesu neuspěly</w:t>
      </w:r>
      <w:r w:rsidR="00CA0CE6">
        <w:t>,</w:t>
      </w:r>
      <w:r w:rsidR="004A10CB">
        <w:t xml:space="preserve"> tvoří více než 90</w:t>
      </w:r>
      <w:r w:rsidR="00CA0CE6">
        <w:t xml:space="preserve"> </w:t>
      </w:r>
      <w:r w:rsidR="004A10CB">
        <w:t xml:space="preserve">% z celkového počtu iniciovaných návrhů. </w:t>
      </w:r>
    </w:p>
    <w:p w14:paraId="2772A7BD" w14:textId="200EBC8D" w:rsidR="00AC0235" w:rsidRPr="000A020F" w:rsidRDefault="00AC0235" w:rsidP="00A947DB">
      <w:pPr>
        <w:spacing w:line="360" w:lineRule="auto"/>
      </w:pPr>
      <w:r>
        <w:t xml:space="preserve">V návaznosti na provedenou analýzu reforem, které Lisabonská smlouva zavedla, můžeme konstatovat, že </w:t>
      </w:r>
      <w:r w:rsidR="00CA0CE6">
        <w:t>daná</w:t>
      </w:r>
      <w:r>
        <w:t xml:space="preserve"> smlouva opravdu dosáhla určitého snížení demokratického deficitu. </w:t>
      </w:r>
      <w:r w:rsidR="00DB7397">
        <w:t>Pokud se podíváme na vývoj j</w:t>
      </w:r>
      <w:r w:rsidR="00CA0CE6">
        <w:t>ednotlivých institucí v </w:t>
      </w:r>
      <w:proofErr w:type="spellStart"/>
      <w:r w:rsidR="00CA0CE6">
        <w:t>před</w:t>
      </w:r>
      <w:r w:rsidR="00DB7397">
        <w:t>lisabonském</w:t>
      </w:r>
      <w:proofErr w:type="spellEnd"/>
      <w:r w:rsidR="00DB7397">
        <w:t xml:space="preserve"> období</w:t>
      </w:r>
      <w:r w:rsidR="00CA0CE6">
        <w:t>,</w:t>
      </w:r>
      <w:r w:rsidR="00DB7397">
        <w:t xml:space="preserve"> zjistíme, že k nejvýraznějším změnám docházelo především v rámci Parlamentu, kde pozorujeme snahu o navyšování pravomocí této instituce s cílem účinněji hájit zájmy občanů. </w:t>
      </w:r>
    </w:p>
    <w:p w14:paraId="3E7D9BA9" w14:textId="77777777" w:rsidR="00A14AD4" w:rsidRPr="00A947DB" w:rsidRDefault="00A14AD4" w:rsidP="00A947DB">
      <w:pPr>
        <w:spacing w:line="360" w:lineRule="auto"/>
      </w:pPr>
    </w:p>
    <w:p w14:paraId="24C95A7D" w14:textId="4D201AF1" w:rsidR="006C4345" w:rsidRDefault="006C4345" w:rsidP="009B7576">
      <w:r>
        <w:br w:type="page"/>
      </w:r>
    </w:p>
    <w:p w14:paraId="4627A719" w14:textId="77777777" w:rsidR="00F753B0" w:rsidRDefault="00F753B0" w:rsidP="00961EAB">
      <w:pPr>
        <w:pStyle w:val="Nadpis1"/>
      </w:pPr>
      <w:bookmarkStart w:id="31" w:name="_Toc70660115"/>
      <w:r>
        <w:lastRenderedPageBreak/>
        <w:t>Seznam pramenů a literatury</w:t>
      </w:r>
      <w:bookmarkEnd w:id="31"/>
    </w:p>
    <w:p w14:paraId="7A4245B7" w14:textId="77777777" w:rsidR="00F753B0" w:rsidRDefault="00F753B0" w:rsidP="00F753B0">
      <w:pPr>
        <w:rPr>
          <w:rFonts w:cs="Times New Roman"/>
          <w:sz w:val="26"/>
          <w:szCs w:val="26"/>
        </w:rPr>
      </w:pPr>
      <w:r>
        <w:rPr>
          <w:rFonts w:cs="Times New Roman"/>
          <w:sz w:val="26"/>
          <w:szCs w:val="26"/>
        </w:rPr>
        <w:t>Prameny</w:t>
      </w:r>
    </w:p>
    <w:p w14:paraId="5FAF0AB2" w14:textId="77777777" w:rsidR="00F753B0" w:rsidRPr="00631ECE" w:rsidRDefault="00F753B0" w:rsidP="00F753B0">
      <w:pPr>
        <w:spacing w:line="360" w:lineRule="auto"/>
        <w:rPr>
          <w:rFonts w:cs="Times New Roman"/>
          <w:szCs w:val="24"/>
        </w:rPr>
      </w:pPr>
      <w:r w:rsidRPr="00631ECE">
        <w:rPr>
          <w:rFonts w:cs="Times New Roman"/>
          <w:szCs w:val="24"/>
        </w:rPr>
        <w:t>AMSTERODAMSKÁ SMLOUVA POZMĚŇUJÍCÍ SMLOUVU O EVROPSKÉ UNII, SMLOUVY O ZALOŽENÍ EVROPSKÝCH SPOLEČENSTVÍ A SOUVISEJÍCÍ AKTY. (1999). Dostupné z: http://www.euroskop.cz/gallery/2/764-amsterodam.pdf.</w:t>
      </w:r>
    </w:p>
    <w:p w14:paraId="644B1CBC" w14:textId="77777777" w:rsidR="00F753B0" w:rsidRPr="00FF4468" w:rsidRDefault="00F753B0" w:rsidP="00F753B0">
      <w:pPr>
        <w:spacing w:line="360" w:lineRule="auto"/>
        <w:rPr>
          <w:rFonts w:cs="Times New Roman"/>
          <w:szCs w:val="24"/>
        </w:rPr>
      </w:pPr>
      <w:r w:rsidRPr="00FF4468">
        <w:rPr>
          <w:rFonts w:cs="Times New Roman"/>
          <w:szCs w:val="24"/>
        </w:rPr>
        <w:t xml:space="preserve">Evropská komise. (2021). </w:t>
      </w:r>
      <w:r w:rsidRPr="00FF4468">
        <w:rPr>
          <w:rFonts w:cs="Times New Roman"/>
          <w:i/>
          <w:iCs/>
          <w:szCs w:val="24"/>
        </w:rPr>
        <w:t xml:space="preserve">Mechanismus kontroly subsidiarity. </w:t>
      </w:r>
      <w:r w:rsidRPr="00FF4468">
        <w:rPr>
          <w:rFonts w:cs="Times New Roman"/>
          <w:szCs w:val="24"/>
        </w:rPr>
        <w:t>Dostupné z: https://ec.europa.eu/info/law/law-making-process/adopting-eu-law/relations-national-parliaments/subsidiarity-control-mechanism_cs.</w:t>
      </w:r>
    </w:p>
    <w:p w14:paraId="309A4FBC" w14:textId="77777777" w:rsidR="00F753B0" w:rsidRDefault="00F753B0" w:rsidP="00F753B0">
      <w:pPr>
        <w:spacing w:line="360" w:lineRule="auto"/>
        <w:rPr>
          <w:rFonts w:cs="Times New Roman"/>
          <w:szCs w:val="24"/>
        </w:rPr>
      </w:pPr>
      <w:r w:rsidRPr="00B242C0">
        <w:rPr>
          <w:rFonts w:cs="Times New Roman"/>
          <w:szCs w:val="24"/>
        </w:rPr>
        <w:t xml:space="preserve">Evropský parlament. (2021). </w:t>
      </w:r>
      <w:r w:rsidRPr="00B242C0">
        <w:rPr>
          <w:rFonts w:cs="Times New Roman"/>
          <w:i/>
          <w:iCs/>
          <w:szCs w:val="24"/>
        </w:rPr>
        <w:t xml:space="preserve">EP po Lisabonské smlouvě: významnější úloha při formování Evropy. </w:t>
      </w:r>
      <w:r w:rsidRPr="00B242C0">
        <w:rPr>
          <w:rFonts w:cs="Times New Roman"/>
          <w:szCs w:val="24"/>
        </w:rPr>
        <w:t>Dostupné z: https://www.europarl.europa.eu/about-parliament/cs/powers-and-procedures/the-lisbon-treaty.</w:t>
      </w:r>
    </w:p>
    <w:p w14:paraId="2AF1A74E" w14:textId="77777777" w:rsidR="00F753B0" w:rsidRPr="00FF4468" w:rsidRDefault="00F753B0" w:rsidP="00F753B0">
      <w:pPr>
        <w:spacing w:line="360" w:lineRule="auto"/>
        <w:rPr>
          <w:rFonts w:cs="Times New Roman"/>
          <w:szCs w:val="24"/>
        </w:rPr>
      </w:pPr>
      <w:r w:rsidRPr="00B242C0">
        <w:rPr>
          <w:rFonts w:cs="Times New Roman"/>
          <w:szCs w:val="24"/>
        </w:rPr>
        <w:t>Evropský</w:t>
      </w:r>
      <w:r w:rsidRPr="00FF4468">
        <w:rPr>
          <w:rFonts w:cs="Times New Roman"/>
          <w:szCs w:val="24"/>
        </w:rPr>
        <w:t xml:space="preserve"> </w:t>
      </w:r>
      <w:r w:rsidRPr="00B242C0">
        <w:rPr>
          <w:rFonts w:cs="Times New Roman"/>
          <w:szCs w:val="24"/>
        </w:rPr>
        <w:t>parlament</w:t>
      </w:r>
      <w:r w:rsidRPr="00FF4468">
        <w:rPr>
          <w:rFonts w:cs="Times New Roman"/>
          <w:szCs w:val="24"/>
        </w:rPr>
        <w:t xml:space="preserve">. (2021). </w:t>
      </w:r>
      <w:r w:rsidRPr="00FF4468">
        <w:rPr>
          <w:rFonts w:cs="Times New Roman"/>
          <w:i/>
          <w:iCs/>
          <w:szCs w:val="24"/>
        </w:rPr>
        <w:t xml:space="preserve">Legislativní pravomoci. </w:t>
      </w:r>
      <w:r w:rsidRPr="00FF4468">
        <w:rPr>
          <w:rFonts w:cs="Times New Roman"/>
          <w:szCs w:val="24"/>
        </w:rPr>
        <w:t>Dostupné z: https://www.europarl.europa.eu/about-parliament/cs/powers-and-procedures/legislative-powers.</w:t>
      </w:r>
    </w:p>
    <w:p w14:paraId="13AC242B" w14:textId="77777777" w:rsidR="00F753B0" w:rsidRPr="00FF4468" w:rsidRDefault="00F753B0" w:rsidP="00F753B0">
      <w:pPr>
        <w:spacing w:line="360" w:lineRule="auto"/>
        <w:rPr>
          <w:rFonts w:cs="Times New Roman"/>
          <w:szCs w:val="24"/>
        </w:rPr>
      </w:pPr>
      <w:r w:rsidRPr="00FF4468">
        <w:rPr>
          <w:rFonts w:cs="Times New Roman"/>
          <w:szCs w:val="24"/>
        </w:rPr>
        <w:t xml:space="preserve">Evropský parlament. (2020. </w:t>
      </w:r>
      <w:r w:rsidRPr="00FF4468">
        <w:rPr>
          <w:rFonts w:cs="Times New Roman"/>
          <w:i/>
          <w:iCs/>
          <w:szCs w:val="24"/>
        </w:rPr>
        <w:t xml:space="preserve">Evropská občanská iniciativa. </w:t>
      </w:r>
      <w:r w:rsidRPr="00FF4468">
        <w:rPr>
          <w:rFonts w:cs="Times New Roman"/>
          <w:szCs w:val="24"/>
        </w:rPr>
        <w:t>Dostupné z: https://www.europarl.europa.eu/factsheets/cs/sheet/149/evropska-obcanska-iniciativa.</w:t>
      </w:r>
    </w:p>
    <w:p w14:paraId="4DF44E60" w14:textId="77777777" w:rsidR="00F753B0" w:rsidRDefault="00F753B0" w:rsidP="00F753B0">
      <w:pPr>
        <w:spacing w:line="360" w:lineRule="auto"/>
        <w:rPr>
          <w:rFonts w:cs="Times New Roman"/>
          <w:szCs w:val="24"/>
        </w:rPr>
      </w:pPr>
      <w:r w:rsidRPr="00FF4468">
        <w:rPr>
          <w:rFonts w:cs="Times New Roman"/>
          <w:szCs w:val="24"/>
        </w:rPr>
        <w:t xml:space="preserve">Evropská unie. (2020). </w:t>
      </w:r>
      <w:r w:rsidRPr="00FF4468">
        <w:rPr>
          <w:rFonts w:cs="Times New Roman"/>
          <w:i/>
          <w:iCs/>
          <w:szCs w:val="24"/>
        </w:rPr>
        <w:t xml:space="preserve">Evropská komise. </w:t>
      </w:r>
      <w:r w:rsidRPr="00FF4468">
        <w:rPr>
          <w:rFonts w:cs="Times New Roman"/>
          <w:szCs w:val="24"/>
        </w:rPr>
        <w:t>Dostupné z: https://europa.eu/european-union/about-eu/institutions-bodies/european-commission_cs#:~:text=Evropsk%C3%A1%20komise%20je%20politicky%20nez%C3%A1visl%C3%BD,Evropsk%C3%A9ho%20parlamentu%20a%20Rady%20EU.</w:t>
      </w:r>
    </w:p>
    <w:p w14:paraId="6C8FB3BA" w14:textId="77777777" w:rsidR="00F753B0" w:rsidRPr="006451A8" w:rsidRDefault="00F753B0" w:rsidP="00F753B0">
      <w:pPr>
        <w:spacing w:line="360" w:lineRule="auto"/>
        <w:rPr>
          <w:rFonts w:cs="Times New Roman"/>
          <w:szCs w:val="24"/>
        </w:rPr>
      </w:pPr>
      <w:r w:rsidRPr="006451A8">
        <w:rPr>
          <w:rFonts w:cs="Times New Roman"/>
          <w:szCs w:val="24"/>
        </w:rPr>
        <w:t>Nařízení Evropské parlamentu a Rady (EU) 211/2011, o občanské iniciativě. Dostupné z: https://eur-lex.europa.eu/LexUriServ/LexUriServ.do?uri=OJ:L:2011:065:0001:0022:cs:PDF.</w:t>
      </w:r>
    </w:p>
    <w:p w14:paraId="5FEEE4F9" w14:textId="77777777" w:rsidR="00F753B0" w:rsidRPr="006451A8" w:rsidRDefault="00F753B0" w:rsidP="00F753B0">
      <w:pPr>
        <w:spacing w:line="360" w:lineRule="auto"/>
        <w:rPr>
          <w:rFonts w:cs="Times New Roman"/>
          <w:szCs w:val="24"/>
        </w:rPr>
      </w:pPr>
      <w:r w:rsidRPr="006451A8">
        <w:rPr>
          <w:rFonts w:cs="Times New Roman"/>
          <w:szCs w:val="24"/>
        </w:rPr>
        <w:t>Nařízení Evropského parlamentu a Rady (EU) 2019/788, o občanské iniciativě. Dostupné z: https://eur-lex.europa.eu/legal-content/CS/TXT/?uri=celex%3A32019R0788.</w:t>
      </w:r>
    </w:p>
    <w:p w14:paraId="6AD30EC7" w14:textId="77777777" w:rsidR="00F753B0" w:rsidRPr="006451A8" w:rsidRDefault="00F753B0" w:rsidP="00F753B0">
      <w:pPr>
        <w:spacing w:line="360" w:lineRule="auto"/>
        <w:rPr>
          <w:rFonts w:cs="Times New Roman"/>
          <w:szCs w:val="24"/>
        </w:rPr>
      </w:pPr>
      <w:r w:rsidRPr="006451A8">
        <w:rPr>
          <w:rFonts w:cs="Times New Roman"/>
          <w:szCs w:val="24"/>
        </w:rPr>
        <w:t>NICESKÁ SMLOUVA. (2001). Dostupné z: http://www.euroskop.cz/gallery/2/765-nice.pdf.</w:t>
      </w:r>
    </w:p>
    <w:p w14:paraId="3DEADED4" w14:textId="77777777" w:rsidR="00F753B0" w:rsidRPr="006451A8" w:rsidRDefault="00F753B0" w:rsidP="00F753B0">
      <w:pPr>
        <w:spacing w:line="360" w:lineRule="auto"/>
        <w:rPr>
          <w:rFonts w:cs="Times New Roman"/>
          <w:szCs w:val="24"/>
        </w:rPr>
      </w:pPr>
      <w:r w:rsidRPr="006451A8">
        <w:rPr>
          <w:rFonts w:cs="Times New Roman"/>
          <w:szCs w:val="24"/>
        </w:rPr>
        <w:lastRenderedPageBreak/>
        <w:t>Rada Evropské unie. (2016</w:t>
      </w:r>
      <w:r w:rsidRPr="006451A8">
        <w:rPr>
          <w:rFonts w:cs="Times New Roman"/>
          <w:i/>
          <w:iCs/>
          <w:szCs w:val="24"/>
        </w:rPr>
        <w:t>). Evropská rada a Rada EU od počátku až po současnost</w:t>
      </w:r>
      <w:r w:rsidRPr="006451A8">
        <w:rPr>
          <w:rFonts w:cs="Times New Roman"/>
          <w:szCs w:val="24"/>
        </w:rPr>
        <w:t>. Dostupné z: https://www.consilium.europa.eu/media/29955/qc0415219csn.pdf.</w:t>
      </w:r>
    </w:p>
    <w:p w14:paraId="41363F6F" w14:textId="77777777" w:rsidR="00F753B0" w:rsidRPr="006451A8" w:rsidRDefault="00F753B0" w:rsidP="00F753B0">
      <w:pPr>
        <w:spacing w:line="360" w:lineRule="auto"/>
        <w:rPr>
          <w:rFonts w:cs="Times New Roman"/>
          <w:szCs w:val="24"/>
        </w:rPr>
      </w:pPr>
      <w:r w:rsidRPr="006451A8">
        <w:rPr>
          <w:rFonts w:cs="Times New Roman"/>
          <w:szCs w:val="24"/>
        </w:rPr>
        <w:t>SMLOUVA O EVROPSKÉ UNII. (1992). Dostupné z: http://www.euroskop.cz/gallery/2/758-smlouva_o_eu_puvodni_verze.pdf.</w:t>
      </w:r>
    </w:p>
    <w:p w14:paraId="592C67DB" w14:textId="77777777" w:rsidR="00F753B0" w:rsidRPr="006451A8" w:rsidRDefault="00F753B0" w:rsidP="00F753B0">
      <w:pPr>
        <w:spacing w:line="360" w:lineRule="auto"/>
        <w:rPr>
          <w:rFonts w:cs="Times New Roman"/>
          <w:szCs w:val="24"/>
        </w:rPr>
      </w:pPr>
      <w:r w:rsidRPr="006451A8">
        <w:rPr>
          <w:rFonts w:cs="Times New Roman"/>
          <w:szCs w:val="24"/>
        </w:rPr>
        <w:t>SMLOUVA O ZALOŽENÍ EVROPSKÉHO HOSPODÁŘSKÉHO SPOLEČENSTVÍ. (1957). Dostupné z: http://www.euroskop.cz/gallery/2/758-smlouva_o_eu_puvodni_verze.pdf.</w:t>
      </w:r>
    </w:p>
    <w:p w14:paraId="1CB38544" w14:textId="77777777" w:rsidR="00F753B0" w:rsidRPr="00DB2098" w:rsidRDefault="00F753B0" w:rsidP="00F753B0">
      <w:pPr>
        <w:spacing w:line="360" w:lineRule="auto"/>
        <w:rPr>
          <w:rFonts w:cs="Times New Roman"/>
          <w:szCs w:val="24"/>
        </w:rPr>
      </w:pPr>
      <w:r w:rsidRPr="00DB2098">
        <w:rPr>
          <w:rStyle w:val="Hypertextovodkaz"/>
          <w:rFonts w:cs="Times New Roman"/>
          <w:color w:val="auto"/>
          <w:szCs w:val="24"/>
          <w:u w:val="none"/>
        </w:rPr>
        <w:t>Úřední věštník Evropské unie. (2016, 7.</w:t>
      </w:r>
      <w:r w:rsidRPr="00DB2098">
        <w:rPr>
          <w:rStyle w:val="Hypertextovodkaz"/>
          <w:rFonts w:cs="Times New Roman"/>
          <w:szCs w:val="24"/>
        </w:rPr>
        <w:t xml:space="preserve"> </w:t>
      </w:r>
      <w:r w:rsidRPr="00DB2098">
        <w:rPr>
          <w:rStyle w:val="Hypertextovodkaz"/>
          <w:rFonts w:cs="Times New Roman"/>
          <w:color w:val="auto"/>
          <w:szCs w:val="24"/>
          <w:u w:val="none"/>
        </w:rPr>
        <w:t>června).</w:t>
      </w:r>
      <w:r w:rsidRPr="00DB2098">
        <w:rPr>
          <w:rStyle w:val="Hypertextovodkaz"/>
          <w:rFonts w:cs="Times New Roman"/>
          <w:color w:val="auto"/>
          <w:szCs w:val="24"/>
        </w:rPr>
        <w:t xml:space="preserve"> </w:t>
      </w:r>
      <w:r w:rsidRPr="00DB2098">
        <w:rPr>
          <w:rFonts w:cs="Times New Roman"/>
          <w:i/>
          <w:iCs/>
          <w:szCs w:val="24"/>
        </w:rPr>
        <w:t xml:space="preserve">KONSOLIDOVANÁ ZNĚNÍ SMLOUVY O EVROPSKÉ UNII A SMLOUVY O FUNGOVÁNÍ EVROPSKÉ UNIE. </w:t>
      </w:r>
      <w:r w:rsidRPr="00DB2098">
        <w:rPr>
          <w:rFonts w:cs="Times New Roman"/>
          <w:szCs w:val="24"/>
        </w:rPr>
        <w:t>Dostupné z: https://eur-lex.europa.eu/resource.html?uri=cellar:9e8d52e1-2c70-11e6-b497-01aa75ed71a1.0002.01/DOC_1&amp;format=PDF</w:t>
      </w:r>
      <w:r>
        <w:rPr>
          <w:rFonts w:cs="Times New Roman"/>
          <w:szCs w:val="24"/>
        </w:rPr>
        <w:t>.</w:t>
      </w:r>
    </w:p>
    <w:p w14:paraId="2E0C4CEF" w14:textId="77777777" w:rsidR="00F753B0" w:rsidRDefault="00F753B0" w:rsidP="00F753B0">
      <w:pPr>
        <w:spacing w:line="360" w:lineRule="auto"/>
        <w:rPr>
          <w:rFonts w:cs="Times New Roman"/>
          <w:szCs w:val="24"/>
        </w:rPr>
      </w:pPr>
    </w:p>
    <w:p w14:paraId="28F02E63" w14:textId="77777777" w:rsidR="00F753B0" w:rsidRDefault="00F753B0" w:rsidP="00F753B0">
      <w:pPr>
        <w:spacing w:line="360" w:lineRule="auto"/>
        <w:rPr>
          <w:rFonts w:cs="Times New Roman"/>
          <w:sz w:val="26"/>
          <w:szCs w:val="26"/>
        </w:rPr>
      </w:pPr>
      <w:r>
        <w:rPr>
          <w:rFonts w:cs="Times New Roman"/>
          <w:sz w:val="26"/>
          <w:szCs w:val="26"/>
        </w:rPr>
        <w:t>Literatura</w:t>
      </w:r>
    </w:p>
    <w:p w14:paraId="21306355" w14:textId="77777777" w:rsidR="00F753B0" w:rsidRDefault="00F753B0" w:rsidP="00F753B0">
      <w:pPr>
        <w:spacing w:line="360" w:lineRule="auto"/>
        <w:rPr>
          <w:rFonts w:cs="Times New Roman"/>
          <w:szCs w:val="24"/>
        </w:rPr>
      </w:pPr>
      <w:proofErr w:type="spellStart"/>
      <w:r w:rsidRPr="00631ECE">
        <w:rPr>
          <w:rFonts w:cs="Times New Roman"/>
          <w:szCs w:val="24"/>
        </w:rPr>
        <w:t>Albron</w:t>
      </w:r>
      <w:proofErr w:type="spellEnd"/>
      <w:r w:rsidRPr="00631ECE">
        <w:rPr>
          <w:rFonts w:cs="Times New Roman"/>
          <w:szCs w:val="24"/>
        </w:rPr>
        <w:t xml:space="preserve">, J. (2014). </w:t>
      </w:r>
      <w:proofErr w:type="spellStart"/>
      <w:r w:rsidRPr="00631ECE">
        <w:rPr>
          <w:rFonts w:cs="Times New Roman"/>
          <w:szCs w:val="24"/>
        </w:rPr>
        <w:t>The</w:t>
      </w:r>
      <w:proofErr w:type="spellEnd"/>
      <w:r w:rsidRPr="00631ECE">
        <w:rPr>
          <w:rFonts w:cs="Times New Roman"/>
          <w:szCs w:val="24"/>
        </w:rPr>
        <w:t xml:space="preserve"> </w:t>
      </w:r>
      <w:proofErr w:type="spellStart"/>
      <w:r w:rsidRPr="00631ECE">
        <w:rPr>
          <w:rFonts w:cs="Times New Roman"/>
          <w:szCs w:val="24"/>
        </w:rPr>
        <w:t>Future</w:t>
      </w:r>
      <w:proofErr w:type="spellEnd"/>
      <w:r w:rsidRPr="00631ECE">
        <w:rPr>
          <w:rFonts w:cs="Times New Roman"/>
          <w:szCs w:val="24"/>
        </w:rPr>
        <w:t xml:space="preserve"> </w:t>
      </w:r>
      <w:proofErr w:type="spellStart"/>
      <w:r w:rsidRPr="00631ECE">
        <w:rPr>
          <w:rFonts w:cs="Times New Roman"/>
          <w:szCs w:val="24"/>
        </w:rPr>
        <w:t>of</w:t>
      </w:r>
      <w:proofErr w:type="spellEnd"/>
      <w:r w:rsidRPr="00631ECE">
        <w:rPr>
          <w:rFonts w:cs="Times New Roman"/>
          <w:szCs w:val="24"/>
        </w:rPr>
        <w:t xml:space="preserve"> </w:t>
      </w:r>
      <w:proofErr w:type="spellStart"/>
      <w:r w:rsidRPr="00631ECE">
        <w:rPr>
          <w:rFonts w:cs="Times New Roman"/>
          <w:szCs w:val="24"/>
        </w:rPr>
        <w:t>European</w:t>
      </w:r>
      <w:proofErr w:type="spellEnd"/>
      <w:r w:rsidRPr="00631ECE">
        <w:rPr>
          <w:rFonts w:cs="Times New Roman"/>
          <w:szCs w:val="24"/>
        </w:rPr>
        <w:t xml:space="preserve"> Union. </w:t>
      </w:r>
      <w:proofErr w:type="spellStart"/>
      <w:r w:rsidRPr="00631ECE">
        <w:rPr>
          <w:rFonts w:cs="Times New Roman"/>
          <w:i/>
          <w:iCs/>
          <w:szCs w:val="24"/>
        </w:rPr>
        <w:t>Horizons</w:t>
      </w:r>
      <w:proofErr w:type="spellEnd"/>
      <w:r w:rsidRPr="00631ECE">
        <w:rPr>
          <w:rFonts w:cs="Times New Roman"/>
          <w:i/>
          <w:iCs/>
          <w:szCs w:val="24"/>
        </w:rPr>
        <w:t xml:space="preserve">: </w:t>
      </w:r>
      <w:proofErr w:type="spellStart"/>
      <w:r w:rsidRPr="00631ECE">
        <w:rPr>
          <w:rFonts w:cs="Times New Roman"/>
          <w:i/>
          <w:iCs/>
          <w:szCs w:val="24"/>
        </w:rPr>
        <w:t>Journal</w:t>
      </w:r>
      <w:proofErr w:type="spellEnd"/>
      <w:r w:rsidRPr="00631ECE">
        <w:rPr>
          <w:rFonts w:cs="Times New Roman"/>
          <w:i/>
          <w:iCs/>
          <w:szCs w:val="24"/>
        </w:rPr>
        <w:t xml:space="preserve"> </w:t>
      </w:r>
      <w:proofErr w:type="spellStart"/>
      <w:r w:rsidRPr="00631ECE">
        <w:rPr>
          <w:rFonts w:cs="Times New Roman"/>
          <w:i/>
          <w:iCs/>
          <w:szCs w:val="24"/>
        </w:rPr>
        <w:t>of</w:t>
      </w:r>
      <w:proofErr w:type="spellEnd"/>
      <w:r w:rsidRPr="00631ECE">
        <w:rPr>
          <w:rFonts w:cs="Times New Roman"/>
          <w:i/>
          <w:iCs/>
          <w:szCs w:val="24"/>
        </w:rPr>
        <w:t xml:space="preserve"> International Relations and </w:t>
      </w:r>
      <w:proofErr w:type="spellStart"/>
      <w:r w:rsidRPr="00631ECE">
        <w:rPr>
          <w:rFonts w:cs="Times New Roman"/>
          <w:i/>
          <w:iCs/>
          <w:szCs w:val="24"/>
        </w:rPr>
        <w:t>Sustainable</w:t>
      </w:r>
      <w:proofErr w:type="spellEnd"/>
      <w:r w:rsidRPr="00631ECE">
        <w:rPr>
          <w:rFonts w:cs="Times New Roman"/>
          <w:i/>
          <w:iCs/>
          <w:szCs w:val="24"/>
        </w:rPr>
        <w:t xml:space="preserve"> Development.</w:t>
      </w:r>
      <w:r w:rsidRPr="00631ECE">
        <w:rPr>
          <w:rFonts w:cs="Times New Roman"/>
          <w:szCs w:val="24"/>
        </w:rPr>
        <w:t xml:space="preserve"> </w:t>
      </w:r>
      <w:r w:rsidRPr="00631ECE">
        <w:rPr>
          <w:rFonts w:cs="Times New Roman"/>
          <w:i/>
          <w:iCs/>
          <w:szCs w:val="24"/>
        </w:rPr>
        <w:t>1</w:t>
      </w:r>
      <w:r w:rsidRPr="00631ECE">
        <w:rPr>
          <w:rFonts w:cs="Times New Roman"/>
          <w:szCs w:val="24"/>
        </w:rPr>
        <w:t>, 150-163. Dostupné z: https://www.jstor.org/stable/48573441?seq=2#metadata_info_tab_contents</w:t>
      </w:r>
      <w:r>
        <w:rPr>
          <w:rFonts w:cs="Times New Roman"/>
          <w:szCs w:val="24"/>
        </w:rPr>
        <w:t>.</w:t>
      </w:r>
    </w:p>
    <w:p w14:paraId="1E8AA7C9" w14:textId="16575494" w:rsidR="003E635F" w:rsidRDefault="003E635F" w:rsidP="00F753B0">
      <w:pPr>
        <w:spacing w:line="360" w:lineRule="auto"/>
        <w:rPr>
          <w:rFonts w:cs="Times New Roman"/>
          <w:szCs w:val="24"/>
        </w:rPr>
      </w:pPr>
      <w:proofErr w:type="spellStart"/>
      <w:r w:rsidRPr="00631ECE">
        <w:rPr>
          <w:rFonts w:cs="Times New Roman"/>
          <w:szCs w:val="24"/>
        </w:rPr>
        <w:t>Ansell</w:t>
      </w:r>
      <w:proofErr w:type="spellEnd"/>
      <w:r w:rsidRPr="00631ECE">
        <w:rPr>
          <w:rFonts w:cs="Times New Roman"/>
          <w:szCs w:val="24"/>
        </w:rPr>
        <w:t xml:space="preserve">, C. </w:t>
      </w:r>
      <w:r w:rsidRPr="00631ECE">
        <w:rPr>
          <w:rFonts w:cs="Times New Roman"/>
          <w:szCs w:val="24"/>
          <w:lang w:val="en-GB"/>
        </w:rPr>
        <w:t>&amp;</w:t>
      </w:r>
      <w:r w:rsidRPr="00631ECE">
        <w:rPr>
          <w:rFonts w:cs="Times New Roman"/>
          <w:szCs w:val="24"/>
        </w:rPr>
        <w:t xml:space="preserve"> </w:t>
      </w:r>
      <w:proofErr w:type="spellStart"/>
      <w:r w:rsidRPr="00631ECE">
        <w:rPr>
          <w:rFonts w:cs="Times New Roman"/>
          <w:szCs w:val="24"/>
        </w:rPr>
        <w:t>Torfing</w:t>
      </w:r>
      <w:proofErr w:type="spellEnd"/>
      <w:r w:rsidRPr="00631ECE">
        <w:rPr>
          <w:rFonts w:cs="Times New Roman"/>
          <w:szCs w:val="24"/>
        </w:rPr>
        <w:t>, J. (</w:t>
      </w:r>
      <w:proofErr w:type="spellStart"/>
      <w:r w:rsidRPr="00631ECE">
        <w:rPr>
          <w:rFonts w:cs="Times New Roman"/>
          <w:szCs w:val="24"/>
        </w:rPr>
        <w:t>Eds</w:t>
      </w:r>
      <w:proofErr w:type="spellEnd"/>
      <w:r w:rsidRPr="00631ECE">
        <w:rPr>
          <w:rFonts w:cs="Times New Roman"/>
          <w:szCs w:val="24"/>
        </w:rPr>
        <w:t xml:space="preserve">.). (2016). </w:t>
      </w:r>
      <w:r w:rsidRPr="00631ECE">
        <w:rPr>
          <w:rFonts w:cs="Times New Roman"/>
          <w:i/>
          <w:iCs/>
          <w:szCs w:val="24"/>
        </w:rPr>
        <w:t xml:space="preserve">Handbook </w:t>
      </w:r>
      <w:proofErr w:type="spellStart"/>
      <w:r w:rsidRPr="00631ECE">
        <w:rPr>
          <w:rFonts w:cs="Times New Roman"/>
          <w:i/>
          <w:iCs/>
          <w:szCs w:val="24"/>
        </w:rPr>
        <w:t>of</w:t>
      </w:r>
      <w:proofErr w:type="spellEnd"/>
      <w:r w:rsidRPr="00631ECE">
        <w:rPr>
          <w:rFonts w:cs="Times New Roman"/>
          <w:i/>
          <w:iCs/>
          <w:szCs w:val="24"/>
        </w:rPr>
        <w:t xml:space="preserve"> </w:t>
      </w:r>
      <w:proofErr w:type="spellStart"/>
      <w:r w:rsidRPr="00631ECE">
        <w:rPr>
          <w:rFonts w:cs="Times New Roman"/>
          <w:i/>
          <w:iCs/>
          <w:szCs w:val="24"/>
        </w:rPr>
        <w:t>Theories</w:t>
      </w:r>
      <w:proofErr w:type="spellEnd"/>
      <w:r w:rsidRPr="00631ECE">
        <w:rPr>
          <w:rFonts w:cs="Times New Roman"/>
          <w:i/>
          <w:iCs/>
          <w:szCs w:val="24"/>
        </w:rPr>
        <w:t xml:space="preserve"> </w:t>
      </w:r>
      <w:proofErr w:type="spellStart"/>
      <w:r w:rsidRPr="00631ECE">
        <w:rPr>
          <w:rFonts w:cs="Times New Roman"/>
          <w:i/>
          <w:iCs/>
          <w:szCs w:val="24"/>
        </w:rPr>
        <w:t>of</w:t>
      </w:r>
      <w:proofErr w:type="spellEnd"/>
      <w:r w:rsidRPr="00631ECE">
        <w:rPr>
          <w:rFonts w:cs="Times New Roman"/>
          <w:i/>
          <w:iCs/>
          <w:szCs w:val="24"/>
        </w:rPr>
        <w:t xml:space="preserve"> </w:t>
      </w:r>
      <w:proofErr w:type="spellStart"/>
      <w:r w:rsidRPr="00631ECE">
        <w:rPr>
          <w:rFonts w:cs="Times New Roman"/>
          <w:i/>
          <w:iCs/>
          <w:szCs w:val="24"/>
        </w:rPr>
        <w:t>Governance</w:t>
      </w:r>
      <w:proofErr w:type="spellEnd"/>
      <w:r w:rsidRPr="00631ECE">
        <w:rPr>
          <w:rFonts w:cs="Times New Roman"/>
          <w:i/>
          <w:iCs/>
          <w:szCs w:val="24"/>
        </w:rPr>
        <w:t xml:space="preserve">. </w:t>
      </w:r>
      <w:proofErr w:type="spellStart"/>
      <w:r w:rsidRPr="00631ECE">
        <w:rPr>
          <w:rFonts w:cs="Times New Roman"/>
          <w:szCs w:val="24"/>
        </w:rPr>
        <w:t>Celtenham</w:t>
      </w:r>
      <w:proofErr w:type="spellEnd"/>
      <w:r w:rsidRPr="00631ECE">
        <w:rPr>
          <w:rFonts w:cs="Times New Roman"/>
          <w:szCs w:val="24"/>
        </w:rPr>
        <w:t xml:space="preserve">: Edward </w:t>
      </w:r>
      <w:proofErr w:type="spellStart"/>
      <w:r w:rsidRPr="00631ECE">
        <w:rPr>
          <w:rFonts w:cs="Times New Roman"/>
          <w:szCs w:val="24"/>
        </w:rPr>
        <w:t>Elgar</w:t>
      </w:r>
      <w:proofErr w:type="spellEnd"/>
      <w:r>
        <w:rPr>
          <w:rFonts w:cs="Times New Roman"/>
          <w:szCs w:val="24"/>
        </w:rPr>
        <w:t>.</w:t>
      </w:r>
    </w:p>
    <w:p w14:paraId="585F85C6" w14:textId="299D9C87" w:rsidR="00F753B0" w:rsidRDefault="00F753B0" w:rsidP="00F753B0">
      <w:pPr>
        <w:spacing w:line="360" w:lineRule="auto"/>
        <w:rPr>
          <w:rFonts w:cs="Times New Roman"/>
          <w:szCs w:val="24"/>
        </w:rPr>
      </w:pPr>
      <w:proofErr w:type="spellStart"/>
      <w:r w:rsidRPr="00631ECE">
        <w:rPr>
          <w:rFonts w:cs="Times New Roman"/>
          <w:szCs w:val="24"/>
        </w:rPr>
        <w:t>Benedetto</w:t>
      </w:r>
      <w:proofErr w:type="spellEnd"/>
      <w:r w:rsidRPr="00631ECE">
        <w:rPr>
          <w:rFonts w:cs="Times New Roman"/>
          <w:szCs w:val="24"/>
        </w:rPr>
        <w:t xml:space="preserve">, G. (2013). </w:t>
      </w:r>
      <w:proofErr w:type="spellStart"/>
      <w:r w:rsidRPr="00631ECE">
        <w:rPr>
          <w:rFonts w:cs="Times New Roman"/>
          <w:szCs w:val="24"/>
        </w:rPr>
        <w:t>The</w:t>
      </w:r>
      <w:proofErr w:type="spellEnd"/>
      <w:r w:rsidRPr="00631ECE">
        <w:rPr>
          <w:rFonts w:cs="Times New Roman"/>
          <w:szCs w:val="24"/>
        </w:rPr>
        <w:t xml:space="preserve"> EU budget </w:t>
      </w:r>
      <w:proofErr w:type="spellStart"/>
      <w:r w:rsidRPr="00631ECE">
        <w:rPr>
          <w:rFonts w:cs="Times New Roman"/>
          <w:szCs w:val="24"/>
        </w:rPr>
        <w:t>after</w:t>
      </w:r>
      <w:proofErr w:type="spellEnd"/>
      <w:r w:rsidRPr="00631ECE">
        <w:rPr>
          <w:rFonts w:cs="Times New Roman"/>
          <w:szCs w:val="24"/>
        </w:rPr>
        <w:t xml:space="preserve"> </w:t>
      </w:r>
      <w:proofErr w:type="spellStart"/>
      <w:r w:rsidRPr="00631ECE">
        <w:rPr>
          <w:rFonts w:cs="Times New Roman"/>
          <w:szCs w:val="24"/>
        </w:rPr>
        <w:t>Lisbon</w:t>
      </w:r>
      <w:proofErr w:type="spellEnd"/>
      <w:r w:rsidRPr="00631ECE">
        <w:rPr>
          <w:rFonts w:cs="Times New Roman"/>
          <w:szCs w:val="24"/>
        </w:rPr>
        <w:t xml:space="preserve">: rigidity and </w:t>
      </w:r>
      <w:proofErr w:type="spellStart"/>
      <w:r w:rsidRPr="00631ECE">
        <w:rPr>
          <w:rFonts w:cs="Times New Roman"/>
          <w:szCs w:val="24"/>
        </w:rPr>
        <w:t>reduced</w:t>
      </w:r>
      <w:proofErr w:type="spellEnd"/>
      <w:r w:rsidRPr="00631ECE">
        <w:rPr>
          <w:rFonts w:cs="Times New Roman"/>
          <w:szCs w:val="24"/>
        </w:rPr>
        <w:t xml:space="preserve"> </w:t>
      </w:r>
      <w:proofErr w:type="spellStart"/>
      <w:r w:rsidRPr="00631ECE">
        <w:rPr>
          <w:rFonts w:cs="Times New Roman"/>
          <w:szCs w:val="24"/>
        </w:rPr>
        <w:t>spending</w:t>
      </w:r>
      <w:proofErr w:type="spellEnd"/>
      <w:r w:rsidRPr="00631ECE">
        <w:rPr>
          <w:rFonts w:cs="Times New Roman"/>
          <w:szCs w:val="24"/>
        </w:rPr>
        <w:t xml:space="preserve">? </w:t>
      </w:r>
      <w:proofErr w:type="spellStart"/>
      <w:r w:rsidRPr="00631ECE">
        <w:rPr>
          <w:rFonts w:cs="Times New Roman"/>
          <w:i/>
          <w:iCs/>
          <w:szCs w:val="24"/>
        </w:rPr>
        <w:t>Journal</w:t>
      </w:r>
      <w:proofErr w:type="spellEnd"/>
      <w:r w:rsidRPr="00631ECE">
        <w:rPr>
          <w:rFonts w:cs="Times New Roman"/>
          <w:i/>
          <w:iCs/>
          <w:szCs w:val="24"/>
        </w:rPr>
        <w:t xml:space="preserve"> </w:t>
      </w:r>
      <w:proofErr w:type="spellStart"/>
      <w:r w:rsidRPr="00631ECE">
        <w:rPr>
          <w:rFonts w:cs="Times New Roman"/>
          <w:i/>
          <w:iCs/>
          <w:szCs w:val="24"/>
        </w:rPr>
        <w:t>of</w:t>
      </w:r>
      <w:proofErr w:type="spellEnd"/>
      <w:r w:rsidRPr="00631ECE">
        <w:rPr>
          <w:rFonts w:cs="Times New Roman"/>
          <w:i/>
          <w:iCs/>
          <w:szCs w:val="24"/>
        </w:rPr>
        <w:t xml:space="preserve"> Public </w:t>
      </w:r>
      <w:proofErr w:type="spellStart"/>
      <w:r w:rsidRPr="00631ECE">
        <w:rPr>
          <w:rFonts w:cs="Times New Roman"/>
          <w:i/>
          <w:iCs/>
          <w:szCs w:val="24"/>
        </w:rPr>
        <w:t>Policy</w:t>
      </w:r>
      <w:proofErr w:type="spellEnd"/>
      <w:r w:rsidRPr="00631ECE">
        <w:rPr>
          <w:rFonts w:cs="Times New Roman"/>
          <w:i/>
          <w:iCs/>
          <w:szCs w:val="24"/>
        </w:rPr>
        <w:t>. 33</w:t>
      </w:r>
      <w:r w:rsidRPr="00631ECE">
        <w:rPr>
          <w:rFonts w:cs="Times New Roman"/>
          <w:szCs w:val="24"/>
        </w:rPr>
        <w:t xml:space="preserve"> (3), 345-369. Dostupné z: https://www.jstor.org/stable/43864077.</w:t>
      </w:r>
    </w:p>
    <w:p w14:paraId="639BEB39" w14:textId="77777777" w:rsidR="00F753B0" w:rsidRDefault="00F753B0" w:rsidP="00F753B0">
      <w:pPr>
        <w:spacing w:line="360" w:lineRule="auto"/>
        <w:rPr>
          <w:rFonts w:cs="Times New Roman"/>
          <w:szCs w:val="24"/>
        </w:rPr>
      </w:pPr>
      <w:proofErr w:type="spellStart"/>
      <w:r w:rsidRPr="00631ECE">
        <w:rPr>
          <w:rFonts w:cs="Times New Roman"/>
          <w:szCs w:val="24"/>
        </w:rPr>
        <w:t>Boucher</w:t>
      </w:r>
      <w:proofErr w:type="spellEnd"/>
      <w:r w:rsidRPr="00631ECE">
        <w:rPr>
          <w:rFonts w:cs="Times New Roman"/>
          <w:szCs w:val="24"/>
        </w:rPr>
        <w:t xml:space="preserve">, S., </w:t>
      </w:r>
      <w:proofErr w:type="spellStart"/>
      <w:r w:rsidRPr="00631ECE">
        <w:rPr>
          <w:rFonts w:cs="Times New Roman"/>
          <w:szCs w:val="24"/>
        </w:rPr>
        <w:t>Butler</w:t>
      </w:r>
      <w:proofErr w:type="spellEnd"/>
      <w:r w:rsidRPr="00631ECE">
        <w:rPr>
          <w:rFonts w:cs="Times New Roman"/>
          <w:szCs w:val="24"/>
        </w:rPr>
        <w:t xml:space="preserve">, I., De </w:t>
      </w:r>
      <w:proofErr w:type="spellStart"/>
      <w:r w:rsidRPr="00631ECE">
        <w:rPr>
          <w:rFonts w:cs="Times New Roman"/>
          <w:szCs w:val="24"/>
        </w:rPr>
        <w:t>Groot</w:t>
      </w:r>
      <w:proofErr w:type="spellEnd"/>
      <w:r w:rsidRPr="00631ECE">
        <w:rPr>
          <w:rFonts w:cs="Times New Roman"/>
          <w:szCs w:val="24"/>
        </w:rPr>
        <w:t xml:space="preserve">, M., </w:t>
      </w:r>
      <w:proofErr w:type="spellStart"/>
      <w:r w:rsidRPr="00631ECE">
        <w:rPr>
          <w:rFonts w:cs="Times New Roman"/>
          <w:szCs w:val="24"/>
        </w:rPr>
        <w:t>Lironi</w:t>
      </w:r>
      <w:proofErr w:type="spellEnd"/>
      <w:r w:rsidRPr="00631ECE">
        <w:rPr>
          <w:rFonts w:cs="Times New Roman"/>
          <w:szCs w:val="24"/>
        </w:rPr>
        <w:t xml:space="preserve">, E., </w:t>
      </w:r>
      <w:proofErr w:type="spellStart"/>
      <w:r w:rsidRPr="00631ECE">
        <w:rPr>
          <w:rFonts w:cs="Times New Roman"/>
          <w:szCs w:val="24"/>
        </w:rPr>
        <w:t>Russack</w:t>
      </w:r>
      <w:proofErr w:type="spellEnd"/>
      <w:r w:rsidRPr="00631ECE">
        <w:rPr>
          <w:rFonts w:cs="Times New Roman"/>
          <w:szCs w:val="24"/>
        </w:rPr>
        <w:t xml:space="preserve">, S., </w:t>
      </w:r>
      <w:proofErr w:type="spellStart"/>
      <w:r w:rsidRPr="00631ECE">
        <w:rPr>
          <w:rFonts w:cs="Times New Roman"/>
          <w:szCs w:val="24"/>
        </w:rPr>
        <w:t>Stratulat</w:t>
      </w:r>
      <w:proofErr w:type="spellEnd"/>
      <w:r w:rsidRPr="00631ECE">
        <w:rPr>
          <w:rFonts w:cs="Times New Roman"/>
          <w:szCs w:val="24"/>
        </w:rPr>
        <w:t xml:space="preserve">, C., . . . </w:t>
      </w:r>
      <w:proofErr w:type="spellStart"/>
      <w:r w:rsidRPr="00631ECE">
        <w:rPr>
          <w:rFonts w:cs="Times New Roman"/>
          <w:szCs w:val="24"/>
        </w:rPr>
        <w:t>Zacharzewski</w:t>
      </w:r>
      <w:proofErr w:type="spellEnd"/>
      <w:r w:rsidRPr="00631ECE">
        <w:rPr>
          <w:rFonts w:cs="Times New Roman"/>
          <w:szCs w:val="24"/>
        </w:rPr>
        <w:t>, A. (2019). </w:t>
      </w:r>
      <w:proofErr w:type="spellStart"/>
      <w:r w:rsidRPr="00631ECE">
        <w:rPr>
          <w:rFonts w:cs="Times New Roman"/>
          <w:szCs w:val="24"/>
        </w:rPr>
        <w:t>Six</w:t>
      </w:r>
      <w:proofErr w:type="spellEnd"/>
      <w:r w:rsidRPr="00631ECE">
        <w:rPr>
          <w:rFonts w:cs="Times New Roman"/>
          <w:szCs w:val="24"/>
        </w:rPr>
        <w:t xml:space="preserve"> </w:t>
      </w:r>
      <w:proofErr w:type="spellStart"/>
      <w:r w:rsidRPr="00631ECE">
        <w:rPr>
          <w:rFonts w:cs="Times New Roman"/>
          <w:szCs w:val="24"/>
        </w:rPr>
        <w:t>Ideas</w:t>
      </w:r>
      <w:proofErr w:type="spellEnd"/>
      <w:r w:rsidRPr="00631ECE">
        <w:rPr>
          <w:rFonts w:cs="Times New Roman"/>
          <w:szCs w:val="24"/>
        </w:rPr>
        <w:t xml:space="preserve"> </w:t>
      </w:r>
      <w:proofErr w:type="spellStart"/>
      <w:r w:rsidRPr="00631ECE">
        <w:rPr>
          <w:rFonts w:cs="Times New Roman"/>
          <w:szCs w:val="24"/>
        </w:rPr>
        <w:t>for</w:t>
      </w:r>
      <w:proofErr w:type="spellEnd"/>
      <w:r w:rsidRPr="00631ECE">
        <w:rPr>
          <w:rFonts w:cs="Times New Roman"/>
          <w:szCs w:val="24"/>
        </w:rPr>
        <w:t xml:space="preserve"> </w:t>
      </w:r>
      <w:proofErr w:type="spellStart"/>
      <w:r w:rsidRPr="00631ECE">
        <w:rPr>
          <w:rFonts w:cs="Times New Roman"/>
          <w:szCs w:val="24"/>
        </w:rPr>
        <w:t>Rejuvenating</w:t>
      </w:r>
      <w:proofErr w:type="spellEnd"/>
      <w:r w:rsidRPr="00631ECE">
        <w:rPr>
          <w:rFonts w:cs="Times New Roman"/>
          <w:szCs w:val="24"/>
        </w:rPr>
        <w:t xml:space="preserve"> </w:t>
      </w:r>
      <w:proofErr w:type="spellStart"/>
      <w:r w:rsidRPr="00631ECE">
        <w:rPr>
          <w:rFonts w:cs="Times New Roman"/>
          <w:szCs w:val="24"/>
        </w:rPr>
        <w:t>European</w:t>
      </w:r>
      <w:proofErr w:type="spellEnd"/>
      <w:r w:rsidRPr="00631ECE">
        <w:rPr>
          <w:rFonts w:cs="Times New Roman"/>
          <w:szCs w:val="24"/>
        </w:rPr>
        <w:t xml:space="preserve"> </w:t>
      </w:r>
      <w:proofErr w:type="spellStart"/>
      <w:r w:rsidRPr="00631ECE">
        <w:rPr>
          <w:rFonts w:cs="Times New Roman"/>
          <w:szCs w:val="24"/>
        </w:rPr>
        <w:t>Democracy</w:t>
      </w:r>
      <w:proofErr w:type="spellEnd"/>
      <w:r w:rsidRPr="00631ECE">
        <w:rPr>
          <w:rFonts w:cs="Times New Roman"/>
          <w:szCs w:val="24"/>
        </w:rPr>
        <w:t>.</w:t>
      </w:r>
      <w:r w:rsidRPr="00631ECE">
        <w:rPr>
          <w:rFonts w:cs="Times New Roman"/>
          <w:i/>
          <w:iCs/>
          <w:szCs w:val="24"/>
        </w:rPr>
        <w:t xml:space="preserve"> Carnegie </w:t>
      </w:r>
      <w:proofErr w:type="spellStart"/>
      <w:r w:rsidRPr="00631ECE">
        <w:rPr>
          <w:rFonts w:cs="Times New Roman"/>
          <w:i/>
          <w:iCs/>
          <w:szCs w:val="24"/>
        </w:rPr>
        <w:t>Endowment</w:t>
      </w:r>
      <w:proofErr w:type="spellEnd"/>
      <w:r w:rsidRPr="00631ECE">
        <w:rPr>
          <w:rFonts w:cs="Times New Roman"/>
          <w:i/>
          <w:iCs/>
          <w:szCs w:val="24"/>
        </w:rPr>
        <w:t xml:space="preserve"> </w:t>
      </w:r>
      <w:proofErr w:type="spellStart"/>
      <w:r w:rsidRPr="00631ECE">
        <w:rPr>
          <w:rFonts w:cs="Times New Roman"/>
          <w:i/>
          <w:iCs/>
          <w:szCs w:val="24"/>
        </w:rPr>
        <w:t>for</w:t>
      </w:r>
      <w:proofErr w:type="spellEnd"/>
      <w:r w:rsidRPr="00631ECE">
        <w:rPr>
          <w:rFonts w:cs="Times New Roman"/>
          <w:i/>
          <w:iCs/>
          <w:szCs w:val="24"/>
        </w:rPr>
        <w:t xml:space="preserve"> International </w:t>
      </w:r>
      <w:proofErr w:type="spellStart"/>
      <w:r w:rsidRPr="00631ECE">
        <w:rPr>
          <w:rFonts w:cs="Times New Roman"/>
          <w:i/>
          <w:iCs/>
          <w:szCs w:val="24"/>
        </w:rPr>
        <w:t>Peace</w:t>
      </w:r>
      <w:proofErr w:type="spellEnd"/>
      <w:r w:rsidRPr="00631ECE">
        <w:rPr>
          <w:rFonts w:cs="Times New Roman"/>
          <w:i/>
          <w:iCs/>
          <w:szCs w:val="24"/>
        </w:rPr>
        <w:t>. </w:t>
      </w:r>
      <w:r w:rsidRPr="00631ECE">
        <w:rPr>
          <w:rFonts w:cs="Times New Roman"/>
          <w:szCs w:val="24"/>
        </w:rPr>
        <w:t xml:space="preserve">Dostupné z: </w:t>
      </w:r>
      <w:r w:rsidRPr="00B242C0">
        <w:rPr>
          <w:rFonts w:cs="Times New Roman"/>
          <w:szCs w:val="24"/>
        </w:rPr>
        <w:t>https://www.jstor.org/stable/resrep20959.10</w:t>
      </w:r>
      <w:r>
        <w:rPr>
          <w:rFonts w:cs="Times New Roman"/>
          <w:szCs w:val="24"/>
        </w:rPr>
        <w:t>.</w:t>
      </w:r>
    </w:p>
    <w:p w14:paraId="73FCE097" w14:textId="215A0AA6" w:rsidR="003E635F" w:rsidRDefault="003E635F" w:rsidP="00F753B0">
      <w:pPr>
        <w:spacing w:line="360" w:lineRule="auto"/>
        <w:rPr>
          <w:rFonts w:cs="Times New Roman"/>
          <w:szCs w:val="24"/>
        </w:rPr>
      </w:pPr>
      <w:proofErr w:type="spellStart"/>
      <w:r w:rsidRPr="00631ECE">
        <w:rPr>
          <w:rFonts w:cs="Times New Roman"/>
          <w:szCs w:val="24"/>
        </w:rPr>
        <w:t>Cassese</w:t>
      </w:r>
      <w:proofErr w:type="spellEnd"/>
      <w:r w:rsidRPr="00631ECE">
        <w:rPr>
          <w:rFonts w:cs="Times New Roman"/>
          <w:szCs w:val="24"/>
        </w:rPr>
        <w:t xml:space="preserve">, S. (2002). </w:t>
      </w:r>
      <w:proofErr w:type="spellStart"/>
      <w:r w:rsidRPr="00631ECE">
        <w:rPr>
          <w:rFonts w:cs="Times New Roman"/>
          <w:szCs w:val="24"/>
        </w:rPr>
        <w:t>Is</w:t>
      </w:r>
      <w:proofErr w:type="spellEnd"/>
      <w:r w:rsidRPr="00631ECE">
        <w:rPr>
          <w:rFonts w:cs="Times New Roman"/>
          <w:szCs w:val="24"/>
        </w:rPr>
        <w:t xml:space="preserve"> </w:t>
      </w:r>
      <w:proofErr w:type="spellStart"/>
      <w:r w:rsidRPr="00631ECE">
        <w:rPr>
          <w:rFonts w:cs="Times New Roman"/>
          <w:szCs w:val="24"/>
        </w:rPr>
        <w:t>there</w:t>
      </w:r>
      <w:proofErr w:type="spellEnd"/>
      <w:r w:rsidRPr="00631ECE">
        <w:rPr>
          <w:rFonts w:cs="Times New Roman"/>
          <w:szCs w:val="24"/>
        </w:rPr>
        <w:t xml:space="preserve"> </w:t>
      </w:r>
      <w:proofErr w:type="spellStart"/>
      <w:r w:rsidRPr="00631ECE">
        <w:rPr>
          <w:rFonts w:cs="Times New Roman"/>
          <w:szCs w:val="24"/>
        </w:rPr>
        <w:t>really</w:t>
      </w:r>
      <w:proofErr w:type="spellEnd"/>
      <w:r w:rsidRPr="00631ECE">
        <w:rPr>
          <w:rFonts w:cs="Times New Roman"/>
          <w:szCs w:val="24"/>
        </w:rPr>
        <w:t xml:space="preserve"> a “</w:t>
      </w:r>
      <w:proofErr w:type="spellStart"/>
      <w:r w:rsidRPr="00631ECE">
        <w:rPr>
          <w:rFonts w:cs="Times New Roman"/>
          <w:szCs w:val="24"/>
        </w:rPr>
        <w:t>democratic</w:t>
      </w:r>
      <w:proofErr w:type="spellEnd"/>
      <w:r w:rsidRPr="00631ECE">
        <w:rPr>
          <w:rFonts w:cs="Times New Roman"/>
          <w:szCs w:val="24"/>
        </w:rPr>
        <w:t xml:space="preserve"> deficit”? In: </w:t>
      </w:r>
      <w:proofErr w:type="spellStart"/>
      <w:r w:rsidRPr="00631ECE">
        <w:rPr>
          <w:rFonts w:cs="Times New Roman"/>
          <w:szCs w:val="24"/>
        </w:rPr>
        <w:t>EuropEos</w:t>
      </w:r>
      <w:proofErr w:type="spellEnd"/>
      <w:r w:rsidRPr="00631ECE">
        <w:rPr>
          <w:rFonts w:cs="Times New Roman"/>
          <w:szCs w:val="24"/>
        </w:rPr>
        <w:t xml:space="preserve">, </w:t>
      </w:r>
      <w:proofErr w:type="spellStart"/>
      <w:r w:rsidRPr="00631ECE">
        <w:rPr>
          <w:rFonts w:cs="Times New Roman"/>
          <w:szCs w:val="24"/>
        </w:rPr>
        <w:t>Institutional</w:t>
      </w:r>
      <w:proofErr w:type="spellEnd"/>
      <w:r w:rsidRPr="00631ECE">
        <w:rPr>
          <w:rFonts w:cs="Times New Roman"/>
          <w:szCs w:val="24"/>
        </w:rPr>
        <w:t xml:space="preserve"> </w:t>
      </w:r>
      <w:proofErr w:type="spellStart"/>
      <w:r w:rsidRPr="00631ECE">
        <w:rPr>
          <w:rFonts w:cs="Times New Roman"/>
          <w:szCs w:val="24"/>
        </w:rPr>
        <w:t>Reforms</w:t>
      </w:r>
      <w:proofErr w:type="spellEnd"/>
      <w:r w:rsidRPr="00631ECE">
        <w:rPr>
          <w:rFonts w:cs="Times New Roman"/>
          <w:szCs w:val="24"/>
        </w:rPr>
        <w:t xml:space="preserve"> in </w:t>
      </w:r>
      <w:proofErr w:type="spellStart"/>
      <w:r w:rsidRPr="00631ECE">
        <w:rPr>
          <w:rFonts w:cs="Times New Roman"/>
          <w:szCs w:val="24"/>
        </w:rPr>
        <w:t>the</w:t>
      </w:r>
      <w:proofErr w:type="spellEnd"/>
      <w:r w:rsidRPr="00631ECE">
        <w:rPr>
          <w:rFonts w:cs="Times New Roman"/>
          <w:szCs w:val="24"/>
        </w:rPr>
        <w:t xml:space="preserve"> </w:t>
      </w:r>
      <w:proofErr w:type="spellStart"/>
      <w:r w:rsidRPr="00631ECE">
        <w:rPr>
          <w:rFonts w:cs="Times New Roman"/>
          <w:szCs w:val="24"/>
        </w:rPr>
        <w:t>European</w:t>
      </w:r>
      <w:proofErr w:type="spellEnd"/>
      <w:r w:rsidRPr="00631ECE">
        <w:rPr>
          <w:rFonts w:cs="Times New Roman"/>
          <w:szCs w:val="24"/>
        </w:rPr>
        <w:t xml:space="preserve"> Union.</w:t>
      </w:r>
    </w:p>
    <w:p w14:paraId="6F9BD1EE" w14:textId="16FC9C17" w:rsidR="00F753B0" w:rsidRDefault="00F753B0" w:rsidP="00F753B0">
      <w:pPr>
        <w:spacing w:line="360" w:lineRule="auto"/>
        <w:rPr>
          <w:rFonts w:cs="Times New Roman"/>
          <w:szCs w:val="24"/>
        </w:rPr>
      </w:pPr>
      <w:proofErr w:type="spellStart"/>
      <w:r w:rsidRPr="00B242C0">
        <w:rPr>
          <w:rFonts w:cs="Times New Roman"/>
          <w:szCs w:val="24"/>
        </w:rPr>
        <w:lastRenderedPageBreak/>
        <w:t>Curtin</w:t>
      </w:r>
      <w:proofErr w:type="spellEnd"/>
      <w:r w:rsidRPr="00B242C0">
        <w:rPr>
          <w:rFonts w:cs="Times New Roman"/>
          <w:szCs w:val="24"/>
        </w:rPr>
        <w:t xml:space="preserve">, D. (2009). </w:t>
      </w:r>
      <w:proofErr w:type="spellStart"/>
      <w:r w:rsidRPr="00B242C0">
        <w:rPr>
          <w:rFonts w:cs="Times New Roman"/>
          <w:szCs w:val="24"/>
        </w:rPr>
        <w:t>The</w:t>
      </w:r>
      <w:proofErr w:type="spellEnd"/>
      <w:r w:rsidRPr="00B242C0">
        <w:rPr>
          <w:rFonts w:cs="Times New Roman"/>
          <w:szCs w:val="24"/>
        </w:rPr>
        <w:t xml:space="preserve"> </w:t>
      </w:r>
      <w:proofErr w:type="spellStart"/>
      <w:r w:rsidRPr="00B242C0">
        <w:rPr>
          <w:rFonts w:cs="Times New Roman"/>
          <w:szCs w:val="24"/>
        </w:rPr>
        <w:t>Irish</w:t>
      </w:r>
      <w:proofErr w:type="spellEnd"/>
      <w:r w:rsidRPr="00B242C0">
        <w:rPr>
          <w:rFonts w:cs="Times New Roman"/>
          <w:szCs w:val="24"/>
        </w:rPr>
        <w:t xml:space="preserve"> "No" to </w:t>
      </w:r>
      <w:proofErr w:type="spellStart"/>
      <w:r w:rsidRPr="00B242C0">
        <w:rPr>
          <w:rFonts w:cs="Times New Roman"/>
          <w:szCs w:val="24"/>
        </w:rPr>
        <w:t>the</w:t>
      </w:r>
      <w:proofErr w:type="spellEnd"/>
      <w:r w:rsidRPr="00B242C0">
        <w:rPr>
          <w:rFonts w:cs="Times New Roman"/>
          <w:szCs w:val="24"/>
        </w:rPr>
        <w:t xml:space="preserve"> </w:t>
      </w:r>
      <w:proofErr w:type="spellStart"/>
      <w:r w:rsidRPr="00B242C0">
        <w:rPr>
          <w:rFonts w:cs="Times New Roman"/>
          <w:szCs w:val="24"/>
        </w:rPr>
        <w:t>Lisbon</w:t>
      </w:r>
      <w:proofErr w:type="spellEnd"/>
      <w:r w:rsidRPr="00B242C0">
        <w:rPr>
          <w:rFonts w:cs="Times New Roman"/>
          <w:szCs w:val="24"/>
        </w:rPr>
        <w:t xml:space="preserve"> </w:t>
      </w:r>
      <w:proofErr w:type="spellStart"/>
      <w:r w:rsidRPr="00B242C0">
        <w:rPr>
          <w:rFonts w:cs="Times New Roman"/>
          <w:szCs w:val="24"/>
        </w:rPr>
        <w:t>Treaty</w:t>
      </w:r>
      <w:proofErr w:type="spellEnd"/>
      <w:r w:rsidRPr="00B242C0">
        <w:rPr>
          <w:rFonts w:cs="Times New Roman"/>
          <w:szCs w:val="24"/>
        </w:rPr>
        <w:t xml:space="preserve">: </w:t>
      </w:r>
      <w:proofErr w:type="spellStart"/>
      <w:r w:rsidRPr="00B242C0">
        <w:rPr>
          <w:rFonts w:cs="Times New Roman"/>
          <w:szCs w:val="24"/>
        </w:rPr>
        <w:t>Ireland's</w:t>
      </w:r>
      <w:proofErr w:type="spellEnd"/>
      <w:r w:rsidRPr="00B242C0">
        <w:rPr>
          <w:rFonts w:cs="Times New Roman"/>
          <w:szCs w:val="24"/>
        </w:rPr>
        <w:t xml:space="preserve"> </w:t>
      </w:r>
      <w:proofErr w:type="spellStart"/>
      <w:r w:rsidRPr="00B242C0">
        <w:rPr>
          <w:rFonts w:cs="Times New Roman"/>
          <w:szCs w:val="24"/>
        </w:rPr>
        <w:t>Voice</w:t>
      </w:r>
      <w:proofErr w:type="spellEnd"/>
      <w:r w:rsidRPr="00B242C0">
        <w:rPr>
          <w:rFonts w:cs="Times New Roman"/>
          <w:szCs w:val="24"/>
        </w:rPr>
        <w:t xml:space="preserve"> and </w:t>
      </w:r>
      <w:proofErr w:type="spellStart"/>
      <w:r w:rsidRPr="00B242C0">
        <w:rPr>
          <w:rFonts w:cs="Times New Roman"/>
          <w:szCs w:val="24"/>
        </w:rPr>
        <w:t>Europe's</w:t>
      </w:r>
      <w:proofErr w:type="spellEnd"/>
      <w:r w:rsidRPr="00B242C0">
        <w:rPr>
          <w:rFonts w:cs="Times New Roman"/>
          <w:szCs w:val="24"/>
        </w:rPr>
        <w:t xml:space="preserve"> Exit? </w:t>
      </w:r>
      <w:proofErr w:type="spellStart"/>
      <w:r w:rsidRPr="00B242C0">
        <w:rPr>
          <w:rFonts w:cs="Times New Roman"/>
          <w:i/>
          <w:iCs/>
          <w:szCs w:val="24"/>
        </w:rPr>
        <w:t>Journal</w:t>
      </w:r>
      <w:proofErr w:type="spellEnd"/>
      <w:r w:rsidRPr="00B242C0">
        <w:rPr>
          <w:rFonts w:cs="Times New Roman"/>
          <w:i/>
          <w:iCs/>
          <w:szCs w:val="24"/>
        </w:rPr>
        <w:t xml:space="preserve"> </w:t>
      </w:r>
      <w:proofErr w:type="spellStart"/>
      <w:r w:rsidRPr="00B242C0">
        <w:rPr>
          <w:rFonts w:cs="Times New Roman"/>
          <w:i/>
          <w:iCs/>
          <w:szCs w:val="24"/>
        </w:rPr>
        <w:t>for</w:t>
      </w:r>
      <w:proofErr w:type="spellEnd"/>
      <w:r w:rsidRPr="00B242C0">
        <w:rPr>
          <w:rFonts w:cs="Times New Roman"/>
          <w:i/>
          <w:iCs/>
          <w:szCs w:val="24"/>
        </w:rPr>
        <w:t xml:space="preserve"> </w:t>
      </w:r>
      <w:proofErr w:type="spellStart"/>
      <w:r w:rsidRPr="00B242C0">
        <w:rPr>
          <w:rFonts w:cs="Times New Roman"/>
          <w:i/>
          <w:iCs/>
          <w:szCs w:val="24"/>
        </w:rPr>
        <w:t>Comparative</w:t>
      </w:r>
      <w:proofErr w:type="spellEnd"/>
      <w:r w:rsidRPr="00B242C0">
        <w:rPr>
          <w:rFonts w:cs="Times New Roman"/>
          <w:i/>
          <w:iCs/>
          <w:szCs w:val="24"/>
        </w:rPr>
        <w:t xml:space="preserve"> </w:t>
      </w:r>
      <w:proofErr w:type="spellStart"/>
      <w:r w:rsidRPr="00B242C0">
        <w:rPr>
          <w:rFonts w:cs="Times New Roman"/>
          <w:i/>
          <w:iCs/>
          <w:szCs w:val="24"/>
        </w:rPr>
        <w:t>Government</w:t>
      </w:r>
      <w:proofErr w:type="spellEnd"/>
      <w:r w:rsidRPr="00B242C0">
        <w:rPr>
          <w:rFonts w:cs="Times New Roman"/>
          <w:i/>
          <w:iCs/>
          <w:szCs w:val="24"/>
        </w:rPr>
        <w:t xml:space="preserve"> and </w:t>
      </w:r>
      <w:proofErr w:type="spellStart"/>
      <w:r w:rsidRPr="00B242C0">
        <w:rPr>
          <w:rFonts w:cs="Times New Roman"/>
          <w:i/>
          <w:iCs/>
          <w:szCs w:val="24"/>
        </w:rPr>
        <w:t>European</w:t>
      </w:r>
      <w:proofErr w:type="spellEnd"/>
      <w:r w:rsidRPr="00B242C0">
        <w:rPr>
          <w:rFonts w:cs="Times New Roman"/>
          <w:i/>
          <w:iCs/>
          <w:szCs w:val="24"/>
        </w:rPr>
        <w:t xml:space="preserve"> </w:t>
      </w:r>
      <w:proofErr w:type="spellStart"/>
      <w:r w:rsidRPr="00B242C0">
        <w:rPr>
          <w:rFonts w:cs="Times New Roman"/>
          <w:i/>
          <w:iCs/>
          <w:szCs w:val="24"/>
        </w:rPr>
        <w:t>Policy</w:t>
      </w:r>
      <w:proofErr w:type="spellEnd"/>
      <w:r w:rsidRPr="00B242C0">
        <w:rPr>
          <w:rFonts w:cs="Times New Roman"/>
          <w:i/>
          <w:iCs/>
          <w:szCs w:val="24"/>
        </w:rPr>
        <w:t>. 7</w:t>
      </w:r>
      <w:r w:rsidRPr="00B242C0">
        <w:rPr>
          <w:rFonts w:cs="Times New Roman"/>
          <w:szCs w:val="24"/>
        </w:rPr>
        <w:t>(1), 31-50. Dostupné z: https://www.jstor.org/stable/26165433.</w:t>
      </w:r>
    </w:p>
    <w:p w14:paraId="47D18AB3" w14:textId="77777777" w:rsidR="00F753B0" w:rsidRPr="00631ECE" w:rsidRDefault="00F753B0" w:rsidP="00F753B0">
      <w:pPr>
        <w:spacing w:line="360" w:lineRule="auto"/>
        <w:rPr>
          <w:rFonts w:cs="Times New Roman"/>
          <w:szCs w:val="24"/>
        </w:rPr>
      </w:pPr>
      <w:proofErr w:type="spellStart"/>
      <w:r w:rsidRPr="00631ECE">
        <w:rPr>
          <w:rFonts w:cs="Times New Roman"/>
          <w:szCs w:val="24"/>
        </w:rPr>
        <w:t>Dehousse</w:t>
      </w:r>
      <w:proofErr w:type="spellEnd"/>
      <w:r w:rsidRPr="00631ECE">
        <w:rPr>
          <w:rFonts w:cs="Times New Roman"/>
          <w:szCs w:val="24"/>
        </w:rPr>
        <w:t xml:space="preserve">, F. (2000). </w:t>
      </w:r>
      <w:proofErr w:type="spellStart"/>
      <w:r w:rsidRPr="00631ECE">
        <w:rPr>
          <w:rFonts w:cs="Times New Roman"/>
          <w:szCs w:val="24"/>
        </w:rPr>
        <w:t>The</w:t>
      </w:r>
      <w:proofErr w:type="spellEnd"/>
      <w:r w:rsidRPr="00631ECE">
        <w:rPr>
          <w:rFonts w:cs="Times New Roman"/>
          <w:szCs w:val="24"/>
        </w:rPr>
        <w:t xml:space="preserve"> </w:t>
      </w:r>
      <w:proofErr w:type="spellStart"/>
      <w:r w:rsidRPr="00631ECE">
        <w:rPr>
          <w:rFonts w:cs="Times New Roman"/>
          <w:szCs w:val="24"/>
        </w:rPr>
        <w:t>Treaty</w:t>
      </w:r>
      <w:proofErr w:type="spellEnd"/>
      <w:r w:rsidRPr="00631ECE">
        <w:rPr>
          <w:rFonts w:cs="Times New Roman"/>
          <w:szCs w:val="24"/>
        </w:rPr>
        <w:t xml:space="preserve"> </w:t>
      </w:r>
      <w:proofErr w:type="spellStart"/>
      <w:r w:rsidRPr="00631ECE">
        <w:rPr>
          <w:rFonts w:cs="Times New Roman"/>
          <w:szCs w:val="24"/>
        </w:rPr>
        <w:t>of</w:t>
      </w:r>
      <w:proofErr w:type="spellEnd"/>
      <w:r w:rsidRPr="00631ECE">
        <w:rPr>
          <w:rFonts w:cs="Times New Roman"/>
          <w:szCs w:val="24"/>
        </w:rPr>
        <w:t xml:space="preserve"> Nice: A </w:t>
      </w:r>
      <w:proofErr w:type="spellStart"/>
      <w:r w:rsidRPr="00631ECE">
        <w:rPr>
          <w:rFonts w:cs="Times New Roman"/>
          <w:szCs w:val="24"/>
        </w:rPr>
        <w:t>Watershed</w:t>
      </w:r>
      <w:proofErr w:type="spellEnd"/>
      <w:r w:rsidRPr="00631ECE">
        <w:rPr>
          <w:rFonts w:cs="Times New Roman"/>
          <w:szCs w:val="24"/>
        </w:rPr>
        <w:t xml:space="preserve"> in </w:t>
      </w:r>
      <w:proofErr w:type="spellStart"/>
      <w:r w:rsidRPr="00631ECE">
        <w:rPr>
          <w:rFonts w:cs="Times New Roman"/>
          <w:szCs w:val="24"/>
        </w:rPr>
        <w:t>The</w:t>
      </w:r>
      <w:proofErr w:type="spellEnd"/>
      <w:r w:rsidRPr="00631ECE">
        <w:rPr>
          <w:rFonts w:cs="Times New Roman"/>
          <w:szCs w:val="24"/>
        </w:rPr>
        <w:t xml:space="preserve"> </w:t>
      </w:r>
      <w:proofErr w:type="spellStart"/>
      <w:r w:rsidRPr="00631ECE">
        <w:rPr>
          <w:rFonts w:cs="Times New Roman"/>
          <w:szCs w:val="24"/>
        </w:rPr>
        <w:t>European</w:t>
      </w:r>
      <w:proofErr w:type="spellEnd"/>
      <w:r w:rsidRPr="00631ECE">
        <w:rPr>
          <w:rFonts w:cs="Times New Roman"/>
          <w:szCs w:val="24"/>
        </w:rPr>
        <w:t xml:space="preserve"> </w:t>
      </w:r>
      <w:proofErr w:type="spellStart"/>
      <w:r w:rsidRPr="00631ECE">
        <w:rPr>
          <w:rFonts w:cs="Times New Roman"/>
          <w:szCs w:val="24"/>
        </w:rPr>
        <w:t>Integration</w:t>
      </w:r>
      <w:proofErr w:type="spellEnd"/>
      <w:r w:rsidRPr="00631ECE">
        <w:rPr>
          <w:rFonts w:cs="Times New Roman"/>
          <w:szCs w:val="24"/>
        </w:rPr>
        <w:t xml:space="preserve">. </w:t>
      </w:r>
      <w:r w:rsidRPr="00631ECE">
        <w:rPr>
          <w:rFonts w:cs="Times New Roman"/>
          <w:i/>
          <w:iCs/>
          <w:szCs w:val="24"/>
        </w:rPr>
        <w:t xml:space="preserve">Studia </w:t>
      </w:r>
      <w:proofErr w:type="spellStart"/>
      <w:r w:rsidRPr="00631ECE">
        <w:rPr>
          <w:rFonts w:cs="Times New Roman"/>
          <w:i/>
          <w:iCs/>
          <w:szCs w:val="24"/>
        </w:rPr>
        <w:t>Diplomatica</w:t>
      </w:r>
      <w:proofErr w:type="spellEnd"/>
      <w:r w:rsidRPr="00631ECE">
        <w:rPr>
          <w:rFonts w:cs="Times New Roman"/>
          <w:i/>
          <w:iCs/>
          <w:szCs w:val="24"/>
        </w:rPr>
        <w:t>. 53</w:t>
      </w:r>
      <w:r w:rsidRPr="00631ECE">
        <w:rPr>
          <w:rFonts w:cs="Times New Roman"/>
          <w:szCs w:val="24"/>
        </w:rPr>
        <w:t>(6), 19-42. Dostupné z:</w:t>
      </w:r>
      <w:r w:rsidRPr="00631ECE">
        <w:rPr>
          <w:rFonts w:cs="Times New Roman"/>
          <w:color w:val="4B5555"/>
          <w:spacing w:val="-5"/>
          <w:szCs w:val="24"/>
          <w:shd w:val="clear" w:color="auto" w:fill="FFFFFF"/>
        </w:rPr>
        <w:t xml:space="preserve"> </w:t>
      </w:r>
      <w:r w:rsidRPr="00631ECE">
        <w:rPr>
          <w:rFonts w:cs="Times New Roman"/>
          <w:szCs w:val="24"/>
        </w:rPr>
        <w:t>https://www.jstor.org/stable/44839926.</w:t>
      </w:r>
    </w:p>
    <w:p w14:paraId="67424BD7" w14:textId="06DDCE15" w:rsidR="003E635F" w:rsidRDefault="003E635F" w:rsidP="00F753B0">
      <w:pPr>
        <w:spacing w:line="360" w:lineRule="auto"/>
        <w:rPr>
          <w:rFonts w:cs="Times New Roman"/>
          <w:szCs w:val="24"/>
        </w:rPr>
      </w:pPr>
      <w:proofErr w:type="spellStart"/>
      <w:r w:rsidRPr="00631ECE">
        <w:rPr>
          <w:rFonts w:cs="Times New Roman"/>
          <w:szCs w:val="24"/>
        </w:rPr>
        <w:t>D</w:t>
      </w:r>
      <w:r>
        <w:rPr>
          <w:rFonts w:cs="Times New Roman"/>
          <w:szCs w:val="24"/>
        </w:rPr>
        <w:t>r</w:t>
      </w:r>
      <w:r w:rsidRPr="00631ECE">
        <w:rPr>
          <w:rFonts w:cs="Times New Roman"/>
          <w:szCs w:val="24"/>
        </w:rPr>
        <w:t>ulák</w:t>
      </w:r>
      <w:proofErr w:type="spellEnd"/>
      <w:r w:rsidRPr="00631ECE">
        <w:rPr>
          <w:rFonts w:cs="Times New Roman"/>
          <w:szCs w:val="24"/>
        </w:rPr>
        <w:t xml:space="preserve">, P. (2008). </w:t>
      </w:r>
      <w:r w:rsidRPr="00631ECE">
        <w:rPr>
          <w:rFonts w:cs="Times New Roman"/>
          <w:i/>
          <w:iCs/>
          <w:szCs w:val="24"/>
        </w:rPr>
        <w:t>Jak zkoumat politiku, kvalitativní metodologie v politologii a mezinárodních vztazích.</w:t>
      </w:r>
      <w:r w:rsidRPr="00631ECE">
        <w:rPr>
          <w:rFonts w:cs="Times New Roman"/>
          <w:szCs w:val="24"/>
        </w:rPr>
        <w:t xml:space="preserve"> Praha: Portál.</w:t>
      </w:r>
    </w:p>
    <w:p w14:paraId="4CC2DCF4" w14:textId="56466FF7" w:rsidR="00F753B0" w:rsidRPr="00B242C0" w:rsidRDefault="00405F9E" w:rsidP="00F753B0">
      <w:pPr>
        <w:spacing w:line="360" w:lineRule="auto"/>
        <w:rPr>
          <w:rFonts w:cs="Times New Roman"/>
          <w:szCs w:val="24"/>
        </w:rPr>
      </w:pPr>
      <w:proofErr w:type="spellStart"/>
      <w:r w:rsidRPr="00B242C0">
        <w:rPr>
          <w:rFonts w:cs="Times New Roman"/>
          <w:szCs w:val="24"/>
        </w:rPr>
        <w:t>Euractiv</w:t>
      </w:r>
      <w:proofErr w:type="spellEnd"/>
      <w:r w:rsidRPr="00B242C0">
        <w:rPr>
          <w:rFonts w:cs="Times New Roman"/>
          <w:szCs w:val="24"/>
        </w:rPr>
        <w:t xml:space="preserve">. (2009, 3. listopadu). </w:t>
      </w:r>
      <w:r w:rsidRPr="00B242C0">
        <w:rPr>
          <w:rFonts w:cs="Times New Roman"/>
          <w:i/>
          <w:iCs/>
          <w:szCs w:val="24"/>
        </w:rPr>
        <w:t>Ratifikace Lisabonu je u konce. Klaus podepsal.</w:t>
      </w:r>
      <w:r w:rsidRPr="00B242C0">
        <w:rPr>
          <w:rFonts w:cs="Times New Roman"/>
          <w:szCs w:val="24"/>
        </w:rPr>
        <w:t xml:space="preserve"> Dostupné z: https://euractiv.cz/section/aktualne-v-eu/news/ratifikace-lisabonu-je-u-konce-klaus-podepsal-006701/. </w:t>
      </w:r>
    </w:p>
    <w:p w14:paraId="6AA35401" w14:textId="77777777" w:rsidR="00F753B0" w:rsidRPr="00631ECE" w:rsidRDefault="00F753B0" w:rsidP="00F753B0">
      <w:pPr>
        <w:spacing w:line="360" w:lineRule="auto"/>
        <w:rPr>
          <w:rFonts w:cs="Times New Roman"/>
          <w:szCs w:val="24"/>
        </w:rPr>
      </w:pPr>
      <w:proofErr w:type="spellStart"/>
      <w:r w:rsidRPr="00631ECE">
        <w:rPr>
          <w:rFonts w:cs="Times New Roman"/>
          <w:szCs w:val="24"/>
        </w:rPr>
        <w:t>Euractiv</w:t>
      </w:r>
      <w:proofErr w:type="spellEnd"/>
      <w:r w:rsidRPr="00631ECE">
        <w:rPr>
          <w:rFonts w:cs="Times New Roman"/>
          <w:szCs w:val="24"/>
        </w:rPr>
        <w:t>. (2009, 12.</w:t>
      </w:r>
      <w:r>
        <w:rPr>
          <w:rFonts w:cs="Times New Roman"/>
          <w:szCs w:val="24"/>
        </w:rPr>
        <w:t xml:space="preserve"> </w:t>
      </w:r>
      <w:r w:rsidRPr="00631ECE">
        <w:rPr>
          <w:rFonts w:cs="Times New Roman"/>
          <w:szCs w:val="24"/>
        </w:rPr>
        <w:t xml:space="preserve">prosince). </w:t>
      </w:r>
      <w:r w:rsidRPr="00631ECE">
        <w:rPr>
          <w:rFonts w:cs="Times New Roman"/>
          <w:i/>
          <w:iCs/>
          <w:szCs w:val="24"/>
        </w:rPr>
        <w:t xml:space="preserve">Vliv Evropského parlamentu na rozhodování v EU. </w:t>
      </w:r>
      <w:r w:rsidRPr="00631ECE">
        <w:rPr>
          <w:rFonts w:cs="Times New Roman"/>
          <w:szCs w:val="24"/>
        </w:rPr>
        <w:t>Dostupné z: https://euractiv.cz/section/evropske-volby/linksdossier/vliv-evropskeho-parlamentu-na-rozhodovani-v-eu-000064/</w:t>
      </w:r>
      <w:r>
        <w:rPr>
          <w:rFonts w:cs="Times New Roman"/>
          <w:szCs w:val="24"/>
        </w:rPr>
        <w:t>.</w:t>
      </w:r>
    </w:p>
    <w:p w14:paraId="4ACD0F2C" w14:textId="26028D13" w:rsidR="00DB0043" w:rsidRDefault="00DB0043" w:rsidP="00F753B0">
      <w:pPr>
        <w:spacing w:line="360" w:lineRule="auto"/>
        <w:rPr>
          <w:rFonts w:cs="Times New Roman"/>
          <w:szCs w:val="24"/>
        </w:rPr>
      </w:pPr>
      <w:bookmarkStart w:id="32" w:name="_Hlk70328280"/>
      <w:proofErr w:type="spellStart"/>
      <w:r>
        <w:rPr>
          <w:rFonts w:cs="Times New Roman"/>
          <w:szCs w:val="24"/>
        </w:rPr>
        <w:t>Euroskop</w:t>
      </w:r>
      <w:proofErr w:type="spellEnd"/>
      <w:r>
        <w:rPr>
          <w:rFonts w:cs="Times New Roman"/>
          <w:szCs w:val="24"/>
        </w:rPr>
        <w:t xml:space="preserve">. (2018). </w:t>
      </w:r>
      <w:r w:rsidRPr="00DB0043">
        <w:rPr>
          <w:rFonts w:cs="Times New Roman"/>
          <w:i/>
          <w:iCs/>
          <w:szCs w:val="24"/>
        </w:rPr>
        <w:t>Zahraniční a bezpečnostní politika.</w:t>
      </w:r>
      <w:r>
        <w:rPr>
          <w:rFonts w:cs="Times New Roman"/>
          <w:szCs w:val="24"/>
        </w:rPr>
        <w:t xml:space="preserve"> Dostupné z: </w:t>
      </w:r>
      <w:r w:rsidRPr="00DB0043">
        <w:rPr>
          <w:rFonts w:cs="Times New Roman"/>
          <w:szCs w:val="24"/>
        </w:rPr>
        <w:t>https://www.euroskop.cz/8916/sekce/zahranicni-a-bezpecnostni-politika/</w:t>
      </w:r>
      <w:r>
        <w:rPr>
          <w:rFonts w:cs="Times New Roman"/>
          <w:szCs w:val="24"/>
        </w:rPr>
        <w:t>.</w:t>
      </w:r>
    </w:p>
    <w:p w14:paraId="7897EDC5" w14:textId="63C2FF67" w:rsidR="00DE7F15" w:rsidRDefault="00DE7F15" w:rsidP="00F753B0">
      <w:pPr>
        <w:spacing w:line="360" w:lineRule="auto"/>
        <w:rPr>
          <w:rFonts w:cs="Times New Roman"/>
          <w:szCs w:val="24"/>
        </w:rPr>
      </w:pPr>
      <w:proofErr w:type="spellStart"/>
      <w:r w:rsidRPr="00B242C0">
        <w:rPr>
          <w:rFonts w:cs="Times New Roman"/>
          <w:szCs w:val="24"/>
        </w:rPr>
        <w:t>Fondo</w:t>
      </w:r>
      <w:proofErr w:type="spellEnd"/>
      <w:r w:rsidRPr="00B242C0">
        <w:rPr>
          <w:rFonts w:cs="Times New Roman"/>
          <w:szCs w:val="24"/>
        </w:rPr>
        <w:t xml:space="preserve"> de </w:t>
      </w:r>
      <w:proofErr w:type="spellStart"/>
      <w:r w:rsidRPr="00B242C0">
        <w:rPr>
          <w:rFonts w:cs="Times New Roman"/>
          <w:szCs w:val="24"/>
        </w:rPr>
        <w:t>cultura</w:t>
      </w:r>
      <w:proofErr w:type="spellEnd"/>
      <w:r w:rsidRPr="00B242C0">
        <w:rPr>
          <w:rFonts w:cs="Times New Roman"/>
          <w:szCs w:val="24"/>
        </w:rPr>
        <w:t xml:space="preserve"> </w:t>
      </w:r>
      <w:proofErr w:type="spellStart"/>
      <w:r w:rsidRPr="00B242C0">
        <w:rPr>
          <w:rFonts w:cs="Times New Roman"/>
          <w:szCs w:val="24"/>
        </w:rPr>
        <w:t>económica</w:t>
      </w:r>
      <w:bookmarkEnd w:id="32"/>
      <w:proofErr w:type="spellEnd"/>
      <w:r w:rsidRPr="00B242C0">
        <w:rPr>
          <w:rFonts w:cs="Times New Roman"/>
          <w:szCs w:val="24"/>
        </w:rPr>
        <w:t xml:space="preserve">. (2017). </w:t>
      </w:r>
      <w:proofErr w:type="spellStart"/>
      <w:r w:rsidRPr="00B242C0">
        <w:rPr>
          <w:rFonts w:cs="Times New Roman"/>
          <w:i/>
          <w:iCs/>
          <w:szCs w:val="24"/>
        </w:rPr>
        <w:t>Giandomenico</w:t>
      </w:r>
      <w:proofErr w:type="spellEnd"/>
      <w:r w:rsidRPr="00B242C0">
        <w:rPr>
          <w:rFonts w:cs="Times New Roman"/>
          <w:i/>
          <w:iCs/>
          <w:szCs w:val="24"/>
        </w:rPr>
        <w:t xml:space="preserve"> </w:t>
      </w:r>
      <w:proofErr w:type="spellStart"/>
      <w:r w:rsidRPr="00B242C0">
        <w:rPr>
          <w:rFonts w:cs="Times New Roman"/>
          <w:i/>
          <w:iCs/>
          <w:szCs w:val="24"/>
        </w:rPr>
        <w:t>Majone</w:t>
      </w:r>
      <w:proofErr w:type="spellEnd"/>
      <w:r w:rsidRPr="00B242C0">
        <w:rPr>
          <w:rFonts w:cs="Times New Roman"/>
          <w:i/>
          <w:iCs/>
          <w:szCs w:val="24"/>
        </w:rPr>
        <w:t xml:space="preserve">. </w:t>
      </w:r>
      <w:r w:rsidRPr="00B242C0">
        <w:rPr>
          <w:rFonts w:cs="Times New Roman"/>
          <w:szCs w:val="24"/>
        </w:rPr>
        <w:t>Dostupné z: https://www.fcede.es/site/es/autores/autor_detalle.aspx?idAutor=303.</w:t>
      </w:r>
    </w:p>
    <w:p w14:paraId="744CC702" w14:textId="78192B1D" w:rsidR="00DE7F15" w:rsidRDefault="00DE7F15" w:rsidP="00F753B0">
      <w:pPr>
        <w:spacing w:line="360" w:lineRule="auto"/>
        <w:rPr>
          <w:rFonts w:cs="Times New Roman"/>
          <w:szCs w:val="24"/>
        </w:rPr>
      </w:pPr>
      <w:proofErr w:type="spellStart"/>
      <w:r w:rsidRPr="00FF4468">
        <w:rPr>
          <w:rFonts w:cs="Times New Roman"/>
          <w:szCs w:val="24"/>
        </w:rPr>
        <w:t>Geršlová</w:t>
      </w:r>
      <w:proofErr w:type="spellEnd"/>
      <w:r w:rsidRPr="00FF4468">
        <w:rPr>
          <w:rFonts w:cs="Times New Roman"/>
          <w:szCs w:val="24"/>
        </w:rPr>
        <w:t xml:space="preserve">, J. (2005). </w:t>
      </w:r>
      <w:r w:rsidRPr="00FF4468">
        <w:rPr>
          <w:rFonts w:cs="Times New Roman"/>
          <w:i/>
          <w:iCs/>
          <w:szCs w:val="24"/>
        </w:rPr>
        <w:t xml:space="preserve">Metodologie odborné práce. </w:t>
      </w:r>
      <w:r w:rsidRPr="00FF4468">
        <w:rPr>
          <w:rFonts w:cs="Times New Roman"/>
          <w:szCs w:val="24"/>
        </w:rPr>
        <w:t>Olomouc: Univerzita Palackého.</w:t>
      </w:r>
    </w:p>
    <w:p w14:paraId="16DAA2A0" w14:textId="0B45153F" w:rsidR="00F753B0" w:rsidRDefault="00F753B0" w:rsidP="00F753B0">
      <w:pPr>
        <w:spacing w:line="360" w:lineRule="auto"/>
        <w:rPr>
          <w:rFonts w:cs="Times New Roman"/>
          <w:szCs w:val="24"/>
        </w:rPr>
      </w:pPr>
      <w:proofErr w:type="spellStart"/>
      <w:r w:rsidRPr="00FF4468">
        <w:rPr>
          <w:rFonts w:cs="Times New Roman"/>
          <w:szCs w:val="24"/>
        </w:rPr>
        <w:t>Ghinea</w:t>
      </w:r>
      <w:proofErr w:type="spellEnd"/>
      <w:r w:rsidRPr="00FF4468">
        <w:rPr>
          <w:rFonts w:cs="Times New Roman"/>
          <w:szCs w:val="24"/>
        </w:rPr>
        <w:t xml:space="preserve">, C. (2019, 13. listopadu). </w:t>
      </w:r>
      <w:proofErr w:type="spellStart"/>
      <w:r w:rsidRPr="00FF4468">
        <w:rPr>
          <w:rFonts w:cs="Times New Roman"/>
          <w:szCs w:val="24"/>
        </w:rPr>
        <w:t>Is</w:t>
      </w:r>
      <w:proofErr w:type="spellEnd"/>
      <w:r w:rsidRPr="00FF4468">
        <w:rPr>
          <w:rFonts w:cs="Times New Roman"/>
          <w:szCs w:val="24"/>
        </w:rPr>
        <w:t xml:space="preserve"> </w:t>
      </w:r>
      <w:proofErr w:type="spellStart"/>
      <w:r w:rsidRPr="00FF4468">
        <w:rPr>
          <w:rFonts w:cs="Times New Roman"/>
          <w:szCs w:val="24"/>
        </w:rPr>
        <w:t>the</w:t>
      </w:r>
      <w:proofErr w:type="spellEnd"/>
      <w:r w:rsidRPr="00FF4468">
        <w:rPr>
          <w:rFonts w:cs="Times New Roman"/>
          <w:szCs w:val="24"/>
        </w:rPr>
        <w:t xml:space="preserve"> </w:t>
      </w:r>
      <w:proofErr w:type="spellStart"/>
      <w:r w:rsidRPr="00FF4468">
        <w:rPr>
          <w:rFonts w:cs="Times New Roman"/>
          <w:szCs w:val="24"/>
        </w:rPr>
        <w:t>Spitzenkandidat</w:t>
      </w:r>
      <w:proofErr w:type="spellEnd"/>
      <w:r w:rsidRPr="00FF4468">
        <w:rPr>
          <w:rFonts w:cs="Times New Roman"/>
          <w:szCs w:val="24"/>
        </w:rPr>
        <w:t xml:space="preserve"> </w:t>
      </w:r>
      <w:proofErr w:type="spellStart"/>
      <w:r w:rsidRPr="00FF4468">
        <w:rPr>
          <w:rFonts w:cs="Times New Roman"/>
          <w:szCs w:val="24"/>
        </w:rPr>
        <w:t>system</w:t>
      </w:r>
      <w:proofErr w:type="spellEnd"/>
      <w:r w:rsidRPr="00FF4468">
        <w:rPr>
          <w:rFonts w:cs="Times New Roman"/>
          <w:szCs w:val="24"/>
        </w:rPr>
        <w:t xml:space="preserve"> </w:t>
      </w:r>
      <w:proofErr w:type="spellStart"/>
      <w:r w:rsidRPr="00FF4468">
        <w:rPr>
          <w:rFonts w:cs="Times New Roman"/>
          <w:szCs w:val="24"/>
        </w:rPr>
        <w:t>really</w:t>
      </w:r>
      <w:proofErr w:type="spellEnd"/>
      <w:r w:rsidRPr="00FF4468">
        <w:rPr>
          <w:rFonts w:cs="Times New Roman"/>
          <w:szCs w:val="24"/>
        </w:rPr>
        <w:t xml:space="preserve"> </w:t>
      </w:r>
      <w:proofErr w:type="spellStart"/>
      <w:r w:rsidRPr="00FF4468">
        <w:rPr>
          <w:rFonts w:cs="Times New Roman"/>
          <w:szCs w:val="24"/>
        </w:rPr>
        <w:t>dead</w:t>
      </w:r>
      <w:proofErr w:type="spellEnd"/>
      <w:r w:rsidRPr="00FF4468">
        <w:rPr>
          <w:rFonts w:cs="Times New Roman"/>
          <w:szCs w:val="24"/>
        </w:rPr>
        <w:t xml:space="preserve">? Not </w:t>
      </w:r>
      <w:proofErr w:type="spellStart"/>
      <w:r w:rsidRPr="00FF4468">
        <w:rPr>
          <w:rFonts w:cs="Times New Roman"/>
          <w:szCs w:val="24"/>
        </w:rPr>
        <w:t>if</w:t>
      </w:r>
      <w:proofErr w:type="spellEnd"/>
      <w:r w:rsidRPr="00FF4468">
        <w:rPr>
          <w:rFonts w:cs="Times New Roman"/>
          <w:szCs w:val="24"/>
        </w:rPr>
        <w:t xml:space="preserve"> </w:t>
      </w:r>
      <w:proofErr w:type="spellStart"/>
      <w:r w:rsidRPr="00FF4468">
        <w:rPr>
          <w:rFonts w:cs="Times New Roman"/>
          <w:szCs w:val="24"/>
        </w:rPr>
        <w:t>we</w:t>
      </w:r>
      <w:proofErr w:type="spellEnd"/>
      <w:r w:rsidRPr="00FF4468">
        <w:rPr>
          <w:rFonts w:cs="Times New Roman"/>
          <w:szCs w:val="24"/>
        </w:rPr>
        <w:t xml:space="preserve"> </w:t>
      </w:r>
      <w:proofErr w:type="spellStart"/>
      <w:r w:rsidRPr="00FF4468">
        <w:rPr>
          <w:rFonts w:cs="Times New Roman"/>
          <w:szCs w:val="24"/>
        </w:rPr>
        <w:t>act</w:t>
      </w:r>
      <w:proofErr w:type="spellEnd"/>
      <w:r w:rsidRPr="00FF4468">
        <w:rPr>
          <w:rFonts w:cs="Times New Roman"/>
          <w:szCs w:val="24"/>
        </w:rPr>
        <w:t xml:space="preserve"> </w:t>
      </w:r>
      <w:proofErr w:type="spellStart"/>
      <w:r w:rsidRPr="00FF4468">
        <w:rPr>
          <w:rFonts w:cs="Times New Roman"/>
          <w:szCs w:val="24"/>
        </w:rPr>
        <w:t>now</w:t>
      </w:r>
      <w:proofErr w:type="spellEnd"/>
      <w:r w:rsidRPr="00FF4468">
        <w:rPr>
          <w:rFonts w:cs="Times New Roman"/>
          <w:szCs w:val="24"/>
        </w:rPr>
        <w:t xml:space="preserve">. </w:t>
      </w:r>
      <w:proofErr w:type="spellStart"/>
      <w:r w:rsidRPr="00FF4468">
        <w:rPr>
          <w:rFonts w:cs="Times New Roman"/>
          <w:i/>
          <w:iCs/>
          <w:szCs w:val="24"/>
        </w:rPr>
        <w:t>Euractiv</w:t>
      </w:r>
      <w:proofErr w:type="spellEnd"/>
      <w:r w:rsidRPr="00FF4468">
        <w:rPr>
          <w:rFonts w:cs="Times New Roman"/>
          <w:szCs w:val="24"/>
        </w:rPr>
        <w:t>. Dostupné z: https://www.euractiv.com/section/future-eu/opinion/is-the-spitzenkandidat-system-really-dead-not-if-we-act-now/</w:t>
      </w:r>
      <w:r>
        <w:rPr>
          <w:rFonts w:cs="Times New Roman"/>
          <w:szCs w:val="24"/>
        </w:rPr>
        <w:t>.</w:t>
      </w:r>
    </w:p>
    <w:p w14:paraId="5C9D9C0E" w14:textId="77777777" w:rsidR="00F753B0" w:rsidRPr="00FF4468" w:rsidRDefault="00F753B0" w:rsidP="00F753B0">
      <w:pPr>
        <w:spacing w:line="360" w:lineRule="auto"/>
        <w:rPr>
          <w:rFonts w:cs="Times New Roman"/>
          <w:szCs w:val="24"/>
        </w:rPr>
      </w:pPr>
      <w:r w:rsidRPr="00FF4468">
        <w:rPr>
          <w:rFonts w:cs="Times New Roman"/>
          <w:szCs w:val="24"/>
        </w:rPr>
        <w:t xml:space="preserve">Goldstein, W. (1992). </w:t>
      </w:r>
      <w:proofErr w:type="spellStart"/>
      <w:r w:rsidRPr="00FF4468">
        <w:rPr>
          <w:rFonts w:cs="Times New Roman"/>
          <w:szCs w:val="24"/>
        </w:rPr>
        <w:t>Europe</w:t>
      </w:r>
      <w:proofErr w:type="spellEnd"/>
      <w:r w:rsidRPr="00FF4468">
        <w:rPr>
          <w:rFonts w:cs="Times New Roman"/>
          <w:szCs w:val="24"/>
        </w:rPr>
        <w:t xml:space="preserve"> </w:t>
      </w:r>
      <w:proofErr w:type="spellStart"/>
      <w:r w:rsidRPr="00FF4468">
        <w:rPr>
          <w:rFonts w:cs="Times New Roman"/>
          <w:szCs w:val="24"/>
        </w:rPr>
        <w:t>after</w:t>
      </w:r>
      <w:proofErr w:type="spellEnd"/>
      <w:r w:rsidRPr="00FF4468">
        <w:rPr>
          <w:rFonts w:cs="Times New Roman"/>
          <w:szCs w:val="24"/>
        </w:rPr>
        <w:t xml:space="preserve"> Maastricht. </w:t>
      </w:r>
      <w:proofErr w:type="spellStart"/>
      <w:r w:rsidRPr="00FF4468">
        <w:rPr>
          <w:rFonts w:cs="Times New Roman"/>
          <w:i/>
          <w:iCs/>
          <w:szCs w:val="24"/>
        </w:rPr>
        <w:t>Foreing</w:t>
      </w:r>
      <w:proofErr w:type="spellEnd"/>
      <w:r w:rsidRPr="00FF4468">
        <w:rPr>
          <w:rFonts w:cs="Times New Roman"/>
          <w:i/>
          <w:iCs/>
          <w:szCs w:val="24"/>
        </w:rPr>
        <w:t xml:space="preserve"> </w:t>
      </w:r>
      <w:proofErr w:type="spellStart"/>
      <w:r w:rsidRPr="00FF4468">
        <w:rPr>
          <w:rFonts w:cs="Times New Roman"/>
          <w:i/>
          <w:iCs/>
          <w:szCs w:val="24"/>
        </w:rPr>
        <w:t>Affairs</w:t>
      </w:r>
      <w:proofErr w:type="spellEnd"/>
      <w:r w:rsidRPr="00FF4468">
        <w:rPr>
          <w:rFonts w:cs="Times New Roman"/>
          <w:i/>
          <w:iCs/>
          <w:szCs w:val="24"/>
        </w:rPr>
        <w:t xml:space="preserve">. 71 </w:t>
      </w:r>
      <w:r w:rsidRPr="00FF4468">
        <w:rPr>
          <w:rFonts w:cs="Times New Roman"/>
          <w:szCs w:val="24"/>
        </w:rPr>
        <w:t>(5), 117-132. Dostupné z: https://www.jstor.org/stable/20045407.</w:t>
      </w:r>
    </w:p>
    <w:p w14:paraId="5D27A11F" w14:textId="3A51DB74" w:rsidR="00DE7F15" w:rsidRDefault="00DE7F15" w:rsidP="00F753B0">
      <w:pPr>
        <w:spacing w:line="360" w:lineRule="auto"/>
        <w:rPr>
          <w:rFonts w:cs="Times New Roman"/>
          <w:szCs w:val="24"/>
        </w:rPr>
      </w:pPr>
      <w:r w:rsidRPr="00FF4468">
        <w:rPr>
          <w:rFonts w:cs="Times New Roman"/>
          <w:szCs w:val="24"/>
        </w:rPr>
        <w:t xml:space="preserve">Haas, B. E. (1958). </w:t>
      </w:r>
      <w:proofErr w:type="spellStart"/>
      <w:r w:rsidRPr="00FF4468">
        <w:rPr>
          <w:rFonts w:cs="Times New Roman"/>
          <w:i/>
          <w:iCs/>
          <w:szCs w:val="24"/>
        </w:rPr>
        <w:t>The</w:t>
      </w:r>
      <w:proofErr w:type="spellEnd"/>
      <w:r w:rsidRPr="00FF4468">
        <w:rPr>
          <w:rFonts w:cs="Times New Roman"/>
          <w:i/>
          <w:iCs/>
          <w:szCs w:val="24"/>
        </w:rPr>
        <w:t xml:space="preserve"> </w:t>
      </w:r>
      <w:proofErr w:type="spellStart"/>
      <w:r w:rsidRPr="00FF4468">
        <w:rPr>
          <w:rFonts w:cs="Times New Roman"/>
          <w:i/>
          <w:iCs/>
          <w:szCs w:val="24"/>
        </w:rPr>
        <w:t>Uniting</w:t>
      </w:r>
      <w:proofErr w:type="spellEnd"/>
      <w:r w:rsidRPr="00FF4468">
        <w:rPr>
          <w:rFonts w:cs="Times New Roman"/>
          <w:i/>
          <w:iCs/>
          <w:szCs w:val="24"/>
        </w:rPr>
        <w:t xml:space="preserve"> </w:t>
      </w:r>
      <w:proofErr w:type="spellStart"/>
      <w:r w:rsidRPr="00FF4468">
        <w:rPr>
          <w:rFonts w:cs="Times New Roman"/>
          <w:i/>
          <w:iCs/>
          <w:szCs w:val="24"/>
        </w:rPr>
        <w:t>of</w:t>
      </w:r>
      <w:proofErr w:type="spellEnd"/>
      <w:r w:rsidRPr="00FF4468">
        <w:rPr>
          <w:rFonts w:cs="Times New Roman"/>
          <w:i/>
          <w:iCs/>
          <w:szCs w:val="24"/>
        </w:rPr>
        <w:t xml:space="preserve"> </w:t>
      </w:r>
      <w:proofErr w:type="spellStart"/>
      <w:r w:rsidRPr="00FF4468">
        <w:rPr>
          <w:rFonts w:cs="Times New Roman"/>
          <w:i/>
          <w:iCs/>
          <w:szCs w:val="24"/>
        </w:rPr>
        <w:t>Europe</w:t>
      </w:r>
      <w:proofErr w:type="spellEnd"/>
      <w:r w:rsidRPr="00FF4468">
        <w:rPr>
          <w:rFonts w:cs="Times New Roman"/>
          <w:i/>
          <w:iCs/>
          <w:szCs w:val="24"/>
        </w:rPr>
        <w:t xml:space="preserve">. </w:t>
      </w:r>
      <w:proofErr w:type="spellStart"/>
      <w:r w:rsidRPr="00FF4468">
        <w:rPr>
          <w:rFonts w:cs="Times New Roman"/>
          <w:i/>
          <w:iCs/>
          <w:szCs w:val="24"/>
        </w:rPr>
        <w:t>Political</w:t>
      </w:r>
      <w:proofErr w:type="spellEnd"/>
      <w:r w:rsidRPr="00FF4468">
        <w:rPr>
          <w:rFonts w:cs="Times New Roman"/>
          <w:i/>
          <w:iCs/>
          <w:szCs w:val="24"/>
        </w:rPr>
        <w:t xml:space="preserve">, </w:t>
      </w:r>
      <w:proofErr w:type="spellStart"/>
      <w:r w:rsidRPr="00FF4468">
        <w:rPr>
          <w:rFonts w:cs="Times New Roman"/>
          <w:i/>
          <w:iCs/>
          <w:szCs w:val="24"/>
        </w:rPr>
        <w:t>Social</w:t>
      </w:r>
      <w:proofErr w:type="spellEnd"/>
      <w:r w:rsidRPr="00FF4468">
        <w:rPr>
          <w:rFonts w:cs="Times New Roman"/>
          <w:i/>
          <w:iCs/>
          <w:szCs w:val="24"/>
        </w:rPr>
        <w:t xml:space="preserve"> and </w:t>
      </w:r>
      <w:proofErr w:type="spellStart"/>
      <w:r w:rsidRPr="00FF4468">
        <w:rPr>
          <w:rFonts w:cs="Times New Roman"/>
          <w:i/>
          <w:iCs/>
          <w:szCs w:val="24"/>
        </w:rPr>
        <w:t>Economic</w:t>
      </w:r>
      <w:proofErr w:type="spellEnd"/>
      <w:r w:rsidRPr="00FF4468">
        <w:rPr>
          <w:rFonts w:cs="Times New Roman"/>
          <w:i/>
          <w:iCs/>
          <w:szCs w:val="24"/>
        </w:rPr>
        <w:t xml:space="preserve"> </w:t>
      </w:r>
      <w:proofErr w:type="spellStart"/>
      <w:r w:rsidRPr="00FF4468">
        <w:rPr>
          <w:rFonts w:cs="Times New Roman"/>
          <w:i/>
          <w:iCs/>
          <w:szCs w:val="24"/>
        </w:rPr>
        <w:t>Forces</w:t>
      </w:r>
      <w:proofErr w:type="spellEnd"/>
      <w:r w:rsidRPr="00FF4468">
        <w:rPr>
          <w:rFonts w:cs="Times New Roman"/>
          <w:i/>
          <w:iCs/>
          <w:szCs w:val="24"/>
        </w:rPr>
        <w:t>, 1950–1957</w:t>
      </w:r>
      <w:r w:rsidRPr="00FF4468">
        <w:rPr>
          <w:rFonts w:cs="Times New Roman"/>
          <w:szCs w:val="24"/>
        </w:rPr>
        <w:t xml:space="preserve">. London: Stevens and </w:t>
      </w:r>
      <w:proofErr w:type="spellStart"/>
      <w:r w:rsidRPr="00FF4468">
        <w:rPr>
          <w:rFonts w:cs="Times New Roman"/>
          <w:szCs w:val="24"/>
        </w:rPr>
        <w:t>Sons</w:t>
      </w:r>
      <w:proofErr w:type="spellEnd"/>
      <w:r>
        <w:rPr>
          <w:rFonts w:cs="Times New Roman"/>
          <w:szCs w:val="24"/>
        </w:rPr>
        <w:t>.</w:t>
      </w:r>
    </w:p>
    <w:p w14:paraId="2578AD50" w14:textId="4A84A12A" w:rsidR="00F753B0" w:rsidRDefault="00F753B0" w:rsidP="00F753B0">
      <w:pPr>
        <w:spacing w:line="360" w:lineRule="auto"/>
        <w:rPr>
          <w:rFonts w:cs="Times New Roman"/>
          <w:szCs w:val="24"/>
        </w:rPr>
      </w:pPr>
      <w:proofErr w:type="spellStart"/>
      <w:r w:rsidRPr="00FF4468">
        <w:rPr>
          <w:rFonts w:cs="Times New Roman"/>
          <w:szCs w:val="24"/>
        </w:rPr>
        <w:t>Hix</w:t>
      </w:r>
      <w:proofErr w:type="spellEnd"/>
      <w:r w:rsidRPr="00FF4468">
        <w:rPr>
          <w:rFonts w:cs="Times New Roman"/>
          <w:szCs w:val="24"/>
        </w:rPr>
        <w:t xml:space="preserve">, S. (2002). </w:t>
      </w:r>
      <w:proofErr w:type="spellStart"/>
      <w:r w:rsidRPr="00FF4468">
        <w:rPr>
          <w:rFonts w:cs="Times New Roman"/>
          <w:szCs w:val="24"/>
        </w:rPr>
        <w:t>Constitutional</w:t>
      </w:r>
      <w:proofErr w:type="spellEnd"/>
      <w:r w:rsidRPr="00FF4468">
        <w:rPr>
          <w:rFonts w:cs="Times New Roman"/>
          <w:szCs w:val="24"/>
        </w:rPr>
        <w:t xml:space="preserve"> Agenda-</w:t>
      </w:r>
      <w:proofErr w:type="spellStart"/>
      <w:r w:rsidRPr="00FF4468">
        <w:rPr>
          <w:rFonts w:cs="Times New Roman"/>
          <w:szCs w:val="24"/>
        </w:rPr>
        <w:t>Setting</w:t>
      </w:r>
      <w:proofErr w:type="spellEnd"/>
      <w:r w:rsidRPr="00FF4468">
        <w:rPr>
          <w:rFonts w:cs="Times New Roman"/>
          <w:szCs w:val="24"/>
        </w:rPr>
        <w:t xml:space="preserve"> </w:t>
      </w:r>
      <w:proofErr w:type="spellStart"/>
      <w:r w:rsidRPr="00FF4468">
        <w:rPr>
          <w:rFonts w:cs="Times New Roman"/>
          <w:szCs w:val="24"/>
        </w:rPr>
        <w:t>Through</w:t>
      </w:r>
      <w:proofErr w:type="spellEnd"/>
      <w:r w:rsidRPr="00FF4468">
        <w:rPr>
          <w:rFonts w:cs="Times New Roman"/>
          <w:szCs w:val="24"/>
        </w:rPr>
        <w:t xml:space="preserve"> </w:t>
      </w:r>
      <w:proofErr w:type="spellStart"/>
      <w:r w:rsidRPr="00FF4468">
        <w:rPr>
          <w:rFonts w:cs="Times New Roman"/>
          <w:szCs w:val="24"/>
        </w:rPr>
        <w:t>Discretion</w:t>
      </w:r>
      <w:proofErr w:type="spellEnd"/>
      <w:r w:rsidRPr="00FF4468">
        <w:rPr>
          <w:rFonts w:cs="Times New Roman"/>
          <w:szCs w:val="24"/>
        </w:rPr>
        <w:t xml:space="preserve"> in Rule </w:t>
      </w:r>
      <w:proofErr w:type="spellStart"/>
      <w:r w:rsidRPr="00FF4468">
        <w:rPr>
          <w:rFonts w:cs="Times New Roman"/>
          <w:szCs w:val="24"/>
        </w:rPr>
        <w:t>Interpretation</w:t>
      </w:r>
      <w:proofErr w:type="spellEnd"/>
      <w:r w:rsidRPr="00FF4468">
        <w:rPr>
          <w:rFonts w:cs="Times New Roman"/>
          <w:szCs w:val="24"/>
        </w:rPr>
        <w:t xml:space="preserve">: </w:t>
      </w:r>
      <w:proofErr w:type="spellStart"/>
      <w:r w:rsidRPr="00FF4468">
        <w:rPr>
          <w:rFonts w:cs="Times New Roman"/>
          <w:szCs w:val="24"/>
        </w:rPr>
        <w:t>Why</w:t>
      </w:r>
      <w:proofErr w:type="spellEnd"/>
      <w:r w:rsidRPr="00FF4468">
        <w:rPr>
          <w:rFonts w:cs="Times New Roman"/>
          <w:szCs w:val="24"/>
        </w:rPr>
        <w:t xml:space="preserve"> </w:t>
      </w:r>
      <w:proofErr w:type="spellStart"/>
      <w:r w:rsidRPr="00FF4468">
        <w:rPr>
          <w:rFonts w:cs="Times New Roman"/>
          <w:szCs w:val="24"/>
        </w:rPr>
        <w:t>the</w:t>
      </w:r>
      <w:proofErr w:type="spellEnd"/>
      <w:r w:rsidRPr="00FF4468">
        <w:rPr>
          <w:rFonts w:cs="Times New Roman"/>
          <w:szCs w:val="24"/>
        </w:rPr>
        <w:t xml:space="preserve"> </w:t>
      </w:r>
      <w:proofErr w:type="spellStart"/>
      <w:r w:rsidRPr="00FF4468">
        <w:rPr>
          <w:rFonts w:cs="Times New Roman"/>
          <w:szCs w:val="24"/>
        </w:rPr>
        <w:t>European</w:t>
      </w:r>
      <w:proofErr w:type="spellEnd"/>
      <w:r w:rsidRPr="00FF4468">
        <w:rPr>
          <w:rFonts w:cs="Times New Roman"/>
          <w:szCs w:val="24"/>
        </w:rPr>
        <w:t xml:space="preserve"> </w:t>
      </w:r>
      <w:proofErr w:type="spellStart"/>
      <w:r w:rsidRPr="00FF4468">
        <w:rPr>
          <w:rFonts w:cs="Times New Roman"/>
          <w:szCs w:val="24"/>
        </w:rPr>
        <w:t>Parliament</w:t>
      </w:r>
      <w:proofErr w:type="spellEnd"/>
      <w:r w:rsidRPr="00FF4468">
        <w:rPr>
          <w:rFonts w:cs="Times New Roman"/>
          <w:szCs w:val="24"/>
        </w:rPr>
        <w:t xml:space="preserve"> </w:t>
      </w:r>
      <w:proofErr w:type="spellStart"/>
      <w:r w:rsidRPr="00FF4468">
        <w:rPr>
          <w:rFonts w:cs="Times New Roman"/>
          <w:szCs w:val="24"/>
        </w:rPr>
        <w:t>Won</w:t>
      </w:r>
      <w:proofErr w:type="spellEnd"/>
      <w:r w:rsidRPr="00FF4468">
        <w:rPr>
          <w:rFonts w:cs="Times New Roman"/>
          <w:szCs w:val="24"/>
        </w:rPr>
        <w:t xml:space="preserve"> </w:t>
      </w:r>
      <w:proofErr w:type="spellStart"/>
      <w:r w:rsidRPr="00FF4468">
        <w:rPr>
          <w:rFonts w:cs="Times New Roman"/>
          <w:szCs w:val="24"/>
        </w:rPr>
        <w:t>at</w:t>
      </w:r>
      <w:proofErr w:type="spellEnd"/>
      <w:r w:rsidRPr="00FF4468">
        <w:rPr>
          <w:rFonts w:cs="Times New Roman"/>
          <w:szCs w:val="24"/>
        </w:rPr>
        <w:t xml:space="preserve"> Amsterdam? </w:t>
      </w:r>
      <w:proofErr w:type="spellStart"/>
      <w:r w:rsidRPr="00FF4468">
        <w:rPr>
          <w:rFonts w:cs="Times New Roman"/>
          <w:i/>
          <w:iCs/>
          <w:szCs w:val="24"/>
        </w:rPr>
        <w:t>British</w:t>
      </w:r>
      <w:proofErr w:type="spellEnd"/>
      <w:r w:rsidRPr="00FF4468">
        <w:rPr>
          <w:rFonts w:cs="Times New Roman"/>
          <w:i/>
          <w:iCs/>
          <w:szCs w:val="24"/>
        </w:rPr>
        <w:t xml:space="preserve"> </w:t>
      </w:r>
      <w:proofErr w:type="spellStart"/>
      <w:r w:rsidRPr="00FF4468">
        <w:rPr>
          <w:rFonts w:cs="Times New Roman"/>
          <w:i/>
          <w:iCs/>
          <w:szCs w:val="24"/>
        </w:rPr>
        <w:t>Journal</w:t>
      </w:r>
      <w:proofErr w:type="spellEnd"/>
      <w:r w:rsidRPr="00FF4468">
        <w:rPr>
          <w:rFonts w:cs="Times New Roman"/>
          <w:i/>
          <w:iCs/>
          <w:szCs w:val="24"/>
        </w:rPr>
        <w:t xml:space="preserve"> </w:t>
      </w:r>
      <w:proofErr w:type="spellStart"/>
      <w:r w:rsidRPr="00FF4468">
        <w:rPr>
          <w:rFonts w:cs="Times New Roman"/>
          <w:i/>
          <w:iCs/>
          <w:szCs w:val="24"/>
        </w:rPr>
        <w:t>of</w:t>
      </w:r>
      <w:proofErr w:type="spellEnd"/>
      <w:r w:rsidRPr="00FF4468">
        <w:rPr>
          <w:rFonts w:cs="Times New Roman"/>
          <w:i/>
          <w:iCs/>
          <w:szCs w:val="24"/>
        </w:rPr>
        <w:t xml:space="preserve"> </w:t>
      </w:r>
      <w:proofErr w:type="spellStart"/>
      <w:r w:rsidRPr="00FF4468">
        <w:rPr>
          <w:rFonts w:cs="Times New Roman"/>
          <w:i/>
          <w:iCs/>
          <w:szCs w:val="24"/>
        </w:rPr>
        <w:t>Political</w:t>
      </w:r>
      <w:proofErr w:type="spellEnd"/>
      <w:r w:rsidRPr="00FF4468">
        <w:rPr>
          <w:rFonts w:cs="Times New Roman"/>
          <w:i/>
          <w:iCs/>
          <w:szCs w:val="24"/>
        </w:rPr>
        <w:t xml:space="preserve"> Science. 32</w:t>
      </w:r>
      <w:r w:rsidRPr="00FF4468">
        <w:rPr>
          <w:rFonts w:cs="Times New Roman"/>
          <w:szCs w:val="24"/>
        </w:rPr>
        <w:t>(2), 259-280. Dostupné z: https://www.jstor.org/stable/4092218.</w:t>
      </w:r>
    </w:p>
    <w:p w14:paraId="219DA2F1" w14:textId="77777777" w:rsidR="00F753B0" w:rsidRPr="00FF4468" w:rsidRDefault="00F753B0" w:rsidP="00F753B0">
      <w:pPr>
        <w:spacing w:line="360" w:lineRule="auto"/>
        <w:rPr>
          <w:rFonts w:cs="Times New Roman"/>
          <w:szCs w:val="24"/>
        </w:rPr>
      </w:pPr>
      <w:proofErr w:type="spellStart"/>
      <w:r w:rsidRPr="00FF4468">
        <w:rPr>
          <w:rFonts w:cs="Times New Roman"/>
          <w:szCs w:val="24"/>
        </w:rPr>
        <w:lastRenderedPageBreak/>
        <w:t>Hix</w:t>
      </w:r>
      <w:proofErr w:type="spellEnd"/>
      <w:r w:rsidRPr="00FF4468">
        <w:rPr>
          <w:rFonts w:cs="Times New Roman"/>
          <w:szCs w:val="24"/>
        </w:rPr>
        <w:t xml:space="preserve">, S. </w:t>
      </w:r>
      <w:r w:rsidRPr="00FF4468">
        <w:rPr>
          <w:rFonts w:cs="Times New Roman"/>
          <w:szCs w:val="24"/>
          <w:lang w:val="en-GB"/>
        </w:rPr>
        <w:t>&amp;</w:t>
      </w:r>
      <w:r w:rsidRPr="00FF4468">
        <w:rPr>
          <w:rFonts w:cs="Times New Roman"/>
          <w:szCs w:val="24"/>
        </w:rPr>
        <w:t xml:space="preserve"> </w:t>
      </w:r>
      <w:proofErr w:type="spellStart"/>
      <w:r w:rsidRPr="00FF4468">
        <w:rPr>
          <w:rFonts w:cs="Times New Roman"/>
          <w:szCs w:val="24"/>
        </w:rPr>
        <w:t>Wilks-Heeg</w:t>
      </w:r>
      <w:proofErr w:type="spellEnd"/>
      <w:r w:rsidRPr="00FF4468">
        <w:rPr>
          <w:rFonts w:cs="Times New Roman"/>
          <w:szCs w:val="24"/>
        </w:rPr>
        <w:t xml:space="preserve">, S. (2014, 6. června). Media </w:t>
      </w:r>
      <w:proofErr w:type="spellStart"/>
      <w:r w:rsidRPr="00FF4468">
        <w:rPr>
          <w:rFonts w:cs="Times New Roman"/>
          <w:szCs w:val="24"/>
        </w:rPr>
        <w:t>coverage</w:t>
      </w:r>
      <w:proofErr w:type="spellEnd"/>
      <w:r w:rsidRPr="00FF4468">
        <w:rPr>
          <w:rFonts w:cs="Times New Roman"/>
          <w:szCs w:val="24"/>
        </w:rPr>
        <w:t xml:space="preserve"> in Germany and </w:t>
      </w:r>
      <w:proofErr w:type="spellStart"/>
      <w:r w:rsidRPr="00FF4468">
        <w:rPr>
          <w:rFonts w:cs="Times New Roman"/>
          <w:szCs w:val="24"/>
        </w:rPr>
        <w:t>the</w:t>
      </w:r>
      <w:proofErr w:type="spellEnd"/>
      <w:r w:rsidRPr="00FF4468">
        <w:rPr>
          <w:rFonts w:cs="Times New Roman"/>
          <w:szCs w:val="24"/>
        </w:rPr>
        <w:t xml:space="preserve"> UK </w:t>
      </w:r>
      <w:proofErr w:type="spellStart"/>
      <w:r w:rsidRPr="00FF4468">
        <w:rPr>
          <w:rFonts w:cs="Times New Roman"/>
          <w:szCs w:val="24"/>
        </w:rPr>
        <w:t>shows</w:t>
      </w:r>
      <w:proofErr w:type="spellEnd"/>
      <w:r w:rsidRPr="00FF4468">
        <w:rPr>
          <w:rFonts w:cs="Times New Roman"/>
          <w:szCs w:val="24"/>
        </w:rPr>
        <w:t xml:space="preserve"> </w:t>
      </w:r>
      <w:proofErr w:type="spellStart"/>
      <w:r w:rsidRPr="00FF4468">
        <w:rPr>
          <w:rFonts w:cs="Times New Roman"/>
          <w:szCs w:val="24"/>
        </w:rPr>
        <w:t>why</w:t>
      </w:r>
      <w:proofErr w:type="spellEnd"/>
      <w:r w:rsidRPr="00FF4468">
        <w:rPr>
          <w:rFonts w:cs="Times New Roman"/>
          <w:szCs w:val="24"/>
        </w:rPr>
        <w:t xml:space="preserve"> </w:t>
      </w:r>
      <w:proofErr w:type="spellStart"/>
      <w:r w:rsidRPr="00FF4468">
        <w:rPr>
          <w:rFonts w:cs="Times New Roman"/>
          <w:szCs w:val="24"/>
        </w:rPr>
        <w:t>both</w:t>
      </w:r>
      <w:proofErr w:type="spellEnd"/>
      <w:r w:rsidRPr="00FF4468">
        <w:rPr>
          <w:rFonts w:cs="Times New Roman"/>
          <w:szCs w:val="24"/>
        </w:rPr>
        <w:t xml:space="preserve"> </w:t>
      </w:r>
      <w:proofErr w:type="spellStart"/>
      <w:r w:rsidRPr="00FF4468">
        <w:rPr>
          <w:rFonts w:cs="Times New Roman"/>
          <w:szCs w:val="24"/>
        </w:rPr>
        <w:t>countries</w:t>
      </w:r>
      <w:proofErr w:type="spellEnd"/>
      <w:r w:rsidRPr="00FF4468">
        <w:rPr>
          <w:rFonts w:cs="Times New Roman"/>
          <w:szCs w:val="24"/>
        </w:rPr>
        <w:t xml:space="preserve"> </w:t>
      </w:r>
      <w:proofErr w:type="spellStart"/>
      <w:r w:rsidRPr="00FF4468">
        <w:rPr>
          <w:rFonts w:cs="Times New Roman"/>
          <w:szCs w:val="24"/>
        </w:rPr>
        <w:t>have</w:t>
      </w:r>
      <w:proofErr w:type="spellEnd"/>
      <w:r w:rsidRPr="00FF4468">
        <w:rPr>
          <w:rFonts w:cs="Times New Roman"/>
          <w:szCs w:val="24"/>
        </w:rPr>
        <w:t xml:space="preserve"> </w:t>
      </w:r>
      <w:proofErr w:type="spellStart"/>
      <w:r w:rsidRPr="00FF4468">
        <w:rPr>
          <w:rFonts w:cs="Times New Roman"/>
          <w:szCs w:val="24"/>
        </w:rPr>
        <w:t>radically</w:t>
      </w:r>
      <w:proofErr w:type="spellEnd"/>
      <w:r w:rsidRPr="00FF4468">
        <w:rPr>
          <w:rFonts w:cs="Times New Roman"/>
          <w:szCs w:val="24"/>
        </w:rPr>
        <w:t xml:space="preserve"> </w:t>
      </w:r>
      <w:proofErr w:type="spellStart"/>
      <w:r w:rsidRPr="00FF4468">
        <w:rPr>
          <w:rFonts w:cs="Times New Roman"/>
          <w:szCs w:val="24"/>
        </w:rPr>
        <w:t>different</w:t>
      </w:r>
      <w:proofErr w:type="spellEnd"/>
      <w:r w:rsidRPr="00FF4468">
        <w:rPr>
          <w:rFonts w:cs="Times New Roman"/>
          <w:szCs w:val="24"/>
        </w:rPr>
        <w:t xml:space="preserve"> </w:t>
      </w:r>
      <w:proofErr w:type="spellStart"/>
      <w:r w:rsidRPr="00FF4468">
        <w:rPr>
          <w:rFonts w:cs="Times New Roman"/>
          <w:szCs w:val="24"/>
        </w:rPr>
        <w:t>views</w:t>
      </w:r>
      <w:proofErr w:type="spellEnd"/>
      <w:r w:rsidRPr="00FF4468">
        <w:rPr>
          <w:rFonts w:cs="Times New Roman"/>
          <w:szCs w:val="24"/>
        </w:rPr>
        <w:t xml:space="preserve"> </w:t>
      </w:r>
      <w:proofErr w:type="spellStart"/>
      <w:r w:rsidRPr="00FF4468">
        <w:rPr>
          <w:rFonts w:cs="Times New Roman"/>
          <w:szCs w:val="24"/>
        </w:rPr>
        <w:t>over</w:t>
      </w:r>
      <w:proofErr w:type="spellEnd"/>
      <w:r w:rsidRPr="00FF4468">
        <w:rPr>
          <w:rFonts w:cs="Times New Roman"/>
          <w:szCs w:val="24"/>
        </w:rPr>
        <w:t xml:space="preserve"> </w:t>
      </w:r>
      <w:proofErr w:type="spellStart"/>
      <w:r w:rsidRPr="00FF4468">
        <w:rPr>
          <w:rFonts w:cs="Times New Roman"/>
          <w:szCs w:val="24"/>
        </w:rPr>
        <w:t>who</w:t>
      </w:r>
      <w:proofErr w:type="spellEnd"/>
      <w:r w:rsidRPr="00FF4468">
        <w:rPr>
          <w:rFonts w:cs="Times New Roman"/>
          <w:szCs w:val="24"/>
        </w:rPr>
        <w:t xml:space="preserve"> </w:t>
      </w:r>
      <w:proofErr w:type="spellStart"/>
      <w:r w:rsidRPr="00FF4468">
        <w:rPr>
          <w:rFonts w:cs="Times New Roman"/>
          <w:szCs w:val="24"/>
        </w:rPr>
        <w:t>should</w:t>
      </w:r>
      <w:proofErr w:type="spellEnd"/>
      <w:r w:rsidRPr="00FF4468">
        <w:rPr>
          <w:rFonts w:cs="Times New Roman"/>
          <w:szCs w:val="24"/>
        </w:rPr>
        <w:t xml:space="preserve"> </w:t>
      </w:r>
      <w:proofErr w:type="spellStart"/>
      <w:r w:rsidRPr="00FF4468">
        <w:rPr>
          <w:rFonts w:cs="Times New Roman"/>
          <w:szCs w:val="24"/>
        </w:rPr>
        <w:t>be</w:t>
      </w:r>
      <w:proofErr w:type="spellEnd"/>
      <w:r w:rsidRPr="00FF4468">
        <w:rPr>
          <w:rFonts w:cs="Times New Roman"/>
          <w:szCs w:val="24"/>
        </w:rPr>
        <w:t xml:space="preserve"> </w:t>
      </w:r>
      <w:proofErr w:type="spellStart"/>
      <w:r w:rsidRPr="00FF4468">
        <w:rPr>
          <w:rFonts w:cs="Times New Roman"/>
          <w:szCs w:val="24"/>
        </w:rPr>
        <w:t>the</w:t>
      </w:r>
      <w:proofErr w:type="spellEnd"/>
      <w:r w:rsidRPr="00FF4468">
        <w:rPr>
          <w:rFonts w:cs="Times New Roman"/>
          <w:szCs w:val="24"/>
        </w:rPr>
        <w:t xml:space="preserve"> </w:t>
      </w:r>
      <w:proofErr w:type="spellStart"/>
      <w:r w:rsidRPr="00FF4468">
        <w:rPr>
          <w:rFonts w:cs="Times New Roman"/>
          <w:szCs w:val="24"/>
        </w:rPr>
        <w:t>next</w:t>
      </w:r>
      <w:proofErr w:type="spellEnd"/>
      <w:r w:rsidRPr="00FF4468">
        <w:rPr>
          <w:rFonts w:cs="Times New Roman"/>
          <w:szCs w:val="24"/>
        </w:rPr>
        <w:t xml:space="preserve"> </w:t>
      </w:r>
      <w:proofErr w:type="spellStart"/>
      <w:r w:rsidRPr="00FF4468">
        <w:rPr>
          <w:rFonts w:cs="Times New Roman"/>
          <w:szCs w:val="24"/>
        </w:rPr>
        <w:t>Commission</w:t>
      </w:r>
      <w:proofErr w:type="spellEnd"/>
      <w:r w:rsidRPr="00FF4468">
        <w:rPr>
          <w:rFonts w:cs="Times New Roman"/>
          <w:szCs w:val="24"/>
        </w:rPr>
        <w:t xml:space="preserve"> President. </w:t>
      </w:r>
      <w:r w:rsidRPr="00FF4468">
        <w:rPr>
          <w:rFonts w:cs="Times New Roman"/>
          <w:i/>
          <w:iCs/>
          <w:szCs w:val="24"/>
        </w:rPr>
        <w:t xml:space="preserve">London </w:t>
      </w:r>
      <w:proofErr w:type="spellStart"/>
      <w:r w:rsidRPr="00FF4468">
        <w:rPr>
          <w:rFonts w:cs="Times New Roman"/>
          <w:i/>
          <w:iCs/>
          <w:szCs w:val="24"/>
        </w:rPr>
        <w:t>School</w:t>
      </w:r>
      <w:proofErr w:type="spellEnd"/>
      <w:r w:rsidRPr="00FF4468">
        <w:rPr>
          <w:rFonts w:cs="Times New Roman"/>
          <w:i/>
          <w:iCs/>
          <w:szCs w:val="24"/>
        </w:rPr>
        <w:t xml:space="preserve"> </w:t>
      </w:r>
      <w:proofErr w:type="spellStart"/>
      <w:r w:rsidRPr="00FF4468">
        <w:rPr>
          <w:rFonts w:cs="Times New Roman"/>
          <w:i/>
          <w:iCs/>
          <w:szCs w:val="24"/>
        </w:rPr>
        <w:t>of</w:t>
      </w:r>
      <w:proofErr w:type="spellEnd"/>
      <w:r w:rsidRPr="00FF4468">
        <w:rPr>
          <w:rFonts w:cs="Times New Roman"/>
          <w:i/>
          <w:iCs/>
          <w:szCs w:val="24"/>
        </w:rPr>
        <w:t xml:space="preserve"> </w:t>
      </w:r>
      <w:proofErr w:type="spellStart"/>
      <w:r w:rsidRPr="00FF4468">
        <w:rPr>
          <w:rFonts w:cs="Times New Roman"/>
          <w:i/>
          <w:iCs/>
          <w:szCs w:val="24"/>
        </w:rPr>
        <w:t>Economics</w:t>
      </w:r>
      <w:proofErr w:type="spellEnd"/>
      <w:r w:rsidRPr="00FF4468">
        <w:rPr>
          <w:rFonts w:cs="Times New Roman"/>
          <w:i/>
          <w:iCs/>
          <w:szCs w:val="24"/>
        </w:rPr>
        <w:t xml:space="preserve">. </w:t>
      </w:r>
      <w:r w:rsidRPr="00FF4468">
        <w:rPr>
          <w:rFonts w:cs="Times New Roman"/>
          <w:szCs w:val="24"/>
        </w:rPr>
        <w:t>Dostupné z: http://bit.ly/1rZbDYA</w:t>
      </w:r>
      <w:r>
        <w:rPr>
          <w:rStyle w:val="Hypertextovodkaz"/>
          <w:rFonts w:cs="Times New Roman"/>
          <w:szCs w:val="24"/>
        </w:rPr>
        <w:t>.</w:t>
      </w:r>
      <w:r w:rsidRPr="00FF4468">
        <w:rPr>
          <w:rFonts w:cs="Times New Roman"/>
          <w:szCs w:val="24"/>
        </w:rPr>
        <w:t xml:space="preserve"> </w:t>
      </w:r>
    </w:p>
    <w:p w14:paraId="3780B8F7" w14:textId="77777777" w:rsidR="00F753B0" w:rsidRPr="00FF4468" w:rsidRDefault="00F753B0" w:rsidP="00F753B0">
      <w:pPr>
        <w:spacing w:line="360" w:lineRule="auto"/>
        <w:rPr>
          <w:rFonts w:cs="Times New Roman"/>
          <w:szCs w:val="24"/>
        </w:rPr>
      </w:pPr>
      <w:proofErr w:type="spellStart"/>
      <w:r w:rsidRPr="00FF4468">
        <w:rPr>
          <w:rFonts w:cs="Times New Roman"/>
          <w:szCs w:val="24"/>
        </w:rPr>
        <w:t>Hodges</w:t>
      </w:r>
      <w:proofErr w:type="spellEnd"/>
      <w:r w:rsidRPr="00FF4468">
        <w:rPr>
          <w:rFonts w:cs="Times New Roman"/>
          <w:szCs w:val="24"/>
        </w:rPr>
        <w:t xml:space="preserve">, M. (1979). </w:t>
      </w:r>
      <w:proofErr w:type="spellStart"/>
      <w:r w:rsidRPr="00FF4468">
        <w:rPr>
          <w:rFonts w:cs="Times New Roman"/>
          <w:szCs w:val="24"/>
        </w:rPr>
        <w:t>The</w:t>
      </w:r>
      <w:proofErr w:type="spellEnd"/>
      <w:r w:rsidRPr="00FF4468">
        <w:rPr>
          <w:rFonts w:cs="Times New Roman"/>
          <w:szCs w:val="24"/>
        </w:rPr>
        <w:t xml:space="preserve"> </w:t>
      </w:r>
      <w:proofErr w:type="spellStart"/>
      <w:r w:rsidRPr="00FF4468">
        <w:rPr>
          <w:rFonts w:cs="Times New Roman"/>
          <w:szCs w:val="24"/>
        </w:rPr>
        <w:t>Legacy</w:t>
      </w:r>
      <w:proofErr w:type="spellEnd"/>
      <w:r w:rsidRPr="00FF4468">
        <w:rPr>
          <w:rFonts w:cs="Times New Roman"/>
          <w:szCs w:val="24"/>
        </w:rPr>
        <w:t xml:space="preserve"> </w:t>
      </w:r>
      <w:proofErr w:type="spellStart"/>
      <w:r w:rsidRPr="00FF4468">
        <w:rPr>
          <w:rFonts w:cs="Times New Roman"/>
          <w:szCs w:val="24"/>
        </w:rPr>
        <w:t>of</w:t>
      </w:r>
      <w:proofErr w:type="spellEnd"/>
      <w:r w:rsidRPr="00FF4468">
        <w:rPr>
          <w:rFonts w:cs="Times New Roman"/>
          <w:szCs w:val="24"/>
        </w:rPr>
        <w:t xml:space="preserve"> </w:t>
      </w:r>
      <w:proofErr w:type="spellStart"/>
      <w:r w:rsidRPr="00FF4468">
        <w:rPr>
          <w:rFonts w:cs="Times New Roman"/>
          <w:szCs w:val="24"/>
        </w:rPr>
        <w:t>the</w:t>
      </w:r>
      <w:proofErr w:type="spellEnd"/>
      <w:r w:rsidRPr="00FF4468">
        <w:rPr>
          <w:rFonts w:cs="Times New Roman"/>
          <w:szCs w:val="24"/>
        </w:rPr>
        <w:t xml:space="preserve"> </w:t>
      </w:r>
      <w:proofErr w:type="spellStart"/>
      <w:r w:rsidRPr="00FF4468">
        <w:rPr>
          <w:rFonts w:cs="Times New Roman"/>
          <w:szCs w:val="24"/>
        </w:rPr>
        <w:t>Treaty</w:t>
      </w:r>
      <w:proofErr w:type="spellEnd"/>
      <w:r w:rsidRPr="00FF4468">
        <w:rPr>
          <w:rFonts w:cs="Times New Roman"/>
          <w:szCs w:val="24"/>
        </w:rPr>
        <w:t xml:space="preserve"> </w:t>
      </w:r>
      <w:proofErr w:type="spellStart"/>
      <w:r w:rsidRPr="00FF4468">
        <w:rPr>
          <w:rFonts w:cs="Times New Roman"/>
          <w:szCs w:val="24"/>
        </w:rPr>
        <w:t>of</w:t>
      </w:r>
      <w:proofErr w:type="spellEnd"/>
      <w:r w:rsidRPr="00FF4468">
        <w:rPr>
          <w:rFonts w:cs="Times New Roman"/>
          <w:szCs w:val="24"/>
        </w:rPr>
        <w:t xml:space="preserve"> Rome: A </w:t>
      </w:r>
      <w:proofErr w:type="spellStart"/>
      <w:r w:rsidRPr="00FF4468">
        <w:rPr>
          <w:rFonts w:cs="Times New Roman"/>
          <w:szCs w:val="24"/>
        </w:rPr>
        <w:t>Community</w:t>
      </w:r>
      <w:proofErr w:type="spellEnd"/>
      <w:r w:rsidRPr="00FF4468">
        <w:rPr>
          <w:rFonts w:cs="Times New Roman"/>
          <w:szCs w:val="24"/>
        </w:rPr>
        <w:t xml:space="preserve"> </w:t>
      </w:r>
      <w:proofErr w:type="spellStart"/>
      <w:r w:rsidRPr="00FF4468">
        <w:rPr>
          <w:rFonts w:cs="Times New Roman"/>
          <w:szCs w:val="24"/>
        </w:rPr>
        <w:t>of</w:t>
      </w:r>
      <w:proofErr w:type="spellEnd"/>
      <w:r w:rsidRPr="00FF4468">
        <w:rPr>
          <w:rFonts w:cs="Times New Roman"/>
          <w:szCs w:val="24"/>
        </w:rPr>
        <w:t xml:space="preserve"> </w:t>
      </w:r>
      <w:proofErr w:type="spellStart"/>
      <w:r w:rsidRPr="00FF4468">
        <w:rPr>
          <w:rFonts w:cs="Times New Roman"/>
          <w:szCs w:val="24"/>
        </w:rPr>
        <w:t>Equals</w:t>
      </w:r>
      <w:proofErr w:type="spellEnd"/>
      <w:r w:rsidRPr="00FF4468">
        <w:rPr>
          <w:rFonts w:cs="Times New Roman"/>
          <w:szCs w:val="24"/>
        </w:rPr>
        <w:t xml:space="preserve">? </w:t>
      </w:r>
      <w:proofErr w:type="spellStart"/>
      <w:r w:rsidRPr="00FF4468">
        <w:rPr>
          <w:rFonts w:cs="Times New Roman"/>
          <w:i/>
          <w:iCs/>
          <w:szCs w:val="24"/>
        </w:rPr>
        <w:t>The</w:t>
      </w:r>
      <w:proofErr w:type="spellEnd"/>
      <w:r w:rsidRPr="00FF4468">
        <w:rPr>
          <w:rFonts w:cs="Times New Roman"/>
          <w:i/>
          <w:iCs/>
          <w:szCs w:val="24"/>
        </w:rPr>
        <w:t xml:space="preserve"> </w:t>
      </w:r>
      <w:proofErr w:type="spellStart"/>
      <w:r w:rsidRPr="00FF4468">
        <w:rPr>
          <w:rFonts w:cs="Times New Roman"/>
          <w:i/>
          <w:iCs/>
          <w:szCs w:val="24"/>
        </w:rPr>
        <w:t>World</w:t>
      </w:r>
      <w:proofErr w:type="spellEnd"/>
      <w:r w:rsidRPr="00FF4468">
        <w:rPr>
          <w:rFonts w:cs="Times New Roman"/>
          <w:i/>
          <w:iCs/>
          <w:szCs w:val="24"/>
        </w:rPr>
        <w:t xml:space="preserve"> </w:t>
      </w:r>
      <w:proofErr w:type="spellStart"/>
      <w:r w:rsidRPr="00FF4468">
        <w:rPr>
          <w:rFonts w:cs="Times New Roman"/>
          <w:i/>
          <w:iCs/>
          <w:szCs w:val="24"/>
        </w:rPr>
        <w:t>Today</w:t>
      </w:r>
      <w:proofErr w:type="spellEnd"/>
      <w:r w:rsidRPr="00FF4468">
        <w:rPr>
          <w:rFonts w:cs="Times New Roman"/>
          <w:i/>
          <w:iCs/>
          <w:szCs w:val="24"/>
        </w:rPr>
        <w:t>. 35</w:t>
      </w:r>
      <w:r w:rsidRPr="00FF4468">
        <w:rPr>
          <w:rFonts w:cs="Times New Roman"/>
          <w:szCs w:val="24"/>
        </w:rPr>
        <w:t xml:space="preserve">(6), 232-240. Dostupné z: https://www.jstor.org/stable/40395120. </w:t>
      </w:r>
    </w:p>
    <w:p w14:paraId="6044A529" w14:textId="77777777" w:rsidR="00F753B0" w:rsidRPr="00B242C0" w:rsidRDefault="00F753B0" w:rsidP="00F753B0">
      <w:pPr>
        <w:spacing w:line="360" w:lineRule="auto"/>
        <w:rPr>
          <w:rFonts w:cs="Times New Roman"/>
          <w:szCs w:val="24"/>
        </w:rPr>
      </w:pPr>
      <w:proofErr w:type="spellStart"/>
      <w:r w:rsidRPr="00B242C0">
        <w:rPr>
          <w:rFonts w:cs="Times New Roman"/>
          <w:szCs w:val="24"/>
        </w:rPr>
        <w:t>Krutílek</w:t>
      </w:r>
      <w:proofErr w:type="spellEnd"/>
      <w:r w:rsidRPr="00B242C0">
        <w:rPr>
          <w:rFonts w:cs="Times New Roman"/>
          <w:szCs w:val="24"/>
        </w:rPr>
        <w:t xml:space="preserve">, O. (2021). Rozpočet EU. </w:t>
      </w:r>
      <w:proofErr w:type="spellStart"/>
      <w:r w:rsidRPr="00B242C0">
        <w:rPr>
          <w:rFonts w:cs="Times New Roman"/>
          <w:i/>
          <w:iCs/>
          <w:szCs w:val="24"/>
        </w:rPr>
        <w:t>Euroskop</w:t>
      </w:r>
      <w:proofErr w:type="spellEnd"/>
      <w:r w:rsidRPr="00B242C0">
        <w:rPr>
          <w:rFonts w:cs="Times New Roman"/>
          <w:i/>
          <w:iCs/>
          <w:szCs w:val="24"/>
        </w:rPr>
        <w:t>.</w:t>
      </w:r>
      <w:r w:rsidRPr="00B242C0">
        <w:rPr>
          <w:rFonts w:cs="Times New Roman"/>
          <w:szCs w:val="24"/>
        </w:rPr>
        <w:t xml:space="preserve"> Dostupné z: https://www.euroskop.cz/8877/sekce/rozpocet-eu/.</w:t>
      </w:r>
    </w:p>
    <w:p w14:paraId="4480F009" w14:textId="77777777" w:rsidR="00F753B0" w:rsidRPr="00B242C0" w:rsidRDefault="00F753B0" w:rsidP="00F753B0">
      <w:pPr>
        <w:spacing w:line="360" w:lineRule="auto"/>
        <w:rPr>
          <w:rFonts w:cs="Times New Roman"/>
          <w:szCs w:val="24"/>
        </w:rPr>
      </w:pPr>
      <w:proofErr w:type="spellStart"/>
      <w:r w:rsidRPr="00B242C0">
        <w:rPr>
          <w:rFonts w:cs="Times New Roman"/>
          <w:szCs w:val="24"/>
        </w:rPr>
        <w:t>Krutílek</w:t>
      </w:r>
      <w:proofErr w:type="spellEnd"/>
      <w:r w:rsidRPr="00B242C0">
        <w:rPr>
          <w:rFonts w:cs="Times New Roman"/>
          <w:szCs w:val="24"/>
        </w:rPr>
        <w:t xml:space="preserve">, O. (2021). Změny po Lisabonské smlouvě. </w:t>
      </w:r>
      <w:proofErr w:type="spellStart"/>
      <w:r w:rsidRPr="00B242C0">
        <w:rPr>
          <w:rFonts w:cs="Times New Roman"/>
          <w:i/>
          <w:iCs/>
          <w:szCs w:val="24"/>
        </w:rPr>
        <w:t>Euroskop</w:t>
      </w:r>
      <w:proofErr w:type="spellEnd"/>
      <w:r w:rsidRPr="00B242C0">
        <w:rPr>
          <w:rFonts w:cs="Times New Roman"/>
          <w:i/>
          <w:iCs/>
          <w:szCs w:val="24"/>
        </w:rPr>
        <w:t xml:space="preserve">. </w:t>
      </w:r>
      <w:r w:rsidRPr="00B242C0">
        <w:rPr>
          <w:rFonts w:cs="Times New Roman"/>
          <w:szCs w:val="24"/>
        </w:rPr>
        <w:t>Dostupné z: https://www.euroskop.cz/8900/sekce/zmeny-po-lisabonske-smlouve/.</w:t>
      </w:r>
    </w:p>
    <w:p w14:paraId="21855074" w14:textId="77777777" w:rsidR="00F753B0" w:rsidRPr="00B242C0" w:rsidRDefault="00F753B0" w:rsidP="00F753B0">
      <w:pPr>
        <w:spacing w:line="360" w:lineRule="auto"/>
        <w:rPr>
          <w:rFonts w:cs="Times New Roman"/>
          <w:szCs w:val="24"/>
        </w:rPr>
      </w:pPr>
      <w:proofErr w:type="spellStart"/>
      <w:r w:rsidRPr="00B242C0">
        <w:rPr>
          <w:rFonts w:cs="Times New Roman"/>
          <w:szCs w:val="24"/>
        </w:rPr>
        <w:t>Laursen</w:t>
      </w:r>
      <w:proofErr w:type="spellEnd"/>
      <w:r w:rsidRPr="00B242C0">
        <w:rPr>
          <w:rFonts w:cs="Times New Roman"/>
          <w:szCs w:val="24"/>
        </w:rPr>
        <w:t xml:space="preserve">, F. (2019, 26. dubna). </w:t>
      </w:r>
      <w:proofErr w:type="spellStart"/>
      <w:r w:rsidRPr="00B242C0">
        <w:rPr>
          <w:rFonts w:cs="Times New Roman"/>
          <w:szCs w:val="24"/>
        </w:rPr>
        <w:t>Budgetary</w:t>
      </w:r>
      <w:proofErr w:type="spellEnd"/>
      <w:r w:rsidRPr="00B242C0">
        <w:rPr>
          <w:rFonts w:cs="Times New Roman"/>
          <w:szCs w:val="24"/>
        </w:rPr>
        <w:t xml:space="preserve"> </w:t>
      </w:r>
      <w:proofErr w:type="spellStart"/>
      <w:r w:rsidRPr="00B242C0">
        <w:rPr>
          <w:rFonts w:cs="Times New Roman"/>
          <w:szCs w:val="24"/>
        </w:rPr>
        <w:t>Treaties</w:t>
      </w:r>
      <w:proofErr w:type="spellEnd"/>
      <w:r w:rsidRPr="00B242C0">
        <w:rPr>
          <w:rFonts w:cs="Times New Roman"/>
          <w:szCs w:val="24"/>
        </w:rPr>
        <w:t xml:space="preserve"> and </w:t>
      </w:r>
      <w:proofErr w:type="spellStart"/>
      <w:r w:rsidRPr="00B242C0">
        <w:rPr>
          <w:rFonts w:cs="Times New Roman"/>
          <w:szCs w:val="24"/>
        </w:rPr>
        <w:t>European</w:t>
      </w:r>
      <w:proofErr w:type="spellEnd"/>
      <w:r w:rsidRPr="00B242C0">
        <w:rPr>
          <w:rFonts w:cs="Times New Roman"/>
          <w:szCs w:val="24"/>
        </w:rPr>
        <w:t xml:space="preserve"> Union </w:t>
      </w:r>
      <w:proofErr w:type="spellStart"/>
      <w:r w:rsidRPr="00B242C0">
        <w:rPr>
          <w:rFonts w:cs="Times New Roman"/>
          <w:szCs w:val="24"/>
        </w:rPr>
        <w:t>Politics</w:t>
      </w:r>
      <w:proofErr w:type="spellEnd"/>
      <w:r w:rsidRPr="00B242C0">
        <w:rPr>
          <w:rFonts w:cs="Times New Roman"/>
          <w:szCs w:val="24"/>
        </w:rPr>
        <w:t xml:space="preserve">. </w:t>
      </w:r>
      <w:r w:rsidRPr="00B242C0">
        <w:rPr>
          <w:rFonts w:cs="Times New Roman"/>
          <w:i/>
          <w:iCs/>
          <w:szCs w:val="24"/>
        </w:rPr>
        <w:t xml:space="preserve">Oxford </w:t>
      </w:r>
      <w:proofErr w:type="spellStart"/>
      <w:r w:rsidRPr="00B242C0">
        <w:rPr>
          <w:rFonts w:cs="Times New Roman"/>
          <w:i/>
          <w:iCs/>
          <w:szCs w:val="24"/>
        </w:rPr>
        <w:t>Research</w:t>
      </w:r>
      <w:proofErr w:type="spellEnd"/>
      <w:r w:rsidRPr="00B242C0">
        <w:rPr>
          <w:rFonts w:cs="Times New Roman"/>
          <w:i/>
          <w:iCs/>
          <w:szCs w:val="24"/>
        </w:rPr>
        <w:t xml:space="preserve"> </w:t>
      </w:r>
      <w:proofErr w:type="spellStart"/>
      <w:r w:rsidRPr="00B242C0">
        <w:rPr>
          <w:rFonts w:cs="Times New Roman"/>
          <w:i/>
          <w:iCs/>
          <w:szCs w:val="24"/>
        </w:rPr>
        <w:t>Encyclopedias</w:t>
      </w:r>
      <w:proofErr w:type="spellEnd"/>
      <w:r w:rsidRPr="00B242C0">
        <w:rPr>
          <w:rFonts w:cs="Times New Roman"/>
          <w:i/>
          <w:iCs/>
          <w:szCs w:val="24"/>
        </w:rPr>
        <w:t xml:space="preserve">. </w:t>
      </w:r>
      <w:proofErr w:type="spellStart"/>
      <w:r w:rsidRPr="00B242C0">
        <w:rPr>
          <w:rFonts w:cs="Times New Roman"/>
          <w:szCs w:val="24"/>
        </w:rPr>
        <w:t>Doi</w:t>
      </w:r>
      <w:proofErr w:type="spellEnd"/>
      <w:r w:rsidRPr="00B242C0">
        <w:rPr>
          <w:rFonts w:cs="Times New Roman"/>
          <w:szCs w:val="24"/>
        </w:rPr>
        <w:t>: https://doi.org/10.1093/acrefore/9780190228637.013.1095.</w:t>
      </w:r>
    </w:p>
    <w:p w14:paraId="126C3B0D" w14:textId="77777777" w:rsidR="00F753B0" w:rsidRPr="00B242C0" w:rsidRDefault="00F753B0" w:rsidP="00F753B0">
      <w:pPr>
        <w:spacing w:line="360" w:lineRule="auto"/>
        <w:rPr>
          <w:rFonts w:cs="Times New Roman"/>
          <w:szCs w:val="24"/>
        </w:rPr>
      </w:pPr>
      <w:proofErr w:type="spellStart"/>
      <w:r w:rsidRPr="00B242C0">
        <w:rPr>
          <w:rFonts w:cs="Times New Roman"/>
          <w:szCs w:val="24"/>
        </w:rPr>
        <w:t>Laitinen-Rawana</w:t>
      </w:r>
      <w:proofErr w:type="spellEnd"/>
      <w:r w:rsidRPr="00B242C0">
        <w:rPr>
          <w:rFonts w:cs="Times New Roman"/>
          <w:szCs w:val="24"/>
        </w:rPr>
        <w:t xml:space="preserve">, S. (1994). </w:t>
      </w:r>
      <w:proofErr w:type="spellStart"/>
      <w:r w:rsidRPr="00B242C0">
        <w:rPr>
          <w:rFonts w:cs="Times New Roman"/>
          <w:szCs w:val="24"/>
        </w:rPr>
        <w:t>Creating</w:t>
      </w:r>
      <w:proofErr w:type="spellEnd"/>
      <w:r w:rsidRPr="00B242C0">
        <w:rPr>
          <w:rFonts w:cs="Times New Roman"/>
          <w:szCs w:val="24"/>
        </w:rPr>
        <w:t xml:space="preserve"> a </w:t>
      </w:r>
      <w:proofErr w:type="spellStart"/>
      <w:r w:rsidRPr="00B242C0">
        <w:rPr>
          <w:rFonts w:cs="Times New Roman"/>
          <w:szCs w:val="24"/>
        </w:rPr>
        <w:t>Unified</w:t>
      </w:r>
      <w:proofErr w:type="spellEnd"/>
      <w:r w:rsidRPr="00B242C0">
        <w:rPr>
          <w:rFonts w:cs="Times New Roman"/>
          <w:szCs w:val="24"/>
        </w:rPr>
        <w:t xml:space="preserve"> </w:t>
      </w:r>
      <w:proofErr w:type="spellStart"/>
      <w:r w:rsidRPr="00B242C0">
        <w:rPr>
          <w:rFonts w:cs="Times New Roman"/>
          <w:szCs w:val="24"/>
        </w:rPr>
        <w:t>Europe</w:t>
      </w:r>
      <w:proofErr w:type="spellEnd"/>
      <w:r w:rsidRPr="00B242C0">
        <w:rPr>
          <w:rFonts w:cs="Times New Roman"/>
          <w:szCs w:val="24"/>
        </w:rPr>
        <w:t xml:space="preserve">: Maastricht and </w:t>
      </w:r>
      <w:proofErr w:type="spellStart"/>
      <w:r w:rsidRPr="00B242C0">
        <w:rPr>
          <w:rFonts w:cs="Times New Roman"/>
          <w:szCs w:val="24"/>
        </w:rPr>
        <w:t>Beyond</w:t>
      </w:r>
      <w:proofErr w:type="spellEnd"/>
      <w:r w:rsidRPr="00B242C0">
        <w:rPr>
          <w:rFonts w:cs="Times New Roman"/>
          <w:szCs w:val="24"/>
        </w:rPr>
        <w:t>. </w:t>
      </w:r>
      <w:proofErr w:type="spellStart"/>
      <w:r w:rsidRPr="00B242C0">
        <w:rPr>
          <w:rFonts w:cs="Times New Roman"/>
          <w:i/>
          <w:iCs/>
          <w:szCs w:val="24"/>
        </w:rPr>
        <w:t>The</w:t>
      </w:r>
      <w:proofErr w:type="spellEnd"/>
      <w:r w:rsidRPr="00B242C0">
        <w:rPr>
          <w:rFonts w:cs="Times New Roman"/>
          <w:i/>
          <w:iCs/>
          <w:szCs w:val="24"/>
        </w:rPr>
        <w:t xml:space="preserve"> International </w:t>
      </w:r>
      <w:proofErr w:type="spellStart"/>
      <w:r w:rsidRPr="00B242C0">
        <w:rPr>
          <w:rFonts w:cs="Times New Roman"/>
          <w:i/>
          <w:iCs/>
          <w:szCs w:val="24"/>
        </w:rPr>
        <w:t>Lawyer</w:t>
      </w:r>
      <w:proofErr w:type="spellEnd"/>
      <w:r w:rsidRPr="00B242C0">
        <w:rPr>
          <w:rFonts w:cs="Times New Roman"/>
          <w:i/>
          <w:iCs/>
          <w:szCs w:val="24"/>
        </w:rPr>
        <w:t>,</w:t>
      </w:r>
      <w:r w:rsidRPr="00B242C0">
        <w:rPr>
          <w:rFonts w:cs="Times New Roman"/>
          <w:szCs w:val="24"/>
        </w:rPr>
        <w:t> </w:t>
      </w:r>
      <w:r w:rsidRPr="00B242C0">
        <w:rPr>
          <w:rFonts w:cs="Times New Roman"/>
          <w:i/>
          <w:iCs/>
          <w:szCs w:val="24"/>
        </w:rPr>
        <w:t>28</w:t>
      </w:r>
      <w:r w:rsidRPr="00B242C0">
        <w:rPr>
          <w:rFonts w:cs="Times New Roman"/>
          <w:szCs w:val="24"/>
        </w:rPr>
        <w:t>(4), 973-993. Dostupné z: http://www.jstor.org/stable/40707184.</w:t>
      </w:r>
    </w:p>
    <w:p w14:paraId="76ED4853" w14:textId="57A2B440" w:rsidR="00DE7F15" w:rsidRDefault="00DE7F15" w:rsidP="00F753B0">
      <w:pPr>
        <w:spacing w:line="360" w:lineRule="auto"/>
        <w:rPr>
          <w:rFonts w:cs="Times New Roman"/>
          <w:szCs w:val="24"/>
        </w:rPr>
      </w:pPr>
      <w:proofErr w:type="spellStart"/>
      <w:r w:rsidRPr="00B242C0">
        <w:rPr>
          <w:rFonts w:cs="Times New Roman"/>
          <w:szCs w:val="24"/>
        </w:rPr>
        <w:t>Majone</w:t>
      </w:r>
      <w:proofErr w:type="spellEnd"/>
      <w:r w:rsidRPr="00B242C0">
        <w:rPr>
          <w:rFonts w:cs="Times New Roman"/>
          <w:szCs w:val="24"/>
        </w:rPr>
        <w:t xml:space="preserve">, G. (1997). </w:t>
      </w:r>
      <w:proofErr w:type="spellStart"/>
      <w:r w:rsidRPr="00B242C0">
        <w:rPr>
          <w:rFonts w:cs="Times New Roman"/>
          <w:szCs w:val="24"/>
        </w:rPr>
        <w:t>From</w:t>
      </w:r>
      <w:proofErr w:type="spellEnd"/>
      <w:r w:rsidRPr="00B242C0">
        <w:rPr>
          <w:rFonts w:cs="Times New Roman"/>
          <w:szCs w:val="24"/>
        </w:rPr>
        <w:t xml:space="preserve"> </w:t>
      </w:r>
      <w:proofErr w:type="spellStart"/>
      <w:r w:rsidRPr="00B242C0">
        <w:rPr>
          <w:rFonts w:cs="Times New Roman"/>
          <w:szCs w:val="24"/>
        </w:rPr>
        <w:t>the</w:t>
      </w:r>
      <w:proofErr w:type="spellEnd"/>
      <w:r w:rsidRPr="00B242C0">
        <w:rPr>
          <w:rFonts w:cs="Times New Roman"/>
          <w:szCs w:val="24"/>
        </w:rPr>
        <w:t xml:space="preserve"> Positive to </w:t>
      </w:r>
      <w:proofErr w:type="spellStart"/>
      <w:r w:rsidRPr="00B242C0">
        <w:rPr>
          <w:rFonts w:cs="Times New Roman"/>
          <w:szCs w:val="24"/>
        </w:rPr>
        <w:t>the</w:t>
      </w:r>
      <w:proofErr w:type="spellEnd"/>
      <w:r w:rsidRPr="00B242C0">
        <w:rPr>
          <w:rFonts w:cs="Times New Roman"/>
          <w:szCs w:val="24"/>
        </w:rPr>
        <w:t xml:space="preserve"> </w:t>
      </w:r>
      <w:proofErr w:type="spellStart"/>
      <w:r w:rsidRPr="00B242C0">
        <w:rPr>
          <w:rFonts w:cs="Times New Roman"/>
          <w:szCs w:val="24"/>
        </w:rPr>
        <w:t>Regulatory</w:t>
      </w:r>
      <w:proofErr w:type="spellEnd"/>
      <w:r w:rsidRPr="00B242C0">
        <w:rPr>
          <w:rFonts w:cs="Times New Roman"/>
          <w:szCs w:val="24"/>
        </w:rPr>
        <w:t xml:space="preserve"> </w:t>
      </w:r>
      <w:proofErr w:type="spellStart"/>
      <w:r w:rsidRPr="00B242C0">
        <w:rPr>
          <w:rFonts w:cs="Times New Roman"/>
          <w:szCs w:val="24"/>
        </w:rPr>
        <w:t>State</w:t>
      </w:r>
      <w:proofErr w:type="spellEnd"/>
      <w:r w:rsidRPr="00B242C0">
        <w:rPr>
          <w:rFonts w:cs="Times New Roman"/>
          <w:szCs w:val="24"/>
        </w:rPr>
        <w:t xml:space="preserve">: </w:t>
      </w:r>
      <w:proofErr w:type="spellStart"/>
      <w:r w:rsidRPr="00B242C0">
        <w:rPr>
          <w:rFonts w:cs="Times New Roman"/>
          <w:szCs w:val="24"/>
        </w:rPr>
        <w:t>Causes</w:t>
      </w:r>
      <w:proofErr w:type="spellEnd"/>
      <w:r w:rsidRPr="00B242C0">
        <w:rPr>
          <w:rFonts w:cs="Times New Roman"/>
          <w:szCs w:val="24"/>
        </w:rPr>
        <w:t xml:space="preserve"> and </w:t>
      </w:r>
      <w:proofErr w:type="spellStart"/>
      <w:r w:rsidRPr="00B242C0">
        <w:rPr>
          <w:rFonts w:cs="Times New Roman"/>
          <w:szCs w:val="24"/>
        </w:rPr>
        <w:t>Consequences</w:t>
      </w:r>
      <w:proofErr w:type="spellEnd"/>
      <w:r w:rsidRPr="00B242C0">
        <w:rPr>
          <w:rFonts w:cs="Times New Roman"/>
          <w:szCs w:val="24"/>
        </w:rPr>
        <w:t xml:space="preserve"> </w:t>
      </w:r>
      <w:proofErr w:type="spellStart"/>
      <w:r w:rsidRPr="00B242C0">
        <w:rPr>
          <w:rFonts w:cs="Times New Roman"/>
          <w:szCs w:val="24"/>
        </w:rPr>
        <w:t>of</w:t>
      </w:r>
      <w:proofErr w:type="spellEnd"/>
      <w:r w:rsidRPr="00B242C0">
        <w:rPr>
          <w:rFonts w:cs="Times New Roman"/>
          <w:szCs w:val="24"/>
        </w:rPr>
        <w:t xml:space="preserve"> </w:t>
      </w:r>
      <w:proofErr w:type="spellStart"/>
      <w:r w:rsidRPr="00B242C0">
        <w:rPr>
          <w:rFonts w:cs="Times New Roman"/>
          <w:szCs w:val="24"/>
        </w:rPr>
        <w:t>Changes</w:t>
      </w:r>
      <w:proofErr w:type="spellEnd"/>
      <w:r w:rsidRPr="00B242C0">
        <w:rPr>
          <w:rFonts w:cs="Times New Roman"/>
          <w:szCs w:val="24"/>
        </w:rPr>
        <w:t xml:space="preserve"> in </w:t>
      </w:r>
      <w:proofErr w:type="spellStart"/>
      <w:r w:rsidRPr="00B242C0">
        <w:rPr>
          <w:rFonts w:cs="Times New Roman"/>
          <w:szCs w:val="24"/>
        </w:rPr>
        <w:t>the</w:t>
      </w:r>
      <w:proofErr w:type="spellEnd"/>
      <w:r w:rsidRPr="00B242C0">
        <w:rPr>
          <w:rFonts w:cs="Times New Roman"/>
          <w:szCs w:val="24"/>
        </w:rPr>
        <w:t xml:space="preserve"> Mode </w:t>
      </w:r>
      <w:proofErr w:type="spellStart"/>
      <w:r w:rsidRPr="00B242C0">
        <w:rPr>
          <w:rFonts w:cs="Times New Roman"/>
          <w:szCs w:val="24"/>
        </w:rPr>
        <w:t>of</w:t>
      </w:r>
      <w:proofErr w:type="spellEnd"/>
      <w:r w:rsidRPr="00B242C0">
        <w:rPr>
          <w:rFonts w:cs="Times New Roman"/>
          <w:szCs w:val="24"/>
        </w:rPr>
        <w:t xml:space="preserve"> </w:t>
      </w:r>
      <w:proofErr w:type="spellStart"/>
      <w:r w:rsidRPr="00B242C0">
        <w:rPr>
          <w:rFonts w:cs="Times New Roman"/>
          <w:szCs w:val="24"/>
        </w:rPr>
        <w:t>Governance</w:t>
      </w:r>
      <w:proofErr w:type="spellEnd"/>
      <w:r w:rsidRPr="00B242C0">
        <w:rPr>
          <w:rFonts w:cs="Times New Roman"/>
          <w:szCs w:val="24"/>
        </w:rPr>
        <w:t xml:space="preserve">. </w:t>
      </w:r>
      <w:proofErr w:type="spellStart"/>
      <w:r w:rsidRPr="00B242C0">
        <w:rPr>
          <w:rFonts w:cs="Times New Roman"/>
          <w:i/>
          <w:iCs/>
          <w:szCs w:val="24"/>
        </w:rPr>
        <w:t>Journal</w:t>
      </w:r>
      <w:proofErr w:type="spellEnd"/>
      <w:r w:rsidRPr="00B242C0">
        <w:rPr>
          <w:rFonts w:cs="Times New Roman"/>
          <w:i/>
          <w:iCs/>
          <w:szCs w:val="24"/>
        </w:rPr>
        <w:t xml:space="preserve"> </w:t>
      </w:r>
      <w:proofErr w:type="spellStart"/>
      <w:r w:rsidRPr="00B242C0">
        <w:rPr>
          <w:rFonts w:cs="Times New Roman"/>
          <w:i/>
          <w:iCs/>
          <w:szCs w:val="24"/>
        </w:rPr>
        <w:t>of</w:t>
      </w:r>
      <w:proofErr w:type="spellEnd"/>
      <w:r w:rsidRPr="00B242C0">
        <w:rPr>
          <w:rFonts w:cs="Times New Roman"/>
          <w:i/>
          <w:iCs/>
          <w:szCs w:val="24"/>
        </w:rPr>
        <w:t xml:space="preserve"> Public </w:t>
      </w:r>
      <w:proofErr w:type="spellStart"/>
      <w:r w:rsidRPr="00B242C0">
        <w:rPr>
          <w:rFonts w:cs="Times New Roman"/>
          <w:i/>
          <w:iCs/>
          <w:szCs w:val="24"/>
        </w:rPr>
        <w:t>Policy</w:t>
      </w:r>
      <w:proofErr w:type="spellEnd"/>
      <w:r w:rsidRPr="00B242C0">
        <w:rPr>
          <w:rFonts w:cs="Times New Roman"/>
          <w:i/>
          <w:iCs/>
          <w:szCs w:val="24"/>
        </w:rPr>
        <w:t xml:space="preserve">. 17 </w:t>
      </w:r>
      <w:r w:rsidRPr="00B242C0">
        <w:rPr>
          <w:rFonts w:cs="Times New Roman"/>
          <w:szCs w:val="24"/>
        </w:rPr>
        <w:t>(2), 139-167. Dostupné z: https://www.jstor.org/stable/4007608</w:t>
      </w:r>
      <w:r>
        <w:rPr>
          <w:rFonts w:cs="Times New Roman"/>
          <w:szCs w:val="24"/>
        </w:rPr>
        <w:t>.</w:t>
      </w:r>
    </w:p>
    <w:p w14:paraId="5D220B15" w14:textId="5B556AC1" w:rsidR="00F753B0" w:rsidRPr="00B242C0" w:rsidRDefault="00F753B0" w:rsidP="00F753B0">
      <w:pPr>
        <w:spacing w:line="360" w:lineRule="auto"/>
        <w:rPr>
          <w:rFonts w:cs="Times New Roman"/>
          <w:szCs w:val="24"/>
        </w:rPr>
      </w:pPr>
      <w:proofErr w:type="spellStart"/>
      <w:r w:rsidRPr="00B242C0">
        <w:rPr>
          <w:rFonts w:cs="Times New Roman"/>
          <w:szCs w:val="24"/>
        </w:rPr>
        <w:t>Marzocchi</w:t>
      </w:r>
      <w:proofErr w:type="spellEnd"/>
      <w:r w:rsidRPr="00B242C0">
        <w:rPr>
          <w:rFonts w:cs="Times New Roman"/>
          <w:szCs w:val="24"/>
        </w:rPr>
        <w:t xml:space="preserve">, O. (2020). Evropský veřejný ochránce práv. </w:t>
      </w:r>
      <w:r w:rsidRPr="00B242C0">
        <w:rPr>
          <w:rFonts w:cs="Times New Roman"/>
          <w:i/>
          <w:iCs/>
          <w:szCs w:val="24"/>
        </w:rPr>
        <w:t xml:space="preserve">Fakta a čísla o Evropské Unii. </w:t>
      </w:r>
      <w:r w:rsidRPr="00B242C0">
        <w:rPr>
          <w:rFonts w:cs="Times New Roman"/>
          <w:szCs w:val="24"/>
        </w:rPr>
        <w:t>Dostupné z: https://www.europarl.europa.eu/factsheets/cs/sheet/18/evropsky-verejny-ochrance-prav.</w:t>
      </w:r>
    </w:p>
    <w:p w14:paraId="7E1008A8" w14:textId="77777777" w:rsidR="00F753B0" w:rsidRPr="006451A8" w:rsidRDefault="00F753B0" w:rsidP="00F753B0">
      <w:pPr>
        <w:spacing w:line="360" w:lineRule="auto"/>
        <w:rPr>
          <w:rFonts w:cs="Times New Roman"/>
          <w:szCs w:val="24"/>
        </w:rPr>
      </w:pPr>
      <w:proofErr w:type="spellStart"/>
      <w:r w:rsidRPr="006451A8">
        <w:rPr>
          <w:rFonts w:cs="Times New Roman"/>
          <w:szCs w:val="24"/>
        </w:rPr>
        <w:t>Matarazzo</w:t>
      </w:r>
      <w:proofErr w:type="spellEnd"/>
      <w:r w:rsidRPr="006451A8">
        <w:rPr>
          <w:rFonts w:cs="Times New Roman"/>
          <w:szCs w:val="24"/>
        </w:rPr>
        <w:t xml:space="preserve">, R. (Ed.). (2011). </w:t>
      </w:r>
      <w:proofErr w:type="spellStart"/>
      <w:r w:rsidRPr="006451A8">
        <w:rPr>
          <w:rFonts w:cs="Times New Roman"/>
          <w:i/>
          <w:iCs/>
          <w:szCs w:val="24"/>
        </w:rPr>
        <w:t>Democracy</w:t>
      </w:r>
      <w:proofErr w:type="spellEnd"/>
      <w:r w:rsidRPr="006451A8">
        <w:rPr>
          <w:rFonts w:cs="Times New Roman"/>
          <w:i/>
          <w:iCs/>
          <w:szCs w:val="24"/>
        </w:rPr>
        <w:t xml:space="preserve"> in </w:t>
      </w:r>
      <w:proofErr w:type="spellStart"/>
      <w:r w:rsidRPr="006451A8">
        <w:rPr>
          <w:rFonts w:cs="Times New Roman"/>
          <w:i/>
          <w:iCs/>
          <w:szCs w:val="24"/>
        </w:rPr>
        <w:t>the</w:t>
      </w:r>
      <w:proofErr w:type="spellEnd"/>
      <w:r w:rsidRPr="006451A8">
        <w:rPr>
          <w:rFonts w:cs="Times New Roman"/>
          <w:i/>
          <w:iCs/>
          <w:szCs w:val="24"/>
        </w:rPr>
        <w:t xml:space="preserve"> EU </w:t>
      </w:r>
      <w:proofErr w:type="spellStart"/>
      <w:r w:rsidRPr="006451A8">
        <w:rPr>
          <w:rFonts w:cs="Times New Roman"/>
          <w:i/>
          <w:iCs/>
          <w:szCs w:val="24"/>
        </w:rPr>
        <w:t>after</w:t>
      </w:r>
      <w:proofErr w:type="spellEnd"/>
      <w:r w:rsidRPr="006451A8">
        <w:rPr>
          <w:rFonts w:cs="Times New Roman"/>
          <w:i/>
          <w:iCs/>
          <w:szCs w:val="24"/>
        </w:rPr>
        <w:t xml:space="preserve"> </w:t>
      </w:r>
      <w:proofErr w:type="spellStart"/>
      <w:r w:rsidRPr="006451A8">
        <w:rPr>
          <w:rFonts w:cs="Times New Roman"/>
          <w:i/>
          <w:iCs/>
          <w:szCs w:val="24"/>
        </w:rPr>
        <w:t>the</w:t>
      </w:r>
      <w:proofErr w:type="spellEnd"/>
      <w:r w:rsidRPr="006451A8">
        <w:rPr>
          <w:rFonts w:cs="Times New Roman"/>
          <w:i/>
          <w:iCs/>
          <w:szCs w:val="24"/>
        </w:rPr>
        <w:t xml:space="preserve"> </w:t>
      </w:r>
      <w:proofErr w:type="spellStart"/>
      <w:r w:rsidRPr="006451A8">
        <w:rPr>
          <w:rFonts w:cs="Times New Roman"/>
          <w:i/>
          <w:iCs/>
          <w:szCs w:val="24"/>
        </w:rPr>
        <w:t>Lisbon</w:t>
      </w:r>
      <w:proofErr w:type="spellEnd"/>
      <w:r w:rsidRPr="006451A8">
        <w:rPr>
          <w:rFonts w:cs="Times New Roman"/>
          <w:i/>
          <w:iCs/>
          <w:szCs w:val="24"/>
        </w:rPr>
        <w:t xml:space="preserve"> </w:t>
      </w:r>
      <w:proofErr w:type="spellStart"/>
      <w:r w:rsidRPr="006451A8">
        <w:rPr>
          <w:rFonts w:cs="Times New Roman"/>
          <w:i/>
          <w:iCs/>
          <w:szCs w:val="24"/>
        </w:rPr>
        <w:t>Treaty</w:t>
      </w:r>
      <w:proofErr w:type="spellEnd"/>
      <w:r w:rsidRPr="006451A8">
        <w:rPr>
          <w:rFonts w:cs="Times New Roman"/>
          <w:szCs w:val="24"/>
        </w:rPr>
        <w:t xml:space="preserve">. Rome: </w:t>
      </w:r>
      <w:proofErr w:type="spellStart"/>
      <w:r w:rsidRPr="006451A8">
        <w:rPr>
          <w:rFonts w:cs="Times New Roman"/>
          <w:szCs w:val="24"/>
        </w:rPr>
        <w:t>Istituto</w:t>
      </w:r>
      <w:proofErr w:type="spellEnd"/>
      <w:r w:rsidRPr="006451A8">
        <w:rPr>
          <w:rFonts w:cs="Times New Roman"/>
          <w:szCs w:val="24"/>
        </w:rPr>
        <w:t xml:space="preserve"> </w:t>
      </w:r>
      <w:proofErr w:type="spellStart"/>
      <w:r w:rsidRPr="006451A8">
        <w:rPr>
          <w:rFonts w:cs="Times New Roman"/>
          <w:szCs w:val="24"/>
        </w:rPr>
        <w:t>Affari</w:t>
      </w:r>
      <w:proofErr w:type="spellEnd"/>
      <w:r w:rsidRPr="006451A8">
        <w:rPr>
          <w:rFonts w:cs="Times New Roman"/>
          <w:szCs w:val="24"/>
        </w:rPr>
        <w:t xml:space="preserve"> </w:t>
      </w:r>
      <w:proofErr w:type="spellStart"/>
      <w:r w:rsidRPr="006451A8">
        <w:rPr>
          <w:rFonts w:cs="Times New Roman"/>
          <w:szCs w:val="24"/>
        </w:rPr>
        <w:t>Internazionali</w:t>
      </w:r>
      <w:proofErr w:type="spellEnd"/>
      <w:r w:rsidRPr="006451A8">
        <w:rPr>
          <w:rFonts w:cs="Times New Roman"/>
          <w:szCs w:val="24"/>
        </w:rPr>
        <w:t>. Dostupné z: https://www.jstor.org/stable/resrep09851.</w:t>
      </w:r>
    </w:p>
    <w:p w14:paraId="47826189" w14:textId="3334FADC" w:rsidR="00DE7F15" w:rsidRPr="00DE7F15" w:rsidRDefault="00DE7F15" w:rsidP="00DE7F15">
      <w:pPr>
        <w:spacing w:line="360" w:lineRule="auto"/>
        <w:rPr>
          <w:rFonts w:cs="Times New Roman"/>
          <w:i/>
          <w:iCs/>
          <w:szCs w:val="24"/>
        </w:rPr>
      </w:pPr>
      <w:r w:rsidRPr="006451A8">
        <w:rPr>
          <w:rFonts w:cs="Times New Roman"/>
          <w:szCs w:val="24"/>
        </w:rPr>
        <w:t xml:space="preserve">Max Planck Institute </w:t>
      </w:r>
      <w:proofErr w:type="spellStart"/>
      <w:r w:rsidRPr="006451A8">
        <w:rPr>
          <w:rFonts w:cs="Times New Roman"/>
          <w:szCs w:val="24"/>
        </w:rPr>
        <w:t>for</w:t>
      </w:r>
      <w:proofErr w:type="spellEnd"/>
      <w:r w:rsidRPr="006451A8">
        <w:rPr>
          <w:rFonts w:cs="Times New Roman"/>
          <w:szCs w:val="24"/>
        </w:rPr>
        <w:t xml:space="preserve"> </w:t>
      </w:r>
      <w:proofErr w:type="spellStart"/>
      <w:r w:rsidRPr="006451A8">
        <w:rPr>
          <w:rFonts w:cs="Times New Roman"/>
          <w:szCs w:val="24"/>
        </w:rPr>
        <w:t>The</w:t>
      </w:r>
      <w:proofErr w:type="spellEnd"/>
      <w:r w:rsidRPr="006451A8">
        <w:rPr>
          <w:rFonts w:cs="Times New Roman"/>
          <w:szCs w:val="24"/>
        </w:rPr>
        <w:t xml:space="preserve"> Study </w:t>
      </w:r>
      <w:proofErr w:type="spellStart"/>
      <w:r w:rsidRPr="006451A8">
        <w:rPr>
          <w:rFonts w:cs="Times New Roman"/>
          <w:szCs w:val="24"/>
        </w:rPr>
        <w:t>of</w:t>
      </w:r>
      <w:proofErr w:type="spellEnd"/>
      <w:r w:rsidRPr="006451A8">
        <w:rPr>
          <w:rFonts w:cs="Times New Roman"/>
          <w:szCs w:val="24"/>
        </w:rPr>
        <w:t xml:space="preserve"> </w:t>
      </w:r>
      <w:proofErr w:type="spellStart"/>
      <w:r w:rsidRPr="006451A8">
        <w:rPr>
          <w:rFonts w:cs="Times New Roman"/>
          <w:szCs w:val="24"/>
        </w:rPr>
        <w:t>Societies</w:t>
      </w:r>
      <w:proofErr w:type="spellEnd"/>
      <w:r w:rsidRPr="006451A8">
        <w:rPr>
          <w:rFonts w:cs="Times New Roman"/>
          <w:szCs w:val="24"/>
        </w:rPr>
        <w:t xml:space="preserve">. (2021). </w:t>
      </w:r>
      <w:proofErr w:type="spellStart"/>
      <w:r w:rsidRPr="006451A8">
        <w:rPr>
          <w:rFonts w:cs="Times New Roman"/>
          <w:i/>
          <w:iCs/>
          <w:szCs w:val="24"/>
        </w:rPr>
        <w:t>Scientists</w:t>
      </w:r>
      <w:proofErr w:type="spellEnd"/>
      <w:r w:rsidRPr="006451A8">
        <w:rPr>
          <w:rFonts w:cs="Times New Roman"/>
          <w:i/>
          <w:iCs/>
          <w:szCs w:val="24"/>
        </w:rPr>
        <w:t xml:space="preserve"> </w:t>
      </w:r>
      <w:proofErr w:type="spellStart"/>
      <w:r w:rsidRPr="006451A8">
        <w:rPr>
          <w:rFonts w:cs="Times New Roman"/>
          <w:i/>
          <w:iCs/>
          <w:szCs w:val="24"/>
        </w:rPr>
        <w:t>at</w:t>
      </w:r>
      <w:proofErr w:type="spellEnd"/>
      <w:r w:rsidRPr="006451A8">
        <w:rPr>
          <w:rFonts w:cs="Times New Roman"/>
          <w:i/>
          <w:iCs/>
          <w:szCs w:val="24"/>
        </w:rPr>
        <w:t xml:space="preserve"> </w:t>
      </w:r>
      <w:proofErr w:type="spellStart"/>
      <w:r w:rsidRPr="006451A8">
        <w:rPr>
          <w:rFonts w:cs="Times New Roman"/>
          <w:i/>
          <w:iCs/>
          <w:szCs w:val="24"/>
        </w:rPr>
        <w:t>the</w:t>
      </w:r>
      <w:proofErr w:type="spellEnd"/>
      <w:r w:rsidRPr="006451A8">
        <w:rPr>
          <w:rFonts w:cs="Times New Roman"/>
          <w:i/>
          <w:iCs/>
          <w:szCs w:val="24"/>
        </w:rPr>
        <w:t xml:space="preserve"> MPI </w:t>
      </w:r>
      <w:proofErr w:type="spellStart"/>
      <w:r w:rsidRPr="006451A8">
        <w:rPr>
          <w:rFonts w:cs="Times New Roman"/>
          <w:i/>
          <w:iCs/>
          <w:szCs w:val="24"/>
        </w:rPr>
        <w:t>for</w:t>
      </w:r>
      <w:proofErr w:type="spellEnd"/>
      <w:r w:rsidRPr="006451A8">
        <w:rPr>
          <w:rFonts w:cs="Times New Roman"/>
          <w:i/>
          <w:iCs/>
          <w:szCs w:val="24"/>
        </w:rPr>
        <w:t xml:space="preserve"> </w:t>
      </w:r>
      <w:proofErr w:type="spellStart"/>
      <w:r w:rsidRPr="006451A8">
        <w:rPr>
          <w:rFonts w:cs="Times New Roman"/>
          <w:i/>
          <w:iCs/>
          <w:szCs w:val="24"/>
        </w:rPr>
        <w:t>the</w:t>
      </w:r>
      <w:proofErr w:type="spellEnd"/>
      <w:r w:rsidRPr="006451A8">
        <w:rPr>
          <w:rFonts w:cs="Times New Roman"/>
          <w:i/>
          <w:iCs/>
          <w:szCs w:val="24"/>
        </w:rPr>
        <w:t xml:space="preserve"> Study </w:t>
      </w:r>
      <w:proofErr w:type="spellStart"/>
      <w:r w:rsidRPr="006451A8">
        <w:rPr>
          <w:rFonts w:cs="Times New Roman"/>
          <w:i/>
          <w:iCs/>
          <w:szCs w:val="24"/>
        </w:rPr>
        <w:t>of</w:t>
      </w:r>
      <w:proofErr w:type="spellEnd"/>
      <w:r w:rsidRPr="006451A8">
        <w:rPr>
          <w:rFonts w:cs="Times New Roman"/>
          <w:i/>
          <w:iCs/>
          <w:szCs w:val="24"/>
        </w:rPr>
        <w:t xml:space="preserve"> </w:t>
      </w:r>
      <w:proofErr w:type="spellStart"/>
      <w:r w:rsidRPr="006451A8">
        <w:rPr>
          <w:rFonts w:cs="Times New Roman"/>
          <w:i/>
          <w:iCs/>
          <w:szCs w:val="24"/>
        </w:rPr>
        <w:t>Societies</w:t>
      </w:r>
      <w:proofErr w:type="spellEnd"/>
      <w:r w:rsidRPr="006451A8">
        <w:rPr>
          <w:rFonts w:cs="Times New Roman"/>
          <w:i/>
          <w:iCs/>
          <w:szCs w:val="24"/>
        </w:rPr>
        <w:t xml:space="preserve">. </w:t>
      </w:r>
      <w:r w:rsidRPr="006451A8">
        <w:rPr>
          <w:rFonts w:cs="Times New Roman"/>
          <w:szCs w:val="24"/>
        </w:rPr>
        <w:t>Dostupné z: https://www.mpifg.de/forschung/wissdetails_de.asp?MitarbID=55.</w:t>
      </w:r>
    </w:p>
    <w:p w14:paraId="28E8A45A" w14:textId="7FF3D013" w:rsidR="00DE7F15" w:rsidRPr="006451A8" w:rsidRDefault="00DE7F15" w:rsidP="00DE7F15">
      <w:pPr>
        <w:spacing w:line="360" w:lineRule="auto"/>
        <w:rPr>
          <w:rFonts w:cs="Times New Roman"/>
          <w:szCs w:val="24"/>
        </w:rPr>
      </w:pPr>
      <w:proofErr w:type="spellStart"/>
      <w:r w:rsidRPr="006451A8">
        <w:rPr>
          <w:rFonts w:cs="Times New Roman"/>
          <w:szCs w:val="24"/>
        </w:rPr>
        <w:lastRenderedPageBreak/>
        <w:t>Moravcsik</w:t>
      </w:r>
      <w:proofErr w:type="spellEnd"/>
      <w:r w:rsidRPr="006451A8">
        <w:rPr>
          <w:rFonts w:cs="Times New Roman"/>
          <w:szCs w:val="24"/>
        </w:rPr>
        <w:t xml:space="preserve">, A. (2004). In Defense </w:t>
      </w:r>
      <w:proofErr w:type="spellStart"/>
      <w:r w:rsidRPr="006451A8">
        <w:rPr>
          <w:rFonts w:cs="Times New Roman"/>
          <w:szCs w:val="24"/>
        </w:rPr>
        <w:t>of</w:t>
      </w:r>
      <w:proofErr w:type="spellEnd"/>
      <w:r w:rsidRPr="006451A8">
        <w:rPr>
          <w:rFonts w:cs="Times New Roman"/>
          <w:szCs w:val="24"/>
        </w:rPr>
        <w:t xml:space="preserve"> </w:t>
      </w:r>
      <w:proofErr w:type="spellStart"/>
      <w:r w:rsidRPr="006451A8">
        <w:rPr>
          <w:rFonts w:cs="Times New Roman"/>
          <w:szCs w:val="24"/>
        </w:rPr>
        <w:t>the</w:t>
      </w:r>
      <w:proofErr w:type="spellEnd"/>
      <w:r w:rsidRPr="006451A8">
        <w:rPr>
          <w:rFonts w:cs="Times New Roman"/>
          <w:szCs w:val="24"/>
        </w:rPr>
        <w:t xml:space="preserve"> </w:t>
      </w:r>
      <w:proofErr w:type="spellStart"/>
      <w:r w:rsidRPr="006451A8">
        <w:rPr>
          <w:rFonts w:cs="Times New Roman"/>
          <w:szCs w:val="24"/>
        </w:rPr>
        <w:t>Democratic</w:t>
      </w:r>
      <w:proofErr w:type="spellEnd"/>
      <w:r w:rsidRPr="006451A8">
        <w:rPr>
          <w:rFonts w:cs="Times New Roman"/>
          <w:szCs w:val="24"/>
        </w:rPr>
        <w:t xml:space="preserve"> Deficit: </w:t>
      </w:r>
      <w:proofErr w:type="spellStart"/>
      <w:r w:rsidRPr="006451A8">
        <w:rPr>
          <w:rFonts w:cs="Times New Roman"/>
          <w:szCs w:val="24"/>
        </w:rPr>
        <w:t>Reassessing</w:t>
      </w:r>
      <w:proofErr w:type="spellEnd"/>
      <w:r w:rsidRPr="006451A8">
        <w:rPr>
          <w:rFonts w:cs="Times New Roman"/>
          <w:szCs w:val="24"/>
        </w:rPr>
        <w:t xml:space="preserve"> </w:t>
      </w:r>
      <w:proofErr w:type="spellStart"/>
      <w:r w:rsidRPr="006451A8">
        <w:rPr>
          <w:rFonts w:cs="Times New Roman"/>
          <w:szCs w:val="24"/>
        </w:rPr>
        <w:t>Legitimacy</w:t>
      </w:r>
      <w:proofErr w:type="spellEnd"/>
      <w:r w:rsidRPr="006451A8">
        <w:rPr>
          <w:rFonts w:cs="Times New Roman"/>
          <w:szCs w:val="24"/>
        </w:rPr>
        <w:t xml:space="preserve"> in </w:t>
      </w:r>
      <w:proofErr w:type="spellStart"/>
      <w:r w:rsidRPr="006451A8">
        <w:rPr>
          <w:rFonts w:cs="Times New Roman"/>
          <w:szCs w:val="24"/>
        </w:rPr>
        <w:t>the</w:t>
      </w:r>
      <w:proofErr w:type="spellEnd"/>
      <w:r w:rsidRPr="006451A8">
        <w:rPr>
          <w:rFonts w:cs="Times New Roman"/>
          <w:szCs w:val="24"/>
        </w:rPr>
        <w:t xml:space="preserve"> </w:t>
      </w:r>
      <w:proofErr w:type="spellStart"/>
      <w:r w:rsidRPr="006451A8">
        <w:rPr>
          <w:rFonts w:cs="Times New Roman"/>
          <w:szCs w:val="24"/>
        </w:rPr>
        <w:t>European</w:t>
      </w:r>
      <w:proofErr w:type="spellEnd"/>
      <w:r w:rsidRPr="006451A8">
        <w:rPr>
          <w:rFonts w:cs="Times New Roman"/>
          <w:szCs w:val="24"/>
        </w:rPr>
        <w:t xml:space="preserve"> Union. </w:t>
      </w:r>
      <w:proofErr w:type="spellStart"/>
      <w:r w:rsidRPr="006451A8">
        <w:rPr>
          <w:rFonts w:cs="Times New Roman"/>
          <w:i/>
          <w:iCs/>
          <w:szCs w:val="24"/>
        </w:rPr>
        <w:t>Journal</w:t>
      </w:r>
      <w:proofErr w:type="spellEnd"/>
      <w:r w:rsidRPr="006451A8">
        <w:rPr>
          <w:rFonts w:cs="Times New Roman"/>
          <w:i/>
          <w:iCs/>
          <w:szCs w:val="24"/>
        </w:rPr>
        <w:t xml:space="preserve"> </w:t>
      </w:r>
      <w:proofErr w:type="spellStart"/>
      <w:r w:rsidRPr="006451A8">
        <w:rPr>
          <w:rFonts w:cs="Times New Roman"/>
          <w:i/>
          <w:iCs/>
          <w:szCs w:val="24"/>
        </w:rPr>
        <w:t>of</w:t>
      </w:r>
      <w:proofErr w:type="spellEnd"/>
      <w:r w:rsidRPr="006451A8">
        <w:rPr>
          <w:rFonts w:cs="Times New Roman"/>
          <w:i/>
          <w:iCs/>
          <w:szCs w:val="24"/>
        </w:rPr>
        <w:t xml:space="preserve"> </w:t>
      </w:r>
      <w:proofErr w:type="spellStart"/>
      <w:r w:rsidRPr="006451A8">
        <w:rPr>
          <w:rFonts w:cs="Times New Roman"/>
          <w:i/>
          <w:iCs/>
          <w:szCs w:val="24"/>
        </w:rPr>
        <w:t>Common</w:t>
      </w:r>
      <w:proofErr w:type="spellEnd"/>
      <w:r w:rsidRPr="006451A8">
        <w:rPr>
          <w:rFonts w:cs="Times New Roman"/>
          <w:i/>
          <w:iCs/>
          <w:szCs w:val="24"/>
        </w:rPr>
        <w:t xml:space="preserve"> Market </w:t>
      </w:r>
      <w:proofErr w:type="spellStart"/>
      <w:r w:rsidRPr="006451A8">
        <w:rPr>
          <w:rFonts w:cs="Times New Roman"/>
          <w:i/>
          <w:iCs/>
          <w:szCs w:val="24"/>
        </w:rPr>
        <w:t>Studies</w:t>
      </w:r>
      <w:proofErr w:type="spellEnd"/>
      <w:r w:rsidRPr="006451A8">
        <w:rPr>
          <w:rFonts w:cs="Times New Roman"/>
          <w:i/>
          <w:iCs/>
          <w:szCs w:val="24"/>
        </w:rPr>
        <w:t>. 40</w:t>
      </w:r>
      <w:r w:rsidRPr="006451A8">
        <w:rPr>
          <w:rFonts w:cs="Times New Roman"/>
          <w:szCs w:val="24"/>
        </w:rPr>
        <w:t xml:space="preserve"> (4), 603-624. doi:10.1111/1468-5965.00390</w:t>
      </w:r>
      <w:r>
        <w:rPr>
          <w:rFonts w:cs="Times New Roman"/>
          <w:szCs w:val="24"/>
        </w:rPr>
        <w:t>.</w:t>
      </w:r>
    </w:p>
    <w:p w14:paraId="2FCEBAFF" w14:textId="7BD89995" w:rsidR="00DE7F15" w:rsidRPr="00DE7F15" w:rsidRDefault="00DE7F15" w:rsidP="00DE7F15">
      <w:pPr>
        <w:spacing w:line="360" w:lineRule="auto"/>
        <w:rPr>
          <w:rFonts w:cs="Times New Roman"/>
          <w:szCs w:val="24"/>
        </w:rPr>
      </w:pPr>
      <w:proofErr w:type="spellStart"/>
      <w:r w:rsidRPr="006451A8">
        <w:rPr>
          <w:rFonts w:cs="Times New Roman"/>
          <w:szCs w:val="24"/>
        </w:rPr>
        <w:t>Moravcsik</w:t>
      </w:r>
      <w:proofErr w:type="spellEnd"/>
      <w:r w:rsidRPr="006451A8">
        <w:rPr>
          <w:rFonts w:cs="Times New Roman"/>
          <w:szCs w:val="24"/>
        </w:rPr>
        <w:t xml:space="preserve">, A. (2008). </w:t>
      </w:r>
      <w:proofErr w:type="spellStart"/>
      <w:r w:rsidRPr="006451A8">
        <w:rPr>
          <w:rFonts w:cs="Times New Roman"/>
          <w:szCs w:val="24"/>
        </w:rPr>
        <w:t>The</w:t>
      </w:r>
      <w:proofErr w:type="spellEnd"/>
      <w:r w:rsidRPr="006451A8">
        <w:rPr>
          <w:rFonts w:cs="Times New Roman"/>
          <w:szCs w:val="24"/>
        </w:rPr>
        <w:t xml:space="preserve"> Myth </w:t>
      </w:r>
      <w:proofErr w:type="spellStart"/>
      <w:r w:rsidRPr="006451A8">
        <w:rPr>
          <w:rFonts w:cs="Times New Roman"/>
          <w:szCs w:val="24"/>
        </w:rPr>
        <w:t>of</w:t>
      </w:r>
      <w:proofErr w:type="spellEnd"/>
      <w:r w:rsidRPr="006451A8">
        <w:rPr>
          <w:rFonts w:cs="Times New Roman"/>
          <w:szCs w:val="24"/>
        </w:rPr>
        <w:t xml:space="preserve"> </w:t>
      </w:r>
      <w:proofErr w:type="spellStart"/>
      <w:r w:rsidRPr="006451A8">
        <w:rPr>
          <w:rFonts w:cs="Times New Roman"/>
          <w:szCs w:val="24"/>
        </w:rPr>
        <w:t>Europe</w:t>
      </w:r>
      <w:proofErr w:type="spellEnd"/>
      <w:r w:rsidRPr="006451A8">
        <w:rPr>
          <w:rFonts w:cs="Times New Roman"/>
          <w:szCs w:val="24"/>
        </w:rPr>
        <w:t xml:space="preserve"> ´s „</w:t>
      </w:r>
      <w:proofErr w:type="spellStart"/>
      <w:r w:rsidRPr="006451A8">
        <w:rPr>
          <w:rFonts w:cs="Times New Roman"/>
          <w:szCs w:val="24"/>
        </w:rPr>
        <w:t>Democratic</w:t>
      </w:r>
      <w:proofErr w:type="spellEnd"/>
      <w:r w:rsidRPr="006451A8">
        <w:rPr>
          <w:rFonts w:cs="Times New Roman"/>
          <w:szCs w:val="24"/>
        </w:rPr>
        <w:t xml:space="preserve"> Deficit“. </w:t>
      </w:r>
      <w:proofErr w:type="spellStart"/>
      <w:r w:rsidRPr="006451A8">
        <w:rPr>
          <w:rFonts w:cs="Times New Roman"/>
          <w:i/>
          <w:iCs/>
          <w:szCs w:val="24"/>
        </w:rPr>
        <w:t>Interconomist</w:t>
      </w:r>
      <w:proofErr w:type="spellEnd"/>
      <w:r w:rsidRPr="006451A8">
        <w:rPr>
          <w:rFonts w:cs="Times New Roman"/>
          <w:i/>
          <w:iCs/>
          <w:szCs w:val="24"/>
        </w:rPr>
        <w:t>. 43</w:t>
      </w:r>
      <w:r w:rsidRPr="006451A8">
        <w:rPr>
          <w:rFonts w:cs="Times New Roman"/>
          <w:szCs w:val="24"/>
        </w:rPr>
        <w:t xml:space="preserve"> (6), 331-340. doi:10.1007/s10272-008-0266-7</w:t>
      </w:r>
      <w:r>
        <w:rPr>
          <w:rFonts w:cs="Times New Roman"/>
          <w:szCs w:val="24"/>
        </w:rPr>
        <w:t>.</w:t>
      </w:r>
    </w:p>
    <w:p w14:paraId="721A241B" w14:textId="01082060" w:rsidR="00DE7F15" w:rsidRDefault="00DE7F15" w:rsidP="00DE7F15">
      <w:pPr>
        <w:pStyle w:val="commentcontentpara"/>
        <w:spacing w:before="0" w:beforeAutospacing="0" w:after="0" w:afterAutospacing="0" w:line="360" w:lineRule="auto"/>
        <w:jc w:val="both"/>
      </w:pPr>
      <w:proofErr w:type="spellStart"/>
      <w:r>
        <w:t>Moravcsik</w:t>
      </w:r>
      <w:proofErr w:type="spellEnd"/>
      <w:r>
        <w:t>, A. (2021). RESEARCH INTERESTS WITH SELECTED PUBLICATIONS. Dostupné z: </w:t>
      </w:r>
      <w:r w:rsidRPr="00DE7F15">
        <w:t>https://www.princeton.edu/~</w:t>
      </w:r>
      <w:proofErr w:type="spellStart"/>
      <w:r w:rsidRPr="00DE7F15">
        <w:t>amoravcs</w:t>
      </w:r>
      <w:proofErr w:type="spellEnd"/>
      <w:r w:rsidRPr="00DE7F15">
        <w:t>/research.html</w:t>
      </w:r>
      <w:r>
        <w:t>.</w:t>
      </w:r>
    </w:p>
    <w:p w14:paraId="4BA797EE" w14:textId="77777777" w:rsidR="00DE7F15" w:rsidRDefault="00DE7F15" w:rsidP="00DE7F15">
      <w:pPr>
        <w:pStyle w:val="commentcontentpara"/>
        <w:spacing w:before="0" w:beforeAutospacing="0" w:after="0" w:afterAutospacing="0"/>
      </w:pPr>
    </w:p>
    <w:p w14:paraId="482901AD" w14:textId="23B85824" w:rsidR="00F753B0" w:rsidRPr="006451A8" w:rsidRDefault="00F753B0" w:rsidP="00F753B0">
      <w:pPr>
        <w:spacing w:line="360" w:lineRule="auto"/>
        <w:rPr>
          <w:rFonts w:cs="Times New Roman"/>
          <w:szCs w:val="24"/>
        </w:rPr>
      </w:pPr>
      <w:proofErr w:type="spellStart"/>
      <w:r w:rsidRPr="006451A8">
        <w:rPr>
          <w:rFonts w:cs="Times New Roman"/>
          <w:szCs w:val="24"/>
        </w:rPr>
        <w:t>Noël</w:t>
      </w:r>
      <w:proofErr w:type="spellEnd"/>
      <w:r w:rsidRPr="006451A8">
        <w:rPr>
          <w:rFonts w:cs="Times New Roman"/>
          <w:szCs w:val="24"/>
        </w:rPr>
        <w:t xml:space="preserve">, E. (1989). </w:t>
      </w:r>
      <w:proofErr w:type="spellStart"/>
      <w:r w:rsidRPr="006451A8">
        <w:rPr>
          <w:rFonts w:cs="Times New Roman"/>
          <w:szCs w:val="24"/>
        </w:rPr>
        <w:t>The</w:t>
      </w:r>
      <w:proofErr w:type="spellEnd"/>
      <w:r w:rsidRPr="006451A8">
        <w:rPr>
          <w:rFonts w:cs="Times New Roman"/>
          <w:szCs w:val="24"/>
        </w:rPr>
        <w:t xml:space="preserve"> Single </w:t>
      </w:r>
      <w:proofErr w:type="spellStart"/>
      <w:r w:rsidRPr="006451A8">
        <w:rPr>
          <w:rFonts w:cs="Times New Roman"/>
          <w:szCs w:val="24"/>
        </w:rPr>
        <w:t>European</w:t>
      </w:r>
      <w:proofErr w:type="spellEnd"/>
      <w:r w:rsidRPr="006451A8">
        <w:rPr>
          <w:rFonts w:cs="Times New Roman"/>
          <w:szCs w:val="24"/>
        </w:rPr>
        <w:t xml:space="preserve"> </w:t>
      </w:r>
      <w:proofErr w:type="spellStart"/>
      <w:r w:rsidRPr="006451A8">
        <w:rPr>
          <w:rFonts w:cs="Times New Roman"/>
          <w:szCs w:val="24"/>
        </w:rPr>
        <w:t>Act</w:t>
      </w:r>
      <w:proofErr w:type="spellEnd"/>
      <w:r w:rsidRPr="006451A8">
        <w:rPr>
          <w:rFonts w:cs="Times New Roman"/>
          <w:szCs w:val="24"/>
        </w:rPr>
        <w:t xml:space="preserve">. </w:t>
      </w:r>
      <w:proofErr w:type="spellStart"/>
      <w:r w:rsidRPr="006451A8">
        <w:rPr>
          <w:rFonts w:cs="Times New Roman"/>
          <w:i/>
          <w:iCs/>
          <w:szCs w:val="24"/>
        </w:rPr>
        <w:t>Government</w:t>
      </w:r>
      <w:proofErr w:type="spellEnd"/>
      <w:r w:rsidRPr="006451A8">
        <w:rPr>
          <w:rFonts w:cs="Times New Roman"/>
          <w:i/>
          <w:iCs/>
          <w:szCs w:val="24"/>
        </w:rPr>
        <w:t xml:space="preserve"> and </w:t>
      </w:r>
      <w:proofErr w:type="spellStart"/>
      <w:r w:rsidRPr="006451A8">
        <w:rPr>
          <w:rFonts w:cs="Times New Roman"/>
          <w:i/>
          <w:iCs/>
          <w:szCs w:val="24"/>
        </w:rPr>
        <w:t>Opposition</w:t>
      </w:r>
      <w:proofErr w:type="spellEnd"/>
      <w:r w:rsidRPr="006451A8">
        <w:rPr>
          <w:rFonts w:cs="Times New Roman"/>
          <w:i/>
          <w:iCs/>
          <w:szCs w:val="24"/>
        </w:rPr>
        <w:t>. 24</w:t>
      </w:r>
      <w:r w:rsidRPr="006451A8">
        <w:rPr>
          <w:rFonts w:cs="Times New Roman"/>
          <w:szCs w:val="24"/>
        </w:rPr>
        <w:t>(1), 3-14. Dostupné z: https://www.jstor.org/stable/44482416.</w:t>
      </w:r>
    </w:p>
    <w:p w14:paraId="6832325F" w14:textId="77777777" w:rsidR="00F753B0" w:rsidRPr="006451A8" w:rsidRDefault="00F753B0" w:rsidP="00F753B0">
      <w:pPr>
        <w:spacing w:line="360" w:lineRule="auto"/>
        <w:rPr>
          <w:rFonts w:cs="Times New Roman"/>
          <w:szCs w:val="24"/>
        </w:rPr>
      </w:pPr>
      <w:proofErr w:type="spellStart"/>
      <w:r w:rsidRPr="006451A8">
        <w:rPr>
          <w:rFonts w:cs="Times New Roman"/>
          <w:szCs w:val="24"/>
        </w:rPr>
        <w:t>Noël</w:t>
      </w:r>
      <w:proofErr w:type="spellEnd"/>
      <w:r w:rsidRPr="006451A8">
        <w:rPr>
          <w:rFonts w:cs="Times New Roman"/>
          <w:szCs w:val="24"/>
        </w:rPr>
        <w:t xml:space="preserve">, E. (1992). </w:t>
      </w:r>
      <w:proofErr w:type="spellStart"/>
      <w:r w:rsidRPr="006451A8">
        <w:rPr>
          <w:rFonts w:cs="Times New Roman"/>
          <w:szCs w:val="24"/>
        </w:rPr>
        <w:t>Reflections</w:t>
      </w:r>
      <w:proofErr w:type="spellEnd"/>
      <w:r w:rsidRPr="006451A8">
        <w:rPr>
          <w:rFonts w:cs="Times New Roman"/>
          <w:szCs w:val="24"/>
        </w:rPr>
        <w:t xml:space="preserve"> on </w:t>
      </w:r>
      <w:proofErr w:type="spellStart"/>
      <w:r w:rsidRPr="006451A8">
        <w:rPr>
          <w:rFonts w:cs="Times New Roman"/>
          <w:szCs w:val="24"/>
        </w:rPr>
        <w:t>the</w:t>
      </w:r>
      <w:proofErr w:type="spellEnd"/>
      <w:r w:rsidRPr="006451A8">
        <w:rPr>
          <w:rFonts w:cs="Times New Roman"/>
          <w:szCs w:val="24"/>
        </w:rPr>
        <w:t xml:space="preserve"> Maastricht </w:t>
      </w:r>
      <w:proofErr w:type="spellStart"/>
      <w:r w:rsidRPr="006451A8">
        <w:rPr>
          <w:rFonts w:cs="Times New Roman"/>
          <w:szCs w:val="24"/>
        </w:rPr>
        <w:t>Treaty</w:t>
      </w:r>
      <w:proofErr w:type="spellEnd"/>
      <w:r w:rsidRPr="006451A8">
        <w:rPr>
          <w:rFonts w:cs="Times New Roman"/>
          <w:szCs w:val="24"/>
        </w:rPr>
        <w:t xml:space="preserve">. </w:t>
      </w:r>
      <w:proofErr w:type="spellStart"/>
      <w:r w:rsidRPr="006451A8">
        <w:rPr>
          <w:rFonts w:cs="Times New Roman"/>
          <w:i/>
          <w:iCs/>
          <w:szCs w:val="24"/>
        </w:rPr>
        <w:t>Government</w:t>
      </w:r>
      <w:proofErr w:type="spellEnd"/>
      <w:r w:rsidRPr="006451A8">
        <w:rPr>
          <w:rFonts w:cs="Times New Roman"/>
          <w:i/>
          <w:iCs/>
          <w:szCs w:val="24"/>
        </w:rPr>
        <w:t xml:space="preserve"> and </w:t>
      </w:r>
      <w:proofErr w:type="spellStart"/>
      <w:r w:rsidRPr="006451A8">
        <w:rPr>
          <w:rFonts w:cs="Times New Roman"/>
          <w:i/>
          <w:iCs/>
          <w:szCs w:val="24"/>
        </w:rPr>
        <w:t>Opposition</w:t>
      </w:r>
      <w:proofErr w:type="spellEnd"/>
      <w:r w:rsidRPr="006451A8">
        <w:rPr>
          <w:rFonts w:cs="Times New Roman"/>
          <w:i/>
          <w:iCs/>
          <w:szCs w:val="24"/>
        </w:rPr>
        <w:t>. 27</w:t>
      </w:r>
      <w:r w:rsidRPr="006451A8">
        <w:rPr>
          <w:rFonts w:cs="Times New Roman"/>
          <w:szCs w:val="24"/>
        </w:rPr>
        <w:t>(2), 148-157. Dostupné z: https://www.jstor.org/stable/44483711</w:t>
      </w:r>
      <w:r>
        <w:rPr>
          <w:rFonts w:cs="Times New Roman"/>
          <w:szCs w:val="24"/>
        </w:rPr>
        <w:t>.</w:t>
      </w:r>
    </w:p>
    <w:p w14:paraId="68C34F42" w14:textId="77777777" w:rsidR="00F753B0" w:rsidRPr="006451A8" w:rsidRDefault="00F753B0" w:rsidP="00F753B0">
      <w:pPr>
        <w:spacing w:line="360" w:lineRule="auto"/>
        <w:rPr>
          <w:rFonts w:cs="Times New Roman"/>
          <w:szCs w:val="24"/>
        </w:rPr>
      </w:pPr>
      <w:proofErr w:type="spellStart"/>
      <w:r w:rsidRPr="006451A8">
        <w:rPr>
          <w:rFonts w:cs="Times New Roman"/>
          <w:szCs w:val="24"/>
        </w:rPr>
        <w:t>Pavy</w:t>
      </w:r>
      <w:proofErr w:type="spellEnd"/>
      <w:r w:rsidRPr="006451A8">
        <w:rPr>
          <w:rFonts w:cs="Times New Roman"/>
          <w:szCs w:val="24"/>
        </w:rPr>
        <w:t xml:space="preserve">, E. (2020). Lisabonská smlouva. </w:t>
      </w:r>
      <w:r w:rsidRPr="006451A8">
        <w:rPr>
          <w:rFonts w:cs="Times New Roman"/>
          <w:i/>
          <w:iCs/>
          <w:szCs w:val="24"/>
        </w:rPr>
        <w:t xml:space="preserve">Fakta a čísla o Evropské unii. </w:t>
      </w:r>
      <w:r w:rsidRPr="006451A8">
        <w:rPr>
          <w:rFonts w:cs="Times New Roman"/>
          <w:szCs w:val="24"/>
        </w:rPr>
        <w:t>Dostupné z: https://www.europarl.europa.eu/factsheets/cs/sheet/5/lisabonska-smlouva</w:t>
      </w:r>
      <w:r>
        <w:rPr>
          <w:rFonts w:cs="Times New Roman"/>
          <w:szCs w:val="24"/>
        </w:rPr>
        <w:t>.</w:t>
      </w:r>
    </w:p>
    <w:p w14:paraId="27C494A2" w14:textId="77777777" w:rsidR="00F753B0" w:rsidRPr="006451A8" w:rsidRDefault="00F753B0" w:rsidP="00F753B0">
      <w:pPr>
        <w:spacing w:line="360" w:lineRule="auto"/>
        <w:rPr>
          <w:rFonts w:cs="Times New Roman"/>
          <w:szCs w:val="24"/>
        </w:rPr>
      </w:pPr>
      <w:proofErr w:type="spellStart"/>
      <w:r w:rsidRPr="006451A8">
        <w:rPr>
          <w:rFonts w:cs="Times New Roman"/>
          <w:szCs w:val="24"/>
        </w:rPr>
        <w:t>Ridard</w:t>
      </w:r>
      <w:proofErr w:type="spellEnd"/>
      <w:r w:rsidRPr="006451A8">
        <w:rPr>
          <w:rFonts w:cs="Times New Roman"/>
          <w:szCs w:val="24"/>
        </w:rPr>
        <w:t xml:space="preserve">, B. (2018). </w:t>
      </w:r>
      <w:proofErr w:type="spellStart"/>
      <w:r w:rsidRPr="006451A8">
        <w:rPr>
          <w:rFonts w:cs="Times New Roman"/>
          <w:i/>
          <w:iCs/>
          <w:szCs w:val="24"/>
        </w:rPr>
        <w:t>The</w:t>
      </w:r>
      <w:proofErr w:type="spellEnd"/>
      <w:r w:rsidRPr="006451A8">
        <w:rPr>
          <w:rFonts w:cs="Times New Roman"/>
          <w:i/>
          <w:iCs/>
          <w:szCs w:val="24"/>
        </w:rPr>
        <w:t xml:space="preserve"> </w:t>
      </w:r>
      <w:proofErr w:type="spellStart"/>
      <w:r w:rsidRPr="006451A8">
        <w:rPr>
          <w:rFonts w:cs="Times New Roman"/>
          <w:i/>
          <w:iCs/>
          <w:szCs w:val="24"/>
        </w:rPr>
        <w:t>European</w:t>
      </w:r>
      <w:proofErr w:type="spellEnd"/>
      <w:r w:rsidRPr="006451A8">
        <w:rPr>
          <w:rFonts w:cs="Times New Roman"/>
          <w:i/>
          <w:iCs/>
          <w:szCs w:val="24"/>
        </w:rPr>
        <w:t xml:space="preserve"> </w:t>
      </w:r>
      <w:proofErr w:type="spellStart"/>
      <w:r w:rsidRPr="006451A8">
        <w:rPr>
          <w:rFonts w:cs="Times New Roman"/>
          <w:i/>
          <w:iCs/>
          <w:szCs w:val="24"/>
        </w:rPr>
        <w:t>Citizens</w:t>
      </w:r>
      <w:proofErr w:type="spellEnd"/>
      <w:r w:rsidRPr="006451A8">
        <w:rPr>
          <w:rFonts w:cs="Times New Roman"/>
          <w:i/>
          <w:iCs/>
          <w:szCs w:val="24"/>
        </w:rPr>
        <w:t xml:space="preserve">’ </w:t>
      </w:r>
      <w:proofErr w:type="spellStart"/>
      <w:r w:rsidRPr="006451A8">
        <w:rPr>
          <w:rFonts w:cs="Times New Roman"/>
          <w:i/>
          <w:iCs/>
          <w:szCs w:val="24"/>
        </w:rPr>
        <w:t>Initiative</w:t>
      </w:r>
      <w:proofErr w:type="spellEnd"/>
      <w:r w:rsidRPr="006451A8">
        <w:rPr>
          <w:rFonts w:cs="Times New Roman"/>
          <w:i/>
          <w:iCs/>
          <w:szCs w:val="24"/>
        </w:rPr>
        <w:t xml:space="preserve">, a </w:t>
      </w:r>
      <w:proofErr w:type="spellStart"/>
      <w:r w:rsidRPr="006451A8">
        <w:rPr>
          <w:rFonts w:cs="Times New Roman"/>
          <w:i/>
          <w:iCs/>
          <w:szCs w:val="24"/>
        </w:rPr>
        <w:t>sufficient</w:t>
      </w:r>
      <w:proofErr w:type="spellEnd"/>
      <w:r w:rsidRPr="006451A8">
        <w:rPr>
          <w:rFonts w:cs="Times New Roman"/>
          <w:i/>
          <w:iCs/>
          <w:szCs w:val="24"/>
        </w:rPr>
        <w:t xml:space="preserve"> </w:t>
      </w:r>
      <w:proofErr w:type="spellStart"/>
      <w:r w:rsidRPr="006451A8">
        <w:rPr>
          <w:rFonts w:cs="Times New Roman"/>
          <w:i/>
          <w:iCs/>
          <w:szCs w:val="24"/>
        </w:rPr>
        <w:t>tool</w:t>
      </w:r>
      <w:proofErr w:type="spellEnd"/>
      <w:r w:rsidRPr="006451A8">
        <w:rPr>
          <w:rFonts w:cs="Times New Roman"/>
          <w:i/>
          <w:iCs/>
          <w:szCs w:val="24"/>
        </w:rPr>
        <w:t xml:space="preserve"> to </w:t>
      </w:r>
      <w:proofErr w:type="spellStart"/>
      <w:r w:rsidRPr="006451A8">
        <w:rPr>
          <w:rFonts w:cs="Times New Roman"/>
          <w:i/>
          <w:iCs/>
          <w:szCs w:val="24"/>
        </w:rPr>
        <w:t>bring</w:t>
      </w:r>
      <w:proofErr w:type="spellEnd"/>
      <w:r w:rsidRPr="006451A8">
        <w:rPr>
          <w:rFonts w:cs="Times New Roman"/>
          <w:i/>
          <w:iCs/>
          <w:szCs w:val="24"/>
        </w:rPr>
        <w:t xml:space="preserve"> </w:t>
      </w:r>
      <w:proofErr w:type="spellStart"/>
      <w:r w:rsidRPr="006451A8">
        <w:rPr>
          <w:rFonts w:cs="Times New Roman"/>
          <w:i/>
          <w:iCs/>
          <w:szCs w:val="24"/>
        </w:rPr>
        <w:t>Europe</w:t>
      </w:r>
      <w:proofErr w:type="spellEnd"/>
      <w:r w:rsidRPr="006451A8">
        <w:rPr>
          <w:rFonts w:cs="Times New Roman"/>
          <w:i/>
          <w:iCs/>
          <w:szCs w:val="24"/>
        </w:rPr>
        <w:t xml:space="preserve"> </w:t>
      </w:r>
      <w:proofErr w:type="spellStart"/>
      <w:r w:rsidRPr="006451A8">
        <w:rPr>
          <w:rFonts w:cs="Times New Roman"/>
          <w:i/>
          <w:iCs/>
          <w:szCs w:val="24"/>
        </w:rPr>
        <w:t>closer</w:t>
      </w:r>
      <w:proofErr w:type="spellEnd"/>
      <w:r w:rsidRPr="006451A8">
        <w:rPr>
          <w:rFonts w:cs="Times New Roman"/>
          <w:i/>
          <w:iCs/>
          <w:szCs w:val="24"/>
        </w:rPr>
        <w:t xml:space="preserve"> to </w:t>
      </w:r>
      <w:proofErr w:type="spellStart"/>
      <w:r w:rsidRPr="006451A8">
        <w:rPr>
          <w:rFonts w:cs="Times New Roman"/>
          <w:i/>
          <w:iCs/>
          <w:szCs w:val="24"/>
        </w:rPr>
        <w:t>its</w:t>
      </w:r>
      <w:proofErr w:type="spellEnd"/>
      <w:r w:rsidRPr="006451A8">
        <w:rPr>
          <w:rFonts w:cs="Times New Roman"/>
          <w:i/>
          <w:iCs/>
          <w:szCs w:val="24"/>
        </w:rPr>
        <w:t xml:space="preserve"> </w:t>
      </w:r>
      <w:proofErr w:type="spellStart"/>
      <w:r w:rsidRPr="006451A8">
        <w:rPr>
          <w:rFonts w:cs="Times New Roman"/>
          <w:i/>
          <w:iCs/>
          <w:szCs w:val="24"/>
        </w:rPr>
        <w:t>citizens</w:t>
      </w:r>
      <w:proofErr w:type="spellEnd"/>
      <w:r w:rsidRPr="006451A8">
        <w:rPr>
          <w:rFonts w:cs="Times New Roman"/>
          <w:i/>
          <w:iCs/>
          <w:szCs w:val="24"/>
        </w:rPr>
        <w:t>?</w:t>
      </w:r>
      <w:r w:rsidRPr="006451A8">
        <w:rPr>
          <w:rFonts w:cs="Times New Roman"/>
          <w:szCs w:val="24"/>
        </w:rPr>
        <w:t xml:space="preserve"> </w:t>
      </w:r>
      <w:proofErr w:type="spellStart"/>
      <w:r w:rsidRPr="006451A8">
        <w:rPr>
          <w:rFonts w:cs="Times New Roman"/>
          <w:szCs w:val="24"/>
        </w:rPr>
        <w:t>Egmont</w:t>
      </w:r>
      <w:proofErr w:type="spellEnd"/>
      <w:r w:rsidRPr="006451A8">
        <w:rPr>
          <w:rFonts w:cs="Times New Roman"/>
          <w:szCs w:val="24"/>
        </w:rPr>
        <w:t xml:space="preserve"> Institute. Dostupné z: https://www.jstor.org/stable/resrep21449</w:t>
      </w:r>
      <w:r>
        <w:rPr>
          <w:rFonts w:cs="Times New Roman"/>
          <w:szCs w:val="24"/>
        </w:rPr>
        <w:t>.</w:t>
      </w:r>
    </w:p>
    <w:p w14:paraId="3B86D5C8" w14:textId="77777777" w:rsidR="00F753B0" w:rsidRPr="006451A8" w:rsidRDefault="00F753B0" w:rsidP="00F753B0">
      <w:pPr>
        <w:spacing w:line="360" w:lineRule="auto"/>
        <w:rPr>
          <w:rFonts w:cs="Times New Roman"/>
          <w:szCs w:val="24"/>
        </w:rPr>
      </w:pPr>
      <w:r w:rsidRPr="006451A8">
        <w:rPr>
          <w:rFonts w:cs="Times New Roman"/>
          <w:szCs w:val="24"/>
        </w:rPr>
        <w:t xml:space="preserve">Rovný, J. (2003). </w:t>
      </w:r>
      <w:proofErr w:type="spellStart"/>
      <w:r w:rsidRPr="006451A8">
        <w:rPr>
          <w:rFonts w:cs="Times New Roman"/>
          <w:szCs w:val="24"/>
        </w:rPr>
        <w:t>Approaches</w:t>
      </w:r>
      <w:proofErr w:type="spellEnd"/>
      <w:r w:rsidRPr="006451A8">
        <w:rPr>
          <w:rFonts w:cs="Times New Roman"/>
          <w:szCs w:val="24"/>
        </w:rPr>
        <w:t xml:space="preserve"> to </w:t>
      </w:r>
      <w:proofErr w:type="spellStart"/>
      <w:r w:rsidRPr="006451A8">
        <w:rPr>
          <w:rFonts w:cs="Times New Roman"/>
          <w:szCs w:val="24"/>
        </w:rPr>
        <w:t>the</w:t>
      </w:r>
      <w:proofErr w:type="spellEnd"/>
      <w:r w:rsidRPr="006451A8">
        <w:rPr>
          <w:rFonts w:cs="Times New Roman"/>
          <w:szCs w:val="24"/>
        </w:rPr>
        <w:t xml:space="preserve"> </w:t>
      </w:r>
      <w:proofErr w:type="spellStart"/>
      <w:r w:rsidRPr="006451A8">
        <w:rPr>
          <w:rFonts w:cs="Times New Roman"/>
          <w:szCs w:val="24"/>
        </w:rPr>
        <w:t>Democratic</w:t>
      </w:r>
      <w:proofErr w:type="spellEnd"/>
      <w:r w:rsidRPr="006451A8">
        <w:rPr>
          <w:rFonts w:cs="Times New Roman"/>
          <w:szCs w:val="24"/>
        </w:rPr>
        <w:t xml:space="preserve"> Deficit </w:t>
      </w:r>
      <w:proofErr w:type="spellStart"/>
      <w:r w:rsidRPr="006451A8">
        <w:rPr>
          <w:rFonts w:cs="Times New Roman"/>
          <w:szCs w:val="24"/>
        </w:rPr>
        <w:t>of</w:t>
      </w:r>
      <w:proofErr w:type="spellEnd"/>
      <w:r w:rsidRPr="006451A8">
        <w:rPr>
          <w:rFonts w:cs="Times New Roman"/>
          <w:szCs w:val="24"/>
        </w:rPr>
        <w:t xml:space="preserve"> </w:t>
      </w:r>
      <w:proofErr w:type="spellStart"/>
      <w:r w:rsidRPr="006451A8">
        <w:rPr>
          <w:rFonts w:cs="Times New Roman"/>
          <w:szCs w:val="24"/>
        </w:rPr>
        <w:t>The</w:t>
      </w:r>
      <w:proofErr w:type="spellEnd"/>
      <w:r w:rsidRPr="006451A8">
        <w:rPr>
          <w:rFonts w:cs="Times New Roman"/>
          <w:szCs w:val="24"/>
        </w:rPr>
        <w:t xml:space="preserve"> </w:t>
      </w:r>
      <w:proofErr w:type="spellStart"/>
      <w:r w:rsidRPr="006451A8">
        <w:rPr>
          <w:rFonts w:cs="Times New Roman"/>
          <w:szCs w:val="24"/>
        </w:rPr>
        <w:t>European</w:t>
      </w:r>
      <w:proofErr w:type="spellEnd"/>
      <w:r w:rsidRPr="006451A8">
        <w:rPr>
          <w:rFonts w:cs="Times New Roman"/>
          <w:szCs w:val="24"/>
        </w:rPr>
        <w:t xml:space="preserve"> Union. </w:t>
      </w:r>
      <w:proofErr w:type="spellStart"/>
      <w:r w:rsidRPr="006451A8">
        <w:rPr>
          <w:rFonts w:cs="Times New Roman"/>
          <w:i/>
          <w:iCs/>
          <w:szCs w:val="24"/>
        </w:rPr>
        <w:t>Perspectives</w:t>
      </w:r>
      <w:proofErr w:type="spellEnd"/>
      <w:r w:rsidRPr="006451A8">
        <w:rPr>
          <w:rFonts w:cs="Times New Roman"/>
          <w:i/>
          <w:iCs/>
          <w:szCs w:val="24"/>
        </w:rPr>
        <w:t xml:space="preserve">. </w:t>
      </w:r>
      <w:r w:rsidRPr="006451A8">
        <w:rPr>
          <w:rFonts w:cs="Times New Roman"/>
          <w:szCs w:val="24"/>
        </w:rPr>
        <w:t xml:space="preserve">(19), 109-119. Dostupné z: </w:t>
      </w:r>
      <w:r w:rsidRPr="00DB2098">
        <w:rPr>
          <w:rFonts w:cs="Times New Roman"/>
          <w:szCs w:val="24"/>
        </w:rPr>
        <w:t>https://www.jstor.org/stable/23615980?seq=1#metadata_info_tab_contents</w:t>
      </w:r>
      <w:r w:rsidRPr="006451A8">
        <w:rPr>
          <w:rStyle w:val="Hypertextovodkaz"/>
          <w:rFonts w:cs="Times New Roman"/>
          <w:szCs w:val="24"/>
        </w:rPr>
        <w:t>.</w:t>
      </w:r>
    </w:p>
    <w:p w14:paraId="3622DB02" w14:textId="49F737E0" w:rsidR="001B56F1" w:rsidRDefault="001B56F1" w:rsidP="00F753B0">
      <w:pPr>
        <w:spacing w:line="360" w:lineRule="auto"/>
        <w:rPr>
          <w:rFonts w:cs="Times New Roman"/>
          <w:szCs w:val="24"/>
        </w:rPr>
      </w:pPr>
      <w:r w:rsidRPr="006451A8">
        <w:rPr>
          <w:rFonts w:cs="Times New Roman"/>
          <w:szCs w:val="24"/>
        </w:rPr>
        <w:t>Senát parlamentu České republiky. (2021). PARLAMENTNÍ KONTROLA LEGISLATIVNÍHO PROCESU EU. Dostupné z: https://www.senat.cz/senat/evropa/dokumenty_ke_stazeni/projednavani_evropske_agendy.php?ke_dni=21.04.2021&amp;O=13.</w:t>
      </w:r>
    </w:p>
    <w:p w14:paraId="3EC425B5" w14:textId="38D3F320" w:rsidR="00F753B0" w:rsidRPr="00DB2098" w:rsidRDefault="00F753B0" w:rsidP="00F753B0">
      <w:pPr>
        <w:spacing w:line="360" w:lineRule="auto"/>
        <w:rPr>
          <w:rFonts w:cs="Times New Roman"/>
          <w:szCs w:val="24"/>
        </w:rPr>
      </w:pPr>
      <w:proofErr w:type="spellStart"/>
      <w:r w:rsidRPr="00DB2098">
        <w:rPr>
          <w:rFonts w:cs="Times New Roman"/>
          <w:szCs w:val="24"/>
        </w:rPr>
        <w:t>Scharpf</w:t>
      </w:r>
      <w:proofErr w:type="spellEnd"/>
      <w:r w:rsidRPr="00DB2098">
        <w:rPr>
          <w:rFonts w:cs="Times New Roman"/>
          <w:szCs w:val="24"/>
        </w:rPr>
        <w:t xml:space="preserve">, F.W., (1997). </w:t>
      </w:r>
      <w:proofErr w:type="spellStart"/>
      <w:r w:rsidRPr="00DB2098">
        <w:rPr>
          <w:rFonts w:cs="Times New Roman"/>
          <w:szCs w:val="24"/>
        </w:rPr>
        <w:t>Economic</w:t>
      </w:r>
      <w:proofErr w:type="spellEnd"/>
      <w:r w:rsidRPr="00DB2098">
        <w:rPr>
          <w:rFonts w:cs="Times New Roman"/>
          <w:szCs w:val="24"/>
        </w:rPr>
        <w:t xml:space="preserve"> </w:t>
      </w:r>
      <w:proofErr w:type="spellStart"/>
      <w:r w:rsidRPr="00DB2098">
        <w:rPr>
          <w:rFonts w:cs="Times New Roman"/>
          <w:szCs w:val="24"/>
        </w:rPr>
        <w:t>integration</w:t>
      </w:r>
      <w:proofErr w:type="spellEnd"/>
      <w:r w:rsidRPr="00DB2098">
        <w:rPr>
          <w:rFonts w:cs="Times New Roman"/>
          <w:szCs w:val="24"/>
        </w:rPr>
        <w:t xml:space="preserve">, </w:t>
      </w:r>
      <w:proofErr w:type="spellStart"/>
      <w:r w:rsidRPr="00DB2098">
        <w:rPr>
          <w:rFonts w:cs="Times New Roman"/>
          <w:szCs w:val="24"/>
        </w:rPr>
        <w:t>democracy</w:t>
      </w:r>
      <w:proofErr w:type="spellEnd"/>
      <w:r w:rsidRPr="00DB2098">
        <w:rPr>
          <w:rFonts w:cs="Times New Roman"/>
          <w:szCs w:val="24"/>
        </w:rPr>
        <w:t xml:space="preserve"> and </w:t>
      </w:r>
      <w:proofErr w:type="spellStart"/>
      <w:r w:rsidRPr="00DB2098">
        <w:rPr>
          <w:rFonts w:cs="Times New Roman"/>
          <w:szCs w:val="24"/>
        </w:rPr>
        <w:t>the</w:t>
      </w:r>
      <w:proofErr w:type="spellEnd"/>
      <w:r w:rsidRPr="00DB2098">
        <w:rPr>
          <w:rFonts w:cs="Times New Roman"/>
          <w:szCs w:val="24"/>
        </w:rPr>
        <w:t xml:space="preserve"> </w:t>
      </w:r>
      <w:proofErr w:type="spellStart"/>
      <w:r w:rsidRPr="00DB2098">
        <w:rPr>
          <w:rFonts w:cs="Times New Roman"/>
          <w:szCs w:val="24"/>
        </w:rPr>
        <w:t>welfare</w:t>
      </w:r>
      <w:proofErr w:type="spellEnd"/>
      <w:r w:rsidRPr="00DB2098">
        <w:rPr>
          <w:rFonts w:cs="Times New Roman"/>
          <w:szCs w:val="24"/>
        </w:rPr>
        <w:t xml:space="preserve"> </w:t>
      </w:r>
      <w:proofErr w:type="spellStart"/>
      <w:r w:rsidRPr="00DB2098">
        <w:rPr>
          <w:rFonts w:cs="Times New Roman"/>
          <w:szCs w:val="24"/>
        </w:rPr>
        <w:t>state</w:t>
      </w:r>
      <w:proofErr w:type="spellEnd"/>
      <w:r w:rsidRPr="00DB2098">
        <w:rPr>
          <w:rFonts w:cs="Times New Roman"/>
          <w:szCs w:val="24"/>
        </w:rPr>
        <w:t xml:space="preserve">. </w:t>
      </w:r>
      <w:proofErr w:type="spellStart"/>
      <w:r w:rsidRPr="00DB2098">
        <w:rPr>
          <w:rFonts w:cs="Times New Roman"/>
          <w:szCs w:val="24"/>
        </w:rPr>
        <w:t>Journal</w:t>
      </w:r>
      <w:proofErr w:type="spellEnd"/>
      <w:r w:rsidRPr="00DB2098">
        <w:rPr>
          <w:rFonts w:cs="Times New Roman"/>
          <w:szCs w:val="24"/>
        </w:rPr>
        <w:t xml:space="preserve"> of </w:t>
      </w:r>
      <w:proofErr w:type="spellStart"/>
      <w:r w:rsidRPr="00DB2098">
        <w:rPr>
          <w:rFonts w:cs="Times New Roman"/>
          <w:szCs w:val="24"/>
        </w:rPr>
        <w:t>European</w:t>
      </w:r>
      <w:proofErr w:type="spellEnd"/>
      <w:r w:rsidRPr="00DB2098">
        <w:rPr>
          <w:rFonts w:cs="Times New Roman"/>
          <w:szCs w:val="24"/>
        </w:rPr>
        <w:t xml:space="preserve">. </w:t>
      </w:r>
      <w:r w:rsidRPr="00DB2098">
        <w:rPr>
          <w:rFonts w:cs="Times New Roman"/>
          <w:i/>
          <w:iCs/>
          <w:szCs w:val="24"/>
        </w:rPr>
        <w:t xml:space="preserve">Public </w:t>
      </w:r>
      <w:proofErr w:type="spellStart"/>
      <w:r w:rsidRPr="00DB2098">
        <w:rPr>
          <w:rFonts w:cs="Times New Roman"/>
          <w:i/>
          <w:iCs/>
          <w:szCs w:val="24"/>
        </w:rPr>
        <w:t>Policy</w:t>
      </w:r>
      <w:proofErr w:type="spellEnd"/>
      <w:r w:rsidRPr="00DB2098">
        <w:rPr>
          <w:rFonts w:cs="Times New Roman"/>
          <w:szCs w:val="24"/>
        </w:rPr>
        <w:t xml:space="preserve">. </w:t>
      </w:r>
      <w:r w:rsidRPr="00DB2098">
        <w:rPr>
          <w:rFonts w:cs="Times New Roman"/>
          <w:i/>
          <w:iCs/>
          <w:szCs w:val="24"/>
        </w:rPr>
        <w:t>4</w:t>
      </w:r>
      <w:r w:rsidRPr="00DB2098">
        <w:rPr>
          <w:rFonts w:cs="Times New Roman"/>
          <w:szCs w:val="24"/>
        </w:rPr>
        <w:t xml:space="preserve"> (1), 18-36.</w:t>
      </w:r>
      <w:r w:rsidR="00AB6684">
        <w:rPr>
          <w:rFonts w:cs="Times New Roman"/>
          <w:szCs w:val="24"/>
        </w:rPr>
        <w:t xml:space="preserve"> Dostupné z: </w:t>
      </w:r>
      <w:r w:rsidR="00AB6684" w:rsidRPr="00AB6684">
        <w:rPr>
          <w:rFonts w:cs="Times New Roman"/>
          <w:szCs w:val="24"/>
        </w:rPr>
        <w:t>https://www.researchgate.net/publication/5015523_Economic_Integration_Democracy_and_the_Welfare_State</w:t>
      </w:r>
      <w:r w:rsidR="00AB6684">
        <w:rPr>
          <w:rFonts w:cs="Times New Roman"/>
          <w:szCs w:val="24"/>
        </w:rPr>
        <w:t>.</w:t>
      </w:r>
    </w:p>
    <w:p w14:paraId="54BD0884" w14:textId="77777777" w:rsidR="001B56F1" w:rsidRPr="00DB2098" w:rsidRDefault="001B56F1" w:rsidP="001B56F1">
      <w:pPr>
        <w:spacing w:line="360" w:lineRule="auto"/>
        <w:rPr>
          <w:rFonts w:cs="Times New Roman"/>
          <w:szCs w:val="24"/>
        </w:rPr>
      </w:pPr>
      <w:proofErr w:type="spellStart"/>
      <w:r w:rsidRPr="00DB2098">
        <w:rPr>
          <w:rFonts w:cs="Times New Roman"/>
          <w:szCs w:val="24"/>
        </w:rPr>
        <w:t>Scharpf</w:t>
      </w:r>
      <w:proofErr w:type="spellEnd"/>
      <w:r w:rsidRPr="00DB2098">
        <w:rPr>
          <w:rFonts w:cs="Times New Roman"/>
          <w:szCs w:val="24"/>
        </w:rPr>
        <w:t xml:space="preserve">, F.W. (1999). </w:t>
      </w:r>
      <w:proofErr w:type="spellStart"/>
      <w:r w:rsidRPr="00DB2098">
        <w:rPr>
          <w:rFonts w:cs="Times New Roman"/>
          <w:i/>
          <w:iCs/>
          <w:szCs w:val="24"/>
        </w:rPr>
        <w:t>Governing</w:t>
      </w:r>
      <w:proofErr w:type="spellEnd"/>
      <w:r w:rsidRPr="00DB2098">
        <w:rPr>
          <w:rFonts w:cs="Times New Roman"/>
          <w:i/>
          <w:iCs/>
          <w:szCs w:val="24"/>
        </w:rPr>
        <w:t xml:space="preserve"> in </w:t>
      </w:r>
      <w:proofErr w:type="spellStart"/>
      <w:r w:rsidRPr="00DB2098">
        <w:rPr>
          <w:rFonts w:cs="Times New Roman"/>
          <w:i/>
          <w:iCs/>
          <w:szCs w:val="24"/>
        </w:rPr>
        <w:t>Europe</w:t>
      </w:r>
      <w:proofErr w:type="spellEnd"/>
      <w:r w:rsidRPr="00DB2098">
        <w:rPr>
          <w:rFonts w:cs="Times New Roman"/>
          <w:i/>
          <w:iCs/>
          <w:szCs w:val="24"/>
        </w:rPr>
        <w:t xml:space="preserve">: </w:t>
      </w:r>
      <w:proofErr w:type="spellStart"/>
      <w:r w:rsidRPr="00DB2098">
        <w:rPr>
          <w:rFonts w:cs="Times New Roman"/>
          <w:i/>
          <w:iCs/>
          <w:szCs w:val="24"/>
        </w:rPr>
        <w:t>Efective</w:t>
      </w:r>
      <w:proofErr w:type="spellEnd"/>
      <w:r w:rsidRPr="00DB2098">
        <w:rPr>
          <w:rFonts w:cs="Times New Roman"/>
          <w:i/>
          <w:iCs/>
          <w:szCs w:val="24"/>
        </w:rPr>
        <w:t xml:space="preserve"> and </w:t>
      </w:r>
      <w:proofErr w:type="spellStart"/>
      <w:r w:rsidRPr="00DB2098">
        <w:rPr>
          <w:rFonts w:cs="Times New Roman"/>
          <w:i/>
          <w:iCs/>
          <w:szCs w:val="24"/>
        </w:rPr>
        <w:t>Democratic</w:t>
      </w:r>
      <w:proofErr w:type="spellEnd"/>
      <w:r w:rsidRPr="00DB2098">
        <w:rPr>
          <w:rFonts w:cs="Times New Roman"/>
          <w:i/>
          <w:iCs/>
          <w:szCs w:val="24"/>
        </w:rPr>
        <w:t xml:space="preserve">?. </w:t>
      </w:r>
      <w:r w:rsidRPr="00DB2098">
        <w:rPr>
          <w:rFonts w:cs="Times New Roman"/>
          <w:szCs w:val="24"/>
        </w:rPr>
        <w:t xml:space="preserve">New York: Oxford University </w:t>
      </w:r>
      <w:proofErr w:type="spellStart"/>
      <w:r w:rsidRPr="00DB2098">
        <w:rPr>
          <w:rFonts w:cs="Times New Roman"/>
          <w:szCs w:val="24"/>
        </w:rPr>
        <w:t>Press</w:t>
      </w:r>
      <w:proofErr w:type="spellEnd"/>
      <w:r>
        <w:rPr>
          <w:rFonts w:cs="Times New Roman"/>
          <w:szCs w:val="24"/>
        </w:rPr>
        <w:t>.</w:t>
      </w:r>
    </w:p>
    <w:p w14:paraId="2A3BD73D" w14:textId="7ED1CC10" w:rsidR="001B56F1" w:rsidRPr="001B56F1" w:rsidRDefault="001B56F1" w:rsidP="00F753B0">
      <w:pPr>
        <w:spacing w:line="360" w:lineRule="auto"/>
        <w:rPr>
          <w:rStyle w:val="Hypertextovodkaz"/>
          <w:rFonts w:cs="Times New Roman"/>
          <w:szCs w:val="24"/>
        </w:rPr>
      </w:pPr>
      <w:proofErr w:type="spellStart"/>
      <w:r w:rsidRPr="00DB2098">
        <w:rPr>
          <w:rFonts w:cs="Times New Roman"/>
          <w:szCs w:val="24"/>
        </w:rPr>
        <w:lastRenderedPageBreak/>
        <w:t>Scharpf</w:t>
      </w:r>
      <w:proofErr w:type="spellEnd"/>
      <w:r w:rsidRPr="00DB2098">
        <w:rPr>
          <w:rFonts w:cs="Times New Roman"/>
          <w:szCs w:val="24"/>
        </w:rPr>
        <w:t xml:space="preserve">, F. W. (2006). </w:t>
      </w:r>
      <w:proofErr w:type="spellStart"/>
      <w:r w:rsidRPr="00DB2098">
        <w:rPr>
          <w:rFonts w:cs="Times New Roman"/>
          <w:szCs w:val="24"/>
        </w:rPr>
        <w:t>Problem</w:t>
      </w:r>
      <w:proofErr w:type="spellEnd"/>
      <w:r w:rsidRPr="00DB2098">
        <w:rPr>
          <w:rFonts w:cs="Times New Roman"/>
          <w:szCs w:val="24"/>
        </w:rPr>
        <w:t xml:space="preserve"> </w:t>
      </w:r>
      <w:proofErr w:type="spellStart"/>
      <w:r w:rsidRPr="00DB2098">
        <w:rPr>
          <w:rFonts w:cs="Times New Roman"/>
          <w:szCs w:val="24"/>
        </w:rPr>
        <w:t>Solving</w:t>
      </w:r>
      <w:proofErr w:type="spellEnd"/>
      <w:r w:rsidRPr="00DB2098">
        <w:rPr>
          <w:rFonts w:cs="Times New Roman"/>
          <w:szCs w:val="24"/>
        </w:rPr>
        <w:t xml:space="preserve"> </w:t>
      </w:r>
      <w:proofErr w:type="spellStart"/>
      <w:r w:rsidRPr="00DB2098">
        <w:rPr>
          <w:rFonts w:cs="Times New Roman"/>
          <w:szCs w:val="24"/>
        </w:rPr>
        <w:t>Effectiveness</w:t>
      </w:r>
      <w:proofErr w:type="spellEnd"/>
      <w:r w:rsidRPr="00DB2098">
        <w:rPr>
          <w:rFonts w:cs="Times New Roman"/>
          <w:szCs w:val="24"/>
        </w:rPr>
        <w:t xml:space="preserve"> and </w:t>
      </w:r>
      <w:proofErr w:type="spellStart"/>
      <w:r w:rsidRPr="00DB2098">
        <w:rPr>
          <w:rFonts w:cs="Times New Roman"/>
          <w:szCs w:val="24"/>
        </w:rPr>
        <w:t>Democratic</w:t>
      </w:r>
      <w:proofErr w:type="spellEnd"/>
      <w:r w:rsidRPr="00DB2098">
        <w:rPr>
          <w:rFonts w:cs="Times New Roman"/>
          <w:szCs w:val="24"/>
        </w:rPr>
        <w:t xml:space="preserve"> </w:t>
      </w:r>
      <w:proofErr w:type="spellStart"/>
      <w:r w:rsidRPr="00DB2098">
        <w:rPr>
          <w:rFonts w:cs="Times New Roman"/>
          <w:szCs w:val="24"/>
        </w:rPr>
        <w:t>Accountability</w:t>
      </w:r>
      <w:proofErr w:type="spellEnd"/>
      <w:r w:rsidRPr="00DB2098">
        <w:rPr>
          <w:rFonts w:cs="Times New Roman"/>
          <w:szCs w:val="24"/>
        </w:rPr>
        <w:t xml:space="preserve"> in </w:t>
      </w:r>
      <w:proofErr w:type="spellStart"/>
      <w:r w:rsidRPr="00DB2098">
        <w:rPr>
          <w:rFonts w:cs="Times New Roman"/>
          <w:szCs w:val="24"/>
        </w:rPr>
        <w:t>the</w:t>
      </w:r>
      <w:proofErr w:type="spellEnd"/>
      <w:r w:rsidRPr="00DB2098">
        <w:rPr>
          <w:rFonts w:cs="Times New Roman"/>
          <w:szCs w:val="24"/>
        </w:rPr>
        <w:t xml:space="preserve"> EU.</w:t>
      </w:r>
      <w:r w:rsidRPr="00DB2098">
        <w:rPr>
          <w:rFonts w:cs="Times New Roman"/>
          <w:i/>
          <w:iCs/>
          <w:szCs w:val="24"/>
        </w:rPr>
        <w:t xml:space="preserve"> </w:t>
      </w:r>
      <w:proofErr w:type="spellStart"/>
      <w:r w:rsidRPr="00DB2098">
        <w:rPr>
          <w:rFonts w:cs="Times New Roman"/>
          <w:i/>
          <w:iCs/>
          <w:szCs w:val="24"/>
        </w:rPr>
        <w:t>Political</w:t>
      </w:r>
      <w:proofErr w:type="spellEnd"/>
      <w:r w:rsidRPr="00DB2098">
        <w:rPr>
          <w:rFonts w:cs="Times New Roman"/>
          <w:i/>
          <w:iCs/>
          <w:szCs w:val="24"/>
        </w:rPr>
        <w:t xml:space="preserve"> Science </w:t>
      </w:r>
      <w:proofErr w:type="spellStart"/>
      <w:r w:rsidRPr="00DB2098">
        <w:rPr>
          <w:rFonts w:cs="Times New Roman"/>
          <w:i/>
          <w:iCs/>
          <w:szCs w:val="24"/>
        </w:rPr>
        <w:t>Series</w:t>
      </w:r>
      <w:proofErr w:type="spellEnd"/>
      <w:r w:rsidRPr="00DB2098">
        <w:rPr>
          <w:rFonts w:cs="Times New Roman"/>
          <w:i/>
          <w:iCs/>
          <w:szCs w:val="24"/>
        </w:rPr>
        <w:t xml:space="preserve">. </w:t>
      </w:r>
      <w:r w:rsidRPr="00DB2098">
        <w:rPr>
          <w:rFonts w:cs="Times New Roman"/>
          <w:szCs w:val="24"/>
        </w:rPr>
        <w:t>Dostupné z: http://aei.pitt.edu/6097/1/pw_107.pdf</w:t>
      </w:r>
      <w:r>
        <w:rPr>
          <w:rFonts w:cs="Times New Roman"/>
          <w:szCs w:val="24"/>
        </w:rPr>
        <w:t>.</w:t>
      </w:r>
    </w:p>
    <w:p w14:paraId="632D047A" w14:textId="4FA044CF" w:rsidR="001B56F1" w:rsidRPr="001B56F1" w:rsidRDefault="001B56F1" w:rsidP="00F753B0">
      <w:pPr>
        <w:spacing w:line="360" w:lineRule="auto"/>
        <w:rPr>
          <w:rStyle w:val="Hypertextovodkaz"/>
          <w:rFonts w:cs="Times New Roman"/>
          <w:szCs w:val="24"/>
        </w:rPr>
      </w:pPr>
      <w:r w:rsidRPr="00DB2098">
        <w:rPr>
          <w:rStyle w:val="Hypertextovodkaz"/>
          <w:rFonts w:cs="Times New Roman"/>
          <w:color w:val="auto"/>
          <w:szCs w:val="24"/>
          <w:u w:val="none"/>
        </w:rPr>
        <w:t xml:space="preserve">Schmidt, V. A. (2013). </w:t>
      </w:r>
      <w:proofErr w:type="spellStart"/>
      <w:r w:rsidRPr="00DB2098">
        <w:rPr>
          <w:rStyle w:val="Hypertextovodkaz"/>
          <w:rFonts w:cs="Times New Roman"/>
          <w:color w:val="auto"/>
          <w:szCs w:val="24"/>
          <w:u w:val="none"/>
        </w:rPr>
        <w:t>Democracy</w:t>
      </w:r>
      <w:proofErr w:type="spellEnd"/>
      <w:r w:rsidRPr="00DB2098">
        <w:rPr>
          <w:rStyle w:val="Hypertextovodkaz"/>
          <w:rFonts w:cs="Times New Roman"/>
          <w:color w:val="auto"/>
          <w:szCs w:val="24"/>
          <w:u w:val="none"/>
        </w:rPr>
        <w:t xml:space="preserve"> and </w:t>
      </w:r>
      <w:proofErr w:type="spellStart"/>
      <w:r w:rsidRPr="00DB2098">
        <w:rPr>
          <w:rStyle w:val="Hypertextovodkaz"/>
          <w:rFonts w:cs="Times New Roman"/>
          <w:color w:val="auto"/>
          <w:szCs w:val="24"/>
          <w:u w:val="none"/>
        </w:rPr>
        <w:t>legitimacy</w:t>
      </w:r>
      <w:proofErr w:type="spellEnd"/>
      <w:r w:rsidRPr="00DB2098">
        <w:rPr>
          <w:rStyle w:val="Hypertextovodkaz"/>
          <w:rFonts w:cs="Times New Roman"/>
          <w:color w:val="auto"/>
          <w:szCs w:val="24"/>
          <w:u w:val="none"/>
        </w:rPr>
        <w:t xml:space="preserve"> in </w:t>
      </w:r>
      <w:proofErr w:type="spellStart"/>
      <w:r w:rsidRPr="00DB2098">
        <w:rPr>
          <w:rStyle w:val="Hypertextovodkaz"/>
          <w:rFonts w:cs="Times New Roman"/>
          <w:color w:val="auto"/>
          <w:szCs w:val="24"/>
          <w:u w:val="none"/>
        </w:rPr>
        <w:t>The</w:t>
      </w:r>
      <w:proofErr w:type="spellEnd"/>
      <w:r w:rsidRPr="00DB2098">
        <w:rPr>
          <w:rStyle w:val="Hypertextovodkaz"/>
          <w:rFonts w:cs="Times New Roman"/>
          <w:color w:val="auto"/>
          <w:szCs w:val="24"/>
          <w:u w:val="none"/>
        </w:rPr>
        <w:t xml:space="preserve"> </w:t>
      </w:r>
      <w:proofErr w:type="spellStart"/>
      <w:r w:rsidRPr="00DB2098">
        <w:rPr>
          <w:rStyle w:val="Hypertextovodkaz"/>
          <w:rFonts w:cs="Times New Roman"/>
          <w:color w:val="auto"/>
          <w:szCs w:val="24"/>
          <w:u w:val="none"/>
        </w:rPr>
        <w:t>European</w:t>
      </w:r>
      <w:proofErr w:type="spellEnd"/>
      <w:r w:rsidRPr="00DB2098">
        <w:rPr>
          <w:rStyle w:val="Hypertextovodkaz"/>
          <w:rFonts w:cs="Times New Roman"/>
          <w:color w:val="auto"/>
          <w:szCs w:val="24"/>
          <w:u w:val="none"/>
        </w:rPr>
        <w:t xml:space="preserve"> Union </w:t>
      </w:r>
      <w:proofErr w:type="spellStart"/>
      <w:r w:rsidRPr="00DB2098">
        <w:rPr>
          <w:rStyle w:val="Hypertextovodkaz"/>
          <w:rFonts w:cs="Times New Roman"/>
          <w:color w:val="auto"/>
          <w:szCs w:val="24"/>
          <w:u w:val="none"/>
        </w:rPr>
        <w:t>revisited</w:t>
      </w:r>
      <w:proofErr w:type="spellEnd"/>
      <w:r w:rsidRPr="00DB2098">
        <w:rPr>
          <w:rStyle w:val="Hypertextovodkaz"/>
          <w:rFonts w:cs="Times New Roman"/>
          <w:color w:val="auto"/>
          <w:szCs w:val="24"/>
          <w:u w:val="none"/>
        </w:rPr>
        <w:t xml:space="preserve">: Input, Output and </w:t>
      </w:r>
      <w:proofErr w:type="spellStart"/>
      <w:r w:rsidRPr="00DB2098">
        <w:rPr>
          <w:rFonts w:cs="Times New Roman"/>
          <w:i/>
          <w:iCs/>
          <w:szCs w:val="24"/>
        </w:rPr>
        <w:t>and</w:t>
      </w:r>
      <w:proofErr w:type="spellEnd"/>
      <w:r w:rsidRPr="00DB2098">
        <w:rPr>
          <w:rFonts w:cs="Times New Roman"/>
          <w:szCs w:val="24"/>
        </w:rPr>
        <w:t> ‘</w:t>
      </w:r>
      <w:proofErr w:type="spellStart"/>
      <w:r w:rsidRPr="00DB2098">
        <w:rPr>
          <w:rFonts w:cs="Times New Roman"/>
          <w:szCs w:val="24"/>
        </w:rPr>
        <w:t>throughput</w:t>
      </w:r>
      <w:proofErr w:type="spellEnd"/>
      <w:r w:rsidRPr="00DB2098">
        <w:rPr>
          <w:rFonts w:cs="Times New Roman"/>
          <w:szCs w:val="24"/>
        </w:rPr>
        <w:t>’. </w:t>
      </w:r>
      <w:proofErr w:type="spellStart"/>
      <w:r w:rsidRPr="00DB2098">
        <w:rPr>
          <w:rFonts w:cs="Times New Roman"/>
          <w:i/>
          <w:iCs/>
          <w:szCs w:val="24"/>
        </w:rPr>
        <w:t>Political</w:t>
      </w:r>
      <w:proofErr w:type="spellEnd"/>
      <w:r w:rsidRPr="00DB2098">
        <w:rPr>
          <w:rFonts w:cs="Times New Roman"/>
          <w:i/>
          <w:iCs/>
          <w:szCs w:val="24"/>
        </w:rPr>
        <w:t xml:space="preserve"> </w:t>
      </w:r>
      <w:proofErr w:type="spellStart"/>
      <w:r w:rsidRPr="00DB2098">
        <w:rPr>
          <w:rFonts w:cs="Times New Roman"/>
          <w:i/>
          <w:iCs/>
          <w:szCs w:val="24"/>
        </w:rPr>
        <w:t>Studies</w:t>
      </w:r>
      <w:proofErr w:type="spellEnd"/>
      <w:r w:rsidRPr="00DB2098">
        <w:rPr>
          <w:rFonts w:cs="Times New Roman"/>
          <w:szCs w:val="24"/>
        </w:rPr>
        <w:t xml:space="preserve">. </w:t>
      </w:r>
      <w:r w:rsidRPr="00DB2098">
        <w:rPr>
          <w:rFonts w:cs="Times New Roman"/>
          <w:i/>
          <w:iCs/>
          <w:szCs w:val="24"/>
        </w:rPr>
        <w:t>6</w:t>
      </w:r>
      <w:r w:rsidRPr="00DB2098">
        <w:rPr>
          <w:rFonts w:cs="Times New Roman"/>
          <w:szCs w:val="24"/>
        </w:rPr>
        <w:t>, 2-22. Dostupné z: https://onlinelibrary.wiley.com/doi/full/10.1111/padm.12615.</w:t>
      </w:r>
    </w:p>
    <w:p w14:paraId="05E7789C" w14:textId="518E8264" w:rsidR="00F753B0" w:rsidRPr="00DB2098" w:rsidRDefault="00F753B0" w:rsidP="00F753B0">
      <w:pPr>
        <w:spacing w:line="360" w:lineRule="auto"/>
        <w:rPr>
          <w:rFonts w:cs="Times New Roman"/>
          <w:szCs w:val="24"/>
        </w:rPr>
      </w:pPr>
      <w:r w:rsidRPr="00DB2098">
        <w:rPr>
          <w:rStyle w:val="Hypertextovodkaz"/>
          <w:rFonts w:cs="Times New Roman"/>
          <w:color w:val="auto"/>
          <w:szCs w:val="24"/>
          <w:u w:val="none"/>
        </w:rPr>
        <w:t xml:space="preserve">Schütze, R. (2009). </w:t>
      </w:r>
      <w:r w:rsidRPr="00DB2098">
        <w:rPr>
          <w:rFonts w:cs="Times New Roman"/>
          <w:szCs w:val="24"/>
        </w:rPr>
        <w:t xml:space="preserve">Subsidiarity </w:t>
      </w:r>
      <w:proofErr w:type="spellStart"/>
      <w:r w:rsidRPr="00DB2098">
        <w:rPr>
          <w:rFonts w:cs="Times New Roman"/>
          <w:szCs w:val="24"/>
        </w:rPr>
        <w:t>after</w:t>
      </w:r>
      <w:proofErr w:type="spellEnd"/>
      <w:r w:rsidRPr="00DB2098">
        <w:rPr>
          <w:rFonts w:cs="Times New Roman"/>
          <w:szCs w:val="24"/>
        </w:rPr>
        <w:t xml:space="preserve"> </w:t>
      </w:r>
      <w:proofErr w:type="spellStart"/>
      <w:r w:rsidRPr="00DB2098">
        <w:rPr>
          <w:rFonts w:cs="Times New Roman"/>
          <w:szCs w:val="24"/>
        </w:rPr>
        <w:t>Lisbon</w:t>
      </w:r>
      <w:proofErr w:type="spellEnd"/>
      <w:r w:rsidRPr="00DB2098">
        <w:rPr>
          <w:rFonts w:cs="Times New Roman"/>
          <w:szCs w:val="24"/>
        </w:rPr>
        <w:t xml:space="preserve">: </w:t>
      </w:r>
      <w:proofErr w:type="spellStart"/>
      <w:r w:rsidRPr="00DB2098">
        <w:rPr>
          <w:rFonts w:cs="Times New Roman"/>
          <w:szCs w:val="24"/>
        </w:rPr>
        <w:t>Reinforcing</w:t>
      </w:r>
      <w:proofErr w:type="spellEnd"/>
      <w:r w:rsidRPr="00DB2098">
        <w:rPr>
          <w:rFonts w:cs="Times New Roman"/>
          <w:szCs w:val="24"/>
        </w:rPr>
        <w:t xml:space="preserve"> </w:t>
      </w:r>
      <w:proofErr w:type="spellStart"/>
      <w:r w:rsidRPr="00DB2098">
        <w:rPr>
          <w:rFonts w:cs="Times New Roman"/>
          <w:szCs w:val="24"/>
        </w:rPr>
        <w:t>the</w:t>
      </w:r>
      <w:proofErr w:type="spellEnd"/>
      <w:r w:rsidRPr="00DB2098">
        <w:rPr>
          <w:rFonts w:cs="Times New Roman"/>
          <w:szCs w:val="24"/>
        </w:rPr>
        <w:t xml:space="preserve"> </w:t>
      </w:r>
      <w:proofErr w:type="spellStart"/>
      <w:r w:rsidRPr="00DB2098">
        <w:rPr>
          <w:rFonts w:cs="Times New Roman"/>
          <w:szCs w:val="24"/>
        </w:rPr>
        <w:t>Safeguards</w:t>
      </w:r>
      <w:proofErr w:type="spellEnd"/>
      <w:r w:rsidRPr="00DB2098">
        <w:rPr>
          <w:rFonts w:cs="Times New Roman"/>
          <w:szCs w:val="24"/>
        </w:rPr>
        <w:t xml:space="preserve"> </w:t>
      </w:r>
      <w:proofErr w:type="spellStart"/>
      <w:r w:rsidRPr="00DB2098">
        <w:rPr>
          <w:rFonts w:cs="Times New Roman"/>
          <w:szCs w:val="24"/>
        </w:rPr>
        <w:t>of</w:t>
      </w:r>
      <w:proofErr w:type="spellEnd"/>
      <w:r w:rsidRPr="00DB2098">
        <w:rPr>
          <w:rFonts w:cs="Times New Roman"/>
          <w:szCs w:val="24"/>
        </w:rPr>
        <w:t xml:space="preserve"> </w:t>
      </w:r>
      <w:proofErr w:type="spellStart"/>
      <w:r w:rsidRPr="00DB2098">
        <w:rPr>
          <w:rFonts w:cs="Times New Roman"/>
          <w:szCs w:val="24"/>
        </w:rPr>
        <w:t>Federalism</w:t>
      </w:r>
      <w:proofErr w:type="spellEnd"/>
      <w:r w:rsidRPr="00DB2098">
        <w:rPr>
          <w:rFonts w:cs="Times New Roman"/>
          <w:szCs w:val="24"/>
        </w:rPr>
        <w:t xml:space="preserve">? </w:t>
      </w:r>
      <w:proofErr w:type="spellStart"/>
      <w:r w:rsidRPr="00DB2098">
        <w:rPr>
          <w:rFonts w:cs="Times New Roman"/>
          <w:i/>
          <w:iCs/>
          <w:szCs w:val="24"/>
        </w:rPr>
        <w:t>The</w:t>
      </w:r>
      <w:proofErr w:type="spellEnd"/>
      <w:r w:rsidRPr="00DB2098">
        <w:rPr>
          <w:rFonts w:cs="Times New Roman"/>
          <w:i/>
          <w:iCs/>
          <w:szCs w:val="24"/>
        </w:rPr>
        <w:t xml:space="preserve"> Cambridge </w:t>
      </w:r>
      <w:proofErr w:type="spellStart"/>
      <w:r w:rsidRPr="00DB2098">
        <w:rPr>
          <w:rFonts w:cs="Times New Roman"/>
          <w:i/>
          <w:iCs/>
          <w:szCs w:val="24"/>
        </w:rPr>
        <w:t>Law</w:t>
      </w:r>
      <w:proofErr w:type="spellEnd"/>
      <w:r w:rsidRPr="00DB2098">
        <w:rPr>
          <w:rFonts w:cs="Times New Roman"/>
          <w:i/>
          <w:iCs/>
          <w:szCs w:val="24"/>
        </w:rPr>
        <w:t xml:space="preserve"> </w:t>
      </w:r>
      <w:proofErr w:type="spellStart"/>
      <w:r w:rsidRPr="00DB2098">
        <w:rPr>
          <w:rFonts w:cs="Times New Roman"/>
          <w:i/>
          <w:iCs/>
          <w:szCs w:val="24"/>
        </w:rPr>
        <w:t>Journal</w:t>
      </w:r>
      <w:proofErr w:type="spellEnd"/>
      <w:r w:rsidRPr="00DB2098">
        <w:rPr>
          <w:rFonts w:cs="Times New Roman"/>
          <w:i/>
          <w:iCs/>
          <w:szCs w:val="24"/>
        </w:rPr>
        <w:t>. 68</w:t>
      </w:r>
      <w:r w:rsidRPr="00DB2098">
        <w:rPr>
          <w:rFonts w:cs="Times New Roman"/>
          <w:szCs w:val="24"/>
        </w:rPr>
        <w:t xml:space="preserve"> (3), 525-536.</w:t>
      </w:r>
    </w:p>
    <w:p w14:paraId="1C0AA2B6" w14:textId="77777777" w:rsidR="00F753B0" w:rsidRPr="00DB2098" w:rsidRDefault="00F753B0" w:rsidP="00F753B0">
      <w:pPr>
        <w:spacing w:line="360" w:lineRule="auto"/>
        <w:rPr>
          <w:rFonts w:cs="Times New Roman"/>
          <w:szCs w:val="24"/>
        </w:rPr>
      </w:pPr>
      <w:proofErr w:type="spellStart"/>
      <w:r w:rsidRPr="00DB2098">
        <w:rPr>
          <w:rFonts w:cs="Times New Roman"/>
          <w:szCs w:val="24"/>
        </w:rPr>
        <w:t>Sokolska</w:t>
      </w:r>
      <w:proofErr w:type="spellEnd"/>
      <w:r w:rsidRPr="00DB2098">
        <w:rPr>
          <w:rFonts w:cs="Times New Roman"/>
          <w:szCs w:val="24"/>
        </w:rPr>
        <w:t xml:space="preserve">, I. (2020). Vývoj od přijetí Jednotného evropského aktu. </w:t>
      </w:r>
      <w:r w:rsidRPr="00DB2098">
        <w:rPr>
          <w:rFonts w:cs="Times New Roman"/>
          <w:i/>
          <w:iCs/>
          <w:szCs w:val="24"/>
        </w:rPr>
        <w:t xml:space="preserve">Fakta a čísla o Evropské unii. </w:t>
      </w:r>
      <w:r w:rsidRPr="00DB2098">
        <w:rPr>
          <w:rFonts w:cs="Times New Roman"/>
          <w:szCs w:val="24"/>
        </w:rPr>
        <w:t>Dostupné z: https://www.europarl.europa.eu/factsheets/cs/sheet/2/vyvoj-do-prijeti-jednotneho-evropskeho-aktu.</w:t>
      </w:r>
    </w:p>
    <w:p w14:paraId="5F10CFC5" w14:textId="77777777" w:rsidR="00F753B0" w:rsidRPr="00DB2098" w:rsidRDefault="00F753B0" w:rsidP="00F753B0">
      <w:pPr>
        <w:spacing w:line="360" w:lineRule="auto"/>
        <w:rPr>
          <w:rFonts w:cs="Times New Roman"/>
          <w:szCs w:val="24"/>
        </w:rPr>
      </w:pPr>
      <w:proofErr w:type="spellStart"/>
      <w:r w:rsidRPr="00DB2098">
        <w:rPr>
          <w:rFonts w:cs="Times New Roman"/>
          <w:szCs w:val="24"/>
        </w:rPr>
        <w:t>Sokolska</w:t>
      </w:r>
      <w:proofErr w:type="spellEnd"/>
      <w:r w:rsidRPr="00DB2098">
        <w:rPr>
          <w:rFonts w:cs="Times New Roman"/>
          <w:szCs w:val="24"/>
        </w:rPr>
        <w:t xml:space="preserve">, I. (2020). Niceská smlouva a Konvent o budoucnosti Evropy. </w:t>
      </w:r>
      <w:r w:rsidRPr="00DB2098">
        <w:rPr>
          <w:rFonts w:cs="Times New Roman"/>
          <w:i/>
          <w:iCs/>
          <w:szCs w:val="24"/>
        </w:rPr>
        <w:t xml:space="preserve">Fakta a čísla o Evropské unii. </w:t>
      </w:r>
      <w:r w:rsidRPr="00DB2098">
        <w:rPr>
          <w:rFonts w:cs="Times New Roman"/>
          <w:szCs w:val="24"/>
        </w:rPr>
        <w:t>Dostupné z: https://www.europarl.europa.eu/factsheets/cs/sheet/4/niceska-smlouva-a-konvent-o-budoucnosti-evropy#:~:text=Smlouva%20byla%20podeps%C3%A1na%20dne%2026,%C3%BAnora%202003.&amp;text=Podle%20z%C3%A1v%C4%9Br%C5%AF%20zased%C3%A1n%C3%AD%20Evropsk%C3%A9%20rady,Unii%20jako%20nov%C3%A9%20%C4%8Dlensk%C3%A9%20st%C3%A1ty.</w:t>
      </w:r>
    </w:p>
    <w:p w14:paraId="22FFA67D" w14:textId="77777777" w:rsidR="00F753B0" w:rsidRPr="00DB2098" w:rsidRDefault="00F753B0" w:rsidP="00F753B0">
      <w:pPr>
        <w:spacing w:line="360" w:lineRule="auto"/>
        <w:rPr>
          <w:rFonts w:cs="Times New Roman"/>
          <w:szCs w:val="24"/>
        </w:rPr>
      </w:pPr>
      <w:proofErr w:type="spellStart"/>
      <w:r w:rsidRPr="00DB2098">
        <w:rPr>
          <w:rFonts w:cs="Times New Roman"/>
          <w:szCs w:val="24"/>
        </w:rPr>
        <w:t>Sokolska</w:t>
      </w:r>
      <w:proofErr w:type="spellEnd"/>
      <w:r w:rsidRPr="00DB2098">
        <w:rPr>
          <w:rFonts w:cs="Times New Roman"/>
          <w:szCs w:val="24"/>
        </w:rPr>
        <w:t xml:space="preserve">, I. (2021). Maastrichtská a Amsterodamská smlouva. </w:t>
      </w:r>
      <w:r w:rsidRPr="00DB2098">
        <w:rPr>
          <w:rFonts w:cs="Times New Roman"/>
          <w:i/>
          <w:iCs/>
          <w:szCs w:val="24"/>
        </w:rPr>
        <w:t xml:space="preserve">Fakta a čísla o Evropské unii. </w:t>
      </w:r>
      <w:r w:rsidRPr="00DB2098">
        <w:rPr>
          <w:rFonts w:cs="Times New Roman"/>
          <w:szCs w:val="24"/>
        </w:rPr>
        <w:t xml:space="preserve">Dostupné z: https://www.europarl.europa.eu/factsheets/cs/sheet/3/maastrichtska-smlouva-a-amsterodamska-smlouva. </w:t>
      </w:r>
    </w:p>
    <w:p w14:paraId="220E745A" w14:textId="4E5D2F01" w:rsidR="001B56F1" w:rsidRPr="001B56F1" w:rsidRDefault="001B56F1" w:rsidP="00F753B0">
      <w:pPr>
        <w:spacing w:line="360" w:lineRule="auto"/>
        <w:rPr>
          <w:rFonts w:cs="Times New Roman"/>
          <w:color w:val="0563C1" w:themeColor="hyperlink"/>
          <w:szCs w:val="24"/>
          <w:u w:val="single"/>
        </w:rPr>
      </w:pPr>
      <w:r w:rsidRPr="00DB2098">
        <w:rPr>
          <w:rFonts w:cs="Times New Roman"/>
          <w:szCs w:val="24"/>
        </w:rPr>
        <w:t xml:space="preserve">Šebestík, I. (2009, 13. října). Co je to demokratický deficit? </w:t>
      </w:r>
      <w:r w:rsidRPr="00DB2098">
        <w:rPr>
          <w:rFonts w:cs="Times New Roman"/>
          <w:i/>
          <w:iCs/>
          <w:szCs w:val="24"/>
        </w:rPr>
        <w:t>Britské listy.</w:t>
      </w:r>
      <w:r w:rsidRPr="00DB2098">
        <w:rPr>
          <w:rFonts w:cs="Times New Roman"/>
          <w:szCs w:val="24"/>
        </w:rPr>
        <w:t xml:space="preserve"> Dostupné z: https://legacy.blisty.cz/art/49401.html</w:t>
      </w:r>
      <w:r>
        <w:rPr>
          <w:rFonts w:cs="Times New Roman"/>
          <w:szCs w:val="24"/>
        </w:rPr>
        <w:t>.</w:t>
      </w:r>
    </w:p>
    <w:p w14:paraId="44A2CECB" w14:textId="0FDCBB69" w:rsidR="00F753B0" w:rsidRPr="00DB2098" w:rsidRDefault="00F753B0" w:rsidP="00F753B0">
      <w:pPr>
        <w:spacing w:line="360" w:lineRule="auto"/>
        <w:rPr>
          <w:rFonts w:cs="Times New Roman"/>
          <w:szCs w:val="24"/>
        </w:rPr>
      </w:pPr>
      <w:r w:rsidRPr="00DB2098">
        <w:rPr>
          <w:rFonts w:cs="Times New Roman"/>
          <w:szCs w:val="24"/>
        </w:rPr>
        <w:t xml:space="preserve">Vláda České republiky. (2009, 19. října). </w:t>
      </w:r>
      <w:r w:rsidRPr="00DB2098">
        <w:rPr>
          <w:rFonts w:cs="Times New Roman"/>
          <w:i/>
          <w:iCs/>
          <w:szCs w:val="24"/>
        </w:rPr>
        <w:t xml:space="preserve">Proces ratifikace Lisabonské smlouvy. </w:t>
      </w:r>
      <w:r w:rsidRPr="00DB2098">
        <w:rPr>
          <w:rFonts w:cs="Times New Roman"/>
          <w:szCs w:val="24"/>
        </w:rPr>
        <w:t>Dostupné z: https://www.vlada.cz/cz/media-centrum/aktualne/proces-ratifikace-lisabonske-smlouvy-63100/#:~:text=Z%C3%A1stupci%20%C4%8Dlensk%C3%BDch%20st%C3%A1t%C5%AF%20EU%20podepsali,prosince%20roku%202007.&amp;text=Smlouva%20vsto</w:t>
      </w:r>
      <w:r w:rsidRPr="00DB2098">
        <w:rPr>
          <w:rFonts w:cs="Times New Roman"/>
          <w:szCs w:val="24"/>
        </w:rPr>
        <w:lastRenderedPageBreak/>
        <w:t>up%C3%AD%20v%20platnost%20pot%C3%A9,EU%2C%20kter%C3%A1%20proces%20dosud%20nedokon%C4%8Dila.</w:t>
      </w:r>
    </w:p>
    <w:p w14:paraId="34E4233B" w14:textId="77777777" w:rsidR="00F753B0" w:rsidRPr="00DB2098" w:rsidRDefault="00F753B0" w:rsidP="00F753B0">
      <w:pPr>
        <w:spacing w:line="360" w:lineRule="auto"/>
        <w:rPr>
          <w:rFonts w:cs="Times New Roman"/>
          <w:szCs w:val="24"/>
        </w:rPr>
      </w:pPr>
      <w:proofErr w:type="spellStart"/>
      <w:r w:rsidRPr="00DB2098">
        <w:rPr>
          <w:rFonts w:cs="Times New Roman"/>
          <w:szCs w:val="24"/>
        </w:rPr>
        <w:t>Voerman</w:t>
      </w:r>
      <w:proofErr w:type="spellEnd"/>
      <w:r w:rsidRPr="00DB2098">
        <w:rPr>
          <w:rFonts w:cs="Times New Roman"/>
          <w:szCs w:val="24"/>
        </w:rPr>
        <w:t xml:space="preserve">, W. M. J. (2011). </w:t>
      </w:r>
      <w:proofErr w:type="spellStart"/>
      <w:r w:rsidRPr="00DB2098">
        <w:rPr>
          <w:rFonts w:cs="Times New Roman"/>
          <w:szCs w:val="24"/>
        </w:rPr>
        <w:t>The</w:t>
      </w:r>
      <w:proofErr w:type="spellEnd"/>
      <w:r w:rsidRPr="00DB2098">
        <w:rPr>
          <w:rFonts w:cs="Times New Roman"/>
          <w:szCs w:val="24"/>
        </w:rPr>
        <w:t xml:space="preserve"> </w:t>
      </w:r>
      <w:proofErr w:type="spellStart"/>
      <w:r w:rsidRPr="00DB2098">
        <w:rPr>
          <w:rFonts w:cs="Times New Roman"/>
          <w:szCs w:val="24"/>
        </w:rPr>
        <w:t>Birth</w:t>
      </w:r>
      <w:proofErr w:type="spellEnd"/>
      <w:r w:rsidRPr="00DB2098">
        <w:rPr>
          <w:rFonts w:cs="Times New Roman"/>
          <w:szCs w:val="24"/>
        </w:rPr>
        <w:t xml:space="preserve"> </w:t>
      </w:r>
      <w:proofErr w:type="spellStart"/>
      <w:r w:rsidRPr="00DB2098">
        <w:rPr>
          <w:rFonts w:cs="Times New Roman"/>
          <w:szCs w:val="24"/>
        </w:rPr>
        <w:t>of</w:t>
      </w:r>
      <w:proofErr w:type="spellEnd"/>
      <w:r w:rsidRPr="00DB2098">
        <w:rPr>
          <w:rFonts w:cs="Times New Roman"/>
          <w:szCs w:val="24"/>
        </w:rPr>
        <w:t xml:space="preserve"> a </w:t>
      </w:r>
      <w:proofErr w:type="spellStart"/>
      <w:r w:rsidRPr="00DB2098">
        <w:rPr>
          <w:rFonts w:cs="Times New Roman"/>
          <w:szCs w:val="24"/>
        </w:rPr>
        <w:t>Legislature</w:t>
      </w:r>
      <w:proofErr w:type="spellEnd"/>
      <w:r w:rsidRPr="00DB2098">
        <w:rPr>
          <w:rFonts w:cs="Times New Roman"/>
          <w:szCs w:val="24"/>
        </w:rPr>
        <w:t xml:space="preserve">: </w:t>
      </w:r>
      <w:proofErr w:type="spellStart"/>
      <w:r w:rsidRPr="00DB2098">
        <w:rPr>
          <w:rFonts w:cs="Times New Roman"/>
          <w:szCs w:val="24"/>
        </w:rPr>
        <w:t>The</w:t>
      </w:r>
      <w:proofErr w:type="spellEnd"/>
      <w:r w:rsidRPr="00DB2098">
        <w:rPr>
          <w:rFonts w:cs="Times New Roman"/>
          <w:szCs w:val="24"/>
        </w:rPr>
        <w:t xml:space="preserve"> EU </w:t>
      </w:r>
      <w:proofErr w:type="spellStart"/>
      <w:r w:rsidRPr="00DB2098">
        <w:rPr>
          <w:rFonts w:cs="Times New Roman"/>
          <w:szCs w:val="24"/>
        </w:rPr>
        <w:t>Parliament</w:t>
      </w:r>
      <w:proofErr w:type="spellEnd"/>
      <w:r w:rsidRPr="00DB2098">
        <w:rPr>
          <w:rFonts w:cs="Times New Roman"/>
          <w:szCs w:val="24"/>
        </w:rPr>
        <w:t xml:space="preserve"> </w:t>
      </w:r>
      <w:proofErr w:type="spellStart"/>
      <w:r w:rsidRPr="00DB2098">
        <w:rPr>
          <w:rFonts w:cs="Times New Roman"/>
          <w:szCs w:val="24"/>
        </w:rPr>
        <w:t>After</w:t>
      </w:r>
      <w:proofErr w:type="spellEnd"/>
      <w:r w:rsidRPr="00DB2098">
        <w:rPr>
          <w:rFonts w:cs="Times New Roman"/>
          <w:szCs w:val="24"/>
        </w:rPr>
        <w:t xml:space="preserve"> </w:t>
      </w:r>
      <w:proofErr w:type="spellStart"/>
      <w:r w:rsidRPr="00DB2098">
        <w:rPr>
          <w:rFonts w:cs="Times New Roman"/>
          <w:szCs w:val="24"/>
        </w:rPr>
        <w:t>the</w:t>
      </w:r>
      <w:proofErr w:type="spellEnd"/>
      <w:r w:rsidRPr="00DB2098">
        <w:rPr>
          <w:rFonts w:cs="Times New Roman"/>
          <w:szCs w:val="24"/>
        </w:rPr>
        <w:t xml:space="preserve"> </w:t>
      </w:r>
      <w:proofErr w:type="spellStart"/>
      <w:r w:rsidRPr="00DB2098">
        <w:rPr>
          <w:rFonts w:cs="Times New Roman"/>
          <w:szCs w:val="24"/>
        </w:rPr>
        <w:t>Lisbon</w:t>
      </w:r>
      <w:proofErr w:type="spellEnd"/>
      <w:r w:rsidRPr="00DB2098">
        <w:rPr>
          <w:rFonts w:cs="Times New Roman"/>
          <w:szCs w:val="24"/>
        </w:rPr>
        <w:t xml:space="preserve"> </w:t>
      </w:r>
      <w:proofErr w:type="spellStart"/>
      <w:r w:rsidRPr="00DB2098">
        <w:rPr>
          <w:rFonts w:cs="Times New Roman"/>
          <w:szCs w:val="24"/>
        </w:rPr>
        <w:t>Treaty</w:t>
      </w:r>
      <w:proofErr w:type="spellEnd"/>
      <w:r w:rsidRPr="00DB2098">
        <w:rPr>
          <w:rFonts w:cs="Times New Roman"/>
          <w:szCs w:val="24"/>
        </w:rPr>
        <w:t xml:space="preserve">. </w:t>
      </w:r>
      <w:proofErr w:type="spellStart"/>
      <w:r w:rsidRPr="00DB2098">
        <w:rPr>
          <w:rFonts w:cs="Times New Roman"/>
          <w:i/>
          <w:iCs/>
          <w:szCs w:val="24"/>
        </w:rPr>
        <w:t>The</w:t>
      </w:r>
      <w:proofErr w:type="spellEnd"/>
      <w:r w:rsidRPr="00DB2098">
        <w:rPr>
          <w:rFonts w:cs="Times New Roman"/>
          <w:i/>
          <w:iCs/>
          <w:szCs w:val="24"/>
        </w:rPr>
        <w:t xml:space="preserve"> Brown </w:t>
      </w:r>
      <w:proofErr w:type="spellStart"/>
      <w:r w:rsidRPr="00DB2098">
        <w:rPr>
          <w:rFonts w:cs="Times New Roman"/>
          <w:i/>
          <w:iCs/>
          <w:szCs w:val="24"/>
        </w:rPr>
        <w:t>Journal</w:t>
      </w:r>
      <w:proofErr w:type="spellEnd"/>
      <w:r w:rsidRPr="00DB2098">
        <w:rPr>
          <w:rFonts w:cs="Times New Roman"/>
          <w:i/>
          <w:iCs/>
          <w:szCs w:val="24"/>
        </w:rPr>
        <w:t xml:space="preserve"> </w:t>
      </w:r>
      <w:proofErr w:type="spellStart"/>
      <w:r w:rsidRPr="00DB2098">
        <w:rPr>
          <w:rFonts w:cs="Times New Roman"/>
          <w:i/>
          <w:iCs/>
          <w:szCs w:val="24"/>
        </w:rPr>
        <w:t>of</w:t>
      </w:r>
      <w:proofErr w:type="spellEnd"/>
      <w:r w:rsidRPr="00DB2098">
        <w:rPr>
          <w:rFonts w:cs="Times New Roman"/>
          <w:i/>
          <w:iCs/>
          <w:szCs w:val="24"/>
        </w:rPr>
        <w:t xml:space="preserve"> </w:t>
      </w:r>
      <w:proofErr w:type="spellStart"/>
      <w:r w:rsidRPr="00DB2098">
        <w:rPr>
          <w:rFonts w:cs="Times New Roman"/>
          <w:i/>
          <w:iCs/>
          <w:szCs w:val="24"/>
        </w:rPr>
        <w:t>World</w:t>
      </w:r>
      <w:proofErr w:type="spellEnd"/>
      <w:r w:rsidRPr="00DB2098">
        <w:rPr>
          <w:rFonts w:cs="Times New Roman"/>
          <w:i/>
          <w:iCs/>
          <w:szCs w:val="24"/>
        </w:rPr>
        <w:t xml:space="preserve"> Affairs.17</w:t>
      </w:r>
      <w:r w:rsidRPr="00DB2098">
        <w:rPr>
          <w:rFonts w:cs="Times New Roman"/>
          <w:szCs w:val="24"/>
        </w:rPr>
        <w:t>(2), 163-180. Dostupné z: https://www.jstor.org/stable/24590805.</w:t>
      </w:r>
    </w:p>
    <w:p w14:paraId="2F284DF9" w14:textId="77777777" w:rsidR="00F753B0" w:rsidRPr="00DB2098" w:rsidRDefault="00F753B0" w:rsidP="00F753B0">
      <w:pPr>
        <w:spacing w:line="360" w:lineRule="auto"/>
        <w:rPr>
          <w:rFonts w:cs="Times New Roman"/>
          <w:szCs w:val="24"/>
        </w:rPr>
      </w:pPr>
      <w:proofErr w:type="spellStart"/>
      <w:r w:rsidRPr="00DB2098">
        <w:rPr>
          <w:rFonts w:cs="Times New Roman"/>
          <w:szCs w:val="24"/>
        </w:rPr>
        <w:t>Zenkner</w:t>
      </w:r>
      <w:proofErr w:type="spellEnd"/>
      <w:r w:rsidRPr="00DB2098">
        <w:rPr>
          <w:rFonts w:cs="Times New Roman"/>
          <w:szCs w:val="24"/>
        </w:rPr>
        <w:t xml:space="preserve">, P. (2021). Irsko. </w:t>
      </w:r>
      <w:proofErr w:type="spellStart"/>
      <w:r w:rsidRPr="00DB2098">
        <w:rPr>
          <w:rFonts w:cs="Times New Roman"/>
          <w:i/>
          <w:iCs/>
          <w:szCs w:val="24"/>
        </w:rPr>
        <w:t>Euroskop</w:t>
      </w:r>
      <w:proofErr w:type="spellEnd"/>
      <w:r w:rsidRPr="00DB2098">
        <w:rPr>
          <w:rFonts w:cs="Times New Roman"/>
          <w:i/>
          <w:iCs/>
          <w:szCs w:val="24"/>
        </w:rPr>
        <w:t xml:space="preserve">. </w:t>
      </w:r>
      <w:r w:rsidRPr="00DB2098">
        <w:rPr>
          <w:rFonts w:cs="Times New Roman"/>
          <w:szCs w:val="24"/>
        </w:rPr>
        <w:t>Dostupné z: https://www.euroskop.cz/538/sekce/irsko/.</w:t>
      </w:r>
    </w:p>
    <w:p w14:paraId="5496CEF2" w14:textId="388DEE82" w:rsidR="00C67262" w:rsidRDefault="00C67262" w:rsidP="002A5E01">
      <w:pPr>
        <w:spacing w:after="0" w:line="360" w:lineRule="auto"/>
        <w:rPr>
          <w:rFonts w:cs="Times New Roman"/>
          <w:szCs w:val="24"/>
        </w:rPr>
      </w:pPr>
      <w:r>
        <w:rPr>
          <w:rFonts w:cs="Times New Roman"/>
          <w:szCs w:val="24"/>
        </w:rPr>
        <w:tab/>
      </w:r>
    </w:p>
    <w:p w14:paraId="2B615F53" w14:textId="30E0CC8F" w:rsidR="00487022" w:rsidRDefault="002A5E01" w:rsidP="002A5E01">
      <w:pPr>
        <w:spacing w:after="0" w:line="360" w:lineRule="auto"/>
        <w:rPr>
          <w:rFonts w:cs="Times New Roman"/>
          <w:szCs w:val="24"/>
        </w:rPr>
      </w:pPr>
      <w:r>
        <w:rPr>
          <w:rFonts w:cs="Times New Roman"/>
          <w:szCs w:val="24"/>
        </w:rPr>
        <w:t xml:space="preserve"> </w:t>
      </w:r>
    </w:p>
    <w:p w14:paraId="3B145DF2" w14:textId="77777777" w:rsidR="00487022" w:rsidRDefault="00487022">
      <w:pPr>
        <w:spacing w:line="259" w:lineRule="auto"/>
        <w:jc w:val="left"/>
        <w:rPr>
          <w:rFonts w:cs="Times New Roman"/>
          <w:szCs w:val="24"/>
        </w:rPr>
      </w:pPr>
      <w:r>
        <w:rPr>
          <w:rFonts w:cs="Times New Roman"/>
          <w:szCs w:val="24"/>
        </w:rPr>
        <w:br w:type="page"/>
      </w:r>
    </w:p>
    <w:p w14:paraId="1A2C4F09" w14:textId="5491AB29" w:rsidR="00786986" w:rsidRDefault="00487022" w:rsidP="00487022">
      <w:pPr>
        <w:pStyle w:val="Nadpis1"/>
        <w:spacing w:line="360" w:lineRule="auto"/>
      </w:pPr>
      <w:bookmarkStart w:id="33" w:name="_Toc70660116"/>
      <w:r>
        <w:lastRenderedPageBreak/>
        <w:t>Abstrakt</w:t>
      </w:r>
      <w:bookmarkEnd w:id="33"/>
    </w:p>
    <w:p w14:paraId="736015A3" w14:textId="111B9C8E" w:rsidR="00487022" w:rsidRDefault="00487022" w:rsidP="00487022">
      <w:pPr>
        <w:spacing w:line="360" w:lineRule="auto"/>
      </w:pPr>
      <w:r>
        <w:tab/>
        <w:t>Bakalářská práce se zabývá analýzou reforem zavedených přijetím Lisabonské smlouvy. Práce si klade za cíl vyzkoumat, zda došlo ke snížení demokratického deficitu v Evropské unii za využití tří teoretických konceptů</w:t>
      </w:r>
      <w:r w:rsidR="00AB56E0">
        <w:t>. Bakalářská práce se dělí na čtyři hlavní kapitoly. Nejdříve bude pozornost věnována definování hlavních pojmů, které s demokratickým deficitem úzce souvisí.</w:t>
      </w:r>
      <w:r w:rsidR="009C53F4">
        <w:t xml:space="preserve"> Jedná se o pojmy Evropská integrace, legitimita, a nakonec samotný demokratický deficit.</w:t>
      </w:r>
      <w:r w:rsidR="00AB56E0">
        <w:t xml:space="preserve"> Poté se budu věnovat hlavním konceptům na základě kterých je vypracována teoretická část této práce. Třetí a čtvrtá kapitola je potom věnována analytické části. Třetí kapitola shrnuje vývoj jednotlivých institucí Evropské unie od </w:t>
      </w:r>
      <w:r w:rsidR="009C53F4">
        <w:t xml:space="preserve">přijetí Smlouvy o založení Evropského hospodářského společenství až po </w:t>
      </w:r>
      <w:r w:rsidR="00824D84">
        <w:t>S</w:t>
      </w:r>
      <w:r w:rsidR="009C53F4">
        <w:t xml:space="preserve">mlouvu z Nice. Čtvrtá kapitola se naproti tomu věnuje změnám, které zavedla Lisabonská smlouva, nebo změnám, které samotná smlouva nezavádí, ale její znění umožnilo jejich vznik. Jedná se především o proceduru </w:t>
      </w:r>
      <w:proofErr w:type="spellStart"/>
      <w:r w:rsidR="009C53F4">
        <w:t>Spitzenkandidaten</w:t>
      </w:r>
      <w:proofErr w:type="spellEnd"/>
      <w:r w:rsidR="009C53F4">
        <w:t>. Na základě informací zjištěných touto analytickou částí, pak bude možné odpovědět na stanovenou výzkumnou otázku a zhodnotit výsledky práce.</w:t>
      </w:r>
    </w:p>
    <w:p w14:paraId="03BA71C7" w14:textId="16E7A907" w:rsidR="009C53F4" w:rsidRPr="009C53F4" w:rsidRDefault="009C53F4" w:rsidP="00487022">
      <w:pPr>
        <w:spacing w:line="360" w:lineRule="auto"/>
      </w:pPr>
      <w:r w:rsidRPr="009C53F4">
        <w:rPr>
          <w:i/>
          <w:iCs/>
        </w:rPr>
        <w:t xml:space="preserve">Klíčová slova: </w:t>
      </w:r>
      <w:r>
        <w:t>Demokratický deficit, Lisabonská smlouva, Evropská unie</w:t>
      </w:r>
      <w:r w:rsidR="006B308E">
        <w:t>, Legitimita</w:t>
      </w:r>
    </w:p>
    <w:p w14:paraId="7667A91D" w14:textId="77777777" w:rsidR="006F42CE" w:rsidRPr="006F42CE" w:rsidRDefault="006F42CE" w:rsidP="006F42CE">
      <w:pPr>
        <w:pStyle w:val="Nadpis1"/>
        <w:spacing w:line="360" w:lineRule="auto"/>
        <w:rPr>
          <w:lang w:val="en"/>
        </w:rPr>
      </w:pPr>
      <w:bookmarkStart w:id="34" w:name="_Toc70660117"/>
      <w:r w:rsidRPr="006F42CE">
        <w:rPr>
          <w:lang w:val="en"/>
        </w:rPr>
        <w:t>Abstract</w:t>
      </w:r>
      <w:bookmarkEnd w:id="34"/>
    </w:p>
    <w:p w14:paraId="01CFA1CB" w14:textId="1D7CFD96" w:rsidR="006F42CE" w:rsidRDefault="006F42CE" w:rsidP="006F42CE">
      <w:pPr>
        <w:spacing w:line="360" w:lineRule="auto"/>
        <w:rPr>
          <w:lang w:val="en"/>
        </w:rPr>
      </w:pPr>
      <w:r w:rsidRPr="006F42CE">
        <w:rPr>
          <w:lang w:val="en"/>
        </w:rPr>
        <w:t xml:space="preserve">The bachelor thesis deals with the analysis of reforms introduced by the adoption of the Lisbon Treaty. The thesis aims to examine whether the democratic deficit in the European Union has been reduced using three theoretical concepts. The bachelor thesis is divided into four main chapters. First, attention will be paid to defining the main concepts that are closely related to the democratic deficit. These are the concepts of European integration, legitimacy, and ultimately the democratic deficit itself. Then I will focus on the main concepts based on which the theoretical part of this work is developed. The third and fourth chapters are then devoted to the analytical part. The third chapter summarizes the development of the individual institutions of the European Union from the adoption of the Treaty establishing the European Economic Community to the Treaty of Nice. The fourth chapter, on the other hand, deals with the changes introduced by the Treaty of Lisbon, or with changes which the Treaty itself does not introduce, </w:t>
      </w:r>
      <w:r w:rsidR="001E7656" w:rsidRPr="001E7656">
        <w:rPr>
          <w:lang w:val="en"/>
        </w:rPr>
        <w:t>but the formulation of the treaty made its development possible</w:t>
      </w:r>
      <w:r w:rsidRPr="006F42CE">
        <w:rPr>
          <w:lang w:val="en"/>
        </w:rPr>
        <w:t xml:space="preserve">. This is mainly the </w:t>
      </w:r>
      <w:proofErr w:type="spellStart"/>
      <w:r w:rsidRPr="006F42CE">
        <w:rPr>
          <w:lang w:val="en"/>
        </w:rPr>
        <w:t>Spitzenkandidaten</w:t>
      </w:r>
      <w:proofErr w:type="spellEnd"/>
      <w:r w:rsidRPr="006F42CE">
        <w:rPr>
          <w:lang w:val="en"/>
        </w:rPr>
        <w:t xml:space="preserve"> procedure. </w:t>
      </w:r>
      <w:r w:rsidRPr="006F42CE">
        <w:rPr>
          <w:lang w:val="en"/>
        </w:rPr>
        <w:lastRenderedPageBreak/>
        <w:t>Based on the information found in this analytical part, it will then be possible to answer a set research question and evaluate the results of the work.</w:t>
      </w:r>
    </w:p>
    <w:p w14:paraId="2EEF807A" w14:textId="2487B1A3" w:rsidR="006F42CE" w:rsidRPr="006F42CE" w:rsidRDefault="006F42CE" w:rsidP="006F42CE">
      <w:pPr>
        <w:spacing w:line="360" w:lineRule="auto"/>
      </w:pPr>
      <w:r w:rsidRPr="006F42CE">
        <w:rPr>
          <w:i/>
          <w:iCs/>
          <w:lang w:val="en"/>
        </w:rPr>
        <w:t>Key words:</w:t>
      </w:r>
      <w:r>
        <w:rPr>
          <w:i/>
          <w:iCs/>
          <w:lang w:val="en"/>
        </w:rPr>
        <w:t xml:space="preserve"> </w:t>
      </w:r>
      <w:r>
        <w:rPr>
          <w:lang w:val="en"/>
        </w:rPr>
        <w:t>Democratic deficit, Lisbon Treaty, European Union</w:t>
      </w:r>
      <w:r w:rsidR="006B308E">
        <w:rPr>
          <w:lang w:val="en"/>
        </w:rPr>
        <w:t>, Legitimacy</w:t>
      </w:r>
    </w:p>
    <w:p w14:paraId="2B30BF61" w14:textId="77777777" w:rsidR="00487022" w:rsidRPr="00487022" w:rsidRDefault="00487022" w:rsidP="00487022">
      <w:pPr>
        <w:spacing w:line="360" w:lineRule="auto"/>
      </w:pPr>
    </w:p>
    <w:sectPr w:rsidR="00487022" w:rsidRPr="00487022" w:rsidSect="00134B1C">
      <w:headerReference w:type="default" r:id="rId11"/>
      <w:footerReference w:type="default" r:id="rId12"/>
      <w:pgSz w:w="11906" w:h="16838"/>
      <w:pgMar w:top="1418" w:right="1701"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2C03" w14:textId="77777777" w:rsidR="00B14EBC" w:rsidRDefault="00B14EBC" w:rsidP="00736E49">
      <w:pPr>
        <w:spacing w:after="0" w:line="240" w:lineRule="auto"/>
      </w:pPr>
      <w:r>
        <w:separator/>
      </w:r>
    </w:p>
  </w:endnote>
  <w:endnote w:type="continuationSeparator" w:id="0">
    <w:p w14:paraId="1878E283" w14:textId="77777777" w:rsidR="00B14EBC" w:rsidRDefault="00B14EBC" w:rsidP="0073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56E6" w14:textId="1F15ED25" w:rsidR="006A1629" w:rsidRDefault="006A1629">
    <w:pPr>
      <w:pStyle w:val="Zpat"/>
      <w:jc w:val="right"/>
    </w:pPr>
  </w:p>
  <w:p w14:paraId="25AD59D8" w14:textId="77777777" w:rsidR="006A1629" w:rsidRDefault="006A1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34852"/>
      <w:docPartObj>
        <w:docPartGallery w:val="Page Numbers (Bottom of Page)"/>
        <w:docPartUnique/>
      </w:docPartObj>
    </w:sdtPr>
    <w:sdtContent>
      <w:p w14:paraId="7821C055" w14:textId="40E5B554" w:rsidR="006A1629" w:rsidRDefault="006A1629">
        <w:pPr>
          <w:pStyle w:val="Zpat"/>
          <w:jc w:val="right"/>
        </w:pPr>
        <w:r>
          <w:fldChar w:fldCharType="begin"/>
        </w:r>
        <w:r>
          <w:instrText>PAGE   \* MERGEFORMAT</w:instrText>
        </w:r>
        <w:r>
          <w:fldChar w:fldCharType="separate"/>
        </w:r>
        <w:r>
          <w:rPr>
            <w:noProof/>
          </w:rPr>
          <w:t>12</w:t>
        </w:r>
        <w:r>
          <w:fldChar w:fldCharType="end"/>
        </w:r>
      </w:p>
    </w:sdtContent>
  </w:sdt>
  <w:p w14:paraId="417776D0" w14:textId="77777777" w:rsidR="006A1629" w:rsidRDefault="006A1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809C" w14:textId="77777777" w:rsidR="00B14EBC" w:rsidRDefault="00B14EBC" w:rsidP="00736E49">
      <w:pPr>
        <w:spacing w:after="0" w:line="240" w:lineRule="auto"/>
      </w:pPr>
      <w:r>
        <w:separator/>
      </w:r>
    </w:p>
  </w:footnote>
  <w:footnote w:type="continuationSeparator" w:id="0">
    <w:p w14:paraId="605DA2CE" w14:textId="77777777" w:rsidR="00B14EBC" w:rsidRDefault="00B14EBC" w:rsidP="00736E49">
      <w:pPr>
        <w:spacing w:after="0" w:line="240" w:lineRule="auto"/>
      </w:pPr>
      <w:r>
        <w:continuationSeparator/>
      </w:r>
    </w:p>
  </w:footnote>
  <w:footnote w:id="1">
    <w:p w14:paraId="41621485" w14:textId="77777777" w:rsidR="006A1629" w:rsidRPr="00743AD4" w:rsidRDefault="006A1629" w:rsidP="00743AD4">
      <w:pPr>
        <w:pStyle w:val="Textpoznpodarou"/>
      </w:pPr>
      <w:r>
        <w:rPr>
          <w:rStyle w:val="Znakapoznpodarou"/>
        </w:rPr>
        <w:footnoteRef/>
      </w:r>
      <w:r>
        <w:t xml:space="preserve"> </w:t>
      </w:r>
      <w:r w:rsidRPr="00743AD4">
        <w:t xml:space="preserve">„Většinová nebo </w:t>
      </w:r>
      <w:proofErr w:type="spellStart"/>
      <w:r w:rsidRPr="00743AD4">
        <w:t>westminsterská</w:t>
      </w:r>
      <w:proofErr w:type="spellEnd"/>
      <w:r w:rsidRPr="00743AD4">
        <w:t xml:space="preserve"> demokracie, je to, na co si většina lidí okamžitě vzpomene, když uvažuje o demokracii: vládne zákonodárný sbor zvolený prostou většinou voličů, kteří vyhodí vládnoucí stranu, pokud vládne špatně. Velká Británie představuje nejlepší příklad tohoto typu demokracie, proto termín </w:t>
      </w:r>
      <w:proofErr w:type="spellStart"/>
      <w:r w:rsidRPr="00743AD4">
        <w:t>Westminster</w:t>
      </w:r>
      <w:proofErr w:type="spellEnd"/>
      <w:r w:rsidRPr="00743AD4">
        <w:t>“. (Brown ,2021)</w:t>
      </w:r>
    </w:p>
    <w:p w14:paraId="3C64881D" w14:textId="6ABA1033" w:rsidR="006A1629" w:rsidRDefault="006A1629">
      <w:pPr>
        <w:pStyle w:val="Textpoznpodarou"/>
      </w:pPr>
    </w:p>
  </w:footnote>
  <w:footnote w:id="2">
    <w:p w14:paraId="22035E6B" w14:textId="2FF47744" w:rsidR="006A1629" w:rsidRPr="00164852" w:rsidRDefault="006A1629" w:rsidP="00C234B0">
      <w:pPr>
        <w:pStyle w:val="Textpoznpodarou"/>
      </w:pPr>
      <w:r>
        <w:rPr>
          <w:rStyle w:val="Znakapoznpodarou"/>
        </w:rPr>
        <w:footnoteRef/>
      </w:r>
      <w:r>
        <w:t xml:space="preserve"> Systém „</w:t>
      </w:r>
      <w:proofErr w:type="spellStart"/>
      <w:r>
        <w:t>Checks</w:t>
      </w:r>
      <w:proofErr w:type="spellEnd"/>
      <w:r>
        <w:t xml:space="preserve"> and </w:t>
      </w:r>
      <w:proofErr w:type="spellStart"/>
      <w:r>
        <w:t>Balances</w:t>
      </w:r>
      <w:proofErr w:type="spellEnd"/>
      <w:r>
        <w:t xml:space="preserve">“ je mechanismus, který zajišťuje, aby v systému dělby moci žádná složka nezískala výsadní postavení a neohrozila demokratičnost politického zřízení. </w:t>
      </w:r>
      <w:r w:rsidRPr="00164852">
        <w:t xml:space="preserve">Diferenciace funkce, jak ji pojímá </w:t>
      </w:r>
      <w:proofErr w:type="spellStart"/>
      <w:r w:rsidRPr="00164852">
        <w:t>Montesquieu</w:t>
      </w:r>
      <w:proofErr w:type="spellEnd"/>
      <w:r w:rsidRPr="00164852">
        <w:t xml:space="preserve">, podporuje efektivnější fungování každé ze základních vládních </w:t>
      </w:r>
      <w:proofErr w:type="spellStart"/>
      <w:r>
        <w:t>fukncí</w:t>
      </w:r>
      <w:proofErr w:type="spellEnd"/>
      <w:r>
        <w:t xml:space="preserve"> (exekutivní, legislativní a soudní funkce)</w:t>
      </w:r>
      <w:r w:rsidRPr="00164852">
        <w:t>. A protože jednotlivé funkce vlády jsou umístěny v různých rukou, žádný jednotlivec nebo skupina nemůže monopolizovat politick</w:t>
      </w:r>
      <w:r>
        <w:t>ou moc (Krause, 2000).</w:t>
      </w:r>
    </w:p>
    <w:p w14:paraId="6831EA51" w14:textId="7649FD05" w:rsidR="006A1629" w:rsidRDefault="006A1629">
      <w:pPr>
        <w:pStyle w:val="Textpoznpodarou"/>
      </w:pPr>
    </w:p>
  </w:footnote>
  <w:footnote w:id="3">
    <w:p w14:paraId="56E0DB10" w14:textId="7BB43CDA" w:rsidR="006A1629" w:rsidRDefault="006A1629">
      <w:pPr>
        <w:pStyle w:val="Textpoznpodarou"/>
      </w:pPr>
      <w:r>
        <w:rPr>
          <w:rStyle w:val="Znakapoznpodarou"/>
        </w:rPr>
        <w:footnoteRef/>
      </w:r>
      <w:r>
        <w:t xml:space="preserve">  Nicméně právní subjektivitu získala Evropská unie až s Lisabonskou smlouvou, která </w:t>
      </w:r>
      <w:r w:rsidRPr="006220F1">
        <w:t>přejmenov</w:t>
      </w:r>
      <w:r>
        <w:t>ala Smlouvu</w:t>
      </w:r>
      <w:r w:rsidRPr="006220F1">
        <w:t xml:space="preserve"> o založení Evropského společenstv</w:t>
      </w:r>
      <w:r>
        <w:t>í</w:t>
      </w:r>
      <w:r w:rsidRPr="006220F1">
        <w:t xml:space="preserve"> na „Smlouvu o fungování Evropské unie“ (SFEU) a pojem „Společenství“ je v celém textu nahrazen pojmem „Unie“</w:t>
      </w:r>
      <w:r>
        <w:t xml:space="preserve"> (</w:t>
      </w:r>
      <w:proofErr w:type="spellStart"/>
      <w:r>
        <w:t>Pavy</w:t>
      </w:r>
      <w:proofErr w:type="spellEnd"/>
      <w:r>
        <w:t>, 2020).</w:t>
      </w:r>
    </w:p>
  </w:footnote>
  <w:footnote w:id="4">
    <w:p w14:paraId="00545362" w14:textId="46C16C26" w:rsidR="006A1629" w:rsidRDefault="006A1629">
      <w:pPr>
        <w:pStyle w:val="Textpoznpodarou"/>
      </w:pPr>
      <w:r>
        <w:rPr>
          <w:rStyle w:val="Znakapoznpodarou"/>
        </w:rPr>
        <w:footnoteRef/>
      </w:r>
      <w:r>
        <w:t xml:space="preserve"> Známé pod pojmem irské záruky.</w:t>
      </w:r>
    </w:p>
  </w:footnote>
  <w:footnote w:id="5">
    <w:p w14:paraId="548AA27C" w14:textId="77777777" w:rsidR="006A1629" w:rsidRDefault="006A1629" w:rsidP="00C234B0">
      <w:pPr>
        <w:pStyle w:val="Textpoznpodarou"/>
      </w:pPr>
      <w:r>
        <w:rPr>
          <w:rStyle w:val="Znakapoznpodarou"/>
        </w:rPr>
        <w:footnoteRef/>
      </w:r>
      <w:r>
        <w:t xml:space="preserve"> Princip subsidiarity funguje následovně</w:t>
      </w:r>
      <w:r w:rsidRPr="00706A4F">
        <w:rPr>
          <w:i/>
          <w:iCs/>
        </w:rPr>
        <w:t xml:space="preserve">: „Rada </w:t>
      </w:r>
      <w:proofErr w:type="spellStart"/>
      <w:r w:rsidRPr="00706A4F">
        <w:rPr>
          <w:i/>
          <w:iCs/>
        </w:rPr>
        <w:t>jednomyselne</w:t>
      </w:r>
      <w:proofErr w:type="spellEnd"/>
      <w:r w:rsidRPr="00706A4F">
        <w:rPr>
          <w:i/>
          <w:iCs/>
        </w:rPr>
        <w:t xml:space="preserve"> na návrh </w:t>
      </w:r>
      <w:proofErr w:type="spellStart"/>
      <w:r w:rsidRPr="00706A4F">
        <w:rPr>
          <w:i/>
          <w:iCs/>
        </w:rPr>
        <w:t>Komisie</w:t>
      </w:r>
      <w:proofErr w:type="spellEnd"/>
      <w:r w:rsidRPr="00706A4F">
        <w:rPr>
          <w:i/>
          <w:iCs/>
        </w:rPr>
        <w:t xml:space="preserve"> a po </w:t>
      </w:r>
      <w:proofErr w:type="spellStart"/>
      <w:r w:rsidRPr="00706A4F">
        <w:rPr>
          <w:i/>
          <w:iCs/>
        </w:rPr>
        <w:t>konzultácii</w:t>
      </w:r>
      <w:proofErr w:type="spellEnd"/>
      <w:r w:rsidRPr="00706A4F">
        <w:rPr>
          <w:i/>
          <w:iCs/>
        </w:rPr>
        <w:t xml:space="preserve"> s </w:t>
      </w:r>
      <w:proofErr w:type="spellStart"/>
      <w:r w:rsidRPr="00706A4F">
        <w:rPr>
          <w:i/>
          <w:iCs/>
        </w:rPr>
        <w:t>Európskym</w:t>
      </w:r>
      <w:proofErr w:type="spellEnd"/>
      <w:r w:rsidRPr="00706A4F">
        <w:rPr>
          <w:i/>
          <w:iCs/>
        </w:rPr>
        <w:t xml:space="preserve"> </w:t>
      </w:r>
      <w:proofErr w:type="spellStart"/>
      <w:r w:rsidRPr="00706A4F">
        <w:rPr>
          <w:i/>
          <w:iCs/>
        </w:rPr>
        <w:t>parlamentom</w:t>
      </w:r>
      <w:proofErr w:type="spellEnd"/>
      <w:r w:rsidRPr="00706A4F">
        <w:rPr>
          <w:i/>
          <w:iCs/>
        </w:rPr>
        <w:t xml:space="preserve"> a </w:t>
      </w:r>
      <w:proofErr w:type="spellStart"/>
      <w:r w:rsidRPr="00706A4F">
        <w:rPr>
          <w:i/>
          <w:iCs/>
        </w:rPr>
        <w:t>Hospodárskym</w:t>
      </w:r>
      <w:proofErr w:type="spellEnd"/>
      <w:r w:rsidRPr="00706A4F">
        <w:rPr>
          <w:i/>
          <w:iCs/>
        </w:rPr>
        <w:t xml:space="preserve"> a </w:t>
      </w:r>
      <w:proofErr w:type="spellStart"/>
      <w:r w:rsidRPr="00706A4F">
        <w:rPr>
          <w:i/>
          <w:iCs/>
        </w:rPr>
        <w:t>sociálnym</w:t>
      </w:r>
      <w:proofErr w:type="spellEnd"/>
      <w:r w:rsidRPr="00706A4F">
        <w:rPr>
          <w:i/>
          <w:iCs/>
        </w:rPr>
        <w:t xml:space="preserve"> </w:t>
      </w:r>
      <w:proofErr w:type="spellStart"/>
      <w:r w:rsidRPr="00706A4F">
        <w:rPr>
          <w:i/>
          <w:iCs/>
        </w:rPr>
        <w:t>výborom</w:t>
      </w:r>
      <w:proofErr w:type="spellEnd"/>
      <w:r w:rsidRPr="00706A4F">
        <w:rPr>
          <w:i/>
          <w:iCs/>
        </w:rPr>
        <w:t xml:space="preserve"> vydává </w:t>
      </w:r>
      <w:proofErr w:type="spellStart"/>
      <w:r w:rsidRPr="00706A4F">
        <w:rPr>
          <w:i/>
          <w:iCs/>
        </w:rPr>
        <w:t>smernice</w:t>
      </w:r>
      <w:proofErr w:type="spellEnd"/>
      <w:r w:rsidRPr="00706A4F">
        <w:rPr>
          <w:i/>
          <w:iCs/>
        </w:rPr>
        <w:t xml:space="preserve"> za </w:t>
      </w:r>
      <w:proofErr w:type="spellStart"/>
      <w:r w:rsidRPr="00706A4F">
        <w:rPr>
          <w:i/>
          <w:iCs/>
        </w:rPr>
        <w:t>účelom</w:t>
      </w:r>
      <w:proofErr w:type="spellEnd"/>
      <w:r w:rsidRPr="00706A4F">
        <w:rPr>
          <w:i/>
          <w:iCs/>
        </w:rPr>
        <w:t xml:space="preserve"> </w:t>
      </w:r>
      <w:proofErr w:type="spellStart"/>
      <w:r w:rsidRPr="00706A4F">
        <w:rPr>
          <w:i/>
          <w:iCs/>
        </w:rPr>
        <w:t>zbližovania</w:t>
      </w:r>
      <w:proofErr w:type="spellEnd"/>
      <w:r w:rsidRPr="00706A4F">
        <w:rPr>
          <w:i/>
          <w:iCs/>
        </w:rPr>
        <w:t xml:space="preserve"> </w:t>
      </w:r>
      <w:proofErr w:type="spellStart"/>
      <w:r w:rsidRPr="00706A4F">
        <w:rPr>
          <w:i/>
          <w:iCs/>
        </w:rPr>
        <w:t>tých</w:t>
      </w:r>
      <w:proofErr w:type="spellEnd"/>
      <w:r w:rsidRPr="00706A4F">
        <w:rPr>
          <w:i/>
          <w:iCs/>
        </w:rPr>
        <w:t xml:space="preserve"> </w:t>
      </w:r>
      <w:proofErr w:type="spellStart"/>
      <w:r w:rsidRPr="00706A4F">
        <w:rPr>
          <w:i/>
          <w:iCs/>
        </w:rPr>
        <w:t>zákonov</w:t>
      </w:r>
      <w:proofErr w:type="spellEnd"/>
      <w:r w:rsidRPr="00706A4F">
        <w:rPr>
          <w:i/>
          <w:iCs/>
        </w:rPr>
        <w:t xml:space="preserve"> a </w:t>
      </w:r>
      <w:proofErr w:type="spellStart"/>
      <w:r w:rsidRPr="00706A4F">
        <w:rPr>
          <w:i/>
          <w:iCs/>
        </w:rPr>
        <w:t>iných</w:t>
      </w:r>
      <w:proofErr w:type="spellEnd"/>
      <w:r w:rsidRPr="00706A4F">
        <w:rPr>
          <w:i/>
          <w:iCs/>
        </w:rPr>
        <w:t xml:space="preserve"> </w:t>
      </w:r>
      <w:proofErr w:type="spellStart"/>
      <w:r w:rsidRPr="00706A4F">
        <w:rPr>
          <w:i/>
          <w:iCs/>
        </w:rPr>
        <w:t>predpisov</w:t>
      </w:r>
      <w:proofErr w:type="spellEnd"/>
      <w:r w:rsidRPr="00706A4F">
        <w:rPr>
          <w:i/>
          <w:iCs/>
        </w:rPr>
        <w:t xml:space="preserve"> členských </w:t>
      </w:r>
      <w:proofErr w:type="spellStart"/>
      <w:r w:rsidRPr="00706A4F">
        <w:rPr>
          <w:i/>
          <w:iCs/>
        </w:rPr>
        <w:t>štátov</w:t>
      </w:r>
      <w:proofErr w:type="spellEnd"/>
      <w:r w:rsidRPr="00706A4F">
        <w:rPr>
          <w:i/>
          <w:iCs/>
        </w:rPr>
        <w:t xml:space="preserve">, </w:t>
      </w:r>
      <w:proofErr w:type="spellStart"/>
      <w:r w:rsidRPr="00706A4F">
        <w:rPr>
          <w:i/>
          <w:iCs/>
        </w:rPr>
        <w:t>ktoré</w:t>
      </w:r>
      <w:proofErr w:type="spellEnd"/>
      <w:r w:rsidRPr="00706A4F">
        <w:rPr>
          <w:i/>
          <w:iCs/>
        </w:rPr>
        <w:t xml:space="preserve"> </w:t>
      </w:r>
      <w:proofErr w:type="spellStart"/>
      <w:r w:rsidRPr="00706A4F">
        <w:rPr>
          <w:i/>
          <w:iCs/>
        </w:rPr>
        <w:t>majů</w:t>
      </w:r>
      <w:proofErr w:type="spellEnd"/>
      <w:r w:rsidRPr="00706A4F">
        <w:rPr>
          <w:i/>
          <w:iCs/>
        </w:rPr>
        <w:t xml:space="preserve"> </w:t>
      </w:r>
      <w:proofErr w:type="spellStart"/>
      <w:r w:rsidRPr="00706A4F">
        <w:rPr>
          <w:i/>
          <w:iCs/>
        </w:rPr>
        <w:t>priamy</w:t>
      </w:r>
      <w:proofErr w:type="spellEnd"/>
      <w:r w:rsidRPr="00706A4F">
        <w:rPr>
          <w:i/>
          <w:iCs/>
        </w:rPr>
        <w:t xml:space="preserve"> dopad na </w:t>
      </w:r>
      <w:proofErr w:type="spellStart"/>
      <w:r w:rsidRPr="00706A4F">
        <w:rPr>
          <w:i/>
          <w:iCs/>
        </w:rPr>
        <w:t>vytváranie</w:t>
      </w:r>
      <w:proofErr w:type="spellEnd"/>
      <w:r w:rsidRPr="00706A4F">
        <w:rPr>
          <w:i/>
          <w:iCs/>
        </w:rPr>
        <w:t xml:space="preserve"> </w:t>
      </w:r>
      <w:proofErr w:type="spellStart"/>
      <w:r w:rsidRPr="00706A4F">
        <w:rPr>
          <w:i/>
          <w:iCs/>
        </w:rPr>
        <w:t>alebo</w:t>
      </w:r>
      <w:proofErr w:type="spellEnd"/>
      <w:r w:rsidRPr="00706A4F">
        <w:rPr>
          <w:i/>
          <w:iCs/>
        </w:rPr>
        <w:t xml:space="preserve"> </w:t>
      </w:r>
      <w:proofErr w:type="spellStart"/>
      <w:r w:rsidRPr="00706A4F">
        <w:rPr>
          <w:i/>
          <w:iCs/>
        </w:rPr>
        <w:t>fungovanie</w:t>
      </w:r>
      <w:proofErr w:type="spellEnd"/>
      <w:r w:rsidRPr="00706A4F">
        <w:rPr>
          <w:i/>
          <w:iCs/>
        </w:rPr>
        <w:t xml:space="preserve"> </w:t>
      </w:r>
      <w:proofErr w:type="spellStart"/>
      <w:r w:rsidRPr="00706A4F">
        <w:rPr>
          <w:i/>
          <w:iCs/>
        </w:rPr>
        <w:t>spoločného</w:t>
      </w:r>
      <w:proofErr w:type="spellEnd"/>
      <w:r w:rsidRPr="00706A4F">
        <w:rPr>
          <w:i/>
          <w:iCs/>
        </w:rPr>
        <w:t xml:space="preserve"> trhu."</w:t>
      </w:r>
      <w:r>
        <w:t xml:space="preserve"> (Kunová, 1999)</w:t>
      </w:r>
    </w:p>
    <w:p w14:paraId="79839D40" w14:textId="65885399" w:rsidR="006A1629" w:rsidRDefault="006A1629">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742" w14:textId="77777777" w:rsidR="006A1629" w:rsidRDefault="006A16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A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C1035"/>
    <w:multiLevelType w:val="multilevel"/>
    <w:tmpl w:val="0405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2" w15:restartNumberingAfterBreak="0">
    <w:nsid w:val="06383F74"/>
    <w:multiLevelType w:val="hybridMultilevel"/>
    <w:tmpl w:val="4FA02E0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8388F"/>
    <w:multiLevelType w:val="hybridMultilevel"/>
    <w:tmpl w:val="7026C3CE"/>
    <w:lvl w:ilvl="0" w:tplc="3E70BDD0">
      <w:start w:val="1"/>
      <w:numFmt w:val="decimal"/>
      <w:lvlText w:val="3.%1"/>
      <w:lvlJc w:val="left"/>
      <w:pPr>
        <w:ind w:left="502" w:hanging="360"/>
      </w:pPr>
      <w:rPr>
        <w:rFonts w:ascii="Times New Roman" w:hAnsi="Times New Roman" w:cs="Times New Roman" w:hint="default"/>
        <w:sz w:val="28"/>
        <w:szCs w:val="28"/>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EAD3645"/>
    <w:multiLevelType w:val="hybridMultilevel"/>
    <w:tmpl w:val="782CA186"/>
    <w:lvl w:ilvl="0" w:tplc="0405000F">
      <w:start w:val="1"/>
      <w:numFmt w:val="decimal"/>
      <w:lvlText w:val="%1."/>
      <w:lvlJc w:val="left"/>
      <w:pPr>
        <w:ind w:left="790" w:hanging="360"/>
      </w:p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5" w15:restartNumberingAfterBreak="0">
    <w:nsid w:val="113E2DB9"/>
    <w:multiLevelType w:val="hybridMultilevel"/>
    <w:tmpl w:val="83524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53A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90CA0"/>
    <w:multiLevelType w:val="multilevel"/>
    <w:tmpl w:val="910CF7F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21566"/>
    <w:multiLevelType w:val="hybridMultilevel"/>
    <w:tmpl w:val="5EF8B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2311D1"/>
    <w:multiLevelType w:val="multilevel"/>
    <w:tmpl w:val="0405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1C99413C"/>
    <w:multiLevelType w:val="hybridMultilevel"/>
    <w:tmpl w:val="A880B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3C16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14AB9"/>
    <w:multiLevelType w:val="hybridMultilevel"/>
    <w:tmpl w:val="DDB05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806AD3"/>
    <w:multiLevelType w:val="multilevel"/>
    <w:tmpl w:val="910CF7F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2256E"/>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5" w15:restartNumberingAfterBreak="0">
    <w:nsid w:val="264146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0235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E740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C068B"/>
    <w:multiLevelType w:val="hybridMultilevel"/>
    <w:tmpl w:val="6AAC9EAC"/>
    <w:lvl w:ilvl="0" w:tplc="A030E164">
      <w:start w:val="3"/>
      <w:numFmt w:val="decimal"/>
      <w:lvlText w:val="%1"/>
      <w:lvlJc w:val="left"/>
      <w:pPr>
        <w:ind w:left="720" w:hanging="360"/>
      </w:pPr>
      <w:rPr>
        <w:rFonts w:ascii="Times New Roman" w:hAnsi="Times New Roman" w:cs="Times New Roman"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D3ED2"/>
    <w:multiLevelType w:val="hybridMultilevel"/>
    <w:tmpl w:val="9E22E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F659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23E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E1E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26883"/>
    <w:multiLevelType w:val="multilevel"/>
    <w:tmpl w:val="910CF7F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73B73"/>
    <w:multiLevelType w:val="multilevel"/>
    <w:tmpl w:val="7ABE667A"/>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ED3DBC"/>
    <w:multiLevelType w:val="hybridMultilevel"/>
    <w:tmpl w:val="23C24776"/>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4D34753"/>
    <w:multiLevelType w:val="hybridMultilevel"/>
    <w:tmpl w:val="5EF8B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B02B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6D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45290"/>
    <w:multiLevelType w:val="multilevel"/>
    <w:tmpl w:val="DDC8BFB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0" w15:restartNumberingAfterBreak="0">
    <w:nsid w:val="6F096E1B"/>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1" w15:restartNumberingAfterBreak="0">
    <w:nsid w:val="79FA2D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BB7BA9"/>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8"/>
  </w:num>
  <w:num w:numId="2">
    <w:abstractNumId w:val="31"/>
  </w:num>
  <w:num w:numId="3">
    <w:abstractNumId w:val="27"/>
  </w:num>
  <w:num w:numId="4">
    <w:abstractNumId w:val="30"/>
  </w:num>
  <w:num w:numId="5">
    <w:abstractNumId w:val="16"/>
  </w:num>
  <w:num w:numId="6">
    <w:abstractNumId w:val="0"/>
  </w:num>
  <w:num w:numId="7">
    <w:abstractNumId w:val="14"/>
  </w:num>
  <w:num w:numId="8">
    <w:abstractNumId w:val="22"/>
  </w:num>
  <w:num w:numId="9">
    <w:abstractNumId w:val="13"/>
  </w:num>
  <w:num w:numId="10">
    <w:abstractNumId w:val="20"/>
  </w:num>
  <w:num w:numId="11">
    <w:abstractNumId w:val="28"/>
  </w:num>
  <w:num w:numId="12">
    <w:abstractNumId w:val="26"/>
  </w:num>
  <w:num w:numId="13">
    <w:abstractNumId w:val="5"/>
  </w:num>
  <w:num w:numId="14">
    <w:abstractNumId w:val="19"/>
  </w:num>
  <w:num w:numId="15">
    <w:abstractNumId w:val="10"/>
  </w:num>
  <w:num w:numId="16">
    <w:abstractNumId w:val="25"/>
  </w:num>
  <w:num w:numId="17">
    <w:abstractNumId w:val="12"/>
  </w:num>
  <w:num w:numId="18">
    <w:abstractNumId w:val="2"/>
  </w:num>
  <w:num w:numId="19">
    <w:abstractNumId w:val="11"/>
  </w:num>
  <w:num w:numId="20">
    <w:abstractNumId w:val="32"/>
  </w:num>
  <w:num w:numId="21">
    <w:abstractNumId w:val="9"/>
  </w:num>
  <w:num w:numId="22">
    <w:abstractNumId w:val="17"/>
  </w:num>
  <w:num w:numId="23">
    <w:abstractNumId w:val="15"/>
  </w:num>
  <w:num w:numId="24">
    <w:abstractNumId w:val="21"/>
  </w:num>
  <w:num w:numId="25">
    <w:abstractNumId w:val="1"/>
  </w:num>
  <w:num w:numId="26">
    <w:abstractNumId w:val="29"/>
  </w:num>
  <w:num w:numId="27">
    <w:abstractNumId w:val="6"/>
  </w:num>
  <w:num w:numId="28">
    <w:abstractNumId w:val="24"/>
  </w:num>
  <w:num w:numId="29">
    <w:abstractNumId w:val="4"/>
  </w:num>
  <w:num w:numId="30">
    <w:abstractNumId w:val="3"/>
  </w:num>
  <w:num w:numId="31">
    <w:abstractNumId w:val="23"/>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919"/>
    <w:rsid w:val="00002C0A"/>
    <w:rsid w:val="00005CB9"/>
    <w:rsid w:val="0000742D"/>
    <w:rsid w:val="00010472"/>
    <w:rsid w:val="00014EF2"/>
    <w:rsid w:val="000220B7"/>
    <w:rsid w:val="00022296"/>
    <w:rsid w:val="00022954"/>
    <w:rsid w:val="000251DC"/>
    <w:rsid w:val="00026893"/>
    <w:rsid w:val="000328CA"/>
    <w:rsid w:val="00040B97"/>
    <w:rsid w:val="0004437A"/>
    <w:rsid w:val="00045214"/>
    <w:rsid w:val="00051427"/>
    <w:rsid w:val="000532AD"/>
    <w:rsid w:val="000566E6"/>
    <w:rsid w:val="00056BA9"/>
    <w:rsid w:val="00066A57"/>
    <w:rsid w:val="00072264"/>
    <w:rsid w:val="0007254B"/>
    <w:rsid w:val="00077753"/>
    <w:rsid w:val="0009368E"/>
    <w:rsid w:val="00097740"/>
    <w:rsid w:val="000A020F"/>
    <w:rsid w:val="000A2FDA"/>
    <w:rsid w:val="000A4F71"/>
    <w:rsid w:val="000A5FEA"/>
    <w:rsid w:val="000B4526"/>
    <w:rsid w:val="000B45FD"/>
    <w:rsid w:val="000B4967"/>
    <w:rsid w:val="000C6078"/>
    <w:rsid w:val="000C6EB4"/>
    <w:rsid w:val="000D38F2"/>
    <w:rsid w:val="000D4870"/>
    <w:rsid w:val="000D731C"/>
    <w:rsid w:val="000D76B2"/>
    <w:rsid w:val="000E0A41"/>
    <w:rsid w:val="000E2D19"/>
    <w:rsid w:val="000E3BAF"/>
    <w:rsid w:val="000E7FC8"/>
    <w:rsid w:val="000F0A9D"/>
    <w:rsid w:val="000F40F8"/>
    <w:rsid w:val="000F4A05"/>
    <w:rsid w:val="000F5F07"/>
    <w:rsid w:val="000F6296"/>
    <w:rsid w:val="000F7180"/>
    <w:rsid w:val="001033A2"/>
    <w:rsid w:val="0011590C"/>
    <w:rsid w:val="0011633B"/>
    <w:rsid w:val="0012280E"/>
    <w:rsid w:val="001259A2"/>
    <w:rsid w:val="0012725F"/>
    <w:rsid w:val="00127613"/>
    <w:rsid w:val="00132F90"/>
    <w:rsid w:val="001341B6"/>
    <w:rsid w:val="00134B1C"/>
    <w:rsid w:val="001428A4"/>
    <w:rsid w:val="00142FD7"/>
    <w:rsid w:val="00144D1B"/>
    <w:rsid w:val="001531CE"/>
    <w:rsid w:val="00161435"/>
    <w:rsid w:val="0016407D"/>
    <w:rsid w:val="0016685D"/>
    <w:rsid w:val="001676FD"/>
    <w:rsid w:val="001677D3"/>
    <w:rsid w:val="00172721"/>
    <w:rsid w:val="00173A12"/>
    <w:rsid w:val="00185EAB"/>
    <w:rsid w:val="00186DF5"/>
    <w:rsid w:val="00191009"/>
    <w:rsid w:val="001912AD"/>
    <w:rsid w:val="00194E17"/>
    <w:rsid w:val="00194EB7"/>
    <w:rsid w:val="00195078"/>
    <w:rsid w:val="001960F8"/>
    <w:rsid w:val="001A63EB"/>
    <w:rsid w:val="001A696B"/>
    <w:rsid w:val="001B0DAE"/>
    <w:rsid w:val="001B20A7"/>
    <w:rsid w:val="001B2EBD"/>
    <w:rsid w:val="001B3BBC"/>
    <w:rsid w:val="001B56F1"/>
    <w:rsid w:val="001B6E79"/>
    <w:rsid w:val="001C0E69"/>
    <w:rsid w:val="001C3D9C"/>
    <w:rsid w:val="001C5256"/>
    <w:rsid w:val="001E1567"/>
    <w:rsid w:val="001E1C2D"/>
    <w:rsid w:val="001E484B"/>
    <w:rsid w:val="001E5222"/>
    <w:rsid w:val="001E6387"/>
    <w:rsid w:val="001E7656"/>
    <w:rsid w:val="001F1268"/>
    <w:rsid w:val="00201C2E"/>
    <w:rsid w:val="00204A43"/>
    <w:rsid w:val="002109B8"/>
    <w:rsid w:val="00210ACD"/>
    <w:rsid w:val="002214A7"/>
    <w:rsid w:val="00222F59"/>
    <w:rsid w:val="00223B86"/>
    <w:rsid w:val="00223C42"/>
    <w:rsid w:val="00226694"/>
    <w:rsid w:val="002356E9"/>
    <w:rsid w:val="00244B29"/>
    <w:rsid w:val="00246CDD"/>
    <w:rsid w:val="00266209"/>
    <w:rsid w:val="00275F09"/>
    <w:rsid w:val="0027731E"/>
    <w:rsid w:val="00282AFD"/>
    <w:rsid w:val="0028625B"/>
    <w:rsid w:val="00293DE2"/>
    <w:rsid w:val="00294C4F"/>
    <w:rsid w:val="002A1CBB"/>
    <w:rsid w:val="002A5E01"/>
    <w:rsid w:val="002A6476"/>
    <w:rsid w:val="002A764D"/>
    <w:rsid w:val="002B2C3E"/>
    <w:rsid w:val="002B515E"/>
    <w:rsid w:val="002B619C"/>
    <w:rsid w:val="002C11F6"/>
    <w:rsid w:val="002C338D"/>
    <w:rsid w:val="002C3F10"/>
    <w:rsid w:val="002C5A60"/>
    <w:rsid w:val="002C67A0"/>
    <w:rsid w:val="002C7A84"/>
    <w:rsid w:val="002C7D17"/>
    <w:rsid w:val="002D3505"/>
    <w:rsid w:val="002E2DBE"/>
    <w:rsid w:val="002F14A1"/>
    <w:rsid w:val="002F51B4"/>
    <w:rsid w:val="00301783"/>
    <w:rsid w:val="00303C03"/>
    <w:rsid w:val="003070DE"/>
    <w:rsid w:val="00316CCA"/>
    <w:rsid w:val="0032641D"/>
    <w:rsid w:val="003327A7"/>
    <w:rsid w:val="0033495C"/>
    <w:rsid w:val="00336216"/>
    <w:rsid w:val="003439EC"/>
    <w:rsid w:val="003473CF"/>
    <w:rsid w:val="0034765D"/>
    <w:rsid w:val="00351EA9"/>
    <w:rsid w:val="003540E7"/>
    <w:rsid w:val="003646B6"/>
    <w:rsid w:val="003677A3"/>
    <w:rsid w:val="003677E5"/>
    <w:rsid w:val="00371E3E"/>
    <w:rsid w:val="00372B70"/>
    <w:rsid w:val="00373BBA"/>
    <w:rsid w:val="00376F6C"/>
    <w:rsid w:val="00387EF9"/>
    <w:rsid w:val="0039079E"/>
    <w:rsid w:val="00392B08"/>
    <w:rsid w:val="00395250"/>
    <w:rsid w:val="003969D7"/>
    <w:rsid w:val="003A356B"/>
    <w:rsid w:val="003A7888"/>
    <w:rsid w:val="003B0A9B"/>
    <w:rsid w:val="003B1825"/>
    <w:rsid w:val="003B308A"/>
    <w:rsid w:val="003B5BD7"/>
    <w:rsid w:val="003C19DE"/>
    <w:rsid w:val="003C3AAA"/>
    <w:rsid w:val="003C7C9C"/>
    <w:rsid w:val="003D15B8"/>
    <w:rsid w:val="003D15D8"/>
    <w:rsid w:val="003D1700"/>
    <w:rsid w:val="003D5940"/>
    <w:rsid w:val="003D7397"/>
    <w:rsid w:val="003E635F"/>
    <w:rsid w:val="003F34E4"/>
    <w:rsid w:val="004021EA"/>
    <w:rsid w:val="00405F9E"/>
    <w:rsid w:val="00407B84"/>
    <w:rsid w:val="0041260A"/>
    <w:rsid w:val="00414A3F"/>
    <w:rsid w:val="00417F35"/>
    <w:rsid w:val="0042059C"/>
    <w:rsid w:val="004321C7"/>
    <w:rsid w:val="004325C5"/>
    <w:rsid w:val="004412F4"/>
    <w:rsid w:val="00444C95"/>
    <w:rsid w:val="004464B4"/>
    <w:rsid w:val="0044783E"/>
    <w:rsid w:val="004543B7"/>
    <w:rsid w:val="0045712E"/>
    <w:rsid w:val="00460651"/>
    <w:rsid w:val="00461C79"/>
    <w:rsid w:val="004678EC"/>
    <w:rsid w:val="00472DD7"/>
    <w:rsid w:val="00476521"/>
    <w:rsid w:val="004773E7"/>
    <w:rsid w:val="004805E9"/>
    <w:rsid w:val="0048321E"/>
    <w:rsid w:val="00486166"/>
    <w:rsid w:val="00487022"/>
    <w:rsid w:val="00493E95"/>
    <w:rsid w:val="004A10CB"/>
    <w:rsid w:val="004A6048"/>
    <w:rsid w:val="004B3421"/>
    <w:rsid w:val="004B61DE"/>
    <w:rsid w:val="004B658F"/>
    <w:rsid w:val="004B7CE9"/>
    <w:rsid w:val="004C42BF"/>
    <w:rsid w:val="004D35FC"/>
    <w:rsid w:val="004E01D4"/>
    <w:rsid w:val="004E1D14"/>
    <w:rsid w:val="004E29F1"/>
    <w:rsid w:val="004E4C44"/>
    <w:rsid w:val="00500173"/>
    <w:rsid w:val="00501735"/>
    <w:rsid w:val="0050445B"/>
    <w:rsid w:val="00512B8C"/>
    <w:rsid w:val="00514E49"/>
    <w:rsid w:val="00515B06"/>
    <w:rsid w:val="00522098"/>
    <w:rsid w:val="00533835"/>
    <w:rsid w:val="005423C4"/>
    <w:rsid w:val="0054257F"/>
    <w:rsid w:val="005464E0"/>
    <w:rsid w:val="00546610"/>
    <w:rsid w:val="005517FD"/>
    <w:rsid w:val="005522F4"/>
    <w:rsid w:val="00557F47"/>
    <w:rsid w:val="005616E7"/>
    <w:rsid w:val="00574305"/>
    <w:rsid w:val="00574F37"/>
    <w:rsid w:val="00580769"/>
    <w:rsid w:val="0058285C"/>
    <w:rsid w:val="00582A4E"/>
    <w:rsid w:val="00587449"/>
    <w:rsid w:val="005927BF"/>
    <w:rsid w:val="0059691D"/>
    <w:rsid w:val="005A12D1"/>
    <w:rsid w:val="005A1C60"/>
    <w:rsid w:val="005A3ED2"/>
    <w:rsid w:val="005A4869"/>
    <w:rsid w:val="005A490A"/>
    <w:rsid w:val="005A7678"/>
    <w:rsid w:val="005A7923"/>
    <w:rsid w:val="005B35F0"/>
    <w:rsid w:val="005C00D0"/>
    <w:rsid w:val="005D3FAA"/>
    <w:rsid w:val="005D551D"/>
    <w:rsid w:val="005E2C62"/>
    <w:rsid w:val="005E3916"/>
    <w:rsid w:val="005E7971"/>
    <w:rsid w:val="005F02C3"/>
    <w:rsid w:val="005F72D5"/>
    <w:rsid w:val="0060017E"/>
    <w:rsid w:val="00601BDC"/>
    <w:rsid w:val="00605E01"/>
    <w:rsid w:val="006106D8"/>
    <w:rsid w:val="0061221B"/>
    <w:rsid w:val="00613E28"/>
    <w:rsid w:val="00614489"/>
    <w:rsid w:val="00615B40"/>
    <w:rsid w:val="00622628"/>
    <w:rsid w:val="006325EC"/>
    <w:rsid w:val="0063766F"/>
    <w:rsid w:val="00645B55"/>
    <w:rsid w:val="00651F4F"/>
    <w:rsid w:val="006548E9"/>
    <w:rsid w:val="00656EE1"/>
    <w:rsid w:val="00657435"/>
    <w:rsid w:val="006629FD"/>
    <w:rsid w:val="0067702E"/>
    <w:rsid w:val="0068494F"/>
    <w:rsid w:val="00686EBF"/>
    <w:rsid w:val="00687F9D"/>
    <w:rsid w:val="006900D6"/>
    <w:rsid w:val="00690779"/>
    <w:rsid w:val="00695552"/>
    <w:rsid w:val="006956E4"/>
    <w:rsid w:val="006A1323"/>
    <w:rsid w:val="006A1629"/>
    <w:rsid w:val="006A4C3E"/>
    <w:rsid w:val="006A57D5"/>
    <w:rsid w:val="006B308E"/>
    <w:rsid w:val="006B62E7"/>
    <w:rsid w:val="006B6BF1"/>
    <w:rsid w:val="006B7CE2"/>
    <w:rsid w:val="006C4345"/>
    <w:rsid w:val="006D2CEA"/>
    <w:rsid w:val="006D3CFF"/>
    <w:rsid w:val="006E0230"/>
    <w:rsid w:val="006E3A1F"/>
    <w:rsid w:val="006F42CE"/>
    <w:rsid w:val="006F42EF"/>
    <w:rsid w:val="006F4398"/>
    <w:rsid w:val="006F498B"/>
    <w:rsid w:val="006F5717"/>
    <w:rsid w:val="00703FD8"/>
    <w:rsid w:val="00706A4F"/>
    <w:rsid w:val="00707161"/>
    <w:rsid w:val="00717F41"/>
    <w:rsid w:val="007259A5"/>
    <w:rsid w:val="00726A1D"/>
    <w:rsid w:val="00736E49"/>
    <w:rsid w:val="00743AD4"/>
    <w:rsid w:val="00747005"/>
    <w:rsid w:val="0074728B"/>
    <w:rsid w:val="007474DB"/>
    <w:rsid w:val="00772CF5"/>
    <w:rsid w:val="00773C1D"/>
    <w:rsid w:val="00777BDB"/>
    <w:rsid w:val="007806DD"/>
    <w:rsid w:val="0078203F"/>
    <w:rsid w:val="00782ED1"/>
    <w:rsid w:val="00785A4B"/>
    <w:rsid w:val="00786986"/>
    <w:rsid w:val="00787BF1"/>
    <w:rsid w:val="007A3A1C"/>
    <w:rsid w:val="007A4463"/>
    <w:rsid w:val="007A4F39"/>
    <w:rsid w:val="007A6E14"/>
    <w:rsid w:val="007B2672"/>
    <w:rsid w:val="007C4B07"/>
    <w:rsid w:val="007D2CF2"/>
    <w:rsid w:val="007F05FD"/>
    <w:rsid w:val="007F136F"/>
    <w:rsid w:val="007F4ED2"/>
    <w:rsid w:val="007F72D2"/>
    <w:rsid w:val="00800C1F"/>
    <w:rsid w:val="00802E70"/>
    <w:rsid w:val="00803762"/>
    <w:rsid w:val="008046A9"/>
    <w:rsid w:val="008103B1"/>
    <w:rsid w:val="00814AF8"/>
    <w:rsid w:val="008216BB"/>
    <w:rsid w:val="00824D84"/>
    <w:rsid w:val="00831F81"/>
    <w:rsid w:val="00832F7D"/>
    <w:rsid w:val="008428DE"/>
    <w:rsid w:val="00847AE9"/>
    <w:rsid w:val="00853952"/>
    <w:rsid w:val="008548DA"/>
    <w:rsid w:val="0085537F"/>
    <w:rsid w:val="00857E7D"/>
    <w:rsid w:val="00864FAC"/>
    <w:rsid w:val="0086666A"/>
    <w:rsid w:val="0086773B"/>
    <w:rsid w:val="00881FE7"/>
    <w:rsid w:val="0088388E"/>
    <w:rsid w:val="008954A5"/>
    <w:rsid w:val="008B2555"/>
    <w:rsid w:val="008B4F29"/>
    <w:rsid w:val="008B682B"/>
    <w:rsid w:val="008B7C63"/>
    <w:rsid w:val="008C6A4E"/>
    <w:rsid w:val="008D2E0D"/>
    <w:rsid w:val="008D3962"/>
    <w:rsid w:val="008E2AAD"/>
    <w:rsid w:val="008E7B96"/>
    <w:rsid w:val="008F1D17"/>
    <w:rsid w:val="008F7E0A"/>
    <w:rsid w:val="00901E53"/>
    <w:rsid w:val="00907590"/>
    <w:rsid w:val="00914CDF"/>
    <w:rsid w:val="009272CC"/>
    <w:rsid w:val="00944210"/>
    <w:rsid w:val="00951FCF"/>
    <w:rsid w:val="00955E0F"/>
    <w:rsid w:val="00955FFE"/>
    <w:rsid w:val="00957B08"/>
    <w:rsid w:val="009611E1"/>
    <w:rsid w:val="00961EAB"/>
    <w:rsid w:val="009644AC"/>
    <w:rsid w:val="009671C3"/>
    <w:rsid w:val="00974892"/>
    <w:rsid w:val="00977CC4"/>
    <w:rsid w:val="0098252C"/>
    <w:rsid w:val="009826E8"/>
    <w:rsid w:val="00986899"/>
    <w:rsid w:val="00993768"/>
    <w:rsid w:val="00996DC5"/>
    <w:rsid w:val="009A2827"/>
    <w:rsid w:val="009A44AC"/>
    <w:rsid w:val="009B3009"/>
    <w:rsid w:val="009B7576"/>
    <w:rsid w:val="009B77AD"/>
    <w:rsid w:val="009C0DBD"/>
    <w:rsid w:val="009C4367"/>
    <w:rsid w:val="009C53F4"/>
    <w:rsid w:val="009D74A6"/>
    <w:rsid w:val="009E276C"/>
    <w:rsid w:val="009E40D1"/>
    <w:rsid w:val="009E4E5C"/>
    <w:rsid w:val="009E7B9F"/>
    <w:rsid w:val="009F0553"/>
    <w:rsid w:val="009F2D1D"/>
    <w:rsid w:val="009F66CD"/>
    <w:rsid w:val="00A038C2"/>
    <w:rsid w:val="00A042D0"/>
    <w:rsid w:val="00A14AD4"/>
    <w:rsid w:val="00A15174"/>
    <w:rsid w:val="00A15923"/>
    <w:rsid w:val="00A15DBB"/>
    <w:rsid w:val="00A35352"/>
    <w:rsid w:val="00A40FA1"/>
    <w:rsid w:val="00A41147"/>
    <w:rsid w:val="00A43F73"/>
    <w:rsid w:val="00A43FA2"/>
    <w:rsid w:val="00A452E7"/>
    <w:rsid w:val="00A46770"/>
    <w:rsid w:val="00A5196C"/>
    <w:rsid w:val="00A52A08"/>
    <w:rsid w:val="00A544E8"/>
    <w:rsid w:val="00A652A7"/>
    <w:rsid w:val="00A86563"/>
    <w:rsid w:val="00A910F3"/>
    <w:rsid w:val="00A947DB"/>
    <w:rsid w:val="00A9491E"/>
    <w:rsid w:val="00A9519F"/>
    <w:rsid w:val="00A9699A"/>
    <w:rsid w:val="00AA4919"/>
    <w:rsid w:val="00AA702C"/>
    <w:rsid w:val="00AB064F"/>
    <w:rsid w:val="00AB56E0"/>
    <w:rsid w:val="00AB5950"/>
    <w:rsid w:val="00AB6684"/>
    <w:rsid w:val="00AC0235"/>
    <w:rsid w:val="00AC3A50"/>
    <w:rsid w:val="00AE192F"/>
    <w:rsid w:val="00AE1A1C"/>
    <w:rsid w:val="00AE2DF2"/>
    <w:rsid w:val="00AE3FA2"/>
    <w:rsid w:val="00AE45BC"/>
    <w:rsid w:val="00AE70D2"/>
    <w:rsid w:val="00AF70B7"/>
    <w:rsid w:val="00B06797"/>
    <w:rsid w:val="00B14BD1"/>
    <w:rsid w:val="00B14EBC"/>
    <w:rsid w:val="00B17BDE"/>
    <w:rsid w:val="00B20F38"/>
    <w:rsid w:val="00B261C7"/>
    <w:rsid w:val="00B3041B"/>
    <w:rsid w:val="00B3279E"/>
    <w:rsid w:val="00B46561"/>
    <w:rsid w:val="00B52898"/>
    <w:rsid w:val="00B53BAF"/>
    <w:rsid w:val="00B6138D"/>
    <w:rsid w:val="00B649E2"/>
    <w:rsid w:val="00B65B09"/>
    <w:rsid w:val="00B70672"/>
    <w:rsid w:val="00B71AA3"/>
    <w:rsid w:val="00B85A42"/>
    <w:rsid w:val="00B91F1D"/>
    <w:rsid w:val="00B930D2"/>
    <w:rsid w:val="00B9702E"/>
    <w:rsid w:val="00BB3281"/>
    <w:rsid w:val="00BB58AC"/>
    <w:rsid w:val="00BB68D7"/>
    <w:rsid w:val="00BC758C"/>
    <w:rsid w:val="00BC7F55"/>
    <w:rsid w:val="00BD215A"/>
    <w:rsid w:val="00BD6DC3"/>
    <w:rsid w:val="00BE23F1"/>
    <w:rsid w:val="00BE7C81"/>
    <w:rsid w:val="00BF791C"/>
    <w:rsid w:val="00C0223E"/>
    <w:rsid w:val="00C15922"/>
    <w:rsid w:val="00C21B95"/>
    <w:rsid w:val="00C234B0"/>
    <w:rsid w:val="00C23A9F"/>
    <w:rsid w:val="00C35037"/>
    <w:rsid w:val="00C400B4"/>
    <w:rsid w:val="00C40DDB"/>
    <w:rsid w:val="00C42CD8"/>
    <w:rsid w:val="00C43BA6"/>
    <w:rsid w:val="00C4430D"/>
    <w:rsid w:val="00C4750C"/>
    <w:rsid w:val="00C5345F"/>
    <w:rsid w:val="00C55678"/>
    <w:rsid w:val="00C637BA"/>
    <w:rsid w:val="00C67262"/>
    <w:rsid w:val="00C705F0"/>
    <w:rsid w:val="00C73287"/>
    <w:rsid w:val="00C75EAC"/>
    <w:rsid w:val="00C861AA"/>
    <w:rsid w:val="00C86746"/>
    <w:rsid w:val="00C9408A"/>
    <w:rsid w:val="00C94CBF"/>
    <w:rsid w:val="00CA0C00"/>
    <w:rsid w:val="00CA0CE6"/>
    <w:rsid w:val="00CA228D"/>
    <w:rsid w:val="00CA4018"/>
    <w:rsid w:val="00CA47E0"/>
    <w:rsid w:val="00CB08DF"/>
    <w:rsid w:val="00CB63E8"/>
    <w:rsid w:val="00CC12EB"/>
    <w:rsid w:val="00CC2FD0"/>
    <w:rsid w:val="00CC640F"/>
    <w:rsid w:val="00CD4DC3"/>
    <w:rsid w:val="00CD6330"/>
    <w:rsid w:val="00CD6CF7"/>
    <w:rsid w:val="00CE1CA9"/>
    <w:rsid w:val="00CE428D"/>
    <w:rsid w:val="00CE61E8"/>
    <w:rsid w:val="00CE639B"/>
    <w:rsid w:val="00CE76E3"/>
    <w:rsid w:val="00CE7B81"/>
    <w:rsid w:val="00CF3EC7"/>
    <w:rsid w:val="00CF50AE"/>
    <w:rsid w:val="00D0001E"/>
    <w:rsid w:val="00D00ADF"/>
    <w:rsid w:val="00D0756F"/>
    <w:rsid w:val="00D12073"/>
    <w:rsid w:val="00D17701"/>
    <w:rsid w:val="00D17AD8"/>
    <w:rsid w:val="00D216B4"/>
    <w:rsid w:val="00D26852"/>
    <w:rsid w:val="00D27BF4"/>
    <w:rsid w:val="00D35FF9"/>
    <w:rsid w:val="00D51A6E"/>
    <w:rsid w:val="00D55AF6"/>
    <w:rsid w:val="00D71BB0"/>
    <w:rsid w:val="00D739EC"/>
    <w:rsid w:val="00D8422A"/>
    <w:rsid w:val="00D95AAE"/>
    <w:rsid w:val="00DA135E"/>
    <w:rsid w:val="00DA137C"/>
    <w:rsid w:val="00DB0043"/>
    <w:rsid w:val="00DB239B"/>
    <w:rsid w:val="00DB6056"/>
    <w:rsid w:val="00DB6F2D"/>
    <w:rsid w:val="00DB7397"/>
    <w:rsid w:val="00DC6CAD"/>
    <w:rsid w:val="00DC7E41"/>
    <w:rsid w:val="00DE5372"/>
    <w:rsid w:val="00DE6D3E"/>
    <w:rsid w:val="00DE77CE"/>
    <w:rsid w:val="00DE7F15"/>
    <w:rsid w:val="00DF7954"/>
    <w:rsid w:val="00E011D3"/>
    <w:rsid w:val="00E02BF4"/>
    <w:rsid w:val="00E068A3"/>
    <w:rsid w:val="00E12E93"/>
    <w:rsid w:val="00E14DA5"/>
    <w:rsid w:val="00E15326"/>
    <w:rsid w:val="00E16F7F"/>
    <w:rsid w:val="00E17D2C"/>
    <w:rsid w:val="00E247B4"/>
    <w:rsid w:val="00E249C6"/>
    <w:rsid w:val="00E321DD"/>
    <w:rsid w:val="00E330C8"/>
    <w:rsid w:val="00E33DEB"/>
    <w:rsid w:val="00E363AA"/>
    <w:rsid w:val="00E3788A"/>
    <w:rsid w:val="00E57AE5"/>
    <w:rsid w:val="00E619A7"/>
    <w:rsid w:val="00E64956"/>
    <w:rsid w:val="00E7744A"/>
    <w:rsid w:val="00E77549"/>
    <w:rsid w:val="00E827FB"/>
    <w:rsid w:val="00E85229"/>
    <w:rsid w:val="00E928CF"/>
    <w:rsid w:val="00E969EA"/>
    <w:rsid w:val="00E970B1"/>
    <w:rsid w:val="00EA019F"/>
    <w:rsid w:val="00EA50D1"/>
    <w:rsid w:val="00EB3E06"/>
    <w:rsid w:val="00EB599A"/>
    <w:rsid w:val="00EC0242"/>
    <w:rsid w:val="00EC1E74"/>
    <w:rsid w:val="00EC2FAB"/>
    <w:rsid w:val="00ED1340"/>
    <w:rsid w:val="00ED65D5"/>
    <w:rsid w:val="00EE04E1"/>
    <w:rsid w:val="00EE53C2"/>
    <w:rsid w:val="00EF5F8F"/>
    <w:rsid w:val="00EF6132"/>
    <w:rsid w:val="00F02A37"/>
    <w:rsid w:val="00F03185"/>
    <w:rsid w:val="00F07A9B"/>
    <w:rsid w:val="00F11628"/>
    <w:rsid w:val="00F154EA"/>
    <w:rsid w:val="00F20BBC"/>
    <w:rsid w:val="00F25AAF"/>
    <w:rsid w:val="00F360CC"/>
    <w:rsid w:val="00F42BB3"/>
    <w:rsid w:val="00F53C6A"/>
    <w:rsid w:val="00F54F5A"/>
    <w:rsid w:val="00F57EF3"/>
    <w:rsid w:val="00F66C5C"/>
    <w:rsid w:val="00F70B20"/>
    <w:rsid w:val="00F720B3"/>
    <w:rsid w:val="00F72E9D"/>
    <w:rsid w:val="00F753B0"/>
    <w:rsid w:val="00F7768B"/>
    <w:rsid w:val="00F87F33"/>
    <w:rsid w:val="00F936A7"/>
    <w:rsid w:val="00F950BA"/>
    <w:rsid w:val="00F95E1B"/>
    <w:rsid w:val="00FA1575"/>
    <w:rsid w:val="00FA593C"/>
    <w:rsid w:val="00FB12C5"/>
    <w:rsid w:val="00FB1401"/>
    <w:rsid w:val="00FB5B01"/>
    <w:rsid w:val="00FC1446"/>
    <w:rsid w:val="00FC1645"/>
    <w:rsid w:val="00FC5D15"/>
    <w:rsid w:val="00FD1D5E"/>
    <w:rsid w:val="00FD2432"/>
    <w:rsid w:val="00FD4911"/>
    <w:rsid w:val="00FD5F77"/>
    <w:rsid w:val="00FE7226"/>
    <w:rsid w:val="00FF34FD"/>
    <w:rsid w:val="00FF602F"/>
    <w:rsid w:val="00FF6065"/>
    <w:rsid w:val="00FF6D2A"/>
    <w:rsid w:val="00FF7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0667"/>
  <w15:docId w15:val="{D051882A-AC27-4A95-9D1D-1F4DAF7E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7954"/>
    <w:pPr>
      <w:spacing w:line="256" w:lineRule="auto"/>
      <w:jc w:val="both"/>
    </w:pPr>
    <w:rPr>
      <w:rFonts w:ascii="Times New Roman" w:hAnsi="Times New Roman"/>
      <w:sz w:val="24"/>
    </w:rPr>
  </w:style>
  <w:style w:type="paragraph" w:styleId="Nadpis1">
    <w:name w:val="heading 1"/>
    <w:basedOn w:val="Obsah1"/>
    <w:next w:val="Normln"/>
    <w:link w:val="Nadpis1Char"/>
    <w:uiPriority w:val="9"/>
    <w:qFormat/>
    <w:rsid w:val="00D27BF4"/>
    <w:pPr>
      <w:keepNext/>
      <w:keepLines/>
      <w:spacing w:before="240" w:after="0"/>
      <w:outlineLvl w:val="0"/>
    </w:pPr>
    <w:rPr>
      <w:rFonts w:eastAsiaTheme="majorEastAsia" w:cstheme="majorBidi"/>
      <w:sz w:val="28"/>
      <w:szCs w:val="32"/>
    </w:rPr>
  </w:style>
  <w:style w:type="paragraph" w:styleId="Nadpis2">
    <w:name w:val="heading 2"/>
    <w:basedOn w:val="Podnadpis"/>
    <w:next w:val="Normln"/>
    <w:link w:val="Nadpis2Char"/>
    <w:uiPriority w:val="9"/>
    <w:unhideWhenUsed/>
    <w:qFormat/>
    <w:rsid w:val="007A6E14"/>
    <w:pPr>
      <w:keepNext/>
      <w:keepLines/>
      <w:numPr>
        <w:ilvl w:val="0"/>
      </w:numPr>
      <w:spacing w:before="40" w:after="0"/>
      <w:outlineLvl w:val="1"/>
    </w:pPr>
    <w:rPr>
      <w:rFonts w:eastAsiaTheme="majorEastAsia" w:cstheme="majorBidi"/>
      <w:color w:val="auto"/>
      <w:sz w:val="26"/>
      <w:szCs w:val="26"/>
    </w:rPr>
  </w:style>
  <w:style w:type="paragraph" w:styleId="Nadpis3">
    <w:name w:val="heading 3"/>
    <w:basedOn w:val="Nadpis1"/>
    <w:next w:val="Normln"/>
    <w:link w:val="Nadpis3Char"/>
    <w:uiPriority w:val="9"/>
    <w:unhideWhenUsed/>
    <w:qFormat/>
    <w:rsid w:val="00944210"/>
    <w:pPr>
      <w:spacing w:before="40"/>
      <w:outlineLvl w:val="2"/>
    </w:pPr>
    <w:rPr>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7BF4"/>
    <w:rPr>
      <w:rFonts w:ascii="Times New Roman" w:eastAsiaTheme="majorEastAsia" w:hAnsi="Times New Roman" w:cstheme="majorBidi"/>
      <w:sz w:val="28"/>
      <w:szCs w:val="32"/>
    </w:rPr>
  </w:style>
  <w:style w:type="paragraph" w:styleId="Nadpisobsahu">
    <w:name w:val="TOC Heading"/>
    <w:basedOn w:val="Nadpis1"/>
    <w:next w:val="Normln"/>
    <w:uiPriority w:val="39"/>
    <w:unhideWhenUsed/>
    <w:qFormat/>
    <w:rsid w:val="00D27BF4"/>
    <w:pPr>
      <w:spacing w:line="259" w:lineRule="auto"/>
      <w:outlineLvl w:val="9"/>
    </w:pPr>
    <w:rPr>
      <w:lang w:eastAsia="cs-CZ"/>
    </w:rPr>
  </w:style>
  <w:style w:type="character" w:customStyle="1" w:styleId="Nadpis2Char">
    <w:name w:val="Nadpis 2 Char"/>
    <w:basedOn w:val="Standardnpsmoodstavce"/>
    <w:link w:val="Nadpis2"/>
    <w:uiPriority w:val="9"/>
    <w:rsid w:val="007A6E14"/>
    <w:rPr>
      <w:rFonts w:ascii="Times New Roman" w:eastAsiaTheme="majorEastAsia" w:hAnsi="Times New Roman" w:cstheme="majorBidi"/>
      <w:spacing w:val="15"/>
      <w:sz w:val="26"/>
      <w:szCs w:val="26"/>
    </w:rPr>
  </w:style>
  <w:style w:type="paragraph" w:styleId="Obsah1">
    <w:name w:val="toc 1"/>
    <w:basedOn w:val="Normln"/>
    <w:next w:val="Normln"/>
    <w:autoRedefine/>
    <w:uiPriority w:val="39"/>
    <w:unhideWhenUsed/>
    <w:rsid w:val="00D27BF4"/>
    <w:pPr>
      <w:spacing w:after="100"/>
    </w:pPr>
  </w:style>
  <w:style w:type="paragraph" w:styleId="Obsah2">
    <w:name w:val="toc 2"/>
    <w:basedOn w:val="Normln"/>
    <w:next w:val="Normln"/>
    <w:autoRedefine/>
    <w:uiPriority w:val="39"/>
    <w:unhideWhenUsed/>
    <w:rsid w:val="007A6E14"/>
    <w:pPr>
      <w:spacing w:after="100"/>
      <w:ind w:left="220"/>
    </w:pPr>
  </w:style>
  <w:style w:type="paragraph" w:styleId="Podnadpis">
    <w:name w:val="Subtitle"/>
    <w:basedOn w:val="Normln"/>
    <w:next w:val="Normln"/>
    <w:link w:val="PodnadpisChar"/>
    <w:uiPriority w:val="11"/>
    <w:qFormat/>
    <w:rsid w:val="007A6E1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7A6E14"/>
    <w:rPr>
      <w:rFonts w:eastAsiaTheme="minorEastAsia"/>
      <w:color w:val="5A5A5A" w:themeColor="text1" w:themeTint="A5"/>
      <w:spacing w:val="15"/>
    </w:rPr>
  </w:style>
  <w:style w:type="character" w:styleId="Hypertextovodkaz">
    <w:name w:val="Hyperlink"/>
    <w:basedOn w:val="Standardnpsmoodstavce"/>
    <w:uiPriority w:val="99"/>
    <w:unhideWhenUsed/>
    <w:rsid w:val="007A6E14"/>
    <w:rPr>
      <w:color w:val="0563C1" w:themeColor="hyperlink"/>
      <w:u w:val="single"/>
    </w:rPr>
  </w:style>
  <w:style w:type="paragraph" w:styleId="Zhlav">
    <w:name w:val="header"/>
    <w:basedOn w:val="Normln"/>
    <w:link w:val="ZhlavChar"/>
    <w:uiPriority w:val="99"/>
    <w:unhideWhenUsed/>
    <w:rsid w:val="00736E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6E49"/>
  </w:style>
  <w:style w:type="paragraph" w:styleId="Zpat">
    <w:name w:val="footer"/>
    <w:basedOn w:val="Normln"/>
    <w:link w:val="ZpatChar"/>
    <w:uiPriority w:val="99"/>
    <w:unhideWhenUsed/>
    <w:rsid w:val="00736E49"/>
    <w:pPr>
      <w:tabs>
        <w:tab w:val="center" w:pos="4536"/>
        <w:tab w:val="right" w:pos="9072"/>
      </w:tabs>
      <w:spacing w:after="0" w:line="240" w:lineRule="auto"/>
    </w:pPr>
  </w:style>
  <w:style w:type="character" w:customStyle="1" w:styleId="ZpatChar">
    <w:name w:val="Zápatí Char"/>
    <w:basedOn w:val="Standardnpsmoodstavce"/>
    <w:link w:val="Zpat"/>
    <w:uiPriority w:val="99"/>
    <w:rsid w:val="00736E49"/>
  </w:style>
  <w:style w:type="paragraph" w:styleId="Textbubliny">
    <w:name w:val="Balloon Text"/>
    <w:basedOn w:val="Normln"/>
    <w:link w:val="TextbublinyChar"/>
    <w:uiPriority w:val="99"/>
    <w:semiHidden/>
    <w:unhideWhenUsed/>
    <w:rsid w:val="00F70B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B20"/>
    <w:rPr>
      <w:rFonts w:ascii="Segoe UI" w:hAnsi="Segoe UI" w:cs="Segoe UI"/>
      <w:sz w:val="18"/>
      <w:szCs w:val="18"/>
    </w:rPr>
  </w:style>
  <w:style w:type="character" w:customStyle="1" w:styleId="Nevyeenzmnka1">
    <w:name w:val="Nevyřešená zmínka1"/>
    <w:basedOn w:val="Standardnpsmoodstavce"/>
    <w:uiPriority w:val="99"/>
    <w:semiHidden/>
    <w:unhideWhenUsed/>
    <w:rsid w:val="006C4345"/>
    <w:rPr>
      <w:color w:val="605E5C"/>
      <w:shd w:val="clear" w:color="auto" w:fill="E1DFDD"/>
    </w:rPr>
  </w:style>
  <w:style w:type="paragraph" w:styleId="Odstavecseseznamem">
    <w:name w:val="List Paragraph"/>
    <w:basedOn w:val="Normln"/>
    <w:uiPriority w:val="34"/>
    <w:qFormat/>
    <w:rsid w:val="005A3ED2"/>
    <w:pPr>
      <w:ind w:left="720"/>
      <w:contextualSpacing/>
    </w:pPr>
  </w:style>
  <w:style w:type="character" w:customStyle="1" w:styleId="Nadpis3Char">
    <w:name w:val="Nadpis 3 Char"/>
    <w:basedOn w:val="Standardnpsmoodstavce"/>
    <w:link w:val="Nadpis3"/>
    <w:uiPriority w:val="9"/>
    <w:rsid w:val="00944210"/>
    <w:rPr>
      <w:rFonts w:ascii="Times New Roman" w:eastAsiaTheme="majorEastAsia" w:hAnsi="Times New Roman" w:cstheme="majorBidi"/>
      <w:sz w:val="28"/>
      <w:szCs w:val="24"/>
    </w:rPr>
  </w:style>
  <w:style w:type="paragraph" w:styleId="Obsah3">
    <w:name w:val="toc 3"/>
    <w:basedOn w:val="Normln"/>
    <w:next w:val="Normln"/>
    <w:autoRedefine/>
    <w:uiPriority w:val="39"/>
    <w:unhideWhenUsed/>
    <w:rsid w:val="000F7180"/>
    <w:pPr>
      <w:spacing w:after="100"/>
      <w:ind w:left="480"/>
    </w:pPr>
  </w:style>
  <w:style w:type="paragraph" w:styleId="FormtovanvHTML">
    <w:name w:val="HTML Preformatted"/>
    <w:basedOn w:val="Normln"/>
    <w:link w:val="FormtovanvHTMLChar"/>
    <w:uiPriority w:val="99"/>
    <w:semiHidden/>
    <w:unhideWhenUsed/>
    <w:rsid w:val="0067702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7702E"/>
    <w:rPr>
      <w:rFonts w:ascii="Consolas" w:hAnsi="Consolas"/>
      <w:sz w:val="20"/>
      <w:szCs w:val="20"/>
    </w:rPr>
  </w:style>
  <w:style w:type="paragraph" w:styleId="Titulek">
    <w:name w:val="caption"/>
    <w:basedOn w:val="Normln"/>
    <w:next w:val="Normln"/>
    <w:uiPriority w:val="35"/>
    <w:unhideWhenUsed/>
    <w:qFormat/>
    <w:rsid w:val="00A46770"/>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AB5950"/>
    <w:rPr>
      <w:sz w:val="16"/>
      <w:szCs w:val="16"/>
    </w:rPr>
  </w:style>
  <w:style w:type="paragraph" w:styleId="Textkomente">
    <w:name w:val="annotation text"/>
    <w:basedOn w:val="Normln"/>
    <w:link w:val="TextkomenteChar"/>
    <w:uiPriority w:val="99"/>
    <w:semiHidden/>
    <w:unhideWhenUsed/>
    <w:rsid w:val="00AB5950"/>
    <w:pPr>
      <w:spacing w:line="240" w:lineRule="auto"/>
    </w:pPr>
    <w:rPr>
      <w:sz w:val="20"/>
      <w:szCs w:val="20"/>
    </w:rPr>
  </w:style>
  <w:style w:type="character" w:customStyle="1" w:styleId="TextkomenteChar">
    <w:name w:val="Text komentáře Char"/>
    <w:basedOn w:val="Standardnpsmoodstavce"/>
    <w:link w:val="Textkomente"/>
    <w:uiPriority w:val="99"/>
    <w:semiHidden/>
    <w:rsid w:val="00AB595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B5950"/>
    <w:rPr>
      <w:b/>
      <w:bCs/>
    </w:rPr>
  </w:style>
  <w:style w:type="character" w:customStyle="1" w:styleId="PedmtkomenteChar">
    <w:name w:val="Předmět komentáře Char"/>
    <w:basedOn w:val="TextkomenteChar"/>
    <w:link w:val="Pedmtkomente"/>
    <w:uiPriority w:val="99"/>
    <w:semiHidden/>
    <w:rsid w:val="00AB5950"/>
    <w:rPr>
      <w:rFonts w:ascii="Times New Roman" w:hAnsi="Times New Roman"/>
      <w:b/>
      <w:bCs/>
      <w:sz w:val="20"/>
      <w:szCs w:val="20"/>
    </w:rPr>
  </w:style>
  <w:style w:type="paragraph" w:styleId="Textpoznpodarou">
    <w:name w:val="footnote text"/>
    <w:basedOn w:val="Normln"/>
    <w:link w:val="TextpoznpodarouChar"/>
    <w:uiPriority w:val="99"/>
    <w:semiHidden/>
    <w:unhideWhenUsed/>
    <w:rsid w:val="00743A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3AD4"/>
    <w:rPr>
      <w:rFonts w:ascii="Times New Roman" w:hAnsi="Times New Roman"/>
      <w:sz w:val="20"/>
      <w:szCs w:val="20"/>
    </w:rPr>
  </w:style>
  <w:style w:type="character" w:styleId="Znakapoznpodarou">
    <w:name w:val="footnote reference"/>
    <w:basedOn w:val="Standardnpsmoodstavce"/>
    <w:uiPriority w:val="99"/>
    <w:semiHidden/>
    <w:unhideWhenUsed/>
    <w:rsid w:val="00743AD4"/>
    <w:rPr>
      <w:vertAlign w:val="superscript"/>
    </w:rPr>
  </w:style>
  <w:style w:type="paragraph" w:customStyle="1" w:styleId="commentcontentpara">
    <w:name w:val="commentcontentpara"/>
    <w:basedOn w:val="Normln"/>
    <w:rsid w:val="00DE7F15"/>
    <w:pPr>
      <w:spacing w:before="100" w:beforeAutospacing="1" w:after="100" w:afterAutospacing="1" w:line="240" w:lineRule="auto"/>
      <w:jc w:val="left"/>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DE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704">
      <w:bodyDiv w:val="1"/>
      <w:marLeft w:val="0"/>
      <w:marRight w:val="0"/>
      <w:marTop w:val="0"/>
      <w:marBottom w:val="0"/>
      <w:divBdr>
        <w:top w:val="none" w:sz="0" w:space="0" w:color="auto"/>
        <w:left w:val="none" w:sz="0" w:space="0" w:color="auto"/>
        <w:bottom w:val="none" w:sz="0" w:space="0" w:color="auto"/>
        <w:right w:val="none" w:sz="0" w:space="0" w:color="auto"/>
      </w:divBdr>
      <w:divsChild>
        <w:div w:id="174465556">
          <w:marLeft w:val="0"/>
          <w:marRight w:val="0"/>
          <w:marTop w:val="0"/>
          <w:marBottom w:val="0"/>
          <w:divBdr>
            <w:top w:val="none" w:sz="0" w:space="0" w:color="auto"/>
            <w:left w:val="none" w:sz="0" w:space="0" w:color="auto"/>
            <w:bottom w:val="none" w:sz="0" w:space="0" w:color="auto"/>
            <w:right w:val="none" w:sz="0" w:space="0" w:color="auto"/>
          </w:divBdr>
        </w:div>
        <w:div w:id="1960721583">
          <w:marLeft w:val="0"/>
          <w:marRight w:val="0"/>
          <w:marTop w:val="45"/>
          <w:marBottom w:val="75"/>
          <w:divBdr>
            <w:top w:val="none" w:sz="0" w:space="0" w:color="auto"/>
            <w:left w:val="none" w:sz="0" w:space="0" w:color="auto"/>
            <w:bottom w:val="single" w:sz="6" w:space="2" w:color="E1E1E1"/>
            <w:right w:val="none" w:sz="0" w:space="0" w:color="auto"/>
          </w:divBdr>
        </w:div>
      </w:divsChild>
    </w:div>
    <w:div w:id="244654778">
      <w:bodyDiv w:val="1"/>
      <w:marLeft w:val="0"/>
      <w:marRight w:val="0"/>
      <w:marTop w:val="0"/>
      <w:marBottom w:val="0"/>
      <w:divBdr>
        <w:top w:val="none" w:sz="0" w:space="0" w:color="auto"/>
        <w:left w:val="none" w:sz="0" w:space="0" w:color="auto"/>
        <w:bottom w:val="none" w:sz="0" w:space="0" w:color="auto"/>
        <w:right w:val="none" w:sz="0" w:space="0" w:color="auto"/>
      </w:divBdr>
      <w:divsChild>
        <w:div w:id="2030134673">
          <w:marLeft w:val="0"/>
          <w:marRight w:val="0"/>
          <w:marTop w:val="0"/>
          <w:marBottom w:val="0"/>
          <w:divBdr>
            <w:top w:val="none" w:sz="0" w:space="0" w:color="auto"/>
            <w:left w:val="none" w:sz="0" w:space="0" w:color="auto"/>
            <w:bottom w:val="none" w:sz="0" w:space="0" w:color="auto"/>
            <w:right w:val="none" w:sz="0" w:space="0" w:color="auto"/>
          </w:divBdr>
        </w:div>
      </w:divsChild>
    </w:div>
    <w:div w:id="369846097">
      <w:bodyDiv w:val="1"/>
      <w:marLeft w:val="0"/>
      <w:marRight w:val="0"/>
      <w:marTop w:val="0"/>
      <w:marBottom w:val="0"/>
      <w:divBdr>
        <w:top w:val="none" w:sz="0" w:space="0" w:color="auto"/>
        <w:left w:val="none" w:sz="0" w:space="0" w:color="auto"/>
        <w:bottom w:val="none" w:sz="0" w:space="0" w:color="auto"/>
        <w:right w:val="none" w:sz="0" w:space="0" w:color="auto"/>
      </w:divBdr>
      <w:divsChild>
        <w:div w:id="1444492252">
          <w:marLeft w:val="0"/>
          <w:marRight w:val="0"/>
          <w:marTop w:val="0"/>
          <w:marBottom w:val="0"/>
          <w:divBdr>
            <w:top w:val="none" w:sz="0" w:space="0" w:color="auto"/>
            <w:left w:val="none" w:sz="0" w:space="0" w:color="auto"/>
            <w:bottom w:val="none" w:sz="0" w:space="0" w:color="auto"/>
            <w:right w:val="none" w:sz="0" w:space="0" w:color="auto"/>
          </w:divBdr>
        </w:div>
      </w:divsChild>
    </w:div>
    <w:div w:id="410615020">
      <w:bodyDiv w:val="1"/>
      <w:marLeft w:val="0"/>
      <w:marRight w:val="0"/>
      <w:marTop w:val="0"/>
      <w:marBottom w:val="0"/>
      <w:divBdr>
        <w:top w:val="none" w:sz="0" w:space="0" w:color="auto"/>
        <w:left w:val="none" w:sz="0" w:space="0" w:color="auto"/>
        <w:bottom w:val="none" w:sz="0" w:space="0" w:color="auto"/>
        <w:right w:val="none" w:sz="0" w:space="0" w:color="auto"/>
      </w:divBdr>
    </w:div>
    <w:div w:id="521404782">
      <w:bodyDiv w:val="1"/>
      <w:marLeft w:val="0"/>
      <w:marRight w:val="0"/>
      <w:marTop w:val="0"/>
      <w:marBottom w:val="0"/>
      <w:divBdr>
        <w:top w:val="none" w:sz="0" w:space="0" w:color="auto"/>
        <w:left w:val="none" w:sz="0" w:space="0" w:color="auto"/>
        <w:bottom w:val="none" w:sz="0" w:space="0" w:color="auto"/>
        <w:right w:val="none" w:sz="0" w:space="0" w:color="auto"/>
      </w:divBdr>
    </w:div>
    <w:div w:id="542641812">
      <w:bodyDiv w:val="1"/>
      <w:marLeft w:val="0"/>
      <w:marRight w:val="0"/>
      <w:marTop w:val="0"/>
      <w:marBottom w:val="0"/>
      <w:divBdr>
        <w:top w:val="none" w:sz="0" w:space="0" w:color="auto"/>
        <w:left w:val="none" w:sz="0" w:space="0" w:color="auto"/>
        <w:bottom w:val="none" w:sz="0" w:space="0" w:color="auto"/>
        <w:right w:val="none" w:sz="0" w:space="0" w:color="auto"/>
      </w:divBdr>
    </w:div>
    <w:div w:id="559829094">
      <w:bodyDiv w:val="1"/>
      <w:marLeft w:val="0"/>
      <w:marRight w:val="0"/>
      <w:marTop w:val="0"/>
      <w:marBottom w:val="0"/>
      <w:divBdr>
        <w:top w:val="none" w:sz="0" w:space="0" w:color="auto"/>
        <w:left w:val="none" w:sz="0" w:space="0" w:color="auto"/>
        <w:bottom w:val="none" w:sz="0" w:space="0" w:color="auto"/>
        <w:right w:val="none" w:sz="0" w:space="0" w:color="auto"/>
      </w:divBdr>
      <w:divsChild>
        <w:div w:id="78449766">
          <w:marLeft w:val="0"/>
          <w:marRight w:val="0"/>
          <w:marTop w:val="0"/>
          <w:marBottom w:val="0"/>
          <w:divBdr>
            <w:top w:val="none" w:sz="0" w:space="0" w:color="auto"/>
            <w:left w:val="none" w:sz="0" w:space="0" w:color="auto"/>
            <w:bottom w:val="none" w:sz="0" w:space="0" w:color="auto"/>
            <w:right w:val="none" w:sz="0" w:space="0" w:color="auto"/>
          </w:divBdr>
          <w:divsChild>
            <w:div w:id="1491169284">
              <w:marLeft w:val="0"/>
              <w:marRight w:val="0"/>
              <w:marTop w:val="0"/>
              <w:marBottom w:val="0"/>
              <w:divBdr>
                <w:top w:val="none" w:sz="0" w:space="0" w:color="auto"/>
                <w:left w:val="none" w:sz="0" w:space="0" w:color="auto"/>
                <w:bottom w:val="none" w:sz="0" w:space="0" w:color="auto"/>
                <w:right w:val="none" w:sz="0" w:space="0" w:color="auto"/>
              </w:divBdr>
              <w:divsChild>
                <w:div w:id="316112890">
                  <w:marLeft w:val="0"/>
                  <w:marRight w:val="0"/>
                  <w:marTop w:val="0"/>
                  <w:marBottom w:val="0"/>
                  <w:divBdr>
                    <w:top w:val="none" w:sz="0" w:space="0" w:color="auto"/>
                    <w:left w:val="none" w:sz="0" w:space="0" w:color="auto"/>
                    <w:bottom w:val="none" w:sz="0" w:space="0" w:color="auto"/>
                    <w:right w:val="none" w:sz="0" w:space="0" w:color="auto"/>
                  </w:divBdr>
                  <w:divsChild>
                    <w:div w:id="1285773929">
                      <w:marLeft w:val="0"/>
                      <w:marRight w:val="0"/>
                      <w:marTop w:val="0"/>
                      <w:marBottom w:val="0"/>
                      <w:divBdr>
                        <w:top w:val="none" w:sz="0" w:space="0" w:color="auto"/>
                        <w:left w:val="none" w:sz="0" w:space="0" w:color="auto"/>
                        <w:bottom w:val="none" w:sz="0" w:space="0" w:color="auto"/>
                        <w:right w:val="none" w:sz="0" w:space="0" w:color="auto"/>
                      </w:divBdr>
                      <w:divsChild>
                        <w:div w:id="311174619">
                          <w:marLeft w:val="0"/>
                          <w:marRight w:val="0"/>
                          <w:marTop w:val="0"/>
                          <w:marBottom w:val="0"/>
                          <w:divBdr>
                            <w:top w:val="none" w:sz="0" w:space="0" w:color="auto"/>
                            <w:left w:val="none" w:sz="0" w:space="0" w:color="auto"/>
                            <w:bottom w:val="none" w:sz="0" w:space="0" w:color="auto"/>
                            <w:right w:val="none" w:sz="0" w:space="0" w:color="auto"/>
                          </w:divBdr>
                          <w:divsChild>
                            <w:div w:id="15348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7705">
      <w:bodyDiv w:val="1"/>
      <w:marLeft w:val="0"/>
      <w:marRight w:val="0"/>
      <w:marTop w:val="0"/>
      <w:marBottom w:val="0"/>
      <w:divBdr>
        <w:top w:val="none" w:sz="0" w:space="0" w:color="auto"/>
        <w:left w:val="none" w:sz="0" w:space="0" w:color="auto"/>
        <w:bottom w:val="none" w:sz="0" w:space="0" w:color="auto"/>
        <w:right w:val="none" w:sz="0" w:space="0" w:color="auto"/>
      </w:divBdr>
    </w:div>
    <w:div w:id="731199296">
      <w:bodyDiv w:val="1"/>
      <w:marLeft w:val="0"/>
      <w:marRight w:val="0"/>
      <w:marTop w:val="0"/>
      <w:marBottom w:val="0"/>
      <w:divBdr>
        <w:top w:val="none" w:sz="0" w:space="0" w:color="auto"/>
        <w:left w:val="none" w:sz="0" w:space="0" w:color="auto"/>
        <w:bottom w:val="none" w:sz="0" w:space="0" w:color="auto"/>
        <w:right w:val="none" w:sz="0" w:space="0" w:color="auto"/>
      </w:divBdr>
    </w:div>
    <w:div w:id="872301997">
      <w:bodyDiv w:val="1"/>
      <w:marLeft w:val="0"/>
      <w:marRight w:val="0"/>
      <w:marTop w:val="0"/>
      <w:marBottom w:val="0"/>
      <w:divBdr>
        <w:top w:val="none" w:sz="0" w:space="0" w:color="auto"/>
        <w:left w:val="none" w:sz="0" w:space="0" w:color="auto"/>
        <w:bottom w:val="none" w:sz="0" w:space="0" w:color="auto"/>
        <w:right w:val="none" w:sz="0" w:space="0" w:color="auto"/>
      </w:divBdr>
      <w:divsChild>
        <w:div w:id="393747786">
          <w:marLeft w:val="0"/>
          <w:marRight w:val="0"/>
          <w:marTop w:val="0"/>
          <w:marBottom w:val="0"/>
          <w:divBdr>
            <w:top w:val="none" w:sz="0" w:space="0" w:color="auto"/>
            <w:left w:val="none" w:sz="0" w:space="0" w:color="auto"/>
            <w:bottom w:val="none" w:sz="0" w:space="0" w:color="auto"/>
            <w:right w:val="none" w:sz="0" w:space="0" w:color="auto"/>
          </w:divBdr>
        </w:div>
      </w:divsChild>
    </w:div>
    <w:div w:id="890070322">
      <w:bodyDiv w:val="1"/>
      <w:marLeft w:val="0"/>
      <w:marRight w:val="0"/>
      <w:marTop w:val="0"/>
      <w:marBottom w:val="0"/>
      <w:divBdr>
        <w:top w:val="none" w:sz="0" w:space="0" w:color="auto"/>
        <w:left w:val="none" w:sz="0" w:space="0" w:color="auto"/>
        <w:bottom w:val="none" w:sz="0" w:space="0" w:color="auto"/>
        <w:right w:val="none" w:sz="0" w:space="0" w:color="auto"/>
      </w:divBdr>
    </w:div>
    <w:div w:id="928536268">
      <w:bodyDiv w:val="1"/>
      <w:marLeft w:val="0"/>
      <w:marRight w:val="0"/>
      <w:marTop w:val="0"/>
      <w:marBottom w:val="0"/>
      <w:divBdr>
        <w:top w:val="none" w:sz="0" w:space="0" w:color="auto"/>
        <w:left w:val="none" w:sz="0" w:space="0" w:color="auto"/>
        <w:bottom w:val="none" w:sz="0" w:space="0" w:color="auto"/>
        <w:right w:val="none" w:sz="0" w:space="0" w:color="auto"/>
      </w:divBdr>
      <w:divsChild>
        <w:div w:id="651519788">
          <w:marLeft w:val="0"/>
          <w:marRight w:val="0"/>
          <w:marTop w:val="0"/>
          <w:marBottom w:val="0"/>
          <w:divBdr>
            <w:top w:val="none" w:sz="0" w:space="0" w:color="auto"/>
            <w:left w:val="none" w:sz="0" w:space="0" w:color="auto"/>
            <w:bottom w:val="none" w:sz="0" w:space="0" w:color="auto"/>
            <w:right w:val="none" w:sz="0" w:space="0" w:color="auto"/>
          </w:divBdr>
        </w:div>
        <w:div w:id="490878452">
          <w:marLeft w:val="0"/>
          <w:marRight w:val="0"/>
          <w:marTop w:val="45"/>
          <w:marBottom w:val="75"/>
          <w:divBdr>
            <w:top w:val="none" w:sz="0" w:space="0" w:color="auto"/>
            <w:left w:val="none" w:sz="0" w:space="0" w:color="auto"/>
            <w:bottom w:val="single" w:sz="6" w:space="2" w:color="E1E1E1"/>
            <w:right w:val="none" w:sz="0" w:space="0" w:color="auto"/>
          </w:divBdr>
        </w:div>
      </w:divsChild>
    </w:div>
    <w:div w:id="1085105839">
      <w:bodyDiv w:val="1"/>
      <w:marLeft w:val="0"/>
      <w:marRight w:val="0"/>
      <w:marTop w:val="0"/>
      <w:marBottom w:val="0"/>
      <w:divBdr>
        <w:top w:val="none" w:sz="0" w:space="0" w:color="auto"/>
        <w:left w:val="none" w:sz="0" w:space="0" w:color="auto"/>
        <w:bottom w:val="none" w:sz="0" w:space="0" w:color="auto"/>
        <w:right w:val="none" w:sz="0" w:space="0" w:color="auto"/>
      </w:divBdr>
    </w:div>
    <w:div w:id="1104764307">
      <w:bodyDiv w:val="1"/>
      <w:marLeft w:val="0"/>
      <w:marRight w:val="0"/>
      <w:marTop w:val="0"/>
      <w:marBottom w:val="0"/>
      <w:divBdr>
        <w:top w:val="none" w:sz="0" w:space="0" w:color="auto"/>
        <w:left w:val="none" w:sz="0" w:space="0" w:color="auto"/>
        <w:bottom w:val="none" w:sz="0" w:space="0" w:color="auto"/>
        <w:right w:val="none" w:sz="0" w:space="0" w:color="auto"/>
      </w:divBdr>
    </w:div>
    <w:div w:id="1201673310">
      <w:bodyDiv w:val="1"/>
      <w:marLeft w:val="0"/>
      <w:marRight w:val="0"/>
      <w:marTop w:val="0"/>
      <w:marBottom w:val="0"/>
      <w:divBdr>
        <w:top w:val="none" w:sz="0" w:space="0" w:color="auto"/>
        <w:left w:val="none" w:sz="0" w:space="0" w:color="auto"/>
        <w:bottom w:val="none" w:sz="0" w:space="0" w:color="auto"/>
        <w:right w:val="none" w:sz="0" w:space="0" w:color="auto"/>
      </w:divBdr>
    </w:div>
    <w:div w:id="1205487625">
      <w:bodyDiv w:val="1"/>
      <w:marLeft w:val="0"/>
      <w:marRight w:val="0"/>
      <w:marTop w:val="0"/>
      <w:marBottom w:val="0"/>
      <w:divBdr>
        <w:top w:val="none" w:sz="0" w:space="0" w:color="auto"/>
        <w:left w:val="none" w:sz="0" w:space="0" w:color="auto"/>
        <w:bottom w:val="none" w:sz="0" w:space="0" w:color="auto"/>
        <w:right w:val="none" w:sz="0" w:space="0" w:color="auto"/>
      </w:divBdr>
      <w:divsChild>
        <w:div w:id="262107850">
          <w:marLeft w:val="0"/>
          <w:marRight w:val="0"/>
          <w:marTop w:val="0"/>
          <w:marBottom w:val="0"/>
          <w:divBdr>
            <w:top w:val="none" w:sz="0" w:space="0" w:color="auto"/>
            <w:left w:val="none" w:sz="0" w:space="0" w:color="auto"/>
            <w:bottom w:val="none" w:sz="0" w:space="0" w:color="auto"/>
            <w:right w:val="none" w:sz="0" w:space="0" w:color="auto"/>
          </w:divBdr>
        </w:div>
      </w:divsChild>
    </w:div>
    <w:div w:id="1331525512">
      <w:bodyDiv w:val="1"/>
      <w:marLeft w:val="0"/>
      <w:marRight w:val="0"/>
      <w:marTop w:val="0"/>
      <w:marBottom w:val="0"/>
      <w:divBdr>
        <w:top w:val="none" w:sz="0" w:space="0" w:color="auto"/>
        <w:left w:val="none" w:sz="0" w:space="0" w:color="auto"/>
        <w:bottom w:val="none" w:sz="0" w:space="0" w:color="auto"/>
        <w:right w:val="none" w:sz="0" w:space="0" w:color="auto"/>
      </w:divBdr>
    </w:div>
    <w:div w:id="1433864806">
      <w:bodyDiv w:val="1"/>
      <w:marLeft w:val="0"/>
      <w:marRight w:val="0"/>
      <w:marTop w:val="0"/>
      <w:marBottom w:val="0"/>
      <w:divBdr>
        <w:top w:val="none" w:sz="0" w:space="0" w:color="auto"/>
        <w:left w:val="none" w:sz="0" w:space="0" w:color="auto"/>
        <w:bottom w:val="none" w:sz="0" w:space="0" w:color="auto"/>
        <w:right w:val="none" w:sz="0" w:space="0" w:color="auto"/>
      </w:divBdr>
    </w:div>
    <w:div w:id="1447581887">
      <w:bodyDiv w:val="1"/>
      <w:marLeft w:val="0"/>
      <w:marRight w:val="0"/>
      <w:marTop w:val="0"/>
      <w:marBottom w:val="0"/>
      <w:divBdr>
        <w:top w:val="none" w:sz="0" w:space="0" w:color="auto"/>
        <w:left w:val="none" w:sz="0" w:space="0" w:color="auto"/>
        <w:bottom w:val="none" w:sz="0" w:space="0" w:color="auto"/>
        <w:right w:val="none" w:sz="0" w:space="0" w:color="auto"/>
      </w:divBdr>
      <w:divsChild>
        <w:div w:id="1785228074">
          <w:marLeft w:val="0"/>
          <w:marRight w:val="0"/>
          <w:marTop w:val="0"/>
          <w:marBottom w:val="0"/>
          <w:divBdr>
            <w:top w:val="none" w:sz="0" w:space="0" w:color="auto"/>
            <w:left w:val="none" w:sz="0" w:space="0" w:color="auto"/>
            <w:bottom w:val="none" w:sz="0" w:space="0" w:color="auto"/>
            <w:right w:val="none" w:sz="0" w:space="0" w:color="auto"/>
          </w:divBdr>
        </w:div>
      </w:divsChild>
    </w:div>
    <w:div w:id="1582567688">
      <w:bodyDiv w:val="1"/>
      <w:marLeft w:val="0"/>
      <w:marRight w:val="0"/>
      <w:marTop w:val="0"/>
      <w:marBottom w:val="0"/>
      <w:divBdr>
        <w:top w:val="none" w:sz="0" w:space="0" w:color="auto"/>
        <w:left w:val="none" w:sz="0" w:space="0" w:color="auto"/>
        <w:bottom w:val="none" w:sz="0" w:space="0" w:color="auto"/>
        <w:right w:val="none" w:sz="0" w:space="0" w:color="auto"/>
      </w:divBdr>
    </w:div>
    <w:div w:id="1755470556">
      <w:bodyDiv w:val="1"/>
      <w:marLeft w:val="0"/>
      <w:marRight w:val="0"/>
      <w:marTop w:val="0"/>
      <w:marBottom w:val="0"/>
      <w:divBdr>
        <w:top w:val="none" w:sz="0" w:space="0" w:color="auto"/>
        <w:left w:val="none" w:sz="0" w:space="0" w:color="auto"/>
        <w:bottom w:val="none" w:sz="0" w:space="0" w:color="auto"/>
        <w:right w:val="none" w:sz="0" w:space="0" w:color="auto"/>
      </w:divBdr>
    </w:div>
    <w:div w:id="1846633125">
      <w:bodyDiv w:val="1"/>
      <w:marLeft w:val="0"/>
      <w:marRight w:val="0"/>
      <w:marTop w:val="0"/>
      <w:marBottom w:val="0"/>
      <w:divBdr>
        <w:top w:val="none" w:sz="0" w:space="0" w:color="auto"/>
        <w:left w:val="none" w:sz="0" w:space="0" w:color="auto"/>
        <w:bottom w:val="none" w:sz="0" w:space="0" w:color="auto"/>
        <w:right w:val="none" w:sz="0" w:space="0" w:color="auto"/>
      </w:divBdr>
    </w:div>
    <w:div w:id="1860587387">
      <w:bodyDiv w:val="1"/>
      <w:marLeft w:val="0"/>
      <w:marRight w:val="0"/>
      <w:marTop w:val="0"/>
      <w:marBottom w:val="0"/>
      <w:divBdr>
        <w:top w:val="none" w:sz="0" w:space="0" w:color="auto"/>
        <w:left w:val="none" w:sz="0" w:space="0" w:color="auto"/>
        <w:bottom w:val="none" w:sz="0" w:space="0" w:color="auto"/>
        <w:right w:val="none" w:sz="0" w:space="0" w:color="auto"/>
      </w:divBdr>
      <w:divsChild>
        <w:div w:id="1334382826">
          <w:marLeft w:val="0"/>
          <w:marRight w:val="0"/>
          <w:marTop w:val="0"/>
          <w:marBottom w:val="0"/>
          <w:divBdr>
            <w:top w:val="none" w:sz="0" w:space="0" w:color="auto"/>
            <w:left w:val="none" w:sz="0" w:space="0" w:color="auto"/>
            <w:bottom w:val="none" w:sz="0" w:space="0" w:color="auto"/>
            <w:right w:val="none" w:sz="0" w:space="0" w:color="auto"/>
          </w:divBdr>
        </w:div>
      </w:divsChild>
    </w:div>
    <w:div w:id="1958440455">
      <w:bodyDiv w:val="1"/>
      <w:marLeft w:val="0"/>
      <w:marRight w:val="0"/>
      <w:marTop w:val="0"/>
      <w:marBottom w:val="0"/>
      <w:divBdr>
        <w:top w:val="none" w:sz="0" w:space="0" w:color="auto"/>
        <w:left w:val="none" w:sz="0" w:space="0" w:color="auto"/>
        <w:bottom w:val="none" w:sz="0" w:space="0" w:color="auto"/>
        <w:right w:val="none" w:sz="0" w:space="0" w:color="auto"/>
      </w:divBdr>
      <w:divsChild>
        <w:div w:id="1059521843">
          <w:marLeft w:val="0"/>
          <w:marRight w:val="0"/>
          <w:marTop w:val="0"/>
          <w:marBottom w:val="0"/>
          <w:divBdr>
            <w:top w:val="none" w:sz="0" w:space="0" w:color="auto"/>
            <w:left w:val="none" w:sz="0" w:space="0" w:color="auto"/>
            <w:bottom w:val="none" w:sz="0" w:space="0" w:color="auto"/>
            <w:right w:val="none" w:sz="0" w:space="0" w:color="auto"/>
          </w:divBdr>
        </w:div>
      </w:divsChild>
    </w:div>
    <w:div w:id="1998681338">
      <w:bodyDiv w:val="1"/>
      <w:marLeft w:val="0"/>
      <w:marRight w:val="0"/>
      <w:marTop w:val="0"/>
      <w:marBottom w:val="0"/>
      <w:divBdr>
        <w:top w:val="none" w:sz="0" w:space="0" w:color="auto"/>
        <w:left w:val="none" w:sz="0" w:space="0" w:color="auto"/>
        <w:bottom w:val="none" w:sz="0" w:space="0" w:color="auto"/>
        <w:right w:val="none" w:sz="0" w:space="0" w:color="auto"/>
      </w:divBdr>
      <w:divsChild>
        <w:div w:id="750929868">
          <w:marLeft w:val="0"/>
          <w:marRight w:val="0"/>
          <w:marTop w:val="0"/>
          <w:marBottom w:val="0"/>
          <w:divBdr>
            <w:top w:val="none" w:sz="0" w:space="0" w:color="auto"/>
            <w:left w:val="none" w:sz="0" w:space="0" w:color="auto"/>
            <w:bottom w:val="none" w:sz="0" w:space="0" w:color="auto"/>
            <w:right w:val="none" w:sz="0" w:space="0" w:color="auto"/>
          </w:divBdr>
        </w:div>
      </w:divsChild>
    </w:div>
    <w:div w:id="2028555116">
      <w:bodyDiv w:val="1"/>
      <w:marLeft w:val="0"/>
      <w:marRight w:val="0"/>
      <w:marTop w:val="0"/>
      <w:marBottom w:val="0"/>
      <w:divBdr>
        <w:top w:val="none" w:sz="0" w:space="0" w:color="auto"/>
        <w:left w:val="none" w:sz="0" w:space="0" w:color="auto"/>
        <w:bottom w:val="none" w:sz="0" w:space="0" w:color="auto"/>
        <w:right w:val="none" w:sz="0" w:space="0" w:color="auto"/>
      </w:divBdr>
      <w:divsChild>
        <w:div w:id="1182277017">
          <w:marLeft w:val="0"/>
          <w:marRight w:val="0"/>
          <w:marTop w:val="0"/>
          <w:marBottom w:val="0"/>
          <w:divBdr>
            <w:top w:val="none" w:sz="0" w:space="0" w:color="auto"/>
            <w:left w:val="none" w:sz="0" w:space="0" w:color="auto"/>
            <w:bottom w:val="none" w:sz="0" w:space="0" w:color="auto"/>
            <w:right w:val="none" w:sz="0" w:space="0" w:color="auto"/>
          </w:divBdr>
        </w:div>
      </w:divsChild>
    </w:div>
    <w:div w:id="20710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ovani-dokumentu.cz/navod/bakalarska-pr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A227-FE84-40F1-80C3-6B861CF3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12978</Words>
  <Characters>83972</Characters>
  <Application>Microsoft Office Word</Application>
  <DocSecurity>0</DocSecurity>
  <Lines>1473</Lines>
  <Paragraphs>276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2021-04-30T05:47:00Z</dcterms:created>
  <dcterms:modified xsi:type="dcterms:W3CDTF">2021-04-30T05:47:00Z</dcterms:modified>
</cp:coreProperties>
</file>